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D1BD6" w14:textId="6EC233B2" w:rsidR="003F6D30" w:rsidRPr="0030070D" w:rsidRDefault="002176BD" w:rsidP="00AA0180">
      <w:pPr>
        <w:pStyle w:val="CoverTitleMain"/>
        <w:ind w:left="0" w:firstLine="0"/>
        <w:jc w:val="left"/>
      </w:pPr>
      <w:bookmarkStart w:id="0" w:name="OLE_LINK1"/>
      <w:r w:rsidRPr="002110CE">
        <w:rPr>
          <w:rFonts w:cs="Arial"/>
          <w:bCs/>
          <w:snapToGrid w:val="0"/>
          <w:color w:val="0E4E77" w:themeColor="accent6"/>
          <w:sz w:val="56"/>
          <w:szCs w:val="56"/>
          <w:lang w:eastAsia="en-US"/>
        </w:rPr>
        <w:t>Twentieth</w:t>
      </w:r>
      <w:r w:rsidR="003F6D30" w:rsidRPr="00D12C73">
        <w:rPr>
          <w:rFonts w:cs="Arial"/>
          <w:bCs/>
          <w:snapToGrid w:val="0"/>
          <w:color w:val="0E4E77" w:themeColor="accent6"/>
          <w:sz w:val="56"/>
          <w:szCs w:val="56"/>
          <w:lang w:eastAsia="en-US"/>
        </w:rPr>
        <w:t xml:space="preserve"> report</w:t>
      </w:r>
      <w:r w:rsidR="003F6D30" w:rsidRPr="003F6D30">
        <w:rPr>
          <w:rFonts w:cs="Arial"/>
          <w:bCs/>
          <w:snapToGrid w:val="0"/>
          <w:color w:val="0E4E77" w:themeColor="accent6"/>
          <w:sz w:val="56"/>
          <w:szCs w:val="56"/>
          <w:lang w:eastAsia="en-US"/>
        </w:rPr>
        <w:t xml:space="preserve"> on the costs of the Australian Government</w:t>
      </w:r>
      <w:r w:rsidR="009B0312">
        <w:rPr>
          <w:rFonts w:cs="Arial"/>
          <w:bCs/>
          <w:snapToGrid w:val="0"/>
          <w:color w:val="0E4E77" w:themeColor="accent6"/>
          <w:sz w:val="56"/>
          <w:szCs w:val="56"/>
          <w:lang w:eastAsia="en-US"/>
        </w:rPr>
        <w:t>’</w:t>
      </w:r>
      <w:r w:rsidR="003F6D30" w:rsidRPr="003F6D30">
        <w:rPr>
          <w:rFonts w:cs="Arial"/>
          <w:bCs/>
          <w:snapToGrid w:val="0"/>
          <w:color w:val="0E4E77" w:themeColor="accent6"/>
          <w:sz w:val="56"/>
          <w:szCs w:val="56"/>
          <w:lang w:eastAsia="en-US"/>
        </w:rPr>
        <w:t>s Run</w:t>
      </w:r>
      <w:r w:rsidR="009B0312">
        <w:rPr>
          <w:rFonts w:cs="Arial"/>
          <w:bCs/>
          <w:snapToGrid w:val="0"/>
          <w:color w:val="0E4E77" w:themeColor="accent6"/>
          <w:sz w:val="56"/>
          <w:szCs w:val="56"/>
          <w:lang w:eastAsia="en-US"/>
        </w:rPr>
        <w:noBreakHyphen/>
      </w:r>
      <w:r w:rsidR="003F6D30" w:rsidRPr="003F6D30">
        <w:rPr>
          <w:rFonts w:cs="Arial"/>
          <w:bCs/>
          <w:snapToGrid w:val="0"/>
          <w:color w:val="0E4E77" w:themeColor="accent6"/>
          <w:sz w:val="56"/>
          <w:szCs w:val="56"/>
          <w:lang w:eastAsia="en-US"/>
        </w:rPr>
        <w:t>Off Cover Scheme for medical indemnity insurers</w:t>
      </w:r>
    </w:p>
    <w:bookmarkEnd w:id="0"/>
    <w:p w14:paraId="363E132E" w14:textId="77777777" w:rsidR="00F602EB" w:rsidRDefault="00F602EB" w:rsidP="00F602EB">
      <w:pPr>
        <w:rPr>
          <w:rFonts w:cs="Arial"/>
          <w:bCs/>
          <w:snapToGrid w:val="0"/>
          <w:color w:val="74000E" w:themeColor="accent1"/>
          <w:sz w:val="48"/>
          <w:szCs w:val="56"/>
          <w:lang w:eastAsia="en-US"/>
        </w:rPr>
      </w:pPr>
    </w:p>
    <w:p w14:paraId="3F8FF51E" w14:textId="561B716E" w:rsidR="00F602EB" w:rsidRPr="00F602EB" w:rsidRDefault="00471BBF" w:rsidP="00B169E9">
      <w:pPr>
        <w:spacing w:before="480"/>
        <w:jc w:val="left"/>
        <w:rPr>
          <w:rFonts w:cs="Arial"/>
          <w:bCs/>
          <w:snapToGrid w:val="0"/>
          <w:color w:val="74000E" w:themeColor="accent1"/>
          <w:sz w:val="48"/>
          <w:szCs w:val="56"/>
          <w:lang w:eastAsia="en-US"/>
        </w:rPr>
      </w:pPr>
      <w:r w:rsidRPr="002110CE">
        <w:rPr>
          <w:rFonts w:cs="Arial"/>
          <w:bCs/>
          <w:snapToGrid w:val="0"/>
          <w:color w:val="74000E" w:themeColor="accent1"/>
          <w:sz w:val="48"/>
          <w:szCs w:val="56"/>
          <w:lang w:eastAsia="en-US"/>
        </w:rPr>
        <w:t>20</w:t>
      </w:r>
      <w:r w:rsidR="002176BD" w:rsidRPr="002110CE">
        <w:rPr>
          <w:rFonts w:cs="Arial"/>
          <w:bCs/>
          <w:snapToGrid w:val="0"/>
          <w:color w:val="74000E" w:themeColor="accent1"/>
          <w:sz w:val="48"/>
          <w:szCs w:val="56"/>
          <w:lang w:eastAsia="en-US"/>
        </w:rPr>
        <w:t>23</w:t>
      </w:r>
      <w:r w:rsidR="009B0312" w:rsidRPr="002110CE">
        <w:rPr>
          <w:rFonts w:cs="Arial"/>
          <w:bCs/>
          <w:snapToGrid w:val="0"/>
          <w:color w:val="74000E" w:themeColor="accent1"/>
          <w:sz w:val="48"/>
          <w:szCs w:val="56"/>
          <w:lang w:eastAsia="en-US"/>
        </w:rPr>
        <w:noBreakHyphen/>
      </w:r>
      <w:r w:rsidRPr="002110CE">
        <w:rPr>
          <w:rFonts w:cs="Arial"/>
          <w:bCs/>
          <w:snapToGrid w:val="0"/>
          <w:color w:val="74000E" w:themeColor="accent1"/>
          <w:sz w:val="48"/>
          <w:szCs w:val="56"/>
          <w:lang w:eastAsia="en-US"/>
        </w:rPr>
        <w:t>2</w:t>
      </w:r>
      <w:r w:rsidR="002176BD" w:rsidRPr="002110CE">
        <w:rPr>
          <w:rFonts w:cs="Arial"/>
          <w:bCs/>
          <w:snapToGrid w:val="0"/>
          <w:color w:val="74000E" w:themeColor="accent1"/>
          <w:sz w:val="48"/>
          <w:szCs w:val="56"/>
          <w:lang w:eastAsia="en-US"/>
        </w:rPr>
        <w:t>4</w:t>
      </w:r>
      <w:r w:rsidR="00F602EB" w:rsidRPr="002110CE">
        <w:rPr>
          <w:rFonts w:cs="Arial"/>
          <w:bCs/>
          <w:snapToGrid w:val="0"/>
          <w:color w:val="74000E" w:themeColor="accent1"/>
          <w:sz w:val="48"/>
          <w:szCs w:val="56"/>
          <w:lang w:eastAsia="en-US"/>
        </w:rPr>
        <w:t xml:space="preserve"> fin</w:t>
      </w:r>
      <w:r w:rsidR="00F602EB" w:rsidRPr="00F602EB">
        <w:rPr>
          <w:rFonts w:cs="Arial"/>
          <w:bCs/>
          <w:snapToGrid w:val="0"/>
          <w:color w:val="74000E" w:themeColor="accent1"/>
          <w:sz w:val="48"/>
          <w:szCs w:val="56"/>
          <w:lang w:eastAsia="en-US"/>
        </w:rPr>
        <w:t>ancial year</w:t>
      </w:r>
    </w:p>
    <w:p w14:paraId="617174A3" w14:textId="77777777" w:rsidR="008F7491" w:rsidRPr="0030070D" w:rsidRDefault="008F7491" w:rsidP="008F7491">
      <w:pPr>
        <w:rPr>
          <w:rFonts w:cs="Arial"/>
        </w:rPr>
        <w:sectPr w:rsidR="008F7491" w:rsidRPr="0030070D" w:rsidSect="004E0548">
          <w:headerReference w:type="even" r:id="rId7"/>
          <w:headerReference w:type="default" r:id="rId8"/>
          <w:footerReference w:type="even" r:id="rId9"/>
          <w:footerReference w:type="default" r:id="rId10"/>
          <w:headerReference w:type="first" r:id="rId11"/>
          <w:pgSz w:w="11906" w:h="16838" w:code="9"/>
          <w:pgMar w:top="2466" w:right="2098" w:bottom="2466" w:left="2098" w:header="2459" w:footer="1899" w:gutter="0"/>
          <w:cols w:space="708"/>
          <w:titlePg/>
          <w:docGrid w:linePitch="360"/>
        </w:sectPr>
      </w:pPr>
    </w:p>
    <w:p w14:paraId="13E33836" w14:textId="05F0A4DF" w:rsidR="00A60436" w:rsidRPr="008B2447" w:rsidRDefault="00A60436" w:rsidP="008B2447">
      <w:pPr>
        <w:spacing w:line="240" w:lineRule="auto"/>
        <w:rPr>
          <w:rFonts w:cs="Arial"/>
          <w:color w:val="auto"/>
        </w:rPr>
      </w:pPr>
      <w:r w:rsidRPr="008B2447">
        <w:rPr>
          <w:rFonts w:cs="Arial"/>
          <w:color w:val="auto"/>
        </w:rPr>
        <w:lastRenderedPageBreak/>
        <w:t>© Commonwealth of Australia 202</w:t>
      </w:r>
      <w:r w:rsidR="002110CE" w:rsidRPr="008B2447">
        <w:rPr>
          <w:rFonts w:cs="Arial"/>
          <w:color w:val="auto"/>
        </w:rPr>
        <w:t>5</w:t>
      </w:r>
    </w:p>
    <w:p w14:paraId="0EF0330E" w14:textId="7F5C2C46" w:rsidR="00A60436" w:rsidRPr="008B2447" w:rsidRDefault="00A60436" w:rsidP="008B2447">
      <w:pPr>
        <w:spacing w:line="240" w:lineRule="auto"/>
      </w:pPr>
      <w:r w:rsidRPr="008B2447">
        <w:t>IS</w:t>
      </w:r>
      <w:r w:rsidR="00876474" w:rsidRPr="008B2447">
        <w:t>S</w:t>
      </w:r>
      <w:r w:rsidRPr="008B2447">
        <w:t>N</w:t>
      </w:r>
      <w:r w:rsidR="00876474" w:rsidRPr="008B2447">
        <w:t xml:space="preserve"> 2652</w:t>
      </w:r>
      <w:r w:rsidR="009B0312" w:rsidRPr="008B2447">
        <w:noBreakHyphen/>
      </w:r>
      <w:r w:rsidR="001D00A0" w:rsidRPr="008B2447">
        <w:t>1717</w:t>
      </w:r>
      <w:r w:rsidRPr="008B2447">
        <w:t xml:space="preserve"> </w:t>
      </w:r>
    </w:p>
    <w:p w14:paraId="4067524A" w14:textId="77777777" w:rsidR="0029207C" w:rsidRPr="008B2447" w:rsidRDefault="0029207C" w:rsidP="008B2447">
      <w:pPr>
        <w:spacing w:line="240" w:lineRule="auto"/>
        <w:ind w:left="0" w:firstLine="0"/>
      </w:pPr>
      <w:r w:rsidRPr="008B2447">
        <w:t>This publication is available for your use under a</w:t>
      </w:r>
      <w:r w:rsidRPr="008B2447">
        <w:rPr>
          <w:rFonts w:cstheme="minorHAnsi"/>
          <w:sz w:val="24"/>
          <w:szCs w:val="24"/>
        </w:rPr>
        <w:t xml:space="preserve"> </w:t>
      </w:r>
      <w:hyperlink r:id="rId12" w:history="1">
        <w:r w:rsidRPr="008B2447">
          <w:rPr>
            <w:rStyle w:val="Hyperlink"/>
            <w:bCs/>
          </w:rPr>
          <w:t>Creative Commons Attribution 4.0 International</w:t>
        </w:r>
      </w:hyperlink>
      <w:r w:rsidRPr="008B2447">
        <w:rPr>
          <w:rFonts w:cstheme="minorHAnsi"/>
          <w:sz w:val="24"/>
          <w:szCs w:val="24"/>
        </w:rPr>
        <w:t xml:space="preserve"> </w:t>
      </w:r>
      <w:r w:rsidRPr="008B2447">
        <w:t xml:space="preserve">licence, with the exception of the Commonwealth Coat of Arms, the Australian Government Actuary logo, photographs, images, third party materials, materials protected by a trademark, signatures and where otherwise stated. The full licence terms are available from </w:t>
      </w:r>
      <w:hyperlink r:id="rId13" w:history="1">
        <w:r w:rsidRPr="008B2447">
          <w:rPr>
            <w:rStyle w:val="Hyperlink"/>
            <w:bCs/>
          </w:rPr>
          <w:t>creativecommons.org/licenses/by/4.0/</w:t>
        </w:r>
        <w:proofErr w:type="spellStart"/>
        <w:r w:rsidRPr="008B2447">
          <w:rPr>
            <w:rStyle w:val="Hyperlink"/>
            <w:bCs/>
          </w:rPr>
          <w:t>legalcode</w:t>
        </w:r>
        <w:proofErr w:type="spellEnd"/>
      </w:hyperlink>
      <w:r w:rsidRPr="008B2447">
        <w:rPr>
          <w:b/>
          <w:bCs/>
        </w:rPr>
        <w:t>.</w:t>
      </w:r>
    </w:p>
    <w:p w14:paraId="56CCB03B" w14:textId="77777777" w:rsidR="0029207C" w:rsidRPr="008B2447" w:rsidRDefault="0029207C" w:rsidP="008B2447">
      <w:pPr>
        <w:pStyle w:val="NoSpacing"/>
      </w:pPr>
      <w:r w:rsidRPr="008B2447">
        <w:rPr>
          <w:noProof/>
        </w:rPr>
        <w:t xml:space="preserve"> </w:t>
      </w:r>
      <w:r w:rsidRPr="008B2447">
        <w:rPr>
          <w:noProof/>
        </w:rPr>
        <w:drawing>
          <wp:inline distT="0" distB="0" distL="0" distR="0" wp14:anchorId="054D6F35" wp14:editId="06AFFDF4">
            <wp:extent cx="802800" cy="280800"/>
            <wp:effectExtent l="0" t="0" r="0" b="5080"/>
            <wp:docPr id="26" name="Graphic 26" descr="Creative Commons BY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eative Commons BY Attribution 3.0 Australia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802800" cy="280800"/>
                    </a:xfrm>
                    <a:prstGeom prst="rect">
                      <a:avLst/>
                    </a:prstGeom>
                  </pic:spPr>
                </pic:pic>
              </a:graphicData>
            </a:graphic>
          </wp:inline>
        </w:drawing>
      </w:r>
    </w:p>
    <w:p w14:paraId="0591AEFD" w14:textId="77777777" w:rsidR="0029207C" w:rsidRPr="008B2447" w:rsidRDefault="0029207C" w:rsidP="008B2447">
      <w:pPr>
        <w:spacing w:before="240" w:line="240" w:lineRule="auto"/>
        <w:ind w:left="0" w:firstLine="0"/>
      </w:pPr>
      <w:r w:rsidRPr="008B2447">
        <w:t>Use of material from the Australian Government Actuary under a</w:t>
      </w:r>
      <w:r w:rsidRPr="008B2447">
        <w:rPr>
          <w:rFonts w:cstheme="minorHAnsi"/>
          <w:sz w:val="24"/>
          <w:szCs w:val="24"/>
        </w:rPr>
        <w:t xml:space="preserve"> </w:t>
      </w:r>
      <w:hyperlink r:id="rId16" w:history="1">
        <w:r w:rsidRPr="008B2447">
          <w:rPr>
            <w:rStyle w:val="Hyperlink"/>
            <w:bCs/>
          </w:rPr>
          <w:t>Creative Commons Attribution 4.0 International</w:t>
        </w:r>
      </w:hyperlink>
      <w:r w:rsidRPr="008B2447">
        <w:t xml:space="preserve"> licence requires you to attribute the work (but not in any way that suggests that the Australian Government Actuary endorses you or your use of the work).</w:t>
      </w:r>
    </w:p>
    <w:p w14:paraId="40F2D46F" w14:textId="77777777" w:rsidR="0029207C" w:rsidRPr="008B2447" w:rsidRDefault="0029207C" w:rsidP="008B2447">
      <w:pPr>
        <w:spacing w:after="120" w:line="240" w:lineRule="auto"/>
        <w:rPr>
          <w:rStyle w:val="Strong"/>
        </w:rPr>
      </w:pPr>
      <w:r w:rsidRPr="008B2447">
        <w:rPr>
          <w:rStyle w:val="Strong"/>
        </w:rPr>
        <w:t>Material sourced from the Australian Government Actuary, used ‘as supplied’</w:t>
      </w:r>
    </w:p>
    <w:p w14:paraId="3ECC8CD4" w14:textId="77777777" w:rsidR="0029207C" w:rsidRPr="008B2447" w:rsidRDefault="0029207C" w:rsidP="008B2447">
      <w:pPr>
        <w:spacing w:line="240" w:lineRule="auto"/>
        <w:ind w:left="0" w:firstLine="0"/>
      </w:pPr>
      <w:r w:rsidRPr="008B2447">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 then the Australian Government Actuary prefers the following attribution:</w:t>
      </w:r>
    </w:p>
    <w:p w14:paraId="48436713" w14:textId="77777777" w:rsidR="0029207C" w:rsidRPr="008B2447" w:rsidRDefault="0029207C" w:rsidP="008B2447">
      <w:pPr>
        <w:spacing w:line="240" w:lineRule="auto"/>
        <w:ind w:firstLine="0"/>
      </w:pPr>
      <w:r w:rsidRPr="008B2447">
        <w:rPr>
          <w:iCs/>
        </w:rPr>
        <w:t>Source:</w:t>
      </w:r>
      <w:r w:rsidRPr="008B2447">
        <w:rPr>
          <w:i/>
        </w:rPr>
        <w:t xml:space="preserve"> </w:t>
      </w:r>
      <w:r w:rsidRPr="008B2447">
        <w:rPr>
          <w:rStyle w:val="Emphasis"/>
        </w:rPr>
        <w:t>The Commonwealth of Australia.</w:t>
      </w:r>
    </w:p>
    <w:p w14:paraId="5CD6175F" w14:textId="77777777" w:rsidR="0029207C" w:rsidRPr="008B2447" w:rsidRDefault="0029207C" w:rsidP="008B2447">
      <w:pPr>
        <w:keepNext/>
        <w:spacing w:before="100" w:after="120" w:line="240" w:lineRule="auto"/>
        <w:rPr>
          <w:rStyle w:val="Strong"/>
        </w:rPr>
      </w:pPr>
      <w:r w:rsidRPr="008B2447">
        <w:rPr>
          <w:rStyle w:val="Strong"/>
        </w:rPr>
        <w:t>Derivative material</w:t>
      </w:r>
    </w:p>
    <w:p w14:paraId="1C4B7EB1" w14:textId="77777777" w:rsidR="0029207C" w:rsidRPr="008B2447" w:rsidRDefault="0029207C" w:rsidP="008B2447">
      <w:pPr>
        <w:keepNext/>
        <w:keepLines/>
        <w:spacing w:line="240" w:lineRule="auto"/>
        <w:ind w:left="0" w:firstLine="0"/>
      </w:pPr>
      <w:r w:rsidRPr="008B2447">
        <w:t>If you have modified or transformed material from the Australian Government Actuary, or derived new material from those of the Australian Government Actuary in any way, then the Australian Government Actuary prefers the following attribution:</w:t>
      </w:r>
    </w:p>
    <w:p w14:paraId="1748045A" w14:textId="77777777" w:rsidR="0029207C" w:rsidRPr="008B2447" w:rsidRDefault="0029207C" w:rsidP="008B2447">
      <w:pPr>
        <w:spacing w:line="240" w:lineRule="auto"/>
        <w:ind w:firstLine="0"/>
        <w:rPr>
          <w:rStyle w:val="Emphasis"/>
        </w:rPr>
      </w:pPr>
      <w:r w:rsidRPr="008B2447">
        <w:rPr>
          <w:rStyle w:val="Emphasis"/>
        </w:rPr>
        <w:t>Based on Commonwealth of Australia</w:t>
      </w:r>
      <w:r w:rsidRPr="008B2447" w:rsidDel="002A3368">
        <w:rPr>
          <w:rStyle w:val="Emphasis"/>
        </w:rPr>
        <w:t xml:space="preserve"> </w:t>
      </w:r>
      <w:r w:rsidRPr="008B2447">
        <w:rPr>
          <w:rStyle w:val="Emphasis"/>
        </w:rPr>
        <w:t>data.</w:t>
      </w:r>
    </w:p>
    <w:p w14:paraId="40DB9F14" w14:textId="77777777" w:rsidR="0029207C" w:rsidRPr="008B2447" w:rsidRDefault="0029207C" w:rsidP="008B2447">
      <w:pPr>
        <w:keepNext/>
        <w:spacing w:before="100" w:after="120" w:line="240" w:lineRule="auto"/>
        <w:rPr>
          <w:rStyle w:val="Strong"/>
        </w:rPr>
      </w:pPr>
      <w:r w:rsidRPr="008B2447">
        <w:rPr>
          <w:rStyle w:val="Strong"/>
        </w:rPr>
        <w:t>Use of the Coat of Arms</w:t>
      </w:r>
    </w:p>
    <w:p w14:paraId="44728673" w14:textId="77777777" w:rsidR="0029207C" w:rsidRPr="008B2447" w:rsidRDefault="0029207C" w:rsidP="008B2447">
      <w:pPr>
        <w:spacing w:line="240" w:lineRule="auto"/>
        <w:ind w:left="0" w:firstLine="0"/>
        <w:jc w:val="left"/>
        <w:rPr>
          <w:b/>
          <w:bCs/>
        </w:rPr>
      </w:pPr>
      <w:r w:rsidRPr="008B2447">
        <w:t xml:space="preserve">The terms under which the Coat of Arms can be used are set out on the Department of the Prime Minister and Cabinet website (see </w:t>
      </w:r>
      <w:hyperlink r:id="rId17" w:history="1">
        <w:r w:rsidRPr="008B2447">
          <w:rPr>
            <w:rStyle w:val="Hyperlink"/>
            <w:bCs/>
          </w:rPr>
          <w:t>www.pmc.gov.au/government/commonwealth-coat-arms</w:t>
        </w:r>
      </w:hyperlink>
      <w:r w:rsidRPr="008B2447">
        <w:t>).</w:t>
      </w:r>
    </w:p>
    <w:p w14:paraId="789CCEDA" w14:textId="77777777" w:rsidR="0029207C" w:rsidRPr="008B2447" w:rsidRDefault="0029207C" w:rsidP="008B2447">
      <w:pPr>
        <w:spacing w:before="100" w:after="120" w:line="240" w:lineRule="auto"/>
        <w:rPr>
          <w:rStyle w:val="Strong"/>
        </w:rPr>
      </w:pPr>
      <w:r w:rsidRPr="008B2447">
        <w:rPr>
          <w:rStyle w:val="Strong"/>
        </w:rPr>
        <w:t>Other uses</w:t>
      </w:r>
    </w:p>
    <w:p w14:paraId="32B882AC" w14:textId="77777777" w:rsidR="0029207C" w:rsidRPr="008B2447" w:rsidRDefault="0029207C" w:rsidP="008B2447">
      <w:pPr>
        <w:spacing w:line="240" w:lineRule="auto"/>
      </w:pPr>
      <w:r w:rsidRPr="008B2447">
        <w:t>Inquiries regarding this licence and any other use of this document are welcome at:</w:t>
      </w:r>
    </w:p>
    <w:p w14:paraId="6B79D587" w14:textId="77777777" w:rsidR="0029207C" w:rsidRPr="008B2447" w:rsidRDefault="0029207C" w:rsidP="008B2447">
      <w:pPr>
        <w:pStyle w:val="NormalIndent"/>
        <w:spacing w:after="0" w:line="240" w:lineRule="auto"/>
      </w:pPr>
      <w:r w:rsidRPr="008B2447">
        <w:t>Publications enquiries</w:t>
      </w:r>
    </w:p>
    <w:p w14:paraId="3C017C1A" w14:textId="77777777" w:rsidR="0029207C" w:rsidRPr="008B2447" w:rsidRDefault="0029207C" w:rsidP="008B2447">
      <w:pPr>
        <w:pStyle w:val="NormalIndent"/>
        <w:spacing w:after="0" w:line="240" w:lineRule="auto"/>
      </w:pPr>
      <w:r w:rsidRPr="008B2447">
        <w:t>The Australian Government Actuary</w:t>
      </w:r>
    </w:p>
    <w:p w14:paraId="2002C631" w14:textId="77777777" w:rsidR="0029207C" w:rsidRPr="008B2447" w:rsidRDefault="0029207C" w:rsidP="008B2447">
      <w:pPr>
        <w:pStyle w:val="NormalIndent"/>
        <w:spacing w:after="0" w:line="240" w:lineRule="auto"/>
      </w:pPr>
      <w:r w:rsidRPr="008B2447">
        <w:t>The Treasury Building</w:t>
      </w:r>
    </w:p>
    <w:p w14:paraId="257A09FD" w14:textId="77777777" w:rsidR="0029207C" w:rsidRPr="008B2447" w:rsidRDefault="0029207C" w:rsidP="008B2447">
      <w:pPr>
        <w:pStyle w:val="NormalIndent"/>
        <w:spacing w:after="0" w:line="240" w:lineRule="auto"/>
      </w:pPr>
      <w:r w:rsidRPr="008B2447">
        <w:t>Langton Crescent</w:t>
      </w:r>
    </w:p>
    <w:p w14:paraId="55DDEDA0" w14:textId="77777777" w:rsidR="0029207C" w:rsidRPr="008B2447" w:rsidRDefault="0029207C" w:rsidP="008B2447">
      <w:pPr>
        <w:pStyle w:val="NormalIndent"/>
        <w:spacing w:after="0" w:line="240" w:lineRule="auto"/>
      </w:pPr>
      <w:r w:rsidRPr="008B2447">
        <w:t>Parkes ACT 2600</w:t>
      </w:r>
    </w:p>
    <w:p w14:paraId="3DF1EE3D" w14:textId="77777777" w:rsidR="0029207C" w:rsidRPr="008B2447" w:rsidRDefault="0029207C" w:rsidP="008B2447">
      <w:pPr>
        <w:pStyle w:val="NormalIndent"/>
        <w:spacing w:after="0" w:line="240" w:lineRule="auto"/>
        <w:rPr>
          <w:b/>
          <w:bCs/>
        </w:rPr>
      </w:pPr>
      <w:r w:rsidRPr="008B2447">
        <w:t xml:space="preserve">Email: </w:t>
      </w:r>
      <w:hyperlink r:id="rId18" w:history="1">
        <w:r w:rsidRPr="008B2447">
          <w:rPr>
            <w:rStyle w:val="Hyperlink"/>
            <w:bCs/>
          </w:rPr>
          <w:t>aga@aga.gov.au</w:t>
        </w:r>
      </w:hyperlink>
    </w:p>
    <w:p w14:paraId="62FA8128" w14:textId="77777777" w:rsidR="008F7491" w:rsidRDefault="008F7491" w:rsidP="008F7491">
      <w:pPr>
        <w:rPr>
          <w:rFonts w:cs="Arial"/>
        </w:rPr>
      </w:pPr>
    </w:p>
    <w:p w14:paraId="5598D32E" w14:textId="77777777" w:rsidR="00C83A73" w:rsidRPr="0030070D" w:rsidRDefault="00C83A73" w:rsidP="008F7491">
      <w:pPr>
        <w:rPr>
          <w:rFonts w:cs="Arial"/>
        </w:rPr>
        <w:sectPr w:rsidR="00C83A73" w:rsidRPr="0030070D" w:rsidSect="004E0548">
          <w:headerReference w:type="even" r:id="rId19"/>
          <w:headerReference w:type="default" r:id="rId20"/>
          <w:headerReference w:type="first" r:id="rId21"/>
          <w:footerReference w:type="first" r:id="rId22"/>
          <w:pgSz w:w="11906" w:h="16838" w:code="9"/>
          <w:pgMar w:top="2466" w:right="2098" w:bottom="2466" w:left="2098" w:header="1899" w:footer="1899" w:gutter="0"/>
          <w:pgNumType w:start="2"/>
          <w:cols w:space="708"/>
          <w:titlePg/>
          <w:docGrid w:linePitch="360"/>
        </w:sectPr>
      </w:pPr>
    </w:p>
    <w:sdt>
      <w:sdtPr>
        <w:rPr>
          <w:rFonts w:ascii="Arial" w:eastAsia="Times New Roman" w:hAnsi="Arial" w:cs="Times New Roman"/>
          <w:color w:val="000000"/>
          <w:sz w:val="20"/>
          <w:szCs w:val="20"/>
          <w:lang w:val="en-AU" w:eastAsia="en-AU"/>
        </w:rPr>
        <w:id w:val="-1082217770"/>
        <w:docPartObj>
          <w:docPartGallery w:val="Table of Contents"/>
          <w:docPartUnique/>
        </w:docPartObj>
      </w:sdtPr>
      <w:sdtEndPr>
        <w:rPr>
          <w:b/>
          <w:bCs/>
          <w:noProof/>
          <w:color w:val="000000" w:themeColor="text1"/>
        </w:rPr>
      </w:sdtEndPr>
      <w:sdtContent>
        <w:p w14:paraId="7BE46D10" w14:textId="79F5A4C9" w:rsidR="007C0A7C" w:rsidRDefault="007C0A7C">
          <w:pPr>
            <w:pStyle w:val="TOCHeading"/>
          </w:pPr>
          <w:r>
            <w:t>Table of Contents</w:t>
          </w:r>
        </w:p>
        <w:p w14:paraId="74CDD65E" w14:textId="461D47F0" w:rsidR="004163EE" w:rsidRDefault="008F6EF6"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92773698" w:history="1">
            <w:r w:rsidR="004163EE" w:rsidRPr="001E00C4">
              <w:rPr>
                <w:rStyle w:val="Hyperlink"/>
                <w:noProof/>
              </w:rPr>
              <w:t>1</w:t>
            </w:r>
            <w:r w:rsidR="004163EE">
              <w:rPr>
                <w:rFonts w:eastAsiaTheme="minorEastAsia" w:cstheme="minorBidi"/>
                <w:b w:val="0"/>
                <w:bCs w:val="0"/>
                <w:noProof/>
                <w:color w:val="auto"/>
                <w:kern w:val="2"/>
                <w:sz w:val="22"/>
                <w:szCs w:val="22"/>
                <w14:ligatures w14:val="standardContextual"/>
              </w:rPr>
              <w:tab/>
            </w:r>
            <w:r w:rsidR="004163EE" w:rsidRPr="001E00C4">
              <w:rPr>
                <w:rStyle w:val="Hyperlink"/>
                <w:noProof/>
              </w:rPr>
              <w:t>INTRODUCTION</w:t>
            </w:r>
            <w:r w:rsidR="004163EE">
              <w:rPr>
                <w:noProof/>
                <w:webHidden/>
              </w:rPr>
              <w:tab/>
            </w:r>
            <w:r w:rsidR="004163EE">
              <w:rPr>
                <w:noProof/>
                <w:webHidden/>
              </w:rPr>
              <w:fldChar w:fldCharType="begin"/>
            </w:r>
            <w:r w:rsidR="004163EE">
              <w:rPr>
                <w:noProof/>
                <w:webHidden/>
              </w:rPr>
              <w:instrText xml:space="preserve"> PAGEREF _Toc192773698 \h </w:instrText>
            </w:r>
            <w:r w:rsidR="004163EE">
              <w:rPr>
                <w:noProof/>
                <w:webHidden/>
              </w:rPr>
            </w:r>
            <w:r w:rsidR="004163EE">
              <w:rPr>
                <w:noProof/>
                <w:webHidden/>
              </w:rPr>
              <w:fldChar w:fldCharType="separate"/>
            </w:r>
            <w:r w:rsidR="00F24572">
              <w:rPr>
                <w:noProof/>
                <w:webHidden/>
              </w:rPr>
              <w:t>4</w:t>
            </w:r>
            <w:r w:rsidR="004163EE">
              <w:rPr>
                <w:noProof/>
                <w:webHidden/>
              </w:rPr>
              <w:fldChar w:fldCharType="end"/>
            </w:r>
          </w:hyperlink>
        </w:p>
        <w:p w14:paraId="17A5C1C5" w14:textId="5CB09BCD"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699" w:history="1">
            <w:r w:rsidR="004163EE" w:rsidRPr="001E00C4">
              <w:rPr>
                <w:rStyle w:val="Hyperlink"/>
                <w:noProof/>
              </w:rPr>
              <w:t>2</w:t>
            </w:r>
            <w:r w:rsidR="004163EE">
              <w:rPr>
                <w:rFonts w:eastAsiaTheme="minorEastAsia" w:cstheme="minorBidi"/>
                <w:b w:val="0"/>
                <w:bCs w:val="0"/>
                <w:noProof/>
                <w:color w:val="auto"/>
                <w:kern w:val="2"/>
                <w:sz w:val="22"/>
                <w:szCs w:val="22"/>
                <w14:ligatures w14:val="standardContextual"/>
              </w:rPr>
              <w:tab/>
            </w:r>
            <w:r w:rsidR="004163EE" w:rsidRPr="001E00C4">
              <w:rPr>
                <w:rStyle w:val="Hyperlink"/>
                <w:noProof/>
              </w:rPr>
              <w:t>BACKGROUND</w:t>
            </w:r>
            <w:r w:rsidR="004163EE">
              <w:rPr>
                <w:noProof/>
                <w:webHidden/>
              </w:rPr>
              <w:tab/>
            </w:r>
            <w:r w:rsidR="004163EE">
              <w:rPr>
                <w:noProof/>
                <w:webHidden/>
              </w:rPr>
              <w:fldChar w:fldCharType="begin"/>
            </w:r>
            <w:r w:rsidR="004163EE">
              <w:rPr>
                <w:noProof/>
                <w:webHidden/>
              </w:rPr>
              <w:instrText xml:space="preserve"> PAGEREF _Toc192773699 \h </w:instrText>
            </w:r>
            <w:r w:rsidR="004163EE">
              <w:rPr>
                <w:noProof/>
                <w:webHidden/>
              </w:rPr>
            </w:r>
            <w:r w:rsidR="004163EE">
              <w:rPr>
                <w:noProof/>
                <w:webHidden/>
              </w:rPr>
              <w:fldChar w:fldCharType="separate"/>
            </w:r>
            <w:r w:rsidR="00F24572">
              <w:rPr>
                <w:noProof/>
                <w:webHidden/>
              </w:rPr>
              <w:t>5</w:t>
            </w:r>
            <w:r w:rsidR="004163EE">
              <w:rPr>
                <w:noProof/>
                <w:webHidden/>
              </w:rPr>
              <w:fldChar w:fldCharType="end"/>
            </w:r>
          </w:hyperlink>
        </w:p>
        <w:p w14:paraId="4D077284" w14:textId="4326E3E7"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0" w:history="1">
            <w:r w:rsidR="004163EE" w:rsidRPr="001E00C4">
              <w:rPr>
                <w:rStyle w:val="Hyperlink"/>
                <w:noProof/>
              </w:rPr>
              <w:t>2.1</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MEDICAL INDEMNITY INSURANCE</w:t>
            </w:r>
            <w:r w:rsidR="004163EE">
              <w:rPr>
                <w:noProof/>
                <w:webHidden/>
              </w:rPr>
              <w:tab/>
            </w:r>
            <w:r w:rsidR="004163EE">
              <w:rPr>
                <w:noProof/>
                <w:webHidden/>
              </w:rPr>
              <w:fldChar w:fldCharType="begin"/>
            </w:r>
            <w:r w:rsidR="004163EE">
              <w:rPr>
                <w:noProof/>
                <w:webHidden/>
              </w:rPr>
              <w:instrText xml:space="preserve"> PAGEREF _Toc192773700 \h </w:instrText>
            </w:r>
            <w:r w:rsidR="004163EE">
              <w:rPr>
                <w:noProof/>
                <w:webHidden/>
              </w:rPr>
            </w:r>
            <w:r w:rsidR="004163EE">
              <w:rPr>
                <w:noProof/>
                <w:webHidden/>
              </w:rPr>
              <w:fldChar w:fldCharType="separate"/>
            </w:r>
            <w:r w:rsidR="00F24572">
              <w:rPr>
                <w:noProof/>
                <w:webHidden/>
              </w:rPr>
              <w:t>5</w:t>
            </w:r>
            <w:r w:rsidR="004163EE">
              <w:rPr>
                <w:noProof/>
                <w:webHidden/>
              </w:rPr>
              <w:fldChar w:fldCharType="end"/>
            </w:r>
          </w:hyperlink>
        </w:p>
        <w:p w14:paraId="31C10486" w14:textId="52A7605B"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1" w:history="1">
            <w:r w:rsidR="004163EE" w:rsidRPr="001E00C4">
              <w:rPr>
                <w:rStyle w:val="Hyperlink"/>
                <w:noProof/>
              </w:rPr>
              <w:t>2.2</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BRIEF HISTORY OF PRIVATE MEDICAL INDEMNITY INSURANCE IN AUSTRALIA – THE LEAD</w:t>
            </w:r>
            <w:r w:rsidR="004163EE" w:rsidRPr="001E00C4">
              <w:rPr>
                <w:rStyle w:val="Hyperlink"/>
                <w:noProof/>
              </w:rPr>
              <w:noBreakHyphen/>
              <w:t>UP TO THE RUN</w:t>
            </w:r>
            <w:r w:rsidR="004163EE" w:rsidRPr="001E00C4">
              <w:rPr>
                <w:rStyle w:val="Hyperlink"/>
                <w:noProof/>
              </w:rPr>
              <w:noBreakHyphen/>
              <w:t>OFF COVER SCHEME</w:t>
            </w:r>
            <w:r w:rsidR="004163EE">
              <w:rPr>
                <w:noProof/>
                <w:webHidden/>
              </w:rPr>
              <w:tab/>
            </w:r>
            <w:r w:rsidR="004163EE">
              <w:rPr>
                <w:noProof/>
                <w:webHidden/>
              </w:rPr>
              <w:fldChar w:fldCharType="begin"/>
            </w:r>
            <w:r w:rsidR="004163EE">
              <w:rPr>
                <w:noProof/>
                <w:webHidden/>
              </w:rPr>
              <w:instrText xml:space="preserve"> PAGEREF _Toc192773701 \h </w:instrText>
            </w:r>
            <w:r w:rsidR="004163EE">
              <w:rPr>
                <w:noProof/>
                <w:webHidden/>
              </w:rPr>
            </w:r>
            <w:r w:rsidR="004163EE">
              <w:rPr>
                <w:noProof/>
                <w:webHidden/>
              </w:rPr>
              <w:fldChar w:fldCharType="separate"/>
            </w:r>
            <w:r w:rsidR="00F24572">
              <w:rPr>
                <w:noProof/>
                <w:webHidden/>
              </w:rPr>
              <w:t>7</w:t>
            </w:r>
            <w:r w:rsidR="004163EE">
              <w:rPr>
                <w:noProof/>
                <w:webHidden/>
              </w:rPr>
              <w:fldChar w:fldCharType="end"/>
            </w:r>
          </w:hyperlink>
        </w:p>
        <w:p w14:paraId="54D768F6" w14:textId="7A556BA7"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2" w:history="1">
            <w:r w:rsidR="004163EE" w:rsidRPr="001E00C4">
              <w:rPr>
                <w:rStyle w:val="Hyperlink"/>
                <w:noProof/>
              </w:rPr>
              <w:t>2.3</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WHAT IS THE RUN</w:t>
            </w:r>
            <w:r w:rsidR="004163EE" w:rsidRPr="001E00C4">
              <w:rPr>
                <w:rStyle w:val="Hyperlink"/>
                <w:noProof/>
              </w:rPr>
              <w:noBreakHyphen/>
              <w:t>OFF COVER ARRANGEMENT?</w:t>
            </w:r>
            <w:r w:rsidR="004163EE">
              <w:rPr>
                <w:noProof/>
                <w:webHidden/>
              </w:rPr>
              <w:tab/>
            </w:r>
            <w:r w:rsidR="004163EE">
              <w:rPr>
                <w:noProof/>
                <w:webHidden/>
              </w:rPr>
              <w:fldChar w:fldCharType="begin"/>
            </w:r>
            <w:r w:rsidR="004163EE">
              <w:rPr>
                <w:noProof/>
                <w:webHidden/>
              </w:rPr>
              <w:instrText xml:space="preserve"> PAGEREF _Toc192773702 \h </w:instrText>
            </w:r>
            <w:r w:rsidR="004163EE">
              <w:rPr>
                <w:noProof/>
                <w:webHidden/>
              </w:rPr>
            </w:r>
            <w:r w:rsidR="004163EE">
              <w:rPr>
                <w:noProof/>
                <w:webHidden/>
              </w:rPr>
              <w:fldChar w:fldCharType="separate"/>
            </w:r>
            <w:r w:rsidR="00F24572">
              <w:rPr>
                <w:noProof/>
                <w:webHidden/>
              </w:rPr>
              <w:t>8</w:t>
            </w:r>
            <w:r w:rsidR="004163EE">
              <w:rPr>
                <w:noProof/>
                <w:webHidden/>
              </w:rPr>
              <w:fldChar w:fldCharType="end"/>
            </w:r>
          </w:hyperlink>
        </w:p>
        <w:p w14:paraId="66E28EDD" w14:textId="0F2BEB2D"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03" w:history="1">
            <w:r w:rsidR="004163EE" w:rsidRPr="001E00C4">
              <w:rPr>
                <w:rStyle w:val="Hyperlink"/>
                <w:noProof/>
              </w:rPr>
              <w:t>3</w:t>
            </w:r>
            <w:r w:rsidR="004163EE">
              <w:rPr>
                <w:rFonts w:eastAsiaTheme="minorEastAsia" w:cstheme="minorBidi"/>
                <w:b w:val="0"/>
                <w:bCs w:val="0"/>
                <w:noProof/>
                <w:color w:val="auto"/>
                <w:kern w:val="2"/>
                <w:sz w:val="22"/>
                <w:szCs w:val="22"/>
                <w14:ligatures w14:val="standardContextual"/>
              </w:rPr>
              <w:tab/>
            </w:r>
            <w:r w:rsidR="004163EE" w:rsidRPr="001E00C4">
              <w:rPr>
                <w:rStyle w:val="Hyperlink"/>
                <w:noProof/>
              </w:rPr>
              <w:t>DATA</w:t>
            </w:r>
            <w:r w:rsidR="004163EE">
              <w:rPr>
                <w:noProof/>
                <w:webHidden/>
              </w:rPr>
              <w:tab/>
            </w:r>
            <w:r w:rsidR="004163EE">
              <w:rPr>
                <w:noProof/>
                <w:webHidden/>
              </w:rPr>
              <w:fldChar w:fldCharType="begin"/>
            </w:r>
            <w:r w:rsidR="004163EE">
              <w:rPr>
                <w:noProof/>
                <w:webHidden/>
              </w:rPr>
              <w:instrText xml:space="preserve"> PAGEREF _Toc192773703 \h </w:instrText>
            </w:r>
            <w:r w:rsidR="004163EE">
              <w:rPr>
                <w:noProof/>
                <w:webHidden/>
              </w:rPr>
            </w:r>
            <w:r w:rsidR="004163EE">
              <w:rPr>
                <w:noProof/>
                <w:webHidden/>
              </w:rPr>
              <w:fldChar w:fldCharType="separate"/>
            </w:r>
            <w:r w:rsidR="00F24572">
              <w:rPr>
                <w:noProof/>
                <w:webHidden/>
              </w:rPr>
              <w:t>10</w:t>
            </w:r>
            <w:r w:rsidR="004163EE">
              <w:rPr>
                <w:noProof/>
                <w:webHidden/>
              </w:rPr>
              <w:fldChar w:fldCharType="end"/>
            </w:r>
          </w:hyperlink>
        </w:p>
        <w:p w14:paraId="1C8FAAE6" w14:textId="7F1C9EE6"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4" w:history="1">
            <w:r w:rsidR="004163EE" w:rsidRPr="001E00C4">
              <w:rPr>
                <w:rStyle w:val="Hyperlink"/>
                <w:noProof/>
              </w:rPr>
              <w:t>3.1</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DATA COLLECTION</w:t>
            </w:r>
            <w:r w:rsidR="004163EE">
              <w:rPr>
                <w:noProof/>
                <w:webHidden/>
              </w:rPr>
              <w:tab/>
            </w:r>
            <w:r w:rsidR="004163EE">
              <w:rPr>
                <w:noProof/>
                <w:webHidden/>
              </w:rPr>
              <w:fldChar w:fldCharType="begin"/>
            </w:r>
            <w:r w:rsidR="004163EE">
              <w:rPr>
                <w:noProof/>
                <w:webHidden/>
              </w:rPr>
              <w:instrText xml:space="preserve"> PAGEREF _Toc192773704 \h </w:instrText>
            </w:r>
            <w:r w:rsidR="004163EE">
              <w:rPr>
                <w:noProof/>
                <w:webHidden/>
              </w:rPr>
            </w:r>
            <w:r w:rsidR="004163EE">
              <w:rPr>
                <w:noProof/>
                <w:webHidden/>
              </w:rPr>
              <w:fldChar w:fldCharType="separate"/>
            </w:r>
            <w:r w:rsidR="00F24572">
              <w:rPr>
                <w:noProof/>
                <w:webHidden/>
              </w:rPr>
              <w:t>10</w:t>
            </w:r>
            <w:r w:rsidR="004163EE">
              <w:rPr>
                <w:noProof/>
                <w:webHidden/>
              </w:rPr>
              <w:fldChar w:fldCharType="end"/>
            </w:r>
          </w:hyperlink>
        </w:p>
        <w:p w14:paraId="4E9C01A3" w14:textId="561399F3"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5" w:history="1">
            <w:r w:rsidR="004163EE" w:rsidRPr="001E00C4">
              <w:rPr>
                <w:rStyle w:val="Hyperlink"/>
                <w:noProof/>
              </w:rPr>
              <w:t>3.2</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DATA VERIFICATION</w:t>
            </w:r>
            <w:r w:rsidR="004163EE">
              <w:rPr>
                <w:noProof/>
                <w:webHidden/>
              </w:rPr>
              <w:tab/>
            </w:r>
            <w:r w:rsidR="004163EE">
              <w:rPr>
                <w:noProof/>
                <w:webHidden/>
              </w:rPr>
              <w:fldChar w:fldCharType="begin"/>
            </w:r>
            <w:r w:rsidR="004163EE">
              <w:rPr>
                <w:noProof/>
                <w:webHidden/>
              </w:rPr>
              <w:instrText xml:space="preserve"> PAGEREF _Toc192773705 \h </w:instrText>
            </w:r>
            <w:r w:rsidR="004163EE">
              <w:rPr>
                <w:noProof/>
                <w:webHidden/>
              </w:rPr>
            </w:r>
            <w:r w:rsidR="004163EE">
              <w:rPr>
                <w:noProof/>
                <w:webHidden/>
              </w:rPr>
              <w:fldChar w:fldCharType="separate"/>
            </w:r>
            <w:r w:rsidR="00F24572">
              <w:rPr>
                <w:noProof/>
                <w:webHidden/>
              </w:rPr>
              <w:t>10</w:t>
            </w:r>
            <w:r w:rsidR="004163EE">
              <w:rPr>
                <w:noProof/>
                <w:webHidden/>
              </w:rPr>
              <w:fldChar w:fldCharType="end"/>
            </w:r>
          </w:hyperlink>
        </w:p>
        <w:p w14:paraId="51F79A03" w14:textId="03FC1C52"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6" w:history="1">
            <w:r w:rsidR="004163EE" w:rsidRPr="001E00C4">
              <w:rPr>
                <w:rStyle w:val="Hyperlink"/>
                <w:noProof/>
              </w:rPr>
              <w:t xml:space="preserve">3.3 </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NUMBER OF ELIGIBLE PRACTITIONERS</w:t>
            </w:r>
            <w:r w:rsidR="004163EE">
              <w:rPr>
                <w:noProof/>
                <w:webHidden/>
              </w:rPr>
              <w:tab/>
            </w:r>
            <w:r w:rsidR="004163EE">
              <w:rPr>
                <w:noProof/>
                <w:webHidden/>
              </w:rPr>
              <w:fldChar w:fldCharType="begin"/>
            </w:r>
            <w:r w:rsidR="004163EE">
              <w:rPr>
                <w:noProof/>
                <w:webHidden/>
              </w:rPr>
              <w:instrText xml:space="preserve"> PAGEREF _Toc192773706 \h </w:instrText>
            </w:r>
            <w:r w:rsidR="004163EE">
              <w:rPr>
                <w:noProof/>
                <w:webHidden/>
              </w:rPr>
            </w:r>
            <w:r w:rsidR="004163EE">
              <w:rPr>
                <w:noProof/>
                <w:webHidden/>
              </w:rPr>
              <w:fldChar w:fldCharType="separate"/>
            </w:r>
            <w:r w:rsidR="00F24572">
              <w:rPr>
                <w:noProof/>
                <w:webHidden/>
              </w:rPr>
              <w:t>11</w:t>
            </w:r>
            <w:r w:rsidR="004163EE">
              <w:rPr>
                <w:noProof/>
                <w:webHidden/>
              </w:rPr>
              <w:fldChar w:fldCharType="end"/>
            </w:r>
          </w:hyperlink>
        </w:p>
        <w:p w14:paraId="22DC5017" w14:textId="4CBBD9DE"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7" w:history="1">
            <w:r w:rsidR="004163EE" w:rsidRPr="001E00C4">
              <w:rPr>
                <w:rStyle w:val="Hyperlink"/>
                <w:noProof/>
              </w:rPr>
              <w:t>3.4</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NUMBER OF CLAIMS ELIGIBLE FOR RUN</w:t>
            </w:r>
            <w:r w:rsidR="004163EE" w:rsidRPr="001E00C4">
              <w:rPr>
                <w:rStyle w:val="Hyperlink"/>
                <w:noProof/>
              </w:rPr>
              <w:noBreakHyphen/>
              <w:t>OFF COVER INDEMNITY PAYMENTS</w:t>
            </w:r>
            <w:r w:rsidR="004163EE">
              <w:rPr>
                <w:noProof/>
                <w:webHidden/>
              </w:rPr>
              <w:tab/>
            </w:r>
            <w:r w:rsidR="004163EE">
              <w:rPr>
                <w:noProof/>
                <w:webHidden/>
              </w:rPr>
              <w:fldChar w:fldCharType="begin"/>
            </w:r>
            <w:r w:rsidR="004163EE">
              <w:rPr>
                <w:noProof/>
                <w:webHidden/>
              </w:rPr>
              <w:instrText xml:space="preserve"> PAGEREF _Toc192773707 \h </w:instrText>
            </w:r>
            <w:r w:rsidR="004163EE">
              <w:rPr>
                <w:noProof/>
                <w:webHidden/>
              </w:rPr>
            </w:r>
            <w:r w:rsidR="004163EE">
              <w:rPr>
                <w:noProof/>
                <w:webHidden/>
              </w:rPr>
              <w:fldChar w:fldCharType="separate"/>
            </w:r>
            <w:r w:rsidR="00F24572">
              <w:rPr>
                <w:noProof/>
                <w:webHidden/>
              </w:rPr>
              <w:t>14</w:t>
            </w:r>
            <w:r w:rsidR="004163EE">
              <w:rPr>
                <w:noProof/>
                <w:webHidden/>
              </w:rPr>
              <w:fldChar w:fldCharType="end"/>
            </w:r>
          </w:hyperlink>
        </w:p>
        <w:p w14:paraId="78F94484" w14:textId="2B0C3CCE"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8" w:history="1">
            <w:r w:rsidR="004163EE" w:rsidRPr="001E00C4">
              <w:rPr>
                <w:rStyle w:val="Hyperlink"/>
                <w:noProof/>
              </w:rPr>
              <w:t>3.5</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AMOUNT OF RUN</w:t>
            </w:r>
            <w:r w:rsidR="004163EE" w:rsidRPr="001E00C4">
              <w:rPr>
                <w:rStyle w:val="Hyperlink"/>
                <w:noProof/>
              </w:rPr>
              <w:noBreakHyphen/>
              <w:t>OFF COVER INDEMNITY PAYMENTS</w:t>
            </w:r>
            <w:r w:rsidR="004163EE">
              <w:rPr>
                <w:noProof/>
                <w:webHidden/>
              </w:rPr>
              <w:tab/>
            </w:r>
            <w:r w:rsidR="004163EE">
              <w:rPr>
                <w:noProof/>
                <w:webHidden/>
              </w:rPr>
              <w:fldChar w:fldCharType="begin"/>
            </w:r>
            <w:r w:rsidR="004163EE">
              <w:rPr>
                <w:noProof/>
                <w:webHidden/>
              </w:rPr>
              <w:instrText xml:space="preserve"> PAGEREF _Toc192773708 \h </w:instrText>
            </w:r>
            <w:r w:rsidR="004163EE">
              <w:rPr>
                <w:noProof/>
                <w:webHidden/>
              </w:rPr>
            </w:r>
            <w:r w:rsidR="004163EE">
              <w:rPr>
                <w:noProof/>
                <w:webHidden/>
              </w:rPr>
              <w:fldChar w:fldCharType="separate"/>
            </w:r>
            <w:r w:rsidR="00F24572">
              <w:rPr>
                <w:noProof/>
                <w:webHidden/>
              </w:rPr>
              <w:t>16</w:t>
            </w:r>
            <w:r w:rsidR="004163EE">
              <w:rPr>
                <w:noProof/>
                <w:webHidden/>
              </w:rPr>
              <w:fldChar w:fldCharType="end"/>
            </w:r>
          </w:hyperlink>
        </w:p>
        <w:p w14:paraId="0DC664B5" w14:textId="0E40098B"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09" w:history="1">
            <w:r w:rsidR="004163EE" w:rsidRPr="001E00C4">
              <w:rPr>
                <w:rStyle w:val="Hyperlink"/>
                <w:noProof/>
              </w:rPr>
              <w:t>3.6</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RUN</w:t>
            </w:r>
            <w:r w:rsidR="004163EE" w:rsidRPr="001E00C4">
              <w:rPr>
                <w:rStyle w:val="Hyperlink"/>
                <w:noProof/>
              </w:rPr>
              <w:noBreakHyphen/>
              <w:t>OFF COVER SUPPORT PAYMENTS</w:t>
            </w:r>
            <w:r w:rsidR="004163EE">
              <w:rPr>
                <w:noProof/>
                <w:webHidden/>
              </w:rPr>
              <w:tab/>
            </w:r>
            <w:r w:rsidR="004163EE">
              <w:rPr>
                <w:noProof/>
                <w:webHidden/>
              </w:rPr>
              <w:fldChar w:fldCharType="begin"/>
            </w:r>
            <w:r w:rsidR="004163EE">
              <w:rPr>
                <w:noProof/>
                <w:webHidden/>
              </w:rPr>
              <w:instrText xml:space="preserve"> PAGEREF _Toc192773709 \h </w:instrText>
            </w:r>
            <w:r w:rsidR="004163EE">
              <w:rPr>
                <w:noProof/>
                <w:webHidden/>
              </w:rPr>
            </w:r>
            <w:r w:rsidR="004163EE">
              <w:rPr>
                <w:noProof/>
                <w:webHidden/>
              </w:rPr>
              <w:fldChar w:fldCharType="separate"/>
            </w:r>
            <w:r w:rsidR="00F24572">
              <w:rPr>
                <w:noProof/>
                <w:webHidden/>
              </w:rPr>
              <w:t>18</w:t>
            </w:r>
            <w:r w:rsidR="004163EE">
              <w:rPr>
                <w:noProof/>
                <w:webHidden/>
              </w:rPr>
              <w:fldChar w:fldCharType="end"/>
            </w:r>
          </w:hyperlink>
        </w:p>
        <w:p w14:paraId="0F1224D6" w14:textId="1EF736E4"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10" w:history="1">
            <w:r w:rsidR="004163EE" w:rsidRPr="001E00C4">
              <w:rPr>
                <w:rStyle w:val="Hyperlink"/>
                <w:noProof/>
              </w:rPr>
              <w:t>4</w:t>
            </w:r>
            <w:r w:rsidR="004163EE">
              <w:rPr>
                <w:rFonts w:eastAsiaTheme="minorEastAsia" w:cstheme="minorBidi"/>
                <w:b w:val="0"/>
                <w:bCs w:val="0"/>
                <w:noProof/>
                <w:color w:val="auto"/>
                <w:kern w:val="2"/>
                <w:sz w:val="22"/>
                <w:szCs w:val="22"/>
                <w14:ligatures w14:val="standardContextual"/>
              </w:rPr>
              <w:tab/>
            </w:r>
            <w:r w:rsidR="004163EE" w:rsidRPr="001E00C4">
              <w:rPr>
                <w:rStyle w:val="Hyperlink"/>
                <w:noProof/>
              </w:rPr>
              <w:t>FINANCIAL MANAGEMENT OF THE RUN</w:t>
            </w:r>
            <w:r w:rsidR="004163EE" w:rsidRPr="001E00C4">
              <w:rPr>
                <w:rStyle w:val="Hyperlink"/>
                <w:noProof/>
              </w:rPr>
              <w:noBreakHyphen/>
              <w:t>OFF COVER SCHEME</w:t>
            </w:r>
            <w:r w:rsidR="004163EE">
              <w:rPr>
                <w:noProof/>
                <w:webHidden/>
              </w:rPr>
              <w:tab/>
            </w:r>
            <w:r w:rsidR="004163EE">
              <w:rPr>
                <w:noProof/>
                <w:webHidden/>
              </w:rPr>
              <w:fldChar w:fldCharType="begin"/>
            </w:r>
            <w:r w:rsidR="004163EE">
              <w:rPr>
                <w:noProof/>
                <w:webHidden/>
              </w:rPr>
              <w:instrText xml:space="preserve"> PAGEREF _Toc192773710 \h </w:instrText>
            </w:r>
            <w:r w:rsidR="004163EE">
              <w:rPr>
                <w:noProof/>
                <w:webHidden/>
              </w:rPr>
            </w:r>
            <w:r w:rsidR="004163EE">
              <w:rPr>
                <w:noProof/>
                <w:webHidden/>
              </w:rPr>
              <w:fldChar w:fldCharType="separate"/>
            </w:r>
            <w:r w:rsidR="00F24572">
              <w:rPr>
                <w:noProof/>
                <w:webHidden/>
              </w:rPr>
              <w:t>22</w:t>
            </w:r>
            <w:r w:rsidR="004163EE">
              <w:rPr>
                <w:noProof/>
                <w:webHidden/>
              </w:rPr>
              <w:fldChar w:fldCharType="end"/>
            </w:r>
          </w:hyperlink>
        </w:p>
        <w:p w14:paraId="461BD83E" w14:textId="0CE24FD2"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1" w:history="1">
            <w:r w:rsidR="004163EE" w:rsidRPr="001E00C4">
              <w:rPr>
                <w:rStyle w:val="Hyperlink"/>
                <w:noProof/>
              </w:rPr>
              <w:t>4.1</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2023</w:t>
            </w:r>
            <w:r w:rsidR="004163EE" w:rsidRPr="001E00C4">
              <w:rPr>
                <w:rStyle w:val="Hyperlink"/>
                <w:noProof/>
              </w:rPr>
              <w:noBreakHyphen/>
              <w:t>24 CASH FLOW</w:t>
            </w:r>
            <w:r w:rsidR="004163EE">
              <w:rPr>
                <w:noProof/>
                <w:webHidden/>
              </w:rPr>
              <w:tab/>
            </w:r>
            <w:r w:rsidR="004163EE">
              <w:rPr>
                <w:noProof/>
                <w:webHidden/>
              </w:rPr>
              <w:fldChar w:fldCharType="begin"/>
            </w:r>
            <w:r w:rsidR="004163EE">
              <w:rPr>
                <w:noProof/>
                <w:webHidden/>
              </w:rPr>
              <w:instrText xml:space="preserve"> PAGEREF _Toc192773711 \h </w:instrText>
            </w:r>
            <w:r w:rsidR="004163EE">
              <w:rPr>
                <w:noProof/>
                <w:webHidden/>
              </w:rPr>
            </w:r>
            <w:r w:rsidR="004163EE">
              <w:rPr>
                <w:noProof/>
                <w:webHidden/>
              </w:rPr>
              <w:fldChar w:fldCharType="separate"/>
            </w:r>
            <w:r w:rsidR="00F24572">
              <w:rPr>
                <w:noProof/>
                <w:webHidden/>
              </w:rPr>
              <w:t>22</w:t>
            </w:r>
            <w:r w:rsidR="004163EE">
              <w:rPr>
                <w:noProof/>
                <w:webHidden/>
              </w:rPr>
              <w:fldChar w:fldCharType="end"/>
            </w:r>
          </w:hyperlink>
        </w:p>
        <w:p w14:paraId="3543ACB3" w14:textId="2E6F3649"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2" w:history="1">
            <w:r w:rsidR="004163EE" w:rsidRPr="001E00C4">
              <w:rPr>
                <w:rStyle w:val="Hyperlink"/>
                <w:noProof/>
              </w:rPr>
              <w:t>4.2</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EXPERIENCE AND MODEL</w:t>
            </w:r>
            <w:r w:rsidR="004163EE">
              <w:rPr>
                <w:noProof/>
                <w:webHidden/>
              </w:rPr>
              <w:tab/>
            </w:r>
            <w:r w:rsidR="004163EE">
              <w:rPr>
                <w:noProof/>
                <w:webHidden/>
              </w:rPr>
              <w:fldChar w:fldCharType="begin"/>
            </w:r>
            <w:r w:rsidR="004163EE">
              <w:rPr>
                <w:noProof/>
                <w:webHidden/>
              </w:rPr>
              <w:instrText xml:space="preserve"> PAGEREF _Toc192773712 \h </w:instrText>
            </w:r>
            <w:r w:rsidR="004163EE">
              <w:rPr>
                <w:noProof/>
                <w:webHidden/>
              </w:rPr>
            </w:r>
            <w:r w:rsidR="004163EE">
              <w:rPr>
                <w:noProof/>
                <w:webHidden/>
              </w:rPr>
              <w:fldChar w:fldCharType="separate"/>
            </w:r>
            <w:r w:rsidR="00F24572">
              <w:rPr>
                <w:noProof/>
                <w:webHidden/>
              </w:rPr>
              <w:t>22</w:t>
            </w:r>
            <w:r w:rsidR="004163EE">
              <w:rPr>
                <w:noProof/>
                <w:webHidden/>
              </w:rPr>
              <w:fldChar w:fldCharType="end"/>
            </w:r>
          </w:hyperlink>
        </w:p>
        <w:p w14:paraId="00451145" w14:textId="5471A886"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3" w:history="1">
            <w:r w:rsidR="004163EE" w:rsidRPr="001E00C4">
              <w:rPr>
                <w:rStyle w:val="Hyperlink"/>
                <w:noProof/>
              </w:rPr>
              <w:t>4.3</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RESULTS: PROJECTED RUN</w:t>
            </w:r>
            <w:r w:rsidR="004163EE" w:rsidRPr="001E00C4">
              <w:rPr>
                <w:rStyle w:val="Hyperlink"/>
                <w:noProof/>
              </w:rPr>
              <w:noBreakHyphen/>
              <w:t>OFF COVER COMMONWEALTH CONTRIBUTIONS</w:t>
            </w:r>
            <w:r w:rsidR="004163EE">
              <w:rPr>
                <w:noProof/>
                <w:webHidden/>
              </w:rPr>
              <w:tab/>
            </w:r>
            <w:r w:rsidR="004163EE">
              <w:rPr>
                <w:noProof/>
                <w:webHidden/>
              </w:rPr>
              <w:fldChar w:fldCharType="begin"/>
            </w:r>
            <w:r w:rsidR="004163EE">
              <w:rPr>
                <w:noProof/>
                <w:webHidden/>
              </w:rPr>
              <w:instrText xml:space="preserve"> PAGEREF _Toc192773713 \h </w:instrText>
            </w:r>
            <w:r w:rsidR="004163EE">
              <w:rPr>
                <w:noProof/>
                <w:webHidden/>
              </w:rPr>
            </w:r>
            <w:r w:rsidR="004163EE">
              <w:rPr>
                <w:noProof/>
                <w:webHidden/>
              </w:rPr>
              <w:fldChar w:fldCharType="separate"/>
            </w:r>
            <w:r w:rsidR="00F24572">
              <w:rPr>
                <w:noProof/>
                <w:webHidden/>
              </w:rPr>
              <w:t>24</w:t>
            </w:r>
            <w:r w:rsidR="004163EE">
              <w:rPr>
                <w:noProof/>
                <w:webHidden/>
              </w:rPr>
              <w:fldChar w:fldCharType="end"/>
            </w:r>
          </w:hyperlink>
        </w:p>
        <w:p w14:paraId="74B4270E" w14:textId="6A8FFCE1"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4" w:history="1">
            <w:r w:rsidR="004163EE" w:rsidRPr="001E00C4">
              <w:rPr>
                <w:rStyle w:val="Hyperlink"/>
                <w:noProof/>
              </w:rPr>
              <w:t>4.4</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RESULTS: LIABILITY AT 30 JUNE 2024 &amp; NOTIONAL ACCOUNT</w:t>
            </w:r>
            <w:r w:rsidR="004163EE">
              <w:rPr>
                <w:noProof/>
                <w:webHidden/>
              </w:rPr>
              <w:tab/>
            </w:r>
            <w:r w:rsidR="004163EE">
              <w:rPr>
                <w:noProof/>
                <w:webHidden/>
              </w:rPr>
              <w:fldChar w:fldCharType="begin"/>
            </w:r>
            <w:r w:rsidR="004163EE">
              <w:rPr>
                <w:noProof/>
                <w:webHidden/>
              </w:rPr>
              <w:instrText xml:space="preserve"> PAGEREF _Toc192773714 \h </w:instrText>
            </w:r>
            <w:r w:rsidR="004163EE">
              <w:rPr>
                <w:noProof/>
                <w:webHidden/>
              </w:rPr>
            </w:r>
            <w:r w:rsidR="004163EE">
              <w:rPr>
                <w:noProof/>
                <w:webHidden/>
              </w:rPr>
              <w:fldChar w:fldCharType="separate"/>
            </w:r>
            <w:r w:rsidR="00F24572">
              <w:rPr>
                <w:noProof/>
                <w:webHidden/>
              </w:rPr>
              <w:t>26</w:t>
            </w:r>
            <w:r w:rsidR="004163EE">
              <w:rPr>
                <w:noProof/>
                <w:webHidden/>
              </w:rPr>
              <w:fldChar w:fldCharType="end"/>
            </w:r>
          </w:hyperlink>
        </w:p>
        <w:p w14:paraId="3E4B3D9F" w14:textId="637B281B"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5" w:history="1">
            <w:r w:rsidR="004163EE" w:rsidRPr="001E00C4">
              <w:rPr>
                <w:rStyle w:val="Hyperlink"/>
                <w:noProof/>
              </w:rPr>
              <w:t>4.5</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RESULTS: PROJECTED LIABILITIES OF THE SCHEME</w:t>
            </w:r>
            <w:r w:rsidR="004163EE">
              <w:rPr>
                <w:noProof/>
                <w:webHidden/>
              </w:rPr>
              <w:tab/>
            </w:r>
            <w:r w:rsidR="004163EE">
              <w:rPr>
                <w:noProof/>
                <w:webHidden/>
              </w:rPr>
              <w:fldChar w:fldCharType="begin"/>
            </w:r>
            <w:r w:rsidR="004163EE">
              <w:rPr>
                <w:noProof/>
                <w:webHidden/>
              </w:rPr>
              <w:instrText xml:space="preserve"> PAGEREF _Toc192773715 \h </w:instrText>
            </w:r>
            <w:r w:rsidR="004163EE">
              <w:rPr>
                <w:noProof/>
                <w:webHidden/>
              </w:rPr>
            </w:r>
            <w:r w:rsidR="004163EE">
              <w:rPr>
                <w:noProof/>
                <w:webHidden/>
              </w:rPr>
              <w:fldChar w:fldCharType="separate"/>
            </w:r>
            <w:r w:rsidR="00F24572">
              <w:rPr>
                <w:noProof/>
                <w:webHidden/>
              </w:rPr>
              <w:t>30</w:t>
            </w:r>
            <w:r w:rsidR="004163EE">
              <w:rPr>
                <w:noProof/>
                <w:webHidden/>
              </w:rPr>
              <w:fldChar w:fldCharType="end"/>
            </w:r>
          </w:hyperlink>
        </w:p>
        <w:p w14:paraId="6787D673" w14:textId="5344C22E" w:rsidR="004163EE" w:rsidRDefault="008F0A55">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192773716" w:history="1">
            <w:r w:rsidR="004163EE" w:rsidRPr="001E00C4">
              <w:rPr>
                <w:rStyle w:val="Hyperlink"/>
                <w:noProof/>
              </w:rPr>
              <w:t>4.6</w:t>
            </w:r>
            <w:r w:rsidR="004163EE">
              <w:rPr>
                <w:rFonts w:eastAsiaTheme="minorEastAsia" w:cstheme="minorBidi"/>
                <w:i w:val="0"/>
                <w:iCs w:val="0"/>
                <w:noProof/>
                <w:color w:val="auto"/>
                <w:kern w:val="2"/>
                <w:sz w:val="22"/>
                <w:szCs w:val="22"/>
                <w14:ligatures w14:val="standardContextual"/>
              </w:rPr>
              <w:tab/>
            </w:r>
            <w:r w:rsidR="004163EE" w:rsidRPr="001E00C4">
              <w:rPr>
                <w:rStyle w:val="Hyperlink"/>
                <w:noProof/>
              </w:rPr>
              <w:t>ACTUARIAL MANAGEMENT</w:t>
            </w:r>
            <w:r w:rsidR="004163EE">
              <w:rPr>
                <w:noProof/>
                <w:webHidden/>
              </w:rPr>
              <w:tab/>
            </w:r>
            <w:r w:rsidR="004163EE">
              <w:rPr>
                <w:noProof/>
                <w:webHidden/>
              </w:rPr>
              <w:fldChar w:fldCharType="begin"/>
            </w:r>
            <w:r w:rsidR="004163EE">
              <w:rPr>
                <w:noProof/>
                <w:webHidden/>
              </w:rPr>
              <w:instrText xml:space="preserve"> PAGEREF _Toc192773716 \h </w:instrText>
            </w:r>
            <w:r w:rsidR="004163EE">
              <w:rPr>
                <w:noProof/>
                <w:webHidden/>
              </w:rPr>
            </w:r>
            <w:r w:rsidR="004163EE">
              <w:rPr>
                <w:noProof/>
                <w:webHidden/>
              </w:rPr>
              <w:fldChar w:fldCharType="separate"/>
            </w:r>
            <w:r w:rsidR="00F24572">
              <w:rPr>
                <w:noProof/>
                <w:webHidden/>
              </w:rPr>
              <w:t>32</w:t>
            </w:r>
            <w:r w:rsidR="004163EE">
              <w:rPr>
                <w:noProof/>
                <w:webHidden/>
              </w:rPr>
              <w:fldChar w:fldCharType="end"/>
            </w:r>
          </w:hyperlink>
        </w:p>
        <w:p w14:paraId="613AE3E0" w14:textId="45A65DA1"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17" w:history="1">
            <w:r w:rsidR="004163EE" w:rsidRPr="001E00C4">
              <w:rPr>
                <w:rStyle w:val="Hyperlink"/>
                <w:noProof/>
              </w:rPr>
              <w:t>APPENDIX 1: ELIGIBLE PRACTITIONERS AND RUN</w:t>
            </w:r>
            <w:r w:rsidR="004163EE" w:rsidRPr="001E00C4">
              <w:rPr>
                <w:rStyle w:val="Hyperlink"/>
                <w:noProof/>
              </w:rPr>
              <w:noBreakHyphen/>
              <w:t>OFF COVER SCHEME CONTRACTS</w:t>
            </w:r>
            <w:r w:rsidR="004163EE">
              <w:rPr>
                <w:noProof/>
                <w:webHidden/>
              </w:rPr>
              <w:tab/>
            </w:r>
            <w:r w:rsidR="004163EE">
              <w:rPr>
                <w:noProof/>
                <w:webHidden/>
              </w:rPr>
              <w:fldChar w:fldCharType="begin"/>
            </w:r>
            <w:r w:rsidR="004163EE">
              <w:rPr>
                <w:noProof/>
                <w:webHidden/>
              </w:rPr>
              <w:instrText xml:space="preserve"> PAGEREF _Toc192773717 \h </w:instrText>
            </w:r>
            <w:r w:rsidR="004163EE">
              <w:rPr>
                <w:noProof/>
                <w:webHidden/>
              </w:rPr>
            </w:r>
            <w:r w:rsidR="004163EE">
              <w:rPr>
                <w:noProof/>
                <w:webHidden/>
              </w:rPr>
              <w:fldChar w:fldCharType="separate"/>
            </w:r>
            <w:r w:rsidR="00F24572">
              <w:rPr>
                <w:noProof/>
                <w:webHidden/>
              </w:rPr>
              <w:t>33</w:t>
            </w:r>
            <w:r w:rsidR="004163EE">
              <w:rPr>
                <w:noProof/>
                <w:webHidden/>
              </w:rPr>
              <w:fldChar w:fldCharType="end"/>
            </w:r>
          </w:hyperlink>
        </w:p>
        <w:p w14:paraId="2B44EA02" w14:textId="5C2B2552"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18" w:history="1">
            <w:r w:rsidR="004163EE" w:rsidRPr="001E00C4">
              <w:rPr>
                <w:rStyle w:val="Hyperlink"/>
                <w:noProof/>
              </w:rPr>
              <w:t>APPENDIX 2: RUN</w:t>
            </w:r>
            <w:r w:rsidR="004163EE" w:rsidRPr="001E00C4">
              <w:rPr>
                <w:rStyle w:val="Hyperlink"/>
                <w:noProof/>
              </w:rPr>
              <w:noBreakHyphen/>
              <w:t>OFF COVER SCHEME CLAIMS</w:t>
            </w:r>
            <w:r w:rsidR="004163EE">
              <w:rPr>
                <w:noProof/>
                <w:webHidden/>
              </w:rPr>
              <w:tab/>
            </w:r>
            <w:r w:rsidR="004163EE">
              <w:rPr>
                <w:noProof/>
                <w:webHidden/>
              </w:rPr>
              <w:fldChar w:fldCharType="begin"/>
            </w:r>
            <w:r w:rsidR="004163EE">
              <w:rPr>
                <w:noProof/>
                <w:webHidden/>
              </w:rPr>
              <w:instrText xml:space="preserve"> PAGEREF _Toc192773718 \h </w:instrText>
            </w:r>
            <w:r w:rsidR="004163EE">
              <w:rPr>
                <w:noProof/>
                <w:webHidden/>
              </w:rPr>
            </w:r>
            <w:r w:rsidR="004163EE">
              <w:rPr>
                <w:noProof/>
                <w:webHidden/>
              </w:rPr>
              <w:fldChar w:fldCharType="separate"/>
            </w:r>
            <w:r w:rsidR="00F24572">
              <w:rPr>
                <w:noProof/>
                <w:webHidden/>
              </w:rPr>
              <w:t>35</w:t>
            </w:r>
            <w:r w:rsidR="004163EE">
              <w:rPr>
                <w:noProof/>
                <w:webHidden/>
              </w:rPr>
              <w:fldChar w:fldCharType="end"/>
            </w:r>
          </w:hyperlink>
        </w:p>
        <w:p w14:paraId="0DD21C35" w14:textId="048F54CC"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19" w:history="1">
            <w:r w:rsidR="004163EE" w:rsidRPr="001E00C4">
              <w:rPr>
                <w:rStyle w:val="Hyperlink"/>
                <w:noProof/>
              </w:rPr>
              <w:t>APPENDIX 3: RUN</w:t>
            </w:r>
            <w:r w:rsidR="004163EE" w:rsidRPr="001E00C4">
              <w:rPr>
                <w:rStyle w:val="Hyperlink"/>
                <w:noProof/>
              </w:rPr>
              <w:noBreakHyphen/>
              <w:t>OFF COVER SUPPORT PAYMENTS</w:t>
            </w:r>
            <w:r w:rsidR="004163EE">
              <w:rPr>
                <w:noProof/>
                <w:webHidden/>
              </w:rPr>
              <w:tab/>
            </w:r>
            <w:r w:rsidR="004163EE">
              <w:rPr>
                <w:noProof/>
                <w:webHidden/>
              </w:rPr>
              <w:fldChar w:fldCharType="begin"/>
            </w:r>
            <w:r w:rsidR="004163EE">
              <w:rPr>
                <w:noProof/>
                <w:webHidden/>
              </w:rPr>
              <w:instrText xml:space="preserve"> PAGEREF _Toc192773719 \h </w:instrText>
            </w:r>
            <w:r w:rsidR="004163EE">
              <w:rPr>
                <w:noProof/>
                <w:webHidden/>
              </w:rPr>
            </w:r>
            <w:r w:rsidR="004163EE">
              <w:rPr>
                <w:noProof/>
                <w:webHidden/>
              </w:rPr>
              <w:fldChar w:fldCharType="separate"/>
            </w:r>
            <w:r w:rsidR="00F24572">
              <w:rPr>
                <w:noProof/>
                <w:webHidden/>
              </w:rPr>
              <w:t>36</w:t>
            </w:r>
            <w:r w:rsidR="004163EE">
              <w:rPr>
                <w:noProof/>
                <w:webHidden/>
              </w:rPr>
              <w:fldChar w:fldCharType="end"/>
            </w:r>
          </w:hyperlink>
        </w:p>
        <w:p w14:paraId="5090C9B0" w14:textId="7938BF0E"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20" w:history="1">
            <w:r w:rsidR="004163EE" w:rsidRPr="001E00C4">
              <w:rPr>
                <w:rStyle w:val="Hyperlink"/>
                <w:noProof/>
              </w:rPr>
              <w:t>APPENDIX 4: LIABILITIES AT 30 JUNE 2024</w:t>
            </w:r>
            <w:r w:rsidR="004163EE">
              <w:rPr>
                <w:noProof/>
                <w:webHidden/>
              </w:rPr>
              <w:tab/>
            </w:r>
            <w:r w:rsidR="004163EE">
              <w:rPr>
                <w:noProof/>
                <w:webHidden/>
              </w:rPr>
              <w:fldChar w:fldCharType="begin"/>
            </w:r>
            <w:r w:rsidR="004163EE">
              <w:rPr>
                <w:noProof/>
                <w:webHidden/>
              </w:rPr>
              <w:instrText xml:space="preserve"> PAGEREF _Toc192773720 \h </w:instrText>
            </w:r>
            <w:r w:rsidR="004163EE">
              <w:rPr>
                <w:noProof/>
                <w:webHidden/>
              </w:rPr>
            </w:r>
            <w:r w:rsidR="004163EE">
              <w:rPr>
                <w:noProof/>
                <w:webHidden/>
              </w:rPr>
              <w:fldChar w:fldCharType="separate"/>
            </w:r>
            <w:r w:rsidR="00F24572">
              <w:rPr>
                <w:noProof/>
                <w:webHidden/>
              </w:rPr>
              <w:t>38</w:t>
            </w:r>
            <w:r w:rsidR="004163EE">
              <w:rPr>
                <w:noProof/>
                <w:webHidden/>
              </w:rPr>
              <w:fldChar w:fldCharType="end"/>
            </w:r>
          </w:hyperlink>
        </w:p>
        <w:p w14:paraId="5D9633C3" w14:textId="409037FE"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21" w:history="1">
            <w:r w:rsidR="004163EE" w:rsidRPr="001E00C4">
              <w:rPr>
                <w:rStyle w:val="Hyperlink"/>
                <w:noProof/>
              </w:rPr>
              <w:t>APPENDIX 5: PROJECTED LIABILITIES AND CASH FLOWS</w:t>
            </w:r>
            <w:r w:rsidR="004163EE">
              <w:rPr>
                <w:noProof/>
                <w:webHidden/>
              </w:rPr>
              <w:tab/>
            </w:r>
            <w:r w:rsidR="004163EE">
              <w:rPr>
                <w:noProof/>
                <w:webHidden/>
              </w:rPr>
              <w:fldChar w:fldCharType="begin"/>
            </w:r>
            <w:r w:rsidR="004163EE">
              <w:rPr>
                <w:noProof/>
                <w:webHidden/>
              </w:rPr>
              <w:instrText xml:space="preserve"> PAGEREF _Toc192773721 \h </w:instrText>
            </w:r>
            <w:r w:rsidR="004163EE">
              <w:rPr>
                <w:noProof/>
                <w:webHidden/>
              </w:rPr>
            </w:r>
            <w:r w:rsidR="004163EE">
              <w:rPr>
                <w:noProof/>
                <w:webHidden/>
              </w:rPr>
              <w:fldChar w:fldCharType="separate"/>
            </w:r>
            <w:r w:rsidR="00F24572">
              <w:rPr>
                <w:noProof/>
                <w:webHidden/>
              </w:rPr>
              <w:t>43</w:t>
            </w:r>
            <w:r w:rsidR="004163EE">
              <w:rPr>
                <w:noProof/>
                <w:webHidden/>
              </w:rPr>
              <w:fldChar w:fldCharType="end"/>
            </w:r>
          </w:hyperlink>
        </w:p>
        <w:p w14:paraId="664C9CF9" w14:textId="3DEBBDAA" w:rsidR="004163EE" w:rsidRDefault="008F0A55" w:rsidP="001F403C">
          <w:pPr>
            <w:pStyle w:val="TOC1"/>
            <w:tabs>
              <w:tab w:val="right" w:leader="dot" w:pos="7700"/>
            </w:tabs>
            <w:spacing w:before="120"/>
            <w:rPr>
              <w:rFonts w:eastAsiaTheme="minorEastAsia" w:cstheme="minorBidi"/>
              <w:b w:val="0"/>
              <w:bCs w:val="0"/>
              <w:noProof/>
              <w:color w:val="auto"/>
              <w:kern w:val="2"/>
              <w:sz w:val="22"/>
              <w:szCs w:val="22"/>
              <w14:ligatures w14:val="standardContextual"/>
            </w:rPr>
          </w:pPr>
          <w:hyperlink w:anchor="_Toc192773722" w:history="1">
            <w:r w:rsidR="004163EE" w:rsidRPr="001E00C4">
              <w:rPr>
                <w:rStyle w:val="Hyperlink"/>
                <w:noProof/>
              </w:rPr>
              <w:t>APPENDIX 6: HIGH COST CLAIMS</w:t>
            </w:r>
            <w:r w:rsidR="004163EE">
              <w:rPr>
                <w:noProof/>
                <w:webHidden/>
              </w:rPr>
              <w:tab/>
            </w:r>
            <w:r w:rsidR="004163EE">
              <w:rPr>
                <w:noProof/>
                <w:webHidden/>
              </w:rPr>
              <w:fldChar w:fldCharType="begin"/>
            </w:r>
            <w:r w:rsidR="004163EE">
              <w:rPr>
                <w:noProof/>
                <w:webHidden/>
              </w:rPr>
              <w:instrText xml:space="preserve"> PAGEREF _Toc192773722 \h </w:instrText>
            </w:r>
            <w:r w:rsidR="004163EE">
              <w:rPr>
                <w:noProof/>
                <w:webHidden/>
              </w:rPr>
            </w:r>
            <w:r w:rsidR="004163EE">
              <w:rPr>
                <w:noProof/>
                <w:webHidden/>
              </w:rPr>
              <w:fldChar w:fldCharType="separate"/>
            </w:r>
            <w:r w:rsidR="00F24572">
              <w:rPr>
                <w:noProof/>
                <w:webHidden/>
              </w:rPr>
              <w:t>57</w:t>
            </w:r>
            <w:r w:rsidR="004163EE">
              <w:rPr>
                <w:noProof/>
                <w:webHidden/>
              </w:rPr>
              <w:fldChar w:fldCharType="end"/>
            </w:r>
          </w:hyperlink>
        </w:p>
        <w:p w14:paraId="0538E7F1" w14:textId="242EF432" w:rsidR="007C0A7C" w:rsidRDefault="008F6EF6" w:rsidP="003A0478">
          <w:pPr>
            <w:spacing w:before="120" w:after="120"/>
            <w:ind w:left="0" w:firstLine="0"/>
          </w:pPr>
          <w:r>
            <w:rPr>
              <w:rFonts w:asciiTheme="minorHAnsi" w:hAnsiTheme="minorHAnsi" w:cstheme="minorHAnsi"/>
              <w:b/>
              <w:bCs/>
            </w:rPr>
            <w:fldChar w:fldCharType="end"/>
          </w:r>
        </w:p>
      </w:sdtContent>
    </w:sdt>
    <w:p w14:paraId="4E55471E" w14:textId="7676864C" w:rsidR="006B08DA" w:rsidRDefault="006B08DA" w:rsidP="00AD7A61">
      <w:r>
        <w:br w:type="page"/>
      </w:r>
    </w:p>
    <w:p w14:paraId="5C02C2EB" w14:textId="2F5145DA" w:rsidR="00F602EB" w:rsidRPr="00AD7A61" w:rsidRDefault="00AD7A61" w:rsidP="00F602EB">
      <w:pPr>
        <w:pStyle w:val="Heading1"/>
      </w:pPr>
      <w:bookmarkStart w:id="1" w:name="_Toc322948780"/>
      <w:bookmarkStart w:id="2" w:name="_Toc322949075"/>
      <w:bookmarkStart w:id="3" w:name="_Toc35356889"/>
      <w:bookmarkStart w:id="4" w:name="_Toc63865148"/>
      <w:bookmarkStart w:id="5" w:name="_Toc63865402"/>
      <w:bookmarkStart w:id="6" w:name="_Toc63866203"/>
      <w:bookmarkStart w:id="7" w:name="_Toc63866533"/>
      <w:bookmarkStart w:id="8" w:name="_Toc63866665"/>
      <w:bookmarkStart w:id="9" w:name="_Toc192773698"/>
      <w:r w:rsidRPr="00AD7A61">
        <w:lastRenderedPageBreak/>
        <w:t>INTRODUCTION</w:t>
      </w:r>
      <w:bookmarkEnd w:id="1"/>
      <w:bookmarkEnd w:id="2"/>
      <w:bookmarkEnd w:id="3"/>
      <w:bookmarkEnd w:id="4"/>
      <w:bookmarkEnd w:id="5"/>
      <w:bookmarkEnd w:id="6"/>
      <w:bookmarkEnd w:id="7"/>
      <w:bookmarkEnd w:id="8"/>
      <w:bookmarkEnd w:id="9"/>
    </w:p>
    <w:p w14:paraId="04ED3FAC" w14:textId="41CD70B2" w:rsidR="003F6D30" w:rsidRPr="0030070D" w:rsidRDefault="003F6D30" w:rsidP="00952046">
      <w:pPr>
        <w:pStyle w:val="OutlineNumbered45"/>
        <w:numPr>
          <w:ilvl w:val="0"/>
          <w:numId w:val="31"/>
        </w:numPr>
      </w:pPr>
      <w:r w:rsidRPr="0030070D">
        <w:t xml:space="preserve">This report has been prepared to comply with certain requirements of the </w:t>
      </w:r>
      <w:r w:rsidRPr="0030070D">
        <w:rPr>
          <w:i/>
        </w:rPr>
        <w:t>Medical Indemnity Act 2002</w:t>
      </w:r>
      <w:r w:rsidRPr="0030070D">
        <w:t xml:space="preserve"> (Medical Indemnity Act). Section 34ZW of the Medical Indemnity Act provides for a report on aspects of the Run</w:t>
      </w:r>
      <w:r w:rsidR="009B0312">
        <w:noBreakHyphen/>
      </w:r>
      <w:r w:rsidRPr="0030070D">
        <w:t>Off Cover Scheme (the</w:t>
      </w:r>
      <w:r>
        <w:t> </w:t>
      </w:r>
      <w:r w:rsidRPr="0030070D">
        <w:t>Scheme) to be</w:t>
      </w:r>
      <w:r w:rsidR="00C52A43">
        <w:t xml:space="preserve"> published each year on the Department of Health</w:t>
      </w:r>
      <w:r w:rsidR="0009434B">
        <w:t xml:space="preserve"> and Aged Care</w:t>
      </w:r>
      <w:r w:rsidR="009B0312">
        <w:t>’</w:t>
      </w:r>
      <w:r w:rsidR="00C52A43">
        <w:t>s website</w:t>
      </w:r>
      <w:r w:rsidRPr="0030070D">
        <w:t>. The report is required to contain a statement of the:</w:t>
      </w:r>
    </w:p>
    <w:p w14:paraId="1CB055C5" w14:textId="27941301" w:rsidR="003F6D30" w:rsidRPr="00CC2788" w:rsidRDefault="003F6D30" w:rsidP="00952046">
      <w:pPr>
        <w:pStyle w:val="Bullet"/>
        <w:numPr>
          <w:ilvl w:val="0"/>
          <w:numId w:val="34"/>
        </w:numPr>
        <w:spacing w:after="240"/>
      </w:pPr>
      <w:r w:rsidRPr="00CC2788">
        <w:t>number of persons eligible for membership of the Scheme</w:t>
      </w:r>
    </w:p>
    <w:p w14:paraId="33D72775" w14:textId="76A9E1A8" w:rsidR="003F6D30" w:rsidRPr="00CC2788" w:rsidRDefault="003F6D30" w:rsidP="00952046">
      <w:pPr>
        <w:pStyle w:val="Bullet"/>
        <w:numPr>
          <w:ilvl w:val="0"/>
          <w:numId w:val="34"/>
        </w:numPr>
        <w:spacing w:after="240"/>
      </w:pPr>
      <w:r w:rsidRPr="00CC2788">
        <w:t>total Run</w:t>
      </w:r>
      <w:r w:rsidR="009B0312">
        <w:noBreakHyphen/>
      </w:r>
      <w:r w:rsidRPr="00CC2788">
        <w:t>Off Cover indemnity payments (ROC indemnity payments) paid by the Commonwealth during the financial year, including claims handling and administration expenses</w:t>
      </w:r>
    </w:p>
    <w:p w14:paraId="60117284" w14:textId="73276983" w:rsidR="003F6D30" w:rsidRPr="00CC2788" w:rsidRDefault="003F6D30" w:rsidP="00952046">
      <w:pPr>
        <w:pStyle w:val="Bullet"/>
        <w:numPr>
          <w:ilvl w:val="0"/>
          <w:numId w:val="34"/>
        </w:numPr>
        <w:spacing w:after="240"/>
      </w:pPr>
      <w:r w:rsidRPr="00CC2788">
        <w:t>total Run</w:t>
      </w:r>
      <w:r w:rsidR="009B0312">
        <w:noBreakHyphen/>
      </w:r>
      <w:r w:rsidRPr="00CC2788">
        <w:t>Off Cover support payments (ROC support payments) paid to the Commonwealth during the financial year</w:t>
      </w:r>
    </w:p>
    <w:p w14:paraId="186328F1" w14:textId="3D0E64E4" w:rsidR="003F6D30" w:rsidRPr="00CC2788" w:rsidRDefault="003F6D30" w:rsidP="00952046">
      <w:pPr>
        <w:pStyle w:val="Bullet"/>
        <w:numPr>
          <w:ilvl w:val="0"/>
          <w:numId w:val="34"/>
        </w:numPr>
        <w:spacing w:after="240"/>
      </w:pPr>
      <w:r w:rsidRPr="00CC2788">
        <w:t>a projection of the Commonwealth</w:t>
      </w:r>
      <w:r w:rsidR="009B0312">
        <w:t>’</w:t>
      </w:r>
      <w:r w:rsidRPr="00CC2788">
        <w:t>s liabilities in relation to amounts of Run</w:t>
      </w:r>
      <w:r w:rsidR="009B0312">
        <w:noBreakHyphen/>
      </w:r>
      <w:r w:rsidRPr="00CC2788">
        <w:t>Off Commonwealth contributions in future financial years.</w:t>
      </w:r>
    </w:p>
    <w:p w14:paraId="2F266A1D" w14:textId="01EA0E5E" w:rsidR="003F6D30" w:rsidRPr="0030070D" w:rsidRDefault="003F6D30" w:rsidP="00952046">
      <w:pPr>
        <w:pStyle w:val="OutlineNumbered45"/>
        <w:numPr>
          <w:ilvl w:val="0"/>
          <w:numId w:val="31"/>
        </w:numPr>
      </w:pPr>
      <w:r w:rsidRPr="00D12C73">
        <w:t xml:space="preserve">This </w:t>
      </w:r>
      <w:r w:rsidRPr="002A480D">
        <w:t xml:space="preserve">is the </w:t>
      </w:r>
      <w:r w:rsidR="0074308D" w:rsidRPr="002A480D">
        <w:t>twentieth</w:t>
      </w:r>
      <w:r w:rsidRPr="002A480D">
        <w:t xml:space="preserve"> report that has been prepared under section 34ZW of the Medical Indemnity Act. It relates to financial year </w:t>
      </w:r>
      <w:r w:rsidR="00CA4900" w:rsidRPr="002A480D">
        <w:t>202</w:t>
      </w:r>
      <w:r w:rsidR="0074308D" w:rsidRPr="002A480D">
        <w:t>3</w:t>
      </w:r>
      <w:r w:rsidR="009B0312" w:rsidRPr="002A480D">
        <w:noBreakHyphen/>
      </w:r>
      <w:r w:rsidR="00CA4900" w:rsidRPr="002A480D">
        <w:t>2</w:t>
      </w:r>
      <w:r w:rsidR="0074308D" w:rsidRPr="002A480D">
        <w:t>4</w:t>
      </w:r>
      <w:r w:rsidRPr="002A480D">
        <w:t xml:space="preserve">. The </w:t>
      </w:r>
      <w:r w:rsidR="004E326B" w:rsidRPr="002A480D">
        <w:t>nineteenth</w:t>
      </w:r>
      <w:r w:rsidRPr="002A480D">
        <w:t xml:space="preserve"> report </w:t>
      </w:r>
      <w:r w:rsidR="007343D5" w:rsidRPr="002A480D">
        <w:t xml:space="preserve">was published on </w:t>
      </w:r>
      <w:r w:rsidR="00E16B30" w:rsidRPr="002A480D">
        <w:t>28</w:t>
      </w:r>
      <w:r w:rsidR="007343D5" w:rsidRPr="002A480D">
        <w:t xml:space="preserve"> Ju</w:t>
      </w:r>
      <w:r w:rsidR="006830CE" w:rsidRPr="002A480D">
        <w:t>ne</w:t>
      </w:r>
      <w:r w:rsidR="007343D5" w:rsidRPr="002A480D">
        <w:t xml:space="preserve"> </w:t>
      </w:r>
      <w:r w:rsidR="009E7B6C" w:rsidRPr="002A480D">
        <w:t>202</w:t>
      </w:r>
      <w:r w:rsidR="00D46C73" w:rsidRPr="002A480D">
        <w:t>4</w:t>
      </w:r>
      <w:r w:rsidR="00690757" w:rsidRPr="002A480D">
        <w:rPr>
          <w:rStyle w:val="FootnoteReference"/>
        </w:rPr>
        <w:footnoteReference w:id="2"/>
      </w:r>
      <w:r w:rsidR="007343D5" w:rsidRPr="002A480D">
        <w:t>. T</w:t>
      </w:r>
      <w:r w:rsidR="009E7B6C" w:rsidRPr="002A480D">
        <w:t>he</w:t>
      </w:r>
      <w:r w:rsidR="00BA52BB" w:rsidRPr="002A480D">
        <w:t xml:space="preserve"> requirement for the report to be tabled in Parliament </w:t>
      </w:r>
      <w:r w:rsidR="00690757" w:rsidRPr="002A480D">
        <w:t>was</w:t>
      </w:r>
      <w:r w:rsidR="00BA52BB" w:rsidRPr="002A480D">
        <w:t xml:space="preserve"> removed</w:t>
      </w:r>
      <w:r w:rsidR="009E7B6C" w:rsidRPr="002A480D">
        <w:t xml:space="preserve"> after the fifteenth report</w:t>
      </w:r>
      <w:r w:rsidR="00BA52BB">
        <w:t xml:space="preserve">. </w:t>
      </w:r>
    </w:p>
    <w:p w14:paraId="6FC195BA" w14:textId="77777777" w:rsidR="003F6D30" w:rsidRPr="00D611CC" w:rsidRDefault="003F6D30" w:rsidP="009B4E57">
      <w:pPr>
        <w:pStyle w:val="ListParagraph"/>
        <w:ind w:firstLine="0"/>
      </w:pPr>
    </w:p>
    <w:p w14:paraId="1CE94DCF" w14:textId="212E9C89" w:rsidR="0098347F" w:rsidRDefault="0098347F" w:rsidP="00FA3DE4">
      <w:pPr>
        <w:spacing w:after="200" w:line="276" w:lineRule="auto"/>
        <w:ind w:left="833" w:hanging="720"/>
        <w:jc w:val="left"/>
      </w:pPr>
      <w:r>
        <w:br w:type="page"/>
      </w:r>
    </w:p>
    <w:p w14:paraId="5D5614E3" w14:textId="1CE664C8" w:rsidR="00F602EB" w:rsidRDefault="00F602EB" w:rsidP="00F602EB">
      <w:pPr>
        <w:pStyle w:val="Heading1"/>
      </w:pPr>
      <w:r>
        <w:lastRenderedPageBreak/>
        <w:tab/>
      </w:r>
      <w:bookmarkStart w:id="10" w:name="_Toc63865403"/>
      <w:bookmarkStart w:id="11" w:name="_Toc63866204"/>
      <w:bookmarkStart w:id="12" w:name="_Toc63866534"/>
      <w:bookmarkStart w:id="13" w:name="_Toc63866666"/>
      <w:bookmarkStart w:id="14" w:name="_Toc192773699"/>
      <w:r>
        <w:t>BACKGROUND</w:t>
      </w:r>
      <w:bookmarkEnd w:id="10"/>
      <w:bookmarkEnd w:id="11"/>
      <w:bookmarkEnd w:id="12"/>
      <w:bookmarkEnd w:id="13"/>
      <w:bookmarkEnd w:id="14"/>
    </w:p>
    <w:p w14:paraId="4A6C2992" w14:textId="249D3EF8" w:rsidR="00F602EB" w:rsidRDefault="00F602EB" w:rsidP="00F602EB">
      <w:pPr>
        <w:pStyle w:val="Heading2"/>
      </w:pPr>
      <w:bookmarkStart w:id="15" w:name="_Toc63865404"/>
      <w:bookmarkStart w:id="16" w:name="_Toc63866205"/>
      <w:bookmarkStart w:id="17" w:name="_Toc63866535"/>
      <w:bookmarkStart w:id="18" w:name="_Toc63866667"/>
      <w:bookmarkStart w:id="19" w:name="_Toc192773700"/>
      <w:r>
        <w:t>M</w:t>
      </w:r>
      <w:r w:rsidR="003F6D30">
        <w:t>EDICAL</w:t>
      </w:r>
      <w:r>
        <w:t xml:space="preserve"> INDEMNITY INSURANCE</w:t>
      </w:r>
      <w:bookmarkEnd w:id="15"/>
      <w:bookmarkEnd w:id="16"/>
      <w:bookmarkEnd w:id="17"/>
      <w:bookmarkEnd w:id="18"/>
      <w:bookmarkEnd w:id="19"/>
    </w:p>
    <w:p w14:paraId="7642320C" w14:textId="77777777" w:rsidR="003F6D30" w:rsidRPr="00822B73" w:rsidRDefault="003F6D30" w:rsidP="00952046">
      <w:pPr>
        <w:pStyle w:val="OutlineNumbered45"/>
        <w:numPr>
          <w:ilvl w:val="0"/>
          <w:numId w:val="32"/>
        </w:numPr>
      </w:pPr>
      <w:bookmarkStart w:id="20" w:name="_Toc63865405"/>
      <w:bookmarkStart w:id="21" w:name="_Toc63866206"/>
      <w:bookmarkStart w:id="22" w:name="_Toc63866536"/>
      <w:bookmarkStart w:id="23" w:name="_Toc63866668"/>
      <w:r w:rsidRPr="00822B73">
        <w:t>Medical indemnity insurance is a form of professional indemnity insurance. It covers practitioners for their professional negligence.</w:t>
      </w:r>
      <w:bookmarkStart w:id="24" w:name="_Ref356289814"/>
      <w:r>
        <w:rPr>
          <w:rStyle w:val="FootnoteReference"/>
        </w:rPr>
        <w:footnoteReference w:id="3"/>
      </w:r>
      <w:bookmarkEnd w:id="24"/>
    </w:p>
    <w:p w14:paraId="6486E8EC" w14:textId="78FD8A20" w:rsidR="003F6D30" w:rsidRPr="002A480D" w:rsidRDefault="003F6D30" w:rsidP="00952046">
      <w:pPr>
        <w:pStyle w:val="OutlineNumbered45"/>
        <w:numPr>
          <w:ilvl w:val="0"/>
          <w:numId w:val="32"/>
        </w:numPr>
      </w:pPr>
      <w:r>
        <w:t>Medical practitioner</w:t>
      </w:r>
      <w:r w:rsidRPr="0030070D">
        <w:t xml:space="preserve">s who undertake private medical practice in Australia generally </w:t>
      </w:r>
      <w:r w:rsidRPr="002A480D">
        <w:t>purchase medical indemnity insurance from private sector underwriters.</w:t>
      </w:r>
      <w:r w:rsidRPr="002A480D">
        <w:rPr>
          <w:rStyle w:val="FootnoteReference"/>
        </w:rPr>
        <w:footnoteReference w:id="4"/>
      </w:r>
      <w:r w:rsidRPr="002A480D">
        <w:t xml:space="preserve"> This report considers the six private sector underwriters operating in Australia during 20</w:t>
      </w:r>
      <w:r w:rsidR="006D75D7" w:rsidRPr="002A480D">
        <w:t>2</w:t>
      </w:r>
      <w:r w:rsidR="001C2955" w:rsidRPr="002A480D">
        <w:t>3</w:t>
      </w:r>
      <w:r w:rsidR="009B0312" w:rsidRPr="002A480D">
        <w:noBreakHyphen/>
      </w:r>
      <w:r w:rsidR="00471BBF" w:rsidRPr="002A480D">
        <w:t>2</w:t>
      </w:r>
      <w:r w:rsidR="001C2955" w:rsidRPr="002A480D">
        <w:t>4</w:t>
      </w:r>
      <w:r w:rsidRPr="002A480D">
        <w:t xml:space="preserve">. They were Avant Mutual Group Limited (Avant), Medical Indemnity Protection Society (MIPS), MDA National (MDAN), Medical Insurance Group Australia (MIGA), Guild Insurance (Guild) and Berkshire Hathaway Specialty Insurance Company (BHSI) distributed by Tego Insurance. Figure 1 below illustrates the market shares of these private underwriters calculated </w:t>
      </w:r>
      <w:proofErr w:type="gramStart"/>
      <w:r w:rsidRPr="002A480D">
        <w:t>on the basis of</w:t>
      </w:r>
      <w:proofErr w:type="gramEnd"/>
      <w:r w:rsidRPr="002A480D">
        <w:t xml:space="preserve"> premium data provided by them.</w:t>
      </w:r>
    </w:p>
    <w:p w14:paraId="601BE2BB" w14:textId="77777777" w:rsidR="005F5AA4" w:rsidRDefault="003F6D30" w:rsidP="00B70801">
      <w:pPr>
        <w:pStyle w:val="ChartMainHeading"/>
        <w:keepNext w:val="0"/>
        <w:spacing w:line="360" w:lineRule="auto"/>
      </w:pPr>
      <w:r w:rsidRPr="002A480D">
        <w:t>Figure 1: Market share of medical indemnity insurers</w:t>
      </w:r>
    </w:p>
    <w:p w14:paraId="7643A42F" w14:textId="6829F05E" w:rsidR="00B70801" w:rsidRPr="00B70801" w:rsidRDefault="00AD1666" w:rsidP="00B70801">
      <w:pPr>
        <w:pStyle w:val="ChartMainHeading"/>
        <w:keepNext w:val="0"/>
        <w:spacing w:line="360" w:lineRule="auto"/>
        <w:rPr>
          <w:noProof/>
        </w:rPr>
      </w:pPr>
      <w:r w:rsidRPr="00AD1666">
        <w:rPr>
          <w:noProof/>
        </w:rPr>
        <w:drawing>
          <wp:inline distT="0" distB="0" distL="0" distR="0" wp14:anchorId="606B3FFC" wp14:editId="6F2E8ED2">
            <wp:extent cx="4781548" cy="2870200"/>
            <wp:effectExtent l="0" t="0" r="0" b="6350"/>
            <wp:docPr id="1164628532" name="Picture 23" descr="This chart shows the respective market share of each insurer based on premiums collected in 2024. Avant had 54% of the market share, followed by MDAN (16%), MIGA (14%) and MIPS (12%), BHSI (4%) and Guild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48" cy="2870200"/>
                    </a:xfrm>
                    <a:prstGeom prst="rect">
                      <a:avLst/>
                    </a:prstGeom>
                    <a:noFill/>
                    <a:ln>
                      <a:noFill/>
                    </a:ln>
                  </pic:spPr>
                </pic:pic>
              </a:graphicData>
            </a:graphic>
          </wp:inline>
        </w:drawing>
      </w:r>
    </w:p>
    <w:p w14:paraId="66AABD4E" w14:textId="77777777" w:rsidR="003F6D30" w:rsidRDefault="003F6D30" w:rsidP="005B525C">
      <w:pPr>
        <w:pStyle w:val="OutlineNumbered45"/>
        <w:keepLines/>
        <w:numPr>
          <w:ilvl w:val="0"/>
          <w:numId w:val="32"/>
        </w:numPr>
        <w:ind w:left="1077" w:hanging="357"/>
      </w:pPr>
      <w:r w:rsidRPr="0030070D">
        <w:lastRenderedPageBreak/>
        <w:t>Medical negligence claims are initiated by, or on beh</w:t>
      </w:r>
      <w:r>
        <w:t>alf of, patients against medical practitioners</w:t>
      </w:r>
      <w:r w:rsidRPr="0030070D">
        <w:t>. Roughly 2,000 claims of negligence might be expected each year in relation to private medical practice in Australia. However, there can be substantial variation from one year to the next. It is difficult to project the number of medical indemnity claims with any precision. A significant number of claims will be successfully defended.</w:t>
      </w:r>
    </w:p>
    <w:p w14:paraId="3F2D3EB7" w14:textId="13DC7B1C" w:rsidR="003F6D30" w:rsidRPr="00362D39" w:rsidRDefault="003F6D30" w:rsidP="00952046">
      <w:pPr>
        <w:pStyle w:val="OutlineNumbered45"/>
        <w:numPr>
          <w:ilvl w:val="0"/>
          <w:numId w:val="32"/>
        </w:numPr>
        <w:rPr>
          <w:color w:val="auto"/>
        </w:rPr>
      </w:pPr>
      <w:r w:rsidRPr="0030070D">
        <w:t xml:space="preserve">The cost of medical negligence claims is highly variable since the claims relate to bodily injury. The cost of a medical negligence claim to the insurer </w:t>
      </w:r>
      <w:r w:rsidR="005134A2">
        <w:t>comprises</w:t>
      </w:r>
      <w:r w:rsidRPr="0030070D">
        <w:t xml:space="preserve"> of damages which are payable to the plaintiff</w:t>
      </w:r>
      <w:r w:rsidRPr="0030070D">
        <w:rPr>
          <w:i/>
        </w:rPr>
        <w:t>,</w:t>
      </w:r>
      <w:r w:rsidRPr="0030070D">
        <w:t xml:space="preserve"> any of the plaintiff</w:t>
      </w:r>
      <w:r w:rsidR="009B0312">
        <w:t>’</w:t>
      </w:r>
      <w:r w:rsidRPr="0030070D">
        <w:t>s legal costs which the insurer is obliged to pay, and the insurer</w:t>
      </w:r>
      <w:r w:rsidR="009B0312">
        <w:t>’</w:t>
      </w:r>
      <w:r w:rsidRPr="0030070D">
        <w:t xml:space="preserve">s own costs of defending and managing the </w:t>
      </w:r>
      <w:r w:rsidRPr="00362D39">
        <w:rPr>
          <w:color w:val="auto"/>
        </w:rPr>
        <w:t>claim</w:t>
      </w:r>
      <w:r w:rsidRPr="00362D39">
        <w:rPr>
          <w:i/>
          <w:color w:val="auto"/>
        </w:rPr>
        <w:t>.</w:t>
      </w:r>
      <w:r w:rsidRPr="00362D39">
        <w:rPr>
          <w:color w:val="auto"/>
        </w:rPr>
        <w:t xml:space="preserve"> According to the </w:t>
      </w:r>
      <w:r w:rsidR="0049334A" w:rsidRPr="00362D39">
        <w:rPr>
          <w:color w:val="auto"/>
        </w:rPr>
        <w:t xml:space="preserve">updated </w:t>
      </w:r>
      <w:r w:rsidRPr="00362D39">
        <w:rPr>
          <w:color w:val="auto"/>
        </w:rPr>
        <w:t>data obtained from the National Claims and Policies Database (NCPD)</w:t>
      </w:r>
      <w:r w:rsidR="00162B1F">
        <w:rPr>
          <w:color w:val="auto"/>
        </w:rPr>
        <w:t xml:space="preserve"> </w:t>
      </w:r>
      <w:r w:rsidR="001B433A" w:rsidRPr="00C764F2">
        <w:rPr>
          <w:color w:val="auto"/>
        </w:rPr>
        <w:t>in 2023</w:t>
      </w:r>
      <w:r w:rsidRPr="00C764F2">
        <w:rPr>
          <w:color w:val="auto"/>
        </w:rPr>
        <w:t xml:space="preserve"> </w:t>
      </w:r>
      <w:r w:rsidR="00371E13" w:rsidRPr="00362D39">
        <w:rPr>
          <w:color w:val="auto"/>
        </w:rPr>
        <w:t>for the period</w:t>
      </w:r>
      <w:r w:rsidR="006954F4" w:rsidRPr="00362D39">
        <w:rPr>
          <w:color w:val="auto"/>
        </w:rPr>
        <w:t xml:space="preserve"> </w:t>
      </w:r>
      <w:r w:rsidR="009225DE" w:rsidRPr="00362D39">
        <w:rPr>
          <w:color w:val="auto"/>
        </w:rPr>
        <w:t xml:space="preserve">between </w:t>
      </w:r>
      <w:r w:rsidR="00FB64EA" w:rsidRPr="00362D39">
        <w:rPr>
          <w:color w:val="auto"/>
        </w:rPr>
        <w:t xml:space="preserve">2003 </w:t>
      </w:r>
      <w:r w:rsidR="009225DE" w:rsidRPr="00362D39">
        <w:rPr>
          <w:color w:val="auto"/>
        </w:rPr>
        <w:t>and</w:t>
      </w:r>
      <w:r w:rsidR="00FB64EA" w:rsidRPr="00362D39">
        <w:rPr>
          <w:color w:val="auto"/>
        </w:rPr>
        <w:t xml:space="preserve"> June 2022</w:t>
      </w:r>
      <w:r w:rsidR="00C50355">
        <w:rPr>
          <w:color w:val="auto"/>
        </w:rPr>
        <w:t xml:space="preserve"> </w:t>
      </w:r>
      <w:r w:rsidRPr="00362D39">
        <w:rPr>
          <w:color w:val="auto"/>
        </w:rPr>
        <w:t>most claims are finalised for less than $100,000</w:t>
      </w:r>
      <w:r w:rsidR="00C50355">
        <w:rPr>
          <w:color w:val="auto"/>
        </w:rPr>
        <w:t>. However</w:t>
      </w:r>
      <w:r w:rsidRPr="00362D39">
        <w:rPr>
          <w:color w:val="auto"/>
        </w:rPr>
        <w:t>, a small number of claims are large</w:t>
      </w:r>
      <w:r w:rsidR="00CE7E2C">
        <w:rPr>
          <w:color w:val="auto"/>
        </w:rPr>
        <w:t>. A</w:t>
      </w:r>
      <w:r w:rsidRPr="00362D39">
        <w:rPr>
          <w:color w:val="auto"/>
        </w:rPr>
        <w:t xml:space="preserve">round </w:t>
      </w:r>
      <w:r w:rsidR="0068200F" w:rsidRPr="00362D39">
        <w:rPr>
          <w:color w:val="auto"/>
        </w:rPr>
        <w:t>2.5</w:t>
      </w:r>
      <w:r w:rsidRPr="00362D39">
        <w:rPr>
          <w:color w:val="auto"/>
        </w:rPr>
        <w:t xml:space="preserve"> per cent of claims cost more than $500,000</w:t>
      </w:r>
      <w:r w:rsidR="00CE7E2C">
        <w:rPr>
          <w:color w:val="auto"/>
        </w:rPr>
        <w:t xml:space="preserve"> per claim. This percentage has reduced </w:t>
      </w:r>
      <w:r w:rsidR="00241585" w:rsidRPr="00362D39">
        <w:rPr>
          <w:color w:val="auto"/>
        </w:rPr>
        <w:t xml:space="preserve">from 6 per cent </w:t>
      </w:r>
      <w:r w:rsidR="00E125A5">
        <w:rPr>
          <w:color w:val="auto"/>
        </w:rPr>
        <w:t>i</w:t>
      </w:r>
      <w:r w:rsidR="00241585" w:rsidRPr="00362D39">
        <w:rPr>
          <w:color w:val="auto"/>
        </w:rPr>
        <w:t>n the 2017 NCPD data</w:t>
      </w:r>
      <w:r w:rsidRPr="00362D39">
        <w:rPr>
          <w:color w:val="auto"/>
        </w:rPr>
        <w:t xml:space="preserve">. These large claims have a significant impact on the overall cost of medical indemnity insurance. The NCPD data shows that around </w:t>
      </w:r>
      <w:r w:rsidR="006B20BD" w:rsidRPr="00362D39">
        <w:rPr>
          <w:color w:val="auto"/>
        </w:rPr>
        <w:t>50</w:t>
      </w:r>
      <w:r w:rsidRPr="00362D39">
        <w:rPr>
          <w:color w:val="auto"/>
        </w:rPr>
        <w:t xml:space="preserve"> per cent of the cost of all finalised medical indemnity claims relates to claims which are larger than $500,000.</w:t>
      </w:r>
      <w:r w:rsidR="006B20BD" w:rsidRPr="00362D39">
        <w:rPr>
          <w:color w:val="auto"/>
        </w:rPr>
        <w:t xml:space="preserve"> This is down from 65 per cent based on the 2017 NCPD data. </w:t>
      </w:r>
    </w:p>
    <w:p w14:paraId="45CBC31A" w14:textId="511FF4F1" w:rsidR="003F6D30" w:rsidRPr="0030070D" w:rsidRDefault="003F6D30" w:rsidP="00952046">
      <w:pPr>
        <w:pStyle w:val="OutlineNumbered45"/>
        <w:numPr>
          <w:ilvl w:val="0"/>
          <w:numId w:val="32"/>
        </w:numPr>
      </w:pPr>
      <w:r w:rsidRPr="0030070D">
        <w:t xml:space="preserve">The medical indemnity claim process can be long. Years can elapse between the date of a negligent medical incident and the date that legal action against the practitioner is initiated. It is not unusual for claims to </w:t>
      </w:r>
      <w:r w:rsidR="005B525C">
        <w:t xml:space="preserve">then </w:t>
      </w:r>
      <w:r w:rsidRPr="0030070D">
        <w:t xml:space="preserve">take </w:t>
      </w:r>
      <w:r w:rsidR="005406F3" w:rsidRPr="0030070D">
        <w:t>several</w:t>
      </w:r>
      <w:r w:rsidRPr="0030070D">
        <w:t xml:space="preserve"> years to finalise after they have been initiated. It is common for the whole process to take more than five years for a single claim. The cost of a claim depends significantly on economic and judicial conditions prevailing at the time the claim is finalised (paid), rather than at the time of the medical incident or the time that the claim is made.</w:t>
      </w:r>
    </w:p>
    <w:p w14:paraId="3508A75E" w14:textId="7989835A" w:rsidR="003F6D30" w:rsidRDefault="003F6D30" w:rsidP="00952046">
      <w:pPr>
        <w:pStyle w:val="OutlineNumbered45"/>
        <w:numPr>
          <w:ilvl w:val="0"/>
          <w:numId w:val="32"/>
        </w:numPr>
      </w:pPr>
      <w:proofErr w:type="gramStart"/>
      <w:r w:rsidRPr="0030070D">
        <w:t>All of</w:t>
      </w:r>
      <w:proofErr w:type="gramEnd"/>
      <w:r w:rsidRPr="0030070D">
        <w:t xml:space="preserve"> these factors make medical indemnity insurance difficult for an insurer to underwrite. It is hard to forecast claim numbers and claim sizes reliably. Moreover, much of the cost is likely to relate to a small minority of the claims, which adds further uncertainty. As a result, it is difficult to know how much premium to charge and how much money to hold in reserve to pay claims. For these reasons</w:t>
      </w:r>
      <w:r w:rsidR="005406F3">
        <w:t>,</w:t>
      </w:r>
      <w:r w:rsidRPr="0030070D">
        <w:t xml:space="preserve"> a robust private market in medical indemnity insurance requires professional and disciplined underwriting and management.</w:t>
      </w:r>
    </w:p>
    <w:p w14:paraId="2B810104" w14:textId="69BE84CE" w:rsidR="005C0B95" w:rsidRDefault="005C0B95" w:rsidP="00016287">
      <w:pPr>
        <w:ind w:left="0" w:firstLine="0"/>
      </w:pPr>
      <w:r>
        <w:br w:type="page"/>
      </w:r>
    </w:p>
    <w:p w14:paraId="19793CE7" w14:textId="27E6B2DA" w:rsidR="003F6D30" w:rsidRPr="003F6D30" w:rsidRDefault="00943D3B" w:rsidP="003F6D30">
      <w:pPr>
        <w:pStyle w:val="Heading2"/>
      </w:pPr>
      <w:bookmarkStart w:id="25" w:name="_Toc425348044"/>
      <w:bookmarkStart w:id="26" w:name="_Toc35502557"/>
      <w:bookmarkStart w:id="27" w:name="_Toc192773701"/>
      <w:bookmarkEnd w:id="20"/>
      <w:bookmarkEnd w:id="21"/>
      <w:bookmarkEnd w:id="22"/>
      <w:bookmarkEnd w:id="23"/>
      <w:r w:rsidRPr="003F6D30">
        <w:lastRenderedPageBreak/>
        <w:t>BRIEF HISTORY OF PRIVATE MEDICAL INDEMNITY INSURANCE IN AUSTRALIA</w:t>
      </w:r>
      <w:r w:rsidR="009B0312">
        <w:t xml:space="preserve"> – </w:t>
      </w:r>
      <w:r w:rsidRPr="003F6D30">
        <w:t>THE LEAD</w:t>
      </w:r>
      <w:r w:rsidR="009B0312">
        <w:noBreakHyphen/>
      </w:r>
      <w:r w:rsidRPr="003F6D30">
        <w:t>UP TO THE RUN</w:t>
      </w:r>
      <w:r w:rsidR="009B0312">
        <w:noBreakHyphen/>
      </w:r>
      <w:r w:rsidRPr="003F6D30">
        <w:t>OFF COVER SCHEME</w:t>
      </w:r>
      <w:bookmarkEnd w:id="25"/>
      <w:bookmarkEnd w:id="26"/>
      <w:bookmarkEnd w:id="27"/>
    </w:p>
    <w:p w14:paraId="6902B76C" w14:textId="1EE76344" w:rsidR="00943D3B" w:rsidRPr="0030070D" w:rsidRDefault="00943D3B" w:rsidP="005C0B95">
      <w:pPr>
        <w:pStyle w:val="OutlineNumbered45"/>
        <w:keepNext/>
        <w:numPr>
          <w:ilvl w:val="0"/>
          <w:numId w:val="38"/>
        </w:numPr>
        <w:ind w:left="1077" w:hanging="357"/>
      </w:pPr>
      <w:bookmarkStart w:id="28" w:name="_Hlk64893549"/>
      <w:bookmarkStart w:id="29" w:name="_Toc63865406"/>
      <w:bookmarkStart w:id="30" w:name="_Toc63866207"/>
      <w:bookmarkStart w:id="31" w:name="_Toc63866537"/>
      <w:bookmarkStart w:id="32" w:name="_Toc63866669"/>
      <w:r w:rsidRPr="0030070D">
        <w:t>Historically, medical indemnity cover wa</w:t>
      </w:r>
      <w:r>
        <w:t>s provided to Australian medical practitioners</w:t>
      </w:r>
      <w:r w:rsidRPr="0030070D">
        <w:t xml:space="preserve"> in private practice by medical defence organisations (MDOs). MDOs were not licensed insurers and were therefore not subject to prudential</w:t>
      </w:r>
      <w:r>
        <w:t> </w:t>
      </w:r>
      <w:r w:rsidRPr="0030070D">
        <w:t>regulation.</w:t>
      </w:r>
    </w:p>
    <w:p w14:paraId="10BE57A4" w14:textId="3A81BD71" w:rsidR="009B4E57" w:rsidRDefault="00943D3B" w:rsidP="00952046">
      <w:pPr>
        <w:pStyle w:val="OutlineNumbered45"/>
        <w:numPr>
          <w:ilvl w:val="0"/>
          <w:numId w:val="38"/>
        </w:numPr>
      </w:pPr>
      <w:r w:rsidRPr="0030070D">
        <w:t>Medical indemnity cover was originally provided to practitioners on a so</w:t>
      </w:r>
      <w:r w:rsidR="009B0312">
        <w:noBreakHyphen/>
      </w:r>
      <w:r w:rsidRPr="0030070D">
        <w:t xml:space="preserve">called </w:t>
      </w:r>
      <w:r w:rsidR="009B0312">
        <w:t>‘</w:t>
      </w:r>
      <w:r w:rsidRPr="0030070D">
        <w:t>claims</w:t>
      </w:r>
      <w:r w:rsidR="009B0312">
        <w:noBreakHyphen/>
      </w:r>
      <w:r w:rsidRPr="0030070D">
        <w:t>occurring</w:t>
      </w:r>
      <w:r w:rsidR="009B0312">
        <w:t>’</w:t>
      </w:r>
      <w:r w:rsidRPr="0030070D">
        <w:t xml:space="preserve"> basis. Practitioners were protected against claims that might be made in relation to the medicine that they had practised while members of the MDO. Thus, practitioners who had claims made against them after retirement could seek assistance from their MDO </w:t>
      </w:r>
      <w:proofErr w:type="gramStart"/>
      <w:r w:rsidRPr="0030070D">
        <w:t>provided that</w:t>
      </w:r>
      <w:proofErr w:type="gramEnd"/>
      <w:r w:rsidRPr="0030070D">
        <w:t xml:space="preserve"> they had been members at the time of the medical incident. Medical indemnity is difficult to underwrite on a </w:t>
      </w:r>
      <w:r w:rsidR="009B0312">
        <w:t>‘</w:t>
      </w:r>
      <w:r w:rsidRPr="0030070D">
        <w:t>claims</w:t>
      </w:r>
      <w:r w:rsidR="009B0312">
        <w:noBreakHyphen/>
      </w:r>
      <w:r w:rsidRPr="0030070D">
        <w:t>occurring</w:t>
      </w:r>
      <w:r w:rsidR="009B0312">
        <w:t>’</w:t>
      </w:r>
      <w:r w:rsidRPr="0030070D">
        <w:t xml:space="preserve"> basis, partly due to the </w:t>
      </w:r>
      <w:proofErr w:type="gramStart"/>
      <w:r w:rsidR="001D53F7">
        <w:t>often lengthy</w:t>
      </w:r>
      <w:proofErr w:type="gramEnd"/>
      <w:r w:rsidRPr="0030070D">
        <w:t xml:space="preserve"> delay</w:t>
      </w:r>
      <w:r w:rsidR="001D53F7">
        <w:t>s</w:t>
      </w:r>
      <w:r w:rsidRPr="0030070D">
        <w:t xml:space="preserve"> between the date of medical incident and the time at which a claim is initiated.</w:t>
      </w:r>
    </w:p>
    <w:p w14:paraId="730631BA" w14:textId="5DC5F459" w:rsidR="009B4E57" w:rsidRDefault="00943D3B" w:rsidP="00952046">
      <w:pPr>
        <w:pStyle w:val="OutlineNumbered45"/>
        <w:numPr>
          <w:ilvl w:val="0"/>
          <w:numId w:val="38"/>
        </w:numPr>
      </w:pPr>
      <w:r w:rsidRPr="00A147D0">
        <w:t>During the 1990s</w:t>
      </w:r>
      <w:r w:rsidR="001D53F7">
        <w:t>,</w:t>
      </w:r>
      <w:r w:rsidRPr="00A147D0">
        <w:t xml:space="preserve"> most MDOs came under financial pressure </w:t>
      </w:r>
      <w:proofErr w:type="gramStart"/>
      <w:r w:rsidRPr="00A147D0">
        <w:t>as a result of</w:t>
      </w:r>
      <w:proofErr w:type="gramEnd"/>
      <w:r w:rsidRPr="00A147D0">
        <w:t xml:space="preserve"> increasing levels of claim payments and were forced to make calls on their members for additional funds.</w:t>
      </w:r>
    </w:p>
    <w:p w14:paraId="03C18ED8" w14:textId="7F3BC899" w:rsidR="009B4E57" w:rsidRDefault="00943D3B" w:rsidP="00952046">
      <w:pPr>
        <w:pStyle w:val="OutlineNumbered45"/>
        <w:numPr>
          <w:ilvl w:val="0"/>
          <w:numId w:val="38"/>
        </w:numPr>
      </w:pPr>
      <w:r w:rsidRPr="0030070D">
        <w:t xml:space="preserve">At the same time, most MDOs progressively changed the basis of their cover from </w:t>
      </w:r>
      <w:r w:rsidR="009B0312">
        <w:t>‘</w:t>
      </w:r>
      <w:r w:rsidRPr="0030070D">
        <w:t>claims</w:t>
      </w:r>
      <w:r w:rsidR="009B0312">
        <w:noBreakHyphen/>
      </w:r>
      <w:r w:rsidRPr="0030070D">
        <w:t>occurring</w:t>
      </w:r>
      <w:r w:rsidR="009B0312">
        <w:t>’</w:t>
      </w:r>
      <w:r w:rsidRPr="0030070D">
        <w:t xml:space="preserve"> to </w:t>
      </w:r>
      <w:r w:rsidR="009B0312">
        <w:t>‘</w:t>
      </w:r>
      <w:r w:rsidRPr="0030070D">
        <w:t>claims</w:t>
      </w:r>
      <w:r w:rsidR="009B0312">
        <w:noBreakHyphen/>
      </w:r>
      <w:r w:rsidRPr="0030070D">
        <w:t>made</w:t>
      </w:r>
      <w:r w:rsidR="009B0312">
        <w:t>’</w:t>
      </w:r>
      <w:r w:rsidRPr="0030070D">
        <w:t>. In simple terms, claims</w:t>
      </w:r>
      <w:r w:rsidR="009B0312">
        <w:noBreakHyphen/>
      </w:r>
      <w:r w:rsidRPr="0030070D">
        <w:t xml:space="preserve">made cover provided protection for the practitioner against claims that were made during the period of membership. Thus, </w:t>
      </w:r>
      <w:r w:rsidR="001D53F7" w:rsidRPr="0030070D">
        <w:t>to</w:t>
      </w:r>
      <w:r w:rsidRPr="0030070D">
        <w:t xml:space="preserve"> continue to be covered against claims that might emerge in relation to past medical practice, a </w:t>
      </w:r>
      <w:r>
        <w:t>medical practitioner</w:t>
      </w:r>
      <w:r w:rsidRPr="0030070D">
        <w:t xml:space="preserve"> had to continue </w:t>
      </w:r>
      <w:r>
        <w:t>their</w:t>
      </w:r>
      <w:r w:rsidRPr="0030070D">
        <w:t xml:space="preserve"> MDO membership. Professional indemnity insurance is generally provided on a </w:t>
      </w:r>
      <w:r w:rsidR="009B0312">
        <w:t>‘</w:t>
      </w:r>
      <w:r w:rsidRPr="0030070D">
        <w:t>claims</w:t>
      </w:r>
      <w:r w:rsidR="009B0312">
        <w:noBreakHyphen/>
      </w:r>
      <w:r w:rsidRPr="0030070D">
        <w:t>made</w:t>
      </w:r>
      <w:r w:rsidR="009B0312">
        <w:t>’</w:t>
      </w:r>
      <w:r w:rsidRPr="0030070D">
        <w:t xml:space="preserve"> basis.</w:t>
      </w:r>
    </w:p>
    <w:p w14:paraId="126DD7CE" w14:textId="0ACC1B04" w:rsidR="009B4E57" w:rsidRDefault="00943D3B" w:rsidP="00952046">
      <w:pPr>
        <w:pStyle w:val="OutlineNumbered45"/>
        <w:numPr>
          <w:ilvl w:val="0"/>
          <w:numId w:val="38"/>
        </w:numPr>
      </w:pPr>
      <w:r w:rsidRPr="0030070D">
        <w:t>In 2002, Australia</w:t>
      </w:r>
      <w:r w:rsidR="009B0312">
        <w:t>’</w:t>
      </w:r>
      <w:r w:rsidRPr="0030070D">
        <w:t>s largest MDO, United Medical Protection</w:t>
      </w:r>
      <w:r>
        <w:t xml:space="preserve"> (UMP)</w:t>
      </w:r>
      <w:r w:rsidRPr="0030070D">
        <w:t>, was placed in provisional liquidation. Following this, steps were taken to stabilise the medical indemnity industry.</w:t>
      </w:r>
    </w:p>
    <w:p w14:paraId="7CA3631E" w14:textId="77777777" w:rsidR="009B4E57" w:rsidRDefault="00943D3B" w:rsidP="00952046">
      <w:pPr>
        <w:pStyle w:val="OutlineNumbered45"/>
        <w:numPr>
          <w:ilvl w:val="0"/>
          <w:numId w:val="38"/>
        </w:numPr>
      </w:pPr>
      <w:r w:rsidRPr="0030070D">
        <w:t xml:space="preserve">Since 1 July 2003, medical indemnity insurance has been required to be provided to Australian practitioners by insurers licensed under the </w:t>
      </w:r>
      <w:r w:rsidRPr="009B4E57">
        <w:rPr>
          <w:i/>
        </w:rPr>
        <w:t>Insurance Act 1973</w:t>
      </w:r>
      <w:r w:rsidRPr="0030070D">
        <w:t xml:space="preserve"> and prudentially supervised by A</w:t>
      </w:r>
      <w:r>
        <w:t xml:space="preserve">ustralian </w:t>
      </w:r>
      <w:r w:rsidRPr="0030070D">
        <w:t>P</w:t>
      </w:r>
      <w:r>
        <w:t xml:space="preserve">rudential </w:t>
      </w:r>
      <w:r w:rsidRPr="0030070D">
        <w:t>R</w:t>
      </w:r>
      <w:r>
        <w:t xml:space="preserve">egulation </w:t>
      </w:r>
      <w:r w:rsidRPr="0030070D">
        <w:t>A</w:t>
      </w:r>
      <w:r>
        <w:t>uthority (APRA)</w:t>
      </w:r>
      <w:r w:rsidRPr="0030070D">
        <w:t>.</w:t>
      </w:r>
      <w:r>
        <w:t xml:space="preserve"> </w:t>
      </w:r>
      <w:r w:rsidRPr="0030070D">
        <w:t xml:space="preserve">This has ensured a more disciplined approach to </w:t>
      </w:r>
      <w:r>
        <w:t>risk management</w:t>
      </w:r>
      <w:r w:rsidRPr="0030070D">
        <w:t xml:space="preserve"> and has reduced the risk of failure of a medical indemnity provider.</w:t>
      </w:r>
    </w:p>
    <w:p w14:paraId="20BFA2DB" w14:textId="286B8F90" w:rsidR="00943D3B" w:rsidRPr="0030070D" w:rsidRDefault="00943D3B" w:rsidP="00952046">
      <w:pPr>
        <w:pStyle w:val="OutlineNumbered45"/>
        <w:numPr>
          <w:ilvl w:val="0"/>
          <w:numId w:val="38"/>
        </w:numPr>
      </w:pPr>
      <w:r w:rsidRPr="0030070D">
        <w:t xml:space="preserve">Consistent with more disciplined </w:t>
      </w:r>
      <w:r>
        <w:t>risk management</w:t>
      </w:r>
      <w:r w:rsidRPr="0030070D">
        <w:t xml:space="preserve">, all medical indemnity insurance is now provided on a </w:t>
      </w:r>
      <w:r w:rsidR="009B0312">
        <w:t>‘</w:t>
      </w:r>
      <w:r w:rsidRPr="0030070D">
        <w:t>claims</w:t>
      </w:r>
      <w:r w:rsidR="009B0312">
        <w:noBreakHyphen/>
      </w:r>
      <w:r w:rsidRPr="0030070D">
        <w:t>made</w:t>
      </w:r>
      <w:r w:rsidR="009B0312">
        <w:t>’</w:t>
      </w:r>
      <w:r w:rsidRPr="0030070D">
        <w:t xml:space="preserve"> basis. Consequently, </w:t>
      </w:r>
      <w:r>
        <w:t>medical practitioners</w:t>
      </w:r>
      <w:r w:rsidRPr="0030070D">
        <w:t xml:space="preserve"> </w:t>
      </w:r>
      <w:proofErr w:type="gramStart"/>
      <w:r w:rsidRPr="0030070D">
        <w:t>have to</w:t>
      </w:r>
      <w:proofErr w:type="gramEnd"/>
      <w:r w:rsidRPr="0030070D">
        <w:t xml:space="preserve"> maintain</w:t>
      </w:r>
      <w:r w:rsidRPr="0030070D" w:rsidDel="00D0047A">
        <w:t xml:space="preserve"> </w:t>
      </w:r>
      <w:r w:rsidRPr="0030070D">
        <w:t xml:space="preserve">insurance in order to remain covered against </w:t>
      </w:r>
      <w:r w:rsidRPr="0030070D">
        <w:lastRenderedPageBreak/>
        <w:t>c</w:t>
      </w:r>
      <w:r>
        <w:t>laims that might emerge, even when</w:t>
      </w:r>
      <w:r w:rsidRPr="0030070D">
        <w:t xml:space="preserve"> they are no longer practising</w:t>
      </w:r>
      <w:r w:rsidRPr="009B4E57">
        <w:rPr>
          <w:i/>
        </w:rPr>
        <w:t>.</w:t>
      </w:r>
      <w:r w:rsidRPr="0030070D">
        <w:t xml:space="preserve"> This form of insurance cover is known as run</w:t>
      </w:r>
      <w:r w:rsidR="009B0312">
        <w:noBreakHyphen/>
      </w:r>
      <w:r w:rsidRPr="0030070D">
        <w:t>off cover. Put simply, run</w:t>
      </w:r>
      <w:r w:rsidR="009B0312">
        <w:noBreakHyphen/>
      </w:r>
      <w:r w:rsidRPr="0030070D">
        <w:t xml:space="preserve">off cover provides insurance for </w:t>
      </w:r>
      <w:r>
        <w:t>medical practitioners</w:t>
      </w:r>
      <w:r w:rsidRPr="0030070D">
        <w:t xml:space="preserve"> who have ceased medical practice. The potential </w:t>
      </w:r>
      <w:r>
        <w:t xml:space="preserve">lengthy </w:t>
      </w:r>
      <w:r w:rsidRPr="0030070D">
        <w:t xml:space="preserve">delay between a medical incident and </w:t>
      </w:r>
      <w:r w:rsidR="001D53F7">
        <w:t>the corresponding</w:t>
      </w:r>
      <w:r w:rsidRPr="0030070D">
        <w:t xml:space="preserve"> claim highlights the need for </w:t>
      </w:r>
      <w:r>
        <w:t>medical practitioners</w:t>
      </w:r>
      <w:r w:rsidRPr="0030070D">
        <w:t xml:space="preserve"> to maintain run</w:t>
      </w:r>
      <w:r w:rsidR="009B0312">
        <w:noBreakHyphen/>
      </w:r>
      <w:r w:rsidRPr="0030070D">
        <w:t>off cover after ceasing practice.</w:t>
      </w:r>
    </w:p>
    <w:p w14:paraId="4C2EE4E3" w14:textId="11B35D13" w:rsidR="00943D3B" w:rsidRPr="0030070D" w:rsidRDefault="00943D3B" w:rsidP="00952046">
      <w:pPr>
        <w:pStyle w:val="OutlineNumbered45"/>
        <w:numPr>
          <w:ilvl w:val="0"/>
          <w:numId w:val="38"/>
        </w:numPr>
      </w:pPr>
      <w:r w:rsidRPr="0030070D">
        <w:t xml:space="preserve">For some </w:t>
      </w:r>
      <w:r>
        <w:t>medical practitioners</w:t>
      </w:r>
      <w:r w:rsidR="00EC0A04">
        <w:t>,</w:t>
      </w:r>
      <w:r w:rsidRPr="0030070D">
        <w:t xml:space="preserve"> the annual cost of medical indemnity insurance runs into the tens of thousands of dollars. </w:t>
      </w:r>
      <w:r w:rsidR="00FA0684">
        <w:t xml:space="preserve">To </w:t>
      </w:r>
      <w:r w:rsidRPr="0030070D">
        <w:t>address problems associated with the cost of run</w:t>
      </w:r>
      <w:r w:rsidR="009B0312">
        <w:noBreakHyphen/>
      </w:r>
      <w:r w:rsidRPr="0030070D">
        <w:t xml:space="preserve">off cover, including the potential threat to the provision of medical services, a scheme was established </w:t>
      </w:r>
      <w:r>
        <w:t xml:space="preserve">by the Australian Government </w:t>
      </w:r>
      <w:r w:rsidRPr="0030070D">
        <w:t xml:space="preserve">which requires medical indemnity insurers to provide </w:t>
      </w:r>
      <w:r>
        <w:t>run</w:t>
      </w:r>
      <w:r w:rsidR="009B0312">
        <w:noBreakHyphen/>
      </w:r>
      <w:r>
        <w:t>off cover</w:t>
      </w:r>
      <w:r>
        <w:rPr>
          <w:rStyle w:val="FootnoteReference"/>
        </w:rPr>
        <w:footnoteReference w:id="5"/>
      </w:r>
      <w:r w:rsidRPr="0030070D">
        <w:t xml:space="preserve"> to certain groups of </w:t>
      </w:r>
      <w:r>
        <w:t>medical practitioners</w:t>
      </w:r>
      <w:r w:rsidRPr="0030070D">
        <w:t xml:space="preserve"> who have ceased private practice. The Scheme was intended to be largely cost neutral to taxpayers whilst not threatening the viability of the insurance companies. This scheme is known as the Run</w:t>
      </w:r>
      <w:r w:rsidR="009B0312">
        <w:noBreakHyphen/>
      </w:r>
      <w:r w:rsidRPr="0030070D">
        <w:t>Off Cover Scheme.</w:t>
      </w:r>
    </w:p>
    <w:p w14:paraId="3B4DF541" w14:textId="7639770D" w:rsidR="00F602EB" w:rsidRPr="0030250E" w:rsidRDefault="00F602EB" w:rsidP="00E35076">
      <w:pPr>
        <w:pStyle w:val="Heading2"/>
        <w:ind w:right="-87"/>
      </w:pPr>
      <w:bookmarkStart w:id="33" w:name="_Toc192773702"/>
      <w:bookmarkEnd w:id="28"/>
      <w:r w:rsidRPr="0030250E">
        <w:t>WHAT IS THE RUN</w:t>
      </w:r>
      <w:r w:rsidR="009B0312">
        <w:noBreakHyphen/>
      </w:r>
      <w:r w:rsidRPr="0030250E">
        <w:t xml:space="preserve">OFF COVER </w:t>
      </w:r>
      <w:r w:rsidR="0030250E">
        <w:t>ARRANG</w:t>
      </w:r>
      <w:bookmarkEnd w:id="29"/>
      <w:bookmarkEnd w:id="30"/>
      <w:bookmarkEnd w:id="31"/>
      <w:bookmarkEnd w:id="32"/>
      <w:r w:rsidR="002C0477">
        <w:t>E</w:t>
      </w:r>
      <w:r w:rsidR="0030250E">
        <w:t>MENT?</w:t>
      </w:r>
      <w:bookmarkEnd w:id="33"/>
    </w:p>
    <w:p w14:paraId="168F35E4" w14:textId="0889B28D" w:rsidR="009B4E57" w:rsidRDefault="00943D3B" w:rsidP="00952046">
      <w:pPr>
        <w:pStyle w:val="ListParagraph"/>
        <w:numPr>
          <w:ilvl w:val="0"/>
          <w:numId w:val="39"/>
        </w:numPr>
      </w:pPr>
      <w:r w:rsidRPr="0030070D">
        <w:t>The Scheme f</w:t>
      </w:r>
      <w:r>
        <w:t>acilitates the provision of</w:t>
      </w:r>
      <w:r w:rsidRPr="0030070D">
        <w:t xml:space="preserve"> medical indemnity insurance cover to </w:t>
      </w:r>
      <w:proofErr w:type="gramStart"/>
      <w:r w:rsidRPr="0030070D">
        <w:t>particular groups</w:t>
      </w:r>
      <w:proofErr w:type="gramEnd"/>
      <w:r w:rsidRPr="0030070D">
        <w:t xml:space="preserve"> of </w:t>
      </w:r>
      <w:r>
        <w:t>medical practitioners</w:t>
      </w:r>
      <w:r w:rsidRPr="0030070D">
        <w:t xml:space="preserve"> who have ceased private medical</w:t>
      </w:r>
      <w:r>
        <w:t> </w:t>
      </w:r>
      <w:r w:rsidRPr="0030070D">
        <w:t>practice.</w:t>
      </w:r>
    </w:p>
    <w:p w14:paraId="2DCDF093" w14:textId="3E870E0C" w:rsidR="00943D3B" w:rsidRDefault="00943D3B" w:rsidP="00952046">
      <w:pPr>
        <w:pStyle w:val="ListParagraph"/>
        <w:numPr>
          <w:ilvl w:val="0"/>
          <w:numId w:val="39"/>
        </w:numPr>
      </w:pPr>
      <w:r>
        <w:t>T</w:t>
      </w:r>
      <w:r w:rsidRPr="0030070D">
        <w:t xml:space="preserve">he rules for the Scheme appear in the </w:t>
      </w:r>
      <w:r w:rsidRPr="0030070D">
        <w:rPr>
          <w:i/>
        </w:rPr>
        <w:t>Medical Indemnity (Prudential Supervision and Product Standards) Act 2003</w:t>
      </w:r>
      <w:r w:rsidRPr="0030070D">
        <w:t xml:space="preserve"> (PSPS Act), the </w:t>
      </w:r>
      <w:r w:rsidRPr="0030070D">
        <w:rPr>
          <w:i/>
        </w:rPr>
        <w:t>Medical Indemnity (Run</w:t>
      </w:r>
      <w:r w:rsidR="009B0312">
        <w:rPr>
          <w:i/>
        </w:rPr>
        <w:noBreakHyphen/>
      </w:r>
      <w:r w:rsidRPr="0030070D">
        <w:rPr>
          <w:i/>
        </w:rPr>
        <w:t>off Cover Support Payment) Act 2004</w:t>
      </w:r>
      <w:r w:rsidRPr="0030070D">
        <w:t xml:space="preserve"> (MI ROCSPA) and the </w:t>
      </w:r>
      <w:r w:rsidRPr="0030070D">
        <w:rPr>
          <w:i/>
        </w:rPr>
        <w:t>Medical Indemnity Act 2002</w:t>
      </w:r>
      <w:r w:rsidRPr="0030070D">
        <w:t>. The principal elements of the Scheme are:</w:t>
      </w:r>
    </w:p>
    <w:p w14:paraId="3A842D20" w14:textId="5B50E35D" w:rsidR="004E5455" w:rsidRPr="0030070D" w:rsidRDefault="004E5455" w:rsidP="00952046">
      <w:pPr>
        <w:pStyle w:val="Bullet"/>
        <w:numPr>
          <w:ilvl w:val="0"/>
          <w:numId w:val="34"/>
        </w:numPr>
        <w:spacing w:after="240"/>
      </w:pPr>
      <w:r w:rsidRPr="0030070D">
        <w:t>The PSPS Act imposes an obligation on insurers to provide run</w:t>
      </w:r>
      <w:r w:rsidR="009B0312">
        <w:noBreakHyphen/>
      </w:r>
      <w:r w:rsidRPr="0030070D">
        <w:t xml:space="preserve">off cover to </w:t>
      </w:r>
      <w:proofErr w:type="gramStart"/>
      <w:r w:rsidRPr="0030070D">
        <w:t>particular groups</w:t>
      </w:r>
      <w:proofErr w:type="gramEnd"/>
      <w:r w:rsidRPr="0030070D">
        <w:t xml:space="preserve"> of </w:t>
      </w:r>
      <w:r>
        <w:t>medical practitioners</w:t>
      </w:r>
      <w:r w:rsidRPr="0030070D">
        <w:t xml:space="preserve"> who have ceased private practice.</w:t>
      </w:r>
    </w:p>
    <w:p w14:paraId="7BC3E79C" w14:textId="348CEEC6" w:rsidR="004E5455" w:rsidRPr="0030070D" w:rsidRDefault="004E5455" w:rsidP="00952046">
      <w:pPr>
        <w:pStyle w:val="Bullet"/>
        <w:numPr>
          <w:ilvl w:val="0"/>
          <w:numId w:val="34"/>
        </w:numPr>
        <w:spacing w:after="240"/>
      </w:pPr>
      <w:r w:rsidRPr="0030070D">
        <w:t>The Medical Indemnity Act provides for the Commonwealth to make payments to the insurers to reimburse the costs of eligible run</w:t>
      </w:r>
      <w:r w:rsidR="009B0312">
        <w:noBreakHyphen/>
      </w:r>
      <w:r w:rsidRPr="0030070D">
        <w:t>off claims. These payments are known as ROC indemnity payments.</w:t>
      </w:r>
    </w:p>
    <w:p w14:paraId="25993459" w14:textId="77777777" w:rsidR="004E5455" w:rsidRPr="004E5455" w:rsidRDefault="004E5455" w:rsidP="00952046">
      <w:pPr>
        <w:pStyle w:val="Bullet"/>
        <w:numPr>
          <w:ilvl w:val="0"/>
          <w:numId w:val="34"/>
        </w:numPr>
        <w:spacing w:after="240"/>
      </w:pPr>
      <w:r w:rsidRPr="0030070D">
        <w:t>The Medical Indemnity Act provides for the Commonwealth to make other payments to insurers t</w:t>
      </w:r>
      <w:r w:rsidRPr="004E5455">
        <w:t xml:space="preserve">o offset the relevant costs of administering the </w:t>
      </w:r>
      <w:proofErr w:type="gramStart"/>
      <w:r w:rsidRPr="004E5455">
        <w:t>Scheme</w:t>
      </w:r>
      <w:proofErr w:type="gramEnd"/>
      <w:r w:rsidRPr="004E5455">
        <w:t xml:space="preserve"> that are incurred by insurers.</w:t>
      </w:r>
    </w:p>
    <w:p w14:paraId="017A0ABC" w14:textId="7670290C" w:rsidR="004E5455" w:rsidRDefault="004E5455" w:rsidP="00952046">
      <w:pPr>
        <w:pStyle w:val="Bullet"/>
        <w:numPr>
          <w:ilvl w:val="0"/>
          <w:numId w:val="34"/>
        </w:numPr>
        <w:spacing w:after="240"/>
      </w:pPr>
      <w:r w:rsidRPr="0030070D">
        <w:lastRenderedPageBreak/>
        <w:t>The Medical Indemnity Act also provides for the insurers to make payments to the Commonwealth to ensure that the Scheme is largely cost</w:t>
      </w:r>
      <w:r w:rsidR="009B0312">
        <w:noBreakHyphen/>
      </w:r>
      <w:r w:rsidRPr="0030070D">
        <w:t xml:space="preserve">neutral to taxpayers. These payments are </w:t>
      </w:r>
      <w:r>
        <w:t>a levy on insurers</w:t>
      </w:r>
      <w:r w:rsidR="009B0312">
        <w:t>’</w:t>
      </w:r>
      <w:r>
        <w:t xml:space="preserve"> premium income</w:t>
      </w:r>
      <w:r w:rsidRPr="0030070D">
        <w:t xml:space="preserve"> </w:t>
      </w:r>
      <w:r>
        <w:t xml:space="preserve">funded </w:t>
      </w:r>
      <w:r w:rsidRPr="0030070D">
        <w:t>by a loading on practitioners</w:t>
      </w:r>
      <w:r w:rsidR="009B0312">
        <w:t>’</w:t>
      </w:r>
      <w:r w:rsidRPr="0030070D">
        <w:t xml:space="preserve"> medical indemnity insurance premiums. These payments are known as ROC support payments. The MI ROCSPA sets out the rules for calculating ROC support payments.</w:t>
      </w:r>
    </w:p>
    <w:p w14:paraId="45D0CA7D" w14:textId="39322FFE" w:rsidR="004E5455" w:rsidRDefault="004E5455" w:rsidP="00952046">
      <w:pPr>
        <w:pStyle w:val="ListParagraph"/>
        <w:numPr>
          <w:ilvl w:val="0"/>
          <w:numId w:val="39"/>
        </w:numPr>
      </w:pPr>
      <w:r w:rsidRPr="0030070D">
        <w:t>The Scheme provides for ROC support payments to be made by medical indemnity insurers to the Commonwealth and for ROC indemnity payments to be made by the Commonwealth to medical indemnity insurers (MIIs) and MDOs. Ancillary arrangements provide for payments to cover other costs such as administrative costs.</w:t>
      </w:r>
    </w:p>
    <w:p w14:paraId="1C54B378" w14:textId="25380681" w:rsidR="004E5455" w:rsidRDefault="004E5455" w:rsidP="00952046">
      <w:pPr>
        <w:pStyle w:val="ListParagraph"/>
        <w:numPr>
          <w:ilvl w:val="0"/>
          <w:numId w:val="39"/>
        </w:numPr>
      </w:pPr>
      <w:r>
        <w:t>The Scheme provides for ROC support payments to be made by eligible insurers to the Commonwealth and for ROC Commonwealth contributions to be made by the Commonwealth to eligible insurers.</w:t>
      </w:r>
    </w:p>
    <w:p w14:paraId="715E48EB" w14:textId="106AD3FD" w:rsidR="004E5455" w:rsidRDefault="004E5455" w:rsidP="00952046">
      <w:pPr>
        <w:pStyle w:val="ListParagraph"/>
        <w:numPr>
          <w:ilvl w:val="0"/>
          <w:numId w:val="39"/>
        </w:numPr>
      </w:pPr>
      <w:r>
        <w:t xml:space="preserve">An important financial dynamic of the ROC Scheme is the timing mismatch between the payment of ROC support payments by an eligible insurer and the emergence, payment and reimbursement of professional indemnity claims of eligible </w:t>
      </w:r>
      <w:r w:rsidR="005D1071">
        <w:t>practitioners</w:t>
      </w:r>
      <w:r>
        <w:t xml:space="preserve"> who are no longer in private practice. The first ROC support payments were received on 30 June 2011. The ROC Scheme applies to eligible professional indemnity claims that are first notified to eligible insurers on or after 1 July 20</w:t>
      </w:r>
      <w:r w:rsidR="00987786">
        <w:t>04</w:t>
      </w:r>
      <w:r>
        <w:t>. As a result of inherent delays in the claims process, it is to be expected that the level of ROC support payments will be greater than the level of ROC Commonwealth contributions for many years. This has been demonstrated in the experience of the Run</w:t>
      </w:r>
      <w:r w:rsidR="009B0312">
        <w:noBreakHyphen/>
      </w:r>
      <w:r>
        <w:t xml:space="preserve">Off Cover </w:t>
      </w:r>
      <w:r w:rsidRPr="00362D39">
        <w:rPr>
          <w:color w:val="auto"/>
        </w:rPr>
        <w:t xml:space="preserve">Scheme for medical practitioners. That is, in a cash flow sense, the ROC Scheme is </w:t>
      </w:r>
      <w:r w:rsidR="005D1071" w:rsidRPr="00362D39">
        <w:rPr>
          <w:color w:val="auto"/>
        </w:rPr>
        <w:t xml:space="preserve">still </w:t>
      </w:r>
      <w:r w:rsidRPr="00362D39">
        <w:rPr>
          <w:color w:val="auto"/>
        </w:rPr>
        <w:t>immature. It will</w:t>
      </w:r>
      <w:r w:rsidR="00987786" w:rsidRPr="00362D39">
        <w:rPr>
          <w:color w:val="auto"/>
        </w:rPr>
        <w:t xml:space="preserve"> be considered mature </w:t>
      </w:r>
      <w:r w:rsidRPr="00362D39">
        <w:rPr>
          <w:color w:val="auto"/>
        </w:rPr>
        <w:t xml:space="preserve">when income from ROC support payments and expenditure on ROC Commonwealth contributions are </w:t>
      </w:r>
      <w:r w:rsidR="00987786" w:rsidRPr="00362D39">
        <w:rPr>
          <w:color w:val="auto"/>
        </w:rPr>
        <w:t xml:space="preserve">consistently </w:t>
      </w:r>
      <w:r w:rsidRPr="00362D39">
        <w:rPr>
          <w:color w:val="auto"/>
        </w:rPr>
        <w:t>of a similar order of size.</w:t>
      </w:r>
      <w:r w:rsidR="0016286B" w:rsidRPr="00362D39">
        <w:rPr>
          <w:color w:val="auto"/>
        </w:rPr>
        <w:t xml:space="preserve"> Although </w:t>
      </w:r>
      <w:r w:rsidR="009452AF" w:rsidRPr="00362D39">
        <w:rPr>
          <w:color w:val="auto"/>
        </w:rPr>
        <w:t xml:space="preserve">ROC support </w:t>
      </w:r>
      <w:r w:rsidR="0016286B" w:rsidRPr="00362D39">
        <w:rPr>
          <w:color w:val="auto"/>
        </w:rPr>
        <w:t>payments have risen significantly in recent years</w:t>
      </w:r>
      <w:r w:rsidR="009452AF" w:rsidRPr="00362D39">
        <w:rPr>
          <w:color w:val="auto"/>
        </w:rPr>
        <w:t>, m</w:t>
      </w:r>
      <w:r w:rsidR="00842D78" w:rsidRPr="00362D39">
        <w:rPr>
          <w:color w:val="auto"/>
        </w:rPr>
        <w:t xml:space="preserve">ore time is required to examine </w:t>
      </w:r>
      <w:r w:rsidR="009452AF" w:rsidRPr="00362D39">
        <w:rPr>
          <w:color w:val="auto"/>
        </w:rPr>
        <w:t>their</w:t>
      </w:r>
      <w:r w:rsidR="00842D78" w:rsidRPr="00362D39">
        <w:rPr>
          <w:color w:val="auto"/>
        </w:rPr>
        <w:t xml:space="preserve"> </w:t>
      </w:r>
      <w:r w:rsidR="009452AF" w:rsidRPr="00362D39">
        <w:rPr>
          <w:color w:val="auto"/>
        </w:rPr>
        <w:t>persistence</w:t>
      </w:r>
      <w:r w:rsidR="00842D78" w:rsidRPr="00362D39">
        <w:rPr>
          <w:color w:val="auto"/>
        </w:rPr>
        <w:t xml:space="preserve">. </w:t>
      </w:r>
    </w:p>
    <w:p w14:paraId="0069FD39" w14:textId="432D2557" w:rsidR="0098347F" w:rsidRDefault="0098347F">
      <w:pPr>
        <w:spacing w:after="200" w:line="276" w:lineRule="auto"/>
        <w:jc w:val="left"/>
      </w:pPr>
      <w:r>
        <w:br w:type="page"/>
      </w:r>
    </w:p>
    <w:p w14:paraId="7D2430B2" w14:textId="6011D6DA" w:rsidR="00F602EB" w:rsidRDefault="00F602EB" w:rsidP="00F602EB">
      <w:pPr>
        <w:pStyle w:val="Heading1"/>
      </w:pPr>
      <w:bookmarkStart w:id="34" w:name="_Toc63865407"/>
      <w:bookmarkStart w:id="35" w:name="_Toc63866208"/>
      <w:bookmarkStart w:id="36" w:name="_Toc63866538"/>
      <w:bookmarkStart w:id="37" w:name="_Toc63866670"/>
      <w:bookmarkStart w:id="38" w:name="_Toc192773703"/>
      <w:r>
        <w:lastRenderedPageBreak/>
        <w:t>DATA</w:t>
      </w:r>
      <w:bookmarkEnd w:id="34"/>
      <w:bookmarkEnd w:id="35"/>
      <w:bookmarkEnd w:id="36"/>
      <w:bookmarkEnd w:id="37"/>
      <w:bookmarkEnd w:id="38"/>
    </w:p>
    <w:p w14:paraId="706D1752" w14:textId="7C8D16D4" w:rsidR="00F602EB" w:rsidRDefault="00F602EB" w:rsidP="00F602EB">
      <w:pPr>
        <w:pStyle w:val="Heading2"/>
      </w:pPr>
      <w:bookmarkStart w:id="39" w:name="_Toc63865408"/>
      <w:bookmarkStart w:id="40" w:name="_Toc63866209"/>
      <w:bookmarkStart w:id="41" w:name="_Toc63866539"/>
      <w:bookmarkStart w:id="42" w:name="_Toc63866671"/>
      <w:bookmarkStart w:id="43" w:name="_Toc192773704"/>
      <w:r>
        <w:t>DATA COLLECTION</w:t>
      </w:r>
      <w:bookmarkEnd w:id="39"/>
      <w:bookmarkEnd w:id="40"/>
      <w:bookmarkEnd w:id="41"/>
      <w:bookmarkEnd w:id="42"/>
      <w:bookmarkEnd w:id="43"/>
    </w:p>
    <w:p w14:paraId="0BC099C3" w14:textId="11E88425" w:rsidR="00943D3B" w:rsidRPr="00C36AC5" w:rsidRDefault="00943D3B" w:rsidP="00952046">
      <w:pPr>
        <w:pStyle w:val="OutlineNumbered1"/>
        <w:numPr>
          <w:ilvl w:val="0"/>
          <w:numId w:val="33"/>
        </w:numPr>
        <w:tabs>
          <w:tab w:val="left" w:pos="709"/>
        </w:tabs>
      </w:pPr>
      <w:bookmarkStart w:id="44" w:name="_Toc63865409"/>
      <w:bookmarkStart w:id="45" w:name="_Toc63866210"/>
      <w:bookmarkStart w:id="46" w:name="_Toc63866540"/>
      <w:bookmarkStart w:id="47" w:name="_Toc63866672"/>
      <w:proofErr w:type="gramStart"/>
      <w:r w:rsidRPr="0030070D">
        <w:t>For the purpose of</w:t>
      </w:r>
      <w:proofErr w:type="gramEnd"/>
      <w:r w:rsidRPr="0030070D">
        <w:t xml:space="preserve"> preparing this report, certain data </w:t>
      </w:r>
      <w:r>
        <w:t xml:space="preserve">was </w:t>
      </w:r>
      <w:r w:rsidRPr="0030070D">
        <w:t xml:space="preserve">collected from the </w:t>
      </w:r>
      <w:r w:rsidRPr="00936C02">
        <w:t xml:space="preserve">MIIs by </w:t>
      </w:r>
      <w:r w:rsidRPr="00C36AC5">
        <w:t xml:space="preserve">Services Australia </w:t>
      </w:r>
      <w:r w:rsidR="00CC2788" w:rsidRPr="00C36AC5">
        <w:t>during late 202</w:t>
      </w:r>
      <w:r w:rsidR="00F65949" w:rsidRPr="00C36AC5">
        <w:t>4</w:t>
      </w:r>
      <w:r w:rsidRPr="00C36AC5">
        <w:t xml:space="preserve"> including:</w:t>
      </w:r>
    </w:p>
    <w:p w14:paraId="76D79671" w14:textId="5A4D5B73" w:rsidR="00943D3B" w:rsidRPr="00C36AC5" w:rsidRDefault="00943D3B" w:rsidP="00952046">
      <w:pPr>
        <w:pStyle w:val="Bullet"/>
        <w:numPr>
          <w:ilvl w:val="0"/>
          <w:numId w:val="34"/>
        </w:numPr>
        <w:spacing w:after="240"/>
      </w:pPr>
      <w:r w:rsidRPr="00C36AC5">
        <w:t>details of practitioners who were identified as having become eligible for membership of the Sch</w:t>
      </w:r>
      <w:r w:rsidR="00CC2788" w:rsidRPr="00C36AC5">
        <w:t>eme before 30 June 202</w:t>
      </w:r>
      <w:r w:rsidR="00F65949" w:rsidRPr="00C36AC5">
        <w:t>4</w:t>
      </w:r>
    </w:p>
    <w:p w14:paraId="47B36DA1" w14:textId="53F07502" w:rsidR="00943D3B" w:rsidRPr="00C36AC5" w:rsidRDefault="00943D3B" w:rsidP="00952046">
      <w:pPr>
        <w:pStyle w:val="Bullet"/>
        <w:numPr>
          <w:ilvl w:val="0"/>
          <w:numId w:val="34"/>
        </w:numPr>
        <w:spacing w:after="240"/>
      </w:pPr>
      <w:r w:rsidRPr="00C36AC5">
        <w:t>details of claims (including incidents) notified</w:t>
      </w:r>
      <w:r w:rsidR="00CC2788" w:rsidRPr="00C36AC5">
        <w:t xml:space="preserve"> to MIIs and MDOs by 30 June 202</w:t>
      </w:r>
      <w:r w:rsidR="00F65949" w:rsidRPr="00C36AC5">
        <w:t>4</w:t>
      </w:r>
      <w:r w:rsidRPr="00C36AC5">
        <w:t xml:space="preserve"> which might eventually become eligible for reimbursement under the Scheme</w:t>
      </w:r>
    </w:p>
    <w:p w14:paraId="498187A3" w14:textId="5880431C" w:rsidR="00943D3B" w:rsidRPr="00C36AC5" w:rsidRDefault="00943D3B" w:rsidP="00952046">
      <w:pPr>
        <w:pStyle w:val="Bullet"/>
        <w:numPr>
          <w:ilvl w:val="0"/>
          <w:numId w:val="34"/>
        </w:numPr>
        <w:spacing w:after="240"/>
      </w:pPr>
      <w:r w:rsidRPr="00C36AC5">
        <w:t>details of ROC support payments</w:t>
      </w:r>
      <w:r w:rsidRPr="00C36AC5">
        <w:rPr>
          <w:vertAlign w:val="superscript"/>
        </w:rPr>
        <w:footnoteReference w:id="6"/>
      </w:r>
    </w:p>
    <w:p w14:paraId="093D635E" w14:textId="1F5F9230" w:rsidR="00943D3B" w:rsidRPr="00C36AC5" w:rsidRDefault="00943D3B" w:rsidP="00952046">
      <w:pPr>
        <w:pStyle w:val="Bullet"/>
        <w:numPr>
          <w:ilvl w:val="0"/>
          <w:numId w:val="34"/>
        </w:numPr>
        <w:spacing w:after="240"/>
      </w:pPr>
      <w:r w:rsidRPr="00C36AC5">
        <w:t>actuarial estimates of that part of the future claims cost of medical incidents project</w:t>
      </w:r>
      <w:r w:rsidR="004E5455" w:rsidRPr="00C36AC5">
        <w:t>ed to be notified during the 202</w:t>
      </w:r>
      <w:r w:rsidR="00C36AC5" w:rsidRPr="00C36AC5">
        <w:t>4</w:t>
      </w:r>
      <w:r w:rsidR="009B0312" w:rsidRPr="00C36AC5">
        <w:noBreakHyphen/>
      </w:r>
      <w:r w:rsidR="004E5455" w:rsidRPr="00C36AC5">
        <w:t>2</w:t>
      </w:r>
      <w:r w:rsidR="00C36AC5" w:rsidRPr="00C36AC5">
        <w:t>5</w:t>
      </w:r>
      <w:r w:rsidRPr="00C36AC5">
        <w:t xml:space="preserve"> to 20</w:t>
      </w:r>
      <w:r w:rsidR="004E5455" w:rsidRPr="00C36AC5">
        <w:t>2</w:t>
      </w:r>
      <w:r w:rsidR="00C36AC5" w:rsidRPr="00C36AC5">
        <w:t>8</w:t>
      </w:r>
      <w:r w:rsidR="009B0312" w:rsidRPr="00C36AC5">
        <w:noBreakHyphen/>
      </w:r>
      <w:r w:rsidR="004E5455" w:rsidRPr="00C36AC5">
        <w:t>2</w:t>
      </w:r>
      <w:r w:rsidR="00C36AC5" w:rsidRPr="00C36AC5">
        <w:t>9</w:t>
      </w:r>
      <w:r w:rsidRPr="00C36AC5">
        <w:t xml:space="preserve"> financial years which is expected to be reimbursed under the Scheme</w:t>
      </w:r>
    </w:p>
    <w:p w14:paraId="7391656D" w14:textId="17473BEE" w:rsidR="00291902" w:rsidRPr="00C36AC5" w:rsidRDefault="00943D3B" w:rsidP="00952046">
      <w:pPr>
        <w:pStyle w:val="Bullet"/>
        <w:numPr>
          <w:ilvl w:val="0"/>
          <w:numId w:val="34"/>
        </w:numPr>
        <w:spacing w:after="240"/>
      </w:pPr>
      <w:r w:rsidRPr="00C36AC5">
        <w:t>actuarial estimates of that part of the future claims cost of medical incidents occurrin</w:t>
      </w:r>
      <w:r w:rsidR="004E5455" w:rsidRPr="00C36AC5">
        <w:t>g during 202</w:t>
      </w:r>
      <w:r w:rsidR="00455621" w:rsidRPr="00C36AC5">
        <w:t>4</w:t>
      </w:r>
      <w:r w:rsidR="009B0312" w:rsidRPr="00C36AC5">
        <w:noBreakHyphen/>
      </w:r>
      <w:r w:rsidR="004E5455" w:rsidRPr="00C36AC5">
        <w:t>2</w:t>
      </w:r>
      <w:r w:rsidR="00252D0B" w:rsidRPr="00C36AC5">
        <w:t>5</w:t>
      </w:r>
      <w:r w:rsidRPr="00C36AC5">
        <w:t xml:space="preserve"> which is expected to be reimbursed under the Scheme.</w:t>
      </w:r>
    </w:p>
    <w:p w14:paraId="5C89DC9C" w14:textId="1D9F17E4" w:rsidR="00943D3B" w:rsidRDefault="00943D3B" w:rsidP="00952046">
      <w:pPr>
        <w:pStyle w:val="Bullet"/>
        <w:numPr>
          <w:ilvl w:val="0"/>
          <w:numId w:val="33"/>
        </w:numPr>
        <w:spacing w:after="240"/>
      </w:pPr>
      <w:r w:rsidRPr="0030070D">
        <w:t xml:space="preserve">This report also utilises other data and information including that which was previously provided to </w:t>
      </w:r>
      <w:r>
        <w:t>Services Australia</w:t>
      </w:r>
      <w:r w:rsidRPr="0030070D">
        <w:t xml:space="preserve"> for the purpose of section 34ZW of the Medical Indemnity Act.</w:t>
      </w:r>
    </w:p>
    <w:p w14:paraId="7A230DCB" w14:textId="74B50515" w:rsidR="00F602EB" w:rsidRDefault="00F602EB" w:rsidP="009B6B7B">
      <w:pPr>
        <w:pStyle w:val="Heading2"/>
      </w:pPr>
      <w:bookmarkStart w:id="48" w:name="_Toc192773705"/>
      <w:r w:rsidRPr="00943D3B">
        <w:t>DATA VERIFICATION</w:t>
      </w:r>
      <w:bookmarkEnd w:id="44"/>
      <w:bookmarkEnd w:id="45"/>
      <w:bookmarkEnd w:id="46"/>
      <w:bookmarkEnd w:id="47"/>
      <w:bookmarkEnd w:id="48"/>
      <w:r w:rsidR="00611958">
        <w:tab/>
      </w:r>
    </w:p>
    <w:p w14:paraId="08C31D07" w14:textId="12F01395" w:rsidR="009B6B7B" w:rsidRPr="0030070D" w:rsidRDefault="009B6B7B" w:rsidP="00952046">
      <w:pPr>
        <w:pStyle w:val="Bullet"/>
        <w:numPr>
          <w:ilvl w:val="0"/>
          <w:numId w:val="40"/>
        </w:numPr>
        <w:spacing w:after="240"/>
      </w:pPr>
      <w:bookmarkStart w:id="49" w:name="_Hlk64894069"/>
      <w:r w:rsidRPr="0030070D">
        <w:t xml:space="preserve">The results in this report rely </w:t>
      </w:r>
      <w:r w:rsidR="00C05671">
        <w:t xml:space="preserve">heavily </w:t>
      </w:r>
      <w:r w:rsidRPr="0030070D">
        <w:t>on information provided by MIIs</w:t>
      </w:r>
      <w:r w:rsidR="00A57B1D">
        <w:t xml:space="preserve"> and their actuaries</w:t>
      </w:r>
      <w:r w:rsidRPr="0030070D">
        <w:t>. This information is regarded as the most suitable information available for the current purpose</w:t>
      </w:r>
      <w:r w:rsidR="009B0312">
        <w:t xml:space="preserve">. </w:t>
      </w:r>
    </w:p>
    <w:p w14:paraId="403D4D84" w14:textId="3E9E1DF7" w:rsidR="009B6B7B" w:rsidRPr="008F4B85" w:rsidRDefault="009B6B7B" w:rsidP="00952046">
      <w:pPr>
        <w:pStyle w:val="Bullet"/>
        <w:numPr>
          <w:ilvl w:val="0"/>
          <w:numId w:val="40"/>
        </w:numPr>
        <w:spacing w:after="240"/>
        <w:rPr>
          <w:spacing w:val="-2"/>
        </w:rPr>
      </w:pPr>
      <w:r w:rsidRPr="00383091">
        <w:rPr>
          <w:spacing w:val="-2"/>
        </w:rPr>
        <w:t xml:space="preserve">Steps were taken to ensure, as far as practicable, that the information provided was prepared on a basis suitable for the purpose. Despite this, it is not possible to guarantee that the information provided is free from material error. The information was not independently audited. As was the case in </w:t>
      </w:r>
      <w:r w:rsidRPr="00362D39">
        <w:rPr>
          <w:color w:val="auto"/>
          <w:spacing w:val="-2"/>
        </w:rPr>
        <w:t xml:space="preserve">previous years, there were some notable disparities in the data provided. </w:t>
      </w:r>
      <w:r w:rsidR="006645E9">
        <w:rPr>
          <w:color w:val="auto"/>
          <w:spacing w:val="-2"/>
        </w:rPr>
        <w:lastRenderedPageBreak/>
        <w:t xml:space="preserve">Some insurers resubmitted certain data. </w:t>
      </w:r>
      <w:r w:rsidRPr="00362D39">
        <w:rPr>
          <w:color w:val="auto"/>
          <w:spacing w:val="-2"/>
        </w:rPr>
        <w:t xml:space="preserve">This means that figures </w:t>
      </w:r>
      <w:r w:rsidRPr="00383091">
        <w:rPr>
          <w:spacing w:val="-2"/>
        </w:rPr>
        <w:t>and estimates provided in this report need to be treated with some caution.</w:t>
      </w:r>
    </w:p>
    <w:p w14:paraId="0AD38EBB" w14:textId="17990030" w:rsidR="009B6B7B" w:rsidRPr="0030070D" w:rsidRDefault="009B6B7B" w:rsidP="00952046">
      <w:pPr>
        <w:pStyle w:val="Bullet"/>
        <w:numPr>
          <w:ilvl w:val="0"/>
          <w:numId w:val="40"/>
        </w:numPr>
        <w:spacing w:after="240"/>
      </w:pPr>
      <w:r w:rsidRPr="0030070D">
        <w:t xml:space="preserve">Historically, MIIs/MDOs have not maintained data in a form which is directly amenable to ROC analysis. For example, it has not been possible to establish a </w:t>
      </w:r>
      <w:bookmarkEnd w:id="49"/>
      <w:r w:rsidRPr="0030070D">
        <w:t xml:space="preserve">comprehensive list of </w:t>
      </w:r>
      <w:r>
        <w:t>medical practitioners</w:t>
      </w:r>
      <w:r w:rsidRPr="0030070D">
        <w:t xml:space="preserve"> who were</w:t>
      </w:r>
      <w:r>
        <w:t xml:space="preserve"> eligible for the Scheme on </w:t>
      </w:r>
      <w:r w:rsidRPr="0030070D">
        <w:t>1</w:t>
      </w:r>
      <w:r>
        <w:t> </w:t>
      </w:r>
      <w:r w:rsidRPr="0030070D">
        <w:t>July</w:t>
      </w:r>
      <w:r>
        <w:t> </w:t>
      </w:r>
      <w:r w:rsidRPr="0030070D">
        <w:t>2004. This is not a criticism of the MIIs. It simply reflects that their business and information systems were not developed with a scheme like the Run</w:t>
      </w:r>
      <w:r w:rsidR="009B0312">
        <w:noBreakHyphen/>
      </w:r>
      <w:r w:rsidRPr="0030070D">
        <w:t xml:space="preserve">Off Cover Scheme in mind. However, </w:t>
      </w:r>
      <w:proofErr w:type="gramStart"/>
      <w:r w:rsidRPr="0030070D">
        <w:t>in order to</w:t>
      </w:r>
      <w:proofErr w:type="gramEnd"/>
      <w:r w:rsidRPr="0030070D">
        <w:t xml:space="preserve"> monitor the operation of the Scheme effectively, accurate and timely data is </w:t>
      </w:r>
      <w:r>
        <w:t xml:space="preserve">obviously </w:t>
      </w:r>
      <w:r w:rsidRPr="0030070D">
        <w:t>important.</w:t>
      </w:r>
    </w:p>
    <w:p w14:paraId="760B0AF2" w14:textId="630B1736" w:rsidR="00A57B1D" w:rsidRPr="0030070D" w:rsidRDefault="009B6B7B" w:rsidP="00A57B1D">
      <w:pPr>
        <w:pStyle w:val="Bullet"/>
        <w:numPr>
          <w:ilvl w:val="0"/>
          <w:numId w:val="40"/>
        </w:numPr>
        <w:spacing w:after="240"/>
      </w:pPr>
      <w:r>
        <w:t>A range of assumptions were</w:t>
      </w:r>
      <w:r w:rsidRPr="0030070D">
        <w:t xml:space="preserve"> used by industry actuaries. </w:t>
      </w:r>
      <w:r w:rsidR="00A57B1D" w:rsidRPr="0030070D">
        <w:t>Guidance was provided as to the nature of the data, calcula</w:t>
      </w:r>
      <w:r w:rsidR="00A57B1D">
        <w:t xml:space="preserve">tions and information required. </w:t>
      </w:r>
      <w:r w:rsidRPr="0030070D">
        <w:t>Although some significant assumptions differ by only a few percentage points between actuaries, substantially different estimates of Scheme costs are produced. This is indicative of the highly uncertain nature o</w:t>
      </w:r>
      <w:r>
        <w:t>f estimates of the costs of the </w:t>
      </w:r>
      <w:r w:rsidRPr="0030070D">
        <w:t>Scheme.</w:t>
      </w:r>
      <w:r w:rsidR="00A57B1D">
        <w:t xml:space="preserve"> </w:t>
      </w:r>
    </w:p>
    <w:p w14:paraId="1E27F876" w14:textId="47467695" w:rsidR="00A57B1D" w:rsidRPr="0030070D" w:rsidRDefault="00A57B1D" w:rsidP="00952046">
      <w:pPr>
        <w:pStyle w:val="Bullet"/>
        <w:numPr>
          <w:ilvl w:val="0"/>
          <w:numId w:val="40"/>
        </w:numPr>
        <w:spacing w:after="240"/>
      </w:pPr>
      <w:r>
        <w:t xml:space="preserve">All insurers were asked to specify whether their data has allowed for </w:t>
      </w:r>
      <w:r w:rsidR="00102890">
        <w:t>any</w:t>
      </w:r>
      <w:r>
        <w:t xml:space="preserve"> </w:t>
      </w:r>
      <w:r w:rsidR="005B41AF">
        <w:t xml:space="preserve">of the </w:t>
      </w:r>
      <w:r>
        <w:t>latest changes in legislation. Their responses helped us to determine whether adjustments were appropriate.</w:t>
      </w:r>
    </w:p>
    <w:p w14:paraId="3D5C1F50" w14:textId="6484DE3C" w:rsidR="009B6B7B" w:rsidRPr="009B6B7B" w:rsidRDefault="009B6B7B" w:rsidP="00952046">
      <w:pPr>
        <w:pStyle w:val="ListParagraph"/>
        <w:numPr>
          <w:ilvl w:val="0"/>
          <w:numId w:val="40"/>
        </w:numPr>
      </w:pPr>
      <w:r w:rsidRPr="0030070D">
        <w:t xml:space="preserve">In general, the results in this report </w:t>
      </w:r>
      <w:r>
        <w:t>are based on both the</w:t>
      </w:r>
      <w:r w:rsidRPr="0030070D">
        <w:t xml:space="preserve"> estimates provided by industry actuaries </w:t>
      </w:r>
      <w:r>
        <w:t>and the data provided by Services Australia. We have also had regard to the model</w:t>
      </w:r>
      <w:r w:rsidRPr="0030070D">
        <w:t xml:space="preserve"> developed within this office</w:t>
      </w:r>
      <w:r>
        <w:t xml:space="preserve"> to determine the amount of the new accrual</w:t>
      </w:r>
      <w:r w:rsidRPr="0030070D">
        <w:t>.</w:t>
      </w:r>
      <w:r w:rsidR="00F7165B">
        <w:t xml:space="preserve"> </w:t>
      </w:r>
    </w:p>
    <w:p w14:paraId="37A143E3" w14:textId="3A5A9B41" w:rsidR="00F602EB" w:rsidRDefault="009B6B7B" w:rsidP="009B6B7B">
      <w:pPr>
        <w:pStyle w:val="Heading2"/>
        <w:numPr>
          <w:ilvl w:val="0"/>
          <w:numId w:val="0"/>
        </w:numPr>
      </w:pPr>
      <w:bookmarkStart w:id="50" w:name="_Toc63865410"/>
      <w:bookmarkStart w:id="51" w:name="_Toc63866211"/>
      <w:bookmarkStart w:id="52" w:name="_Toc63866541"/>
      <w:bookmarkStart w:id="53" w:name="_Toc63866673"/>
      <w:bookmarkStart w:id="54" w:name="_Toc192773706"/>
      <w:r>
        <w:t xml:space="preserve">3.3 </w:t>
      </w:r>
      <w:r>
        <w:tab/>
        <w:t xml:space="preserve">NUMBER OF </w:t>
      </w:r>
      <w:r w:rsidR="00F602EB">
        <w:t>ELIGIBLE PR</w:t>
      </w:r>
      <w:r>
        <w:t>ACTITIONERS</w:t>
      </w:r>
      <w:bookmarkEnd w:id="50"/>
      <w:bookmarkEnd w:id="51"/>
      <w:bookmarkEnd w:id="52"/>
      <w:bookmarkEnd w:id="53"/>
      <w:bookmarkEnd w:id="54"/>
    </w:p>
    <w:p w14:paraId="2D38444D" w14:textId="70E2164A" w:rsidR="009B6B7B" w:rsidRPr="0030070D" w:rsidRDefault="009B6B7B" w:rsidP="00952046">
      <w:pPr>
        <w:pStyle w:val="Bullet"/>
        <w:numPr>
          <w:ilvl w:val="0"/>
          <w:numId w:val="41"/>
        </w:numPr>
        <w:spacing w:after="240"/>
      </w:pPr>
      <w:r w:rsidRPr="0030070D">
        <w:t xml:space="preserve">Appendix </w:t>
      </w:r>
      <w:r>
        <w:t>1</w:t>
      </w:r>
      <w:r w:rsidRPr="0030070D">
        <w:t xml:space="preserve"> </w:t>
      </w:r>
      <w:r>
        <w:t>sets out</w:t>
      </w:r>
      <w:r w:rsidRPr="0030070D">
        <w:t xml:space="preserve"> the test of eligibility for the Scheme and the process of issuing and notifying compulsory run</w:t>
      </w:r>
      <w:r w:rsidR="009B0312">
        <w:noBreakHyphen/>
      </w:r>
      <w:r w:rsidRPr="0030070D">
        <w:t>off cover to eligible practitioners. Eligible practitioners are entitled to receive notification of the terms and conditions of compulsory run</w:t>
      </w:r>
      <w:r w:rsidR="009B0312">
        <w:noBreakHyphen/>
      </w:r>
      <w:r w:rsidRPr="0030070D">
        <w:t xml:space="preserve">off cover from their MII. MIIs are also required to notify </w:t>
      </w:r>
      <w:r>
        <w:t>Services Australia</w:t>
      </w:r>
      <w:r w:rsidRPr="0030070D">
        <w:t xml:space="preserve"> of the details of the compulsory run</w:t>
      </w:r>
      <w:r w:rsidR="009B0312">
        <w:noBreakHyphen/>
      </w:r>
      <w:r w:rsidRPr="0030070D">
        <w:t>off cover provided.</w:t>
      </w:r>
    </w:p>
    <w:p w14:paraId="62A10A66" w14:textId="23CE6771" w:rsidR="009B6B7B" w:rsidRPr="0030070D" w:rsidRDefault="009B6B7B" w:rsidP="00952046">
      <w:pPr>
        <w:pStyle w:val="Bullet"/>
        <w:numPr>
          <w:ilvl w:val="0"/>
          <w:numId w:val="41"/>
        </w:numPr>
        <w:spacing w:after="240"/>
      </w:pPr>
      <w:r>
        <w:t>P</w:t>
      </w:r>
      <w:r w:rsidRPr="0030070D">
        <w:t>ractitioners performing private practice become eligible for the Scheme by means of permanent retirement</w:t>
      </w:r>
      <w:r>
        <w:rPr>
          <w:rStyle w:val="FootnoteReference"/>
        </w:rPr>
        <w:footnoteReference w:id="7"/>
      </w:r>
      <w:r w:rsidR="00CE2ADC">
        <w:t>,</w:t>
      </w:r>
      <w:r w:rsidRPr="0030070D">
        <w:t xml:space="preserve"> death, permanent disability or maternity </w:t>
      </w:r>
      <w:r w:rsidRPr="0030070D">
        <w:lastRenderedPageBreak/>
        <w:t xml:space="preserve">leave. In addition, </w:t>
      </w:r>
      <w:r w:rsidRPr="0021441A">
        <w:t>medical practitioners from overseas who have worked in Australia under an appropriate visa become eligible for the Scheme when they have permanently ceased medical practice in Australia an</w:t>
      </w:r>
      <w:r>
        <w:t>d ceased to reside in Australia</w:t>
      </w:r>
      <w:r w:rsidRPr="0030070D">
        <w:t>.</w:t>
      </w:r>
    </w:p>
    <w:p w14:paraId="5718CF62" w14:textId="1150DEB1" w:rsidR="009B6B7B" w:rsidRPr="007B5A5A" w:rsidRDefault="009B6B7B" w:rsidP="00952046">
      <w:pPr>
        <w:pStyle w:val="Bullet"/>
        <w:numPr>
          <w:ilvl w:val="0"/>
          <w:numId w:val="41"/>
        </w:numPr>
        <w:spacing w:after="240"/>
      </w:pPr>
      <w:r w:rsidRPr="004D4CCD">
        <w:t xml:space="preserve">There are inherent lags involved in notification of the details of eligible </w:t>
      </w:r>
      <w:r w:rsidRPr="007B5A5A">
        <w:t xml:space="preserve">practitioners to </w:t>
      </w:r>
      <w:r>
        <w:t>Services Australia</w:t>
      </w:r>
      <w:r w:rsidRPr="007B5A5A">
        <w:t xml:space="preserve">. As a result, it is only possible to estimate the number of practitioners who have become eligible for the Scheme at any given time. For example, there will often be a delay between the time that a practitioner becomes eligible for the Scheme and the time when the insurer becomes aware of this. It is also likely that an insurer is unsure of the eligibility status of a practitioner from year to year. For example, a practitioner that has not renewed their insurance may, or may not, be eligible for cover. For these reasons, the numbers of eligible practitioners reported by insurers need to be treated with caution. This report summarises the number of practitioners that have become eligible for the scheme as reported by the insurers. </w:t>
      </w:r>
      <w:r>
        <w:t>W</w:t>
      </w:r>
      <w:r w:rsidRPr="007B5A5A">
        <w:t xml:space="preserve">e have </w:t>
      </w:r>
      <w:r>
        <w:t xml:space="preserve">also </w:t>
      </w:r>
      <w:r w:rsidRPr="00775F0D">
        <w:t xml:space="preserve">attempted to estimate the total number of practitioners currently eligible </w:t>
      </w:r>
      <w:proofErr w:type="gramStart"/>
      <w:r w:rsidR="00CD777F" w:rsidRPr="00775F0D">
        <w:t>at</w:t>
      </w:r>
      <w:proofErr w:type="gramEnd"/>
      <w:r w:rsidR="00CD777F" w:rsidRPr="00775F0D">
        <w:t xml:space="preserve"> 30 June 202</w:t>
      </w:r>
      <w:r w:rsidR="00261CB0" w:rsidRPr="00775F0D">
        <w:t>4</w:t>
      </w:r>
      <w:r w:rsidRPr="00775F0D">
        <w:t xml:space="preserve"> by removing the practitioners whose eligibility subsequently ceased</w:t>
      </w:r>
      <w:r w:rsidR="00DF3418" w:rsidRPr="00775F0D">
        <w:rPr>
          <w:rStyle w:val="FootnoteReference"/>
        </w:rPr>
        <w:footnoteReference w:id="8"/>
      </w:r>
      <w:r w:rsidRPr="00775F0D">
        <w:t xml:space="preserve"> and removing</w:t>
      </w:r>
      <w:r w:rsidRPr="007B5A5A">
        <w:t xml:space="preserve"> </w:t>
      </w:r>
      <w:r w:rsidR="00E526BF">
        <w:t>repeated</w:t>
      </w:r>
      <w:r w:rsidRPr="007B5A5A">
        <w:t xml:space="preserve"> entries. </w:t>
      </w:r>
      <w:r w:rsidR="00E526BF">
        <w:t>Repeated</w:t>
      </w:r>
      <w:r w:rsidRPr="007B5A5A">
        <w:t xml:space="preserve"> entries are usually associated with maternity leave taken at different time periods</w:t>
      </w:r>
      <w:r>
        <w:t>.</w:t>
      </w:r>
    </w:p>
    <w:p w14:paraId="6DD8C4C1" w14:textId="77777777" w:rsidR="009B6B7B" w:rsidRPr="004D4CCD" w:rsidRDefault="009B6B7B" w:rsidP="00952046">
      <w:pPr>
        <w:pStyle w:val="Bullet"/>
        <w:numPr>
          <w:ilvl w:val="0"/>
          <w:numId w:val="41"/>
        </w:numPr>
        <w:spacing w:after="240"/>
      </w:pPr>
      <w:r w:rsidRPr="004D4CCD">
        <w:t>The number of practitioners who have become eligible for the Scheme in this report is based on:</w:t>
      </w:r>
    </w:p>
    <w:p w14:paraId="30011E5E" w14:textId="3E03B404" w:rsidR="009B6B7B" w:rsidRPr="00775F0D" w:rsidRDefault="009B6B7B" w:rsidP="00952046">
      <w:pPr>
        <w:pStyle w:val="Bullet"/>
        <w:numPr>
          <w:ilvl w:val="0"/>
          <w:numId w:val="34"/>
        </w:numPr>
        <w:spacing w:after="240"/>
      </w:pPr>
      <w:r w:rsidRPr="0030070D">
        <w:t xml:space="preserve">data provided to </w:t>
      </w:r>
      <w:r>
        <w:t>Services Australia</w:t>
      </w:r>
      <w:r w:rsidRPr="0030070D">
        <w:t xml:space="preserve"> by the medical indemnity industry relating to practitioners identified as having become eligible bet</w:t>
      </w:r>
      <w:r w:rsidR="001E0F7C">
        <w:t xml:space="preserve">ween 1 July 2004 and </w:t>
      </w:r>
      <w:r w:rsidR="001E0F7C" w:rsidRPr="00CF469C">
        <w:t>30 </w:t>
      </w:r>
      <w:r w:rsidR="001E0F7C" w:rsidRPr="00775F0D">
        <w:t>June 202</w:t>
      </w:r>
      <w:r w:rsidR="00BF2D05" w:rsidRPr="00775F0D">
        <w:t>4</w:t>
      </w:r>
    </w:p>
    <w:p w14:paraId="35F6D889" w14:textId="4B20ACF6" w:rsidR="009B6B7B" w:rsidRPr="0030070D" w:rsidRDefault="009B6B7B" w:rsidP="00952046">
      <w:pPr>
        <w:pStyle w:val="Bullet"/>
        <w:numPr>
          <w:ilvl w:val="0"/>
          <w:numId w:val="34"/>
        </w:numPr>
        <w:spacing w:after="240"/>
      </w:pPr>
      <w:r w:rsidRPr="0030070D">
        <w:t xml:space="preserve">industry estimates of practitioners eligible for the Scheme as </w:t>
      </w:r>
      <w:proofErr w:type="gramStart"/>
      <w:r w:rsidRPr="0030070D">
        <w:t>at</w:t>
      </w:r>
      <w:proofErr w:type="gramEnd"/>
      <w:r w:rsidRPr="0030070D">
        <w:t xml:space="preserve"> 1</w:t>
      </w:r>
      <w:r w:rsidR="001907EC">
        <w:t> </w:t>
      </w:r>
      <w:r w:rsidRPr="0030070D">
        <w:t>July</w:t>
      </w:r>
      <w:r w:rsidR="001907EC">
        <w:t> </w:t>
      </w:r>
      <w:r w:rsidRPr="0030070D">
        <w:t>2004, provided for the purpose of the 2004</w:t>
      </w:r>
      <w:r w:rsidR="009B0312">
        <w:noBreakHyphen/>
      </w:r>
      <w:r w:rsidRPr="0030070D">
        <w:t>05 report.</w:t>
      </w:r>
    </w:p>
    <w:p w14:paraId="59DDD82F" w14:textId="55755E1C" w:rsidR="009B6B7B" w:rsidRPr="0030070D" w:rsidRDefault="009B6B7B" w:rsidP="00952046">
      <w:pPr>
        <w:pStyle w:val="Bullet"/>
        <w:numPr>
          <w:ilvl w:val="0"/>
          <w:numId w:val="41"/>
        </w:numPr>
        <w:spacing w:after="240"/>
      </w:pPr>
      <w:r w:rsidRPr="0030070D">
        <w:t xml:space="preserve">We have relied </w:t>
      </w:r>
      <w:r>
        <w:t>almost entirely</w:t>
      </w:r>
      <w:r w:rsidRPr="0030070D">
        <w:t xml:space="preserve"> on the eligibility data provided by the industry. As has been the case in all previous reviews, data changes from year to year </w:t>
      </w:r>
      <w:r>
        <w:t xml:space="preserve">and inconsistencies within data </w:t>
      </w:r>
      <w:r w:rsidRPr="0030070D">
        <w:t>undermine the reliability of the information. Table 1 summarises the data provided by the industry.</w:t>
      </w:r>
    </w:p>
    <w:p w14:paraId="0BF2F346" w14:textId="62C1D93D" w:rsidR="00B42356" w:rsidRPr="001518FD" w:rsidRDefault="00B42356" w:rsidP="0040224A">
      <w:pPr>
        <w:pStyle w:val="Caption"/>
      </w:pPr>
      <w:bookmarkStart w:id="55" w:name="_Toc63865411"/>
      <w:bookmarkStart w:id="56" w:name="_Toc63866212"/>
      <w:bookmarkStart w:id="57" w:name="_Toc63866542"/>
      <w:bookmarkStart w:id="58" w:name="_Toc63866674"/>
      <w:r w:rsidRPr="00D870CE">
        <w:lastRenderedPageBreak/>
        <w:t>Table 1:</w:t>
      </w:r>
      <w:r w:rsidRPr="001A6C53">
        <w:t xml:space="preserve"> Run</w:t>
      </w:r>
      <w:r w:rsidR="009B0312" w:rsidRPr="001A6C53">
        <w:noBreakHyphen/>
      </w:r>
      <w:r w:rsidRPr="001A6C53">
        <w:t>Off Cover Scheme eligible practitioners</w:t>
      </w:r>
    </w:p>
    <w:p w14:paraId="59E31CA0" w14:textId="1428F6D1" w:rsidR="00E23210" w:rsidRDefault="00D870CE" w:rsidP="00E23210">
      <w:pPr>
        <w:spacing w:line="240" w:lineRule="auto"/>
        <w:jc w:val="right"/>
      </w:pPr>
      <w:r w:rsidRPr="00D870CE">
        <w:rPr>
          <w:noProof/>
        </w:rPr>
        <w:drawing>
          <wp:inline distT="0" distB="0" distL="0" distR="0" wp14:anchorId="3A766D1F" wp14:editId="5A554445">
            <wp:extent cx="4565650" cy="3295650"/>
            <wp:effectExtent l="0" t="0" r="6350" b="0"/>
            <wp:docPr id="827987352" name="Picture 1" descr="The number of currently eligible practitioners has grown from 26,139  to 26,401 over the period of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650" cy="3295650"/>
                    </a:xfrm>
                    <a:prstGeom prst="rect">
                      <a:avLst/>
                    </a:prstGeom>
                    <a:noFill/>
                    <a:ln>
                      <a:noFill/>
                    </a:ln>
                  </pic:spPr>
                </pic:pic>
              </a:graphicData>
            </a:graphic>
          </wp:inline>
        </w:drawing>
      </w:r>
    </w:p>
    <w:p w14:paraId="78236EB3" w14:textId="50AFB7AB" w:rsidR="00966B1E" w:rsidRDefault="00B42356" w:rsidP="00952046">
      <w:pPr>
        <w:pStyle w:val="Bullet"/>
        <w:numPr>
          <w:ilvl w:val="0"/>
          <w:numId w:val="41"/>
        </w:numPr>
        <w:spacing w:after="240"/>
      </w:pPr>
      <w:r w:rsidRPr="00CF469C">
        <w:t xml:space="preserve">We </w:t>
      </w:r>
      <w:r w:rsidRPr="00D870CE">
        <w:t xml:space="preserve">estimate that </w:t>
      </w:r>
      <w:r w:rsidR="00746AB6" w:rsidRPr="00D870CE">
        <w:t>at least 2</w:t>
      </w:r>
      <w:r w:rsidR="00733CFE">
        <w:t>6</w:t>
      </w:r>
      <w:r w:rsidR="00C62200" w:rsidRPr="00D870CE">
        <w:t>,</w:t>
      </w:r>
      <w:r w:rsidR="00D870CE" w:rsidRPr="00D870CE">
        <w:t>401</w:t>
      </w:r>
      <w:r w:rsidRPr="00D870CE">
        <w:t xml:space="preserve"> practitioners </w:t>
      </w:r>
      <w:r w:rsidR="00E0317E" w:rsidRPr="00D870CE">
        <w:t>were</w:t>
      </w:r>
      <w:r w:rsidRPr="00D870CE">
        <w:t xml:space="preserve"> eligible for ROCS </w:t>
      </w:r>
      <w:proofErr w:type="gramStart"/>
      <w:r w:rsidRPr="00D870CE">
        <w:t>at</w:t>
      </w:r>
      <w:proofErr w:type="gramEnd"/>
      <w:r w:rsidRPr="00D870CE">
        <w:t xml:space="preserve"> </w:t>
      </w:r>
      <w:r w:rsidR="00BA2937" w:rsidRPr="00D870CE">
        <w:t>30</w:t>
      </w:r>
      <w:r w:rsidR="008D259C" w:rsidRPr="00D870CE">
        <w:t> </w:t>
      </w:r>
      <w:r w:rsidR="00BA2937" w:rsidRPr="00D870CE">
        <w:t>June 202</w:t>
      </w:r>
      <w:r w:rsidR="00C62200" w:rsidRPr="00D870CE">
        <w:t>4</w:t>
      </w:r>
      <w:r w:rsidRPr="00D870CE">
        <w:t>. If a practitioner</w:t>
      </w:r>
      <w:r w:rsidRPr="00CF469C">
        <w:t xml:space="preserve"> had </w:t>
      </w:r>
      <w:r w:rsidR="00DF412F">
        <w:t>repeated</w:t>
      </w:r>
      <w:r w:rsidRPr="00CF469C">
        <w:t xml:space="preserve"> entries, we have used the most recent eligibility start </w:t>
      </w:r>
      <w:r w:rsidRPr="007E6C66">
        <w:t>date in Table 1.</w:t>
      </w:r>
      <w:r w:rsidR="00EB7FA0" w:rsidRPr="007E6C66">
        <w:t xml:space="preserve"> </w:t>
      </w:r>
      <w:r w:rsidR="00262083" w:rsidRPr="007E6C66">
        <w:t xml:space="preserve">The </w:t>
      </w:r>
      <w:r w:rsidR="008857DF" w:rsidRPr="007E6C66">
        <w:t>decrease</w:t>
      </w:r>
      <w:r w:rsidR="00262083" w:rsidRPr="007E6C66">
        <w:t xml:space="preserve"> in the number of eligible </w:t>
      </w:r>
      <w:r w:rsidR="00E45C07" w:rsidRPr="007E6C66">
        <w:t>practitioners</w:t>
      </w:r>
      <w:r w:rsidR="00262083" w:rsidRPr="007E6C66">
        <w:t xml:space="preserve"> </w:t>
      </w:r>
      <w:r w:rsidR="00733CFE" w:rsidRPr="007E6C66">
        <w:t xml:space="preserve">prior to 2023-24 due to the cessation of the </w:t>
      </w:r>
      <w:r w:rsidR="000E55A4" w:rsidRPr="007E6C66">
        <w:t xml:space="preserve">temporary </w:t>
      </w:r>
      <w:r w:rsidR="00733CFE" w:rsidRPr="007E6C66">
        <w:t>exemption was more than offset by the new entrants in 2023-24. Th</w:t>
      </w:r>
      <w:r w:rsidR="000E55A4" w:rsidRPr="007E6C66">
        <w:t>is</w:t>
      </w:r>
      <w:r w:rsidR="000C609D" w:rsidRPr="007E6C66">
        <w:t xml:space="preserve"> </w:t>
      </w:r>
      <w:r w:rsidR="00D066B3" w:rsidRPr="007E6C66">
        <w:t>temporary exemption</w:t>
      </w:r>
      <w:r w:rsidR="00503D9D" w:rsidRPr="007E6C66">
        <w:t xml:space="preserve"> </w:t>
      </w:r>
      <w:r w:rsidR="00844E3F" w:rsidRPr="007E6C66">
        <w:t xml:space="preserve">stipulated by the Medical Indemnity Rules 2020 </w:t>
      </w:r>
      <w:r w:rsidR="00503D9D" w:rsidRPr="007E6C66">
        <w:t>allowed</w:t>
      </w:r>
      <w:r w:rsidR="001C4DEE" w:rsidRPr="007E6C66">
        <w:t xml:space="preserve"> </w:t>
      </w:r>
      <w:r w:rsidR="00C4729C" w:rsidRPr="007E6C66">
        <w:t>ROCS eligible practitioners to return to private practice without losing their eligibility status</w:t>
      </w:r>
      <w:r w:rsidR="00503D9D" w:rsidRPr="007E6C66">
        <w:t xml:space="preserve">. </w:t>
      </w:r>
    </w:p>
    <w:p w14:paraId="45E75CB5" w14:textId="67D5CE1D" w:rsidR="00B42356" w:rsidRPr="0094783D" w:rsidRDefault="00844E3F" w:rsidP="0072285D">
      <w:pPr>
        <w:pStyle w:val="Bullet"/>
        <w:numPr>
          <w:ilvl w:val="0"/>
          <w:numId w:val="41"/>
        </w:numPr>
        <w:spacing w:after="240"/>
        <w:rPr>
          <w:color w:val="auto"/>
        </w:rPr>
      </w:pPr>
      <w:r>
        <w:t>We have</w:t>
      </w:r>
      <w:r w:rsidR="00746AB6" w:rsidRPr="0094783D">
        <w:t xml:space="preserve"> excluded practitioners who appeared to have returned to private practice as evidenced by their material ROCS contributions during the </w:t>
      </w:r>
      <w:r w:rsidR="00CF469C" w:rsidRPr="0094783D">
        <w:t xml:space="preserve">most recent </w:t>
      </w:r>
      <w:r w:rsidR="00746AB6" w:rsidRPr="0094783D">
        <w:t xml:space="preserve">year. </w:t>
      </w:r>
      <w:r w:rsidR="00B42356" w:rsidRPr="0094783D">
        <w:t xml:space="preserve">This </w:t>
      </w:r>
      <w:r w:rsidR="00AC6FEA" w:rsidRPr="0094783D">
        <w:t>approach is</w:t>
      </w:r>
      <w:r w:rsidR="00B42356" w:rsidRPr="0094783D">
        <w:t xml:space="preserve"> more closely aligned with the requirement of the Medical Indemnity Act.</w:t>
      </w:r>
      <w:r w:rsidR="0039477C" w:rsidRPr="0094783D">
        <w:t xml:space="preserve"> </w:t>
      </w:r>
    </w:p>
    <w:p w14:paraId="3E4EDD16" w14:textId="1E18FCEC" w:rsidR="00B42356" w:rsidRPr="00DC4970" w:rsidRDefault="00B42356" w:rsidP="00952046">
      <w:pPr>
        <w:pStyle w:val="Bullet"/>
        <w:numPr>
          <w:ilvl w:val="0"/>
          <w:numId w:val="41"/>
        </w:numPr>
        <w:spacing w:after="240"/>
      </w:pPr>
      <w:r w:rsidRPr="00DC4970">
        <w:t xml:space="preserve">Apart </w:t>
      </w:r>
      <w:r w:rsidR="00302E71" w:rsidRPr="00AB3428">
        <w:t xml:space="preserve">from the </w:t>
      </w:r>
      <w:r w:rsidR="00621EDC" w:rsidRPr="00AB3428">
        <w:t>cessation</w:t>
      </w:r>
      <w:r w:rsidR="00C615BA" w:rsidRPr="00AB3428">
        <w:t xml:space="preserve"> of the eligibility exemption</w:t>
      </w:r>
      <w:r w:rsidR="00BC5572">
        <w:t xml:space="preserve"> that is uniq</w:t>
      </w:r>
      <w:r w:rsidR="002F5046">
        <w:t>ue in this year’s data</w:t>
      </w:r>
      <w:r w:rsidRPr="00AB3428">
        <w:t xml:space="preserve">, </w:t>
      </w:r>
      <w:r w:rsidR="00CD34E1" w:rsidRPr="00AB3428">
        <w:t xml:space="preserve">a reduction in </w:t>
      </w:r>
      <w:r w:rsidRPr="00AB3428">
        <w:t>the number of eligible practitioners</w:t>
      </w:r>
      <w:r w:rsidR="00AB3428">
        <w:t xml:space="preserve"> </w:t>
      </w:r>
      <w:r w:rsidR="002F5046">
        <w:t>f</w:t>
      </w:r>
      <w:r w:rsidR="00AB3428">
        <w:t>or past years</w:t>
      </w:r>
      <w:r w:rsidRPr="00AB3428">
        <w:t xml:space="preserve"> is </w:t>
      </w:r>
      <w:r w:rsidR="006D7034" w:rsidRPr="00AB3428">
        <w:t>normal</w:t>
      </w:r>
      <w:r w:rsidR="002F5046">
        <w:t xml:space="preserve"> as some return</w:t>
      </w:r>
      <w:r w:rsidRPr="00AB3428">
        <w:t xml:space="preserve"> to private practice. For example, a significant number of practitioners who became eligible through</w:t>
      </w:r>
      <w:r w:rsidRPr="00DC4970">
        <w:t xml:space="preserve"> maternity leave would have </w:t>
      </w:r>
      <w:r w:rsidR="006D7034" w:rsidRPr="00DC4970">
        <w:t xml:space="preserve">normally </w:t>
      </w:r>
      <w:r w:rsidRPr="00DC4970">
        <w:t xml:space="preserve">ceased eligibility once they returned to work. This is consistent with our assumption that maternity leave is temporary. </w:t>
      </w:r>
      <w:r w:rsidR="00CD4CD8" w:rsidRPr="00DC4970">
        <w:t xml:space="preserve">The remaining small differences are </w:t>
      </w:r>
      <w:r w:rsidR="006E28C7" w:rsidRPr="00DC4970">
        <w:t xml:space="preserve">probably </w:t>
      </w:r>
      <w:r w:rsidR="00CD4CD8" w:rsidRPr="00DC4970">
        <w:t xml:space="preserve">attributable to administrative data changes. </w:t>
      </w:r>
    </w:p>
    <w:p w14:paraId="354E133C" w14:textId="6D8BCBA5" w:rsidR="00812655" w:rsidRDefault="00B42356" w:rsidP="00952046">
      <w:pPr>
        <w:pStyle w:val="Bullet"/>
        <w:numPr>
          <w:ilvl w:val="0"/>
          <w:numId w:val="41"/>
        </w:numPr>
        <w:spacing w:after="240"/>
      </w:pPr>
      <w:r w:rsidRPr="0023694A">
        <w:lastRenderedPageBreak/>
        <w:t>Table 2 illustrates the breakup of new entrants by reason of eligibility, based on</w:t>
      </w:r>
      <w:bookmarkStart w:id="59" w:name="_Ref219177478"/>
      <w:r w:rsidRPr="0023694A">
        <w:t xml:space="preserve"> the data provided by the MIIs. The numbers are not directly comparable with Table 1 as they include </w:t>
      </w:r>
      <w:r w:rsidR="00944B00">
        <w:t xml:space="preserve">all </w:t>
      </w:r>
      <w:r w:rsidRPr="0023694A">
        <w:t>practitioners whose eligibility has subsequently ceased</w:t>
      </w:r>
      <w:r w:rsidR="00CE2ADC">
        <w:t>,</w:t>
      </w:r>
      <w:r w:rsidRPr="0023694A">
        <w:t xml:space="preserve"> and they include </w:t>
      </w:r>
      <w:r w:rsidR="001873F3">
        <w:t>repeated</w:t>
      </w:r>
      <w:r w:rsidRPr="0023694A">
        <w:t xml:space="preserve"> entries in different </w:t>
      </w:r>
      <w:r w:rsidR="001873F3">
        <w:t>years</w:t>
      </w:r>
      <w:r w:rsidRPr="0023694A">
        <w:t xml:space="preserve">. </w:t>
      </w:r>
    </w:p>
    <w:p w14:paraId="6697CED4" w14:textId="77777777" w:rsidR="00E84E0D" w:rsidRPr="00FD06D5" w:rsidRDefault="00E84E0D" w:rsidP="0040224A">
      <w:pPr>
        <w:pStyle w:val="Caption"/>
      </w:pPr>
      <w:r w:rsidRPr="000246BE">
        <w:t>Table 2:</w:t>
      </w:r>
      <w:r w:rsidRPr="001A6C53">
        <w:t xml:space="preserve"> Run</w:t>
      </w:r>
      <w:r w:rsidRPr="001A6C53">
        <w:noBreakHyphen/>
        <w:t>Off Cover Scheme new entrants by reason of eligibility</w:t>
      </w:r>
    </w:p>
    <w:p w14:paraId="6B0F03EC" w14:textId="3B090F33" w:rsidR="00E84E0D" w:rsidRDefault="000246BE" w:rsidP="009B65C4">
      <w:pPr>
        <w:pStyle w:val="Bullet"/>
        <w:numPr>
          <w:ilvl w:val="0"/>
          <w:numId w:val="0"/>
        </w:numPr>
        <w:spacing w:after="240" w:line="240" w:lineRule="auto"/>
        <w:jc w:val="center"/>
      </w:pPr>
      <w:r w:rsidRPr="000246BE">
        <w:rPr>
          <w:noProof/>
        </w:rPr>
        <w:drawing>
          <wp:inline distT="0" distB="0" distL="0" distR="0" wp14:anchorId="1F0A9F5E" wp14:editId="1B4D3228">
            <wp:extent cx="4895848" cy="1527810"/>
            <wp:effectExtent l="0" t="0" r="0" b="0"/>
            <wp:docPr id="1929782306" name="Picture 2" descr="There were 2,436 reported new entrant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48" cy="1527810"/>
                    </a:xfrm>
                    <a:prstGeom prst="rect">
                      <a:avLst/>
                    </a:prstGeom>
                    <a:noFill/>
                    <a:ln>
                      <a:noFill/>
                    </a:ln>
                  </pic:spPr>
                </pic:pic>
              </a:graphicData>
            </a:graphic>
          </wp:inline>
        </w:drawing>
      </w:r>
    </w:p>
    <w:p w14:paraId="1CFE29B9" w14:textId="5EAB3B4A" w:rsidR="00F349EE" w:rsidRPr="00362D39" w:rsidRDefault="00B67D0E" w:rsidP="00952046">
      <w:pPr>
        <w:pStyle w:val="Bullet"/>
        <w:numPr>
          <w:ilvl w:val="0"/>
          <w:numId w:val="41"/>
        </w:numPr>
        <w:spacing w:after="240"/>
        <w:rPr>
          <w:color w:val="auto"/>
        </w:rPr>
      </w:pPr>
      <w:r w:rsidRPr="00DC4970">
        <w:rPr>
          <w:color w:val="auto"/>
        </w:rPr>
        <w:t xml:space="preserve">The reduction in new entrants through permanent disability and death is noteworthy, although they are relatively insignificant. </w:t>
      </w:r>
      <w:r w:rsidR="002A78F0">
        <w:rPr>
          <w:color w:val="auto"/>
        </w:rPr>
        <w:t>D</w:t>
      </w:r>
      <w:r w:rsidR="00812655" w:rsidRPr="00362D39">
        <w:rPr>
          <w:color w:val="auto"/>
        </w:rPr>
        <w:t xml:space="preserve">elays in reporting have </w:t>
      </w:r>
      <w:r w:rsidR="00B65C58" w:rsidRPr="00362D39">
        <w:rPr>
          <w:color w:val="auto"/>
        </w:rPr>
        <w:t xml:space="preserve">likely </w:t>
      </w:r>
      <w:r w:rsidR="00FF2AC0" w:rsidRPr="00362D39">
        <w:rPr>
          <w:color w:val="auto"/>
        </w:rPr>
        <w:t xml:space="preserve">obscured the </w:t>
      </w:r>
      <w:r w:rsidR="00FF2AC0" w:rsidRPr="00D02E81">
        <w:rPr>
          <w:color w:val="auto"/>
        </w:rPr>
        <w:t>real</w:t>
      </w:r>
      <w:r w:rsidR="00812655" w:rsidRPr="00D02E81">
        <w:rPr>
          <w:color w:val="auto"/>
        </w:rPr>
        <w:t xml:space="preserve"> 202</w:t>
      </w:r>
      <w:r w:rsidR="00DB2CF3" w:rsidRPr="00D02E81">
        <w:rPr>
          <w:color w:val="auto"/>
        </w:rPr>
        <w:t>3</w:t>
      </w:r>
      <w:r w:rsidR="00812655" w:rsidRPr="00D02E81">
        <w:rPr>
          <w:color w:val="auto"/>
        </w:rPr>
        <w:t>-2</w:t>
      </w:r>
      <w:r w:rsidR="00DB2CF3" w:rsidRPr="00D02E81">
        <w:rPr>
          <w:color w:val="auto"/>
        </w:rPr>
        <w:t>4</w:t>
      </w:r>
      <w:r w:rsidR="00FF2AC0" w:rsidRPr="00362D39">
        <w:rPr>
          <w:color w:val="auto"/>
        </w:rPr>
        <w:t xml:space="preserve"> experience</w:t>
      </w:r>
      <w:r w:rsidR="00812655" w:rsidRPr="00362D39">
        <w:rPr>
          <w:color w:val="auto"/>
        </w:rPr>
        <w:t xml:space="preserve">. </w:t>
      </w:r>
      <w:r w:rsidR="00F349EE" w:rsidRPr="00362D39">
        <w:rPr>
          <w:color w:val="auto"/>
        </w:rPr>
        <w:t xml:space="preserve">As was the case in previous years, the </w:t>
      </w:r>
      <w:r w:rsidR="009B0312" w:rsidRPr="00362D39">
        <w:rPr>
          <w:color w:val="auto"/>
        </w:rPr>
        <w:t>“</w:t>
      </w:r>
      <w:r w:rsidR="00F349EE" w:rsidRPr="00362D39">
        <w:rPr>
          <w:color w:val="auto"/>
        </w:rPr>
        <w:t>Other</w:t>
      </w:r>
      <w:r w:rsidR="009B0312" w:rsidRPr="00362D39">
        <w:rPr>
          <w:color w:val="auto"/>
        </w:rPr>
        <w:t>”</w:t>
      </w:r>
      <w:r w:rsidR="00F349EE" w:rsidRPr="00362D39">
        <w:rPr>
          <w:color w:val="auto"/>
        </w:rPr>
        <w:t xml:space="preserve"> category can be ignored as they are not expected to contribute materially to the cost of the scheme. </w:t>
      </w:r>
    </w:p>
    <w:p w14:paraId="52F41F29" w14:textId="2D40EB26" w:rsidR="00FD2818" w:rsidRPr="00362D39" w:rsidRDefault="00FD2818" w:rsidP="00FD2818">
      <w:pPr>
        <w:pStyle w:val="Bullet"/>
        <w:numPr>
          <w:ilvl w:val="0"/>
          <w:numId w:val="41"/>
        </w:numPr>
        <w:spacing w:after="240"/>
        <w:rPr>
          <w:color w:val="auto"/>
        </w:rPr>
      </w:pPr>
      <w:r>
        <w:rPr>
          <w:color w:val="auto"/>
        </w:rPr>
        <w:t xml:space="preserve">For categories other than resignation, </w:t>
      </w:r>
      <w:r w:rsidR="00690AB4">
        <w:rPr>
          <w:color w:val="auto"/>
        </w:rPr>
        <w:t xml:space="preserve">the number of </w:t>
      </w:r>
      <w:r w:rsidR="006A2432">
        <w:rPr>
          <w:color w:val="auto"/>
        </w:rPr>
        <w:t xml:space="preserve">new entrants </w:t>
      </w:r>
      <w:r w:rsidR="00690AB4">
        <w:rPr>
          <w:color w:val="auto"/>
        </w:rPr>
        <w:t xml:space="preserve">fell </w:t>
      </w:r>
      <w:r w:rsidR="006A2432">
        <w:rPr>
          <w:color w:val="auto"/>
        </w:rPr>
        <w:t>in 2020-21</w:t>
      </w:r>
      <w:r w:rsidR="008B6254">
        <w:rPr>
          <w:color w:val="auto"/>
        </w:rPr>
        <w:t xml:space="preserve">. This may have been influenced by COVID-19. </w:t>
      </w:r>
      <w:r w:rsidRPr="00362D39">
        <w:rPr>
          <w:color w:val="auto"/>
        </w:rPr>
        <w:t xml:space="preserve">The one-off jump in new </w:t>
      </w:r>
      <w:r w:rsidR="00690AB4">
        <w:rPr>
          <w:color w:val="auto"/>
        </w:rPr>
        <w:t>resignations</w:t>
      </w:r>
      <w:r w:rsidRPr="00362D39">
        <w:rPr>
          <w:color w:val="auto"/>
        </w:rPr>
        <w:t xml:space="preserve"> in 2020-21 is </w:t>
      </w:r>
      <w:r>
        <w:rPr>
          <w:color w:val="auto"/>
        </w:rPr>
        <w:t>due to</w:t>
      </w:r>
      <w:r w:rsidRPr="00362D39">
        <w:rPr>
          <w:color w:val="auto"/>
        </w:rPr>
        <w:t xml:space="preserve"> the removal of the three-year waiting period</w:t>
      </w:r>
      <w:r w:rsidRPr="00F27549">
        <w:rPr>
          <w:color w:val="auto"/>
        </w:rPr>
        <w:t xml:space="preserve">. </w:t>
      </w:r>
      <w:r w:rsidR="00490183" w:rsidRPr="00F27549">
        <w:rPr>
          <w:color w:val="auto"/>
        </w:rPr>
        <w:t>The impact of COVID</w:t>
      </w:r>
      <w:r w:rsidR="00490183" w:rsidRPr="00F27549">
        <w:rPr>
          <w:color w:val="auto"/>
        </w:rPr>
        <w:noBreakHyphen/>
        <w:t xml:space="preserve">19 </w:t>
      </w:r>
      <w:r w:rsidR="00F27549" w:rsidRPr="00F27549">
        <w:rPr>
          <w:color w:val="auto"/>
        </w:rPr>
        <w:t>has</w:t>
      </w:r>
      <w:r w:rsidR="00490183" w:rsidRPr="00F27549">
        <w:rPr>
          <w:color w:val="auto"/>
        </w:rPr>
        <w:t xml:space="preserve"> diminish</w:t>
      </w:r>
      <w:r w:rsidR="00F27549" w:rsidRPr="00F27549">
        <w:rPr>
          <w:color w:val="auto"/>
        </w:rPr>
        <w:t>ed</w:t>
      </w:r>
      <w:r w:rsidR="00490183" w:rsidRPr="00F27549">
        <w:rPr>
          <w:color w:val="auto"/>
        </w:rPr>
        <w:t xml:space="preserve"> over time</w:t>
      </w:r>
      <w:r w:rsidR="00F27549">
        <w:rPr>
          <w:color w:val="auto"/>
        </w:rPr>
        <w:t xml:space="preserve">, and the above table has excluded the </w:t>
      </w:r>
      <w:r w:rsidR="00B604C5">
        <w:rPr>
          <w:color w:val="auto"/>
        </w:rPr>
        <w:t>impact of the temporary exemption</w:t>
      </w:r>
      <w:r w:rsidR="00F27549" w:rsidRPr="00F27549">
        <w:rPr>
          <w:color w:val="auto"/>
        </w:rPr>
        <w:t>.</w:t>
      </w:r>
      <w:r w:rsidR="004E4314">
        <w:rPr>
          <w:color w:val="auto"/>
        </w:rPr>
        <w:t xml:space="preserve"> </w:t>
      </w:r>
    </w:p>
    <w:p w14:paraId="72847C64" w14:textId="184AD494" w:rsidR="00B42356" w:rsidRPr="00362D39" w:rsidRDefault="00C64230" w:rsidP="00952046">
      <w:pPr>
        <w:pStyle w:val="Bullet"/>
        <w:numPr>
          <w:ilvl w:val="0"/>
          <w:numId w:val="41"/>
        </w:numPr>
        <w:spacing w:after="240"/>
        <w:rPr>
          <w:color w:val="auto"/>
        </w:rPr>
      </w:pPr>
      <w:r>
        <w:rPr>
          <w:color w:val="auto"/>
        </w:rPr>
        <w:t>W</w:t>
      </w:r>
      <w:r w:rsidR="00E506C3" w:rsidRPr="00362D39">
        <w:rPr>
          <w:color w:val="auto"/>
        </w:rPr>
        <w:t xml:space="preserve">e have </w:t>
      </w:r>
      <w:r w:rsidR="00F349EE" w:rsidRPr="00362D39">
        <w:rPr>
          <w:color w:val="auto"/>
        </w:rPr>
        <w:t>retained</w:t>
      </w:r>
      <w:r w:rsidR="00B42356" w:rsidRPr="00362D39">
        <w:rPr>
          <w:color w:val="auto"/>
        </w:rPr>
        <w:t xml:space="preserve"> the</w:t>
      </w:r>
      <w:r w:rsidR="00F349EE" w:rsidRPr="00362D39">
        <w:rPr>
          <w:color w:val="auto"/>
        </w:rPr>
        <w:t xml:space="preserve"> previous long term</w:t>
      </w:r>
      <w:r w:rsidR="00B42356" w:rsidRPr="00362D39">
        <w:rPr>
          <w:color w:val="auto"/>
        </w:rPr>
        <w:t xml:space="preserve"> eligibility assumptions</w:t>
      </w:r>
      <w:r w:rsidR="00F349EE" w:rsidRPr="00362D39">
        <w:rPr>
          <w:color w:val="auto"/>
        </w:rPr>
        <w:t xml:space="preserve"> for our new accrual model</w:t>
      </w:r>
      <w:r w:rsidR="006F2576">
        <w:rPr>
          <w:color w:val="auto"/>
        </w:rPr>
        <w:t>. Note that the</w:t>
      </w:r>
      <w:r w:rsidR="00630404" w:rsidRPr="00362D39">
        <w:rPr>
          <w:color w:val="auto"/>
        </w:rPr>
        <w:t xml:space="preserve"> resignation </w:t>
      </w:r>
      <w:r w:rsidR="006F2576">
        <w:rPr>
          <w:color w:val="auto"/>
        </w:rPr>
        <w:t xml:space="preserve">assumptions were </w:t>
      </w:r>
      <w:r w:rsidR="006F2576" w:rsidRPr="00527C02">
        <w:rPr>
          <w:color w:val="auto"/>
        </w:rPr>
        <w:t xml:space="preserve">updated </w:t>
      </w:r>
      <w:r w:rsidR="008F339C" w:rsidRPr="00527C02">
        <w:rPr>
          <w:color w:val="auto"/>
        </w:rPr>
        <w:t>in 2023</w:t>
      </w:r>
      <w:r w:rsidR="00B42356" w:rsidRPr="00527C02">
        <w:rPr>
          <w:color w:val="auto"/>
        </w:rPr>
        <w:t>.</w:t>
      </w:r>
      <w:r w:rsidR="00B42356" w:rsidRPr="00362D39">
        <w:rPr>
          <w:color w:val="auto"/>
        </w:rPr>
        <w:t xml:space="preserve"> The eligibility assumptions are subject to review each year, and we will continue to monitor and review the </w:t>
      </w:r>
      <w:r w:rsidR="006F2576">
        <w:rPr>
          <w:color w:val="auto"/>
        </w:rPr>
        <w:t xml:space="preserve">emerging </w:t>
      </w:r>
      <w:r w:rsidR="00B42356" w:rsidRPr="00362D39">
        <w:rPr>
          <w:color w:val="auto"/>
        </w:rPr>
        <w:t>experience.</w:t>
      </w:r>
      <w:r w:rsidR="004041C6" w:rsidRPr="00362D39">
        <w:rPr>
          <w:color w:val="auto"/>
        </w:rPr>
        <w:t xml:space="preserve"> </w:t>
      </w:r>
      <w:r w:rsidR="00122D32">
        <w:rPr>
          <w:color w:val="auto"/>
        </w:rPr>
        <w:t xml:space="preserve">More discussions are contained in Appendix 5. </w:t>
      </w:r>
    </w:p>
    <w:p w14:paraId="526692DB" w14:textId="4FDCA2DE" w:rsidR="00B42356" w:rsidRPr="00D25280" w:rsidRDefault="00B42356" w:rsidP="00D25280">
      <w:pPr>
        <w:pStyle w:val="Heading2"/>
        <w:numPr>
          <w:ilvl w:val="0"/>
          <w:numId w:val="0"/>
        </w:numPr>
      </w:pPr>
      <w:bookmarkStart w:id="60" w:name="_Toc192773707"/>
      <w:bookmarkEnd w:id="59"/>
      <w:r w:rsidRPr="002158D1">
        <w:t>3.4</w:t>
      </w:r>
      <w:r w:rsidRPr="002158D1">
        <w:tab/>
      </w:r>
      <w:bookmarkStart w:id="61" w:name="_Toc425348050"/>
      <w:bookmarkStart w:id="62" w:name="_Toc35502563"/>
      <w:bookmarkEnd w:id="55"/>
      <w:bookmarkEnd w:id="56"/>
      <w:bookmarkEnd w:id="57"/>
      <w:bookmarkEnd w:id="58"/>
      <w:r w:rsidR="001D00A0" w:rsidRPr="002158D1">
        <w:t>NUMBER OF CLAIMS ELIGIBLE FOR RUN</w:t>
      </w:r>
      <w:r w:rsidR="009B0312">
        <w:noBreakHyphen/>
      </w:r>
      <w:r w:rsidR="001D00A0" w:rsidRPr="002158D1">
        <w:t>OFF COVER INDEMNITY PAYMENTS</w:t>
      </w:r>
      <w:bookmarkEnd w:id="60"/>
      <w:bookmarkEnd w:id="61"/>
      <w:bookmarkEnd w:id="62"/>
    </w:p>
    <w:p w14:paraId="5717EECA" w14:textId="6C768402" w:rsidR="00B42356" w:rsidRPr="0030070D" w:rsidRDefault="00B42356" w:rsidP="00952046">
      <w:pPr>
        <w:pStyle w:val="Bullet"/>
        <w:numPr>
          <w:ilvl w:val="0"/>
          <w:numId w:val="42"/>
        </w:numPr>
        <w:spacing w:after="240"/>
      </w:pPr>
      <w:bookmarkStart w:id="63" w:name="_Hlk64894814"/>
      <w:bookmarkStart w:id="64" w:name="_Toc63865412"/>
      <w:bookmarkStart w:id="65" w:name="_Toc63866213"/>
      <w:bookmarkStart w:id="66" w:name="_Toc63866543"/>
      <w:bookmarkStart w:id="67" w:name="_Toc63866675"/>
      <w:r>
        <w:t>Appendix 2 describes claims which meet the criteria for reimbursement from the Australian Government through Run</w:t>
      </w:r>
      <w:r w:rsidR="009B0312">
        <w:noBreakHyphen/>
      </w:r>
      <w:r>
        <w:t xml:space="preserve">Off Cover indemnity payments. Broadly, </w:t>
      </w:r>
      <w:r w:rsidRPr="0030070D">
        <w:t>MIIs and MDOs are entitled to reimbursement from the Australian Government for the costs of claims which:</w:t>
      </w:r>
    </w:p>
    <w:p w14:paraId="4C30984B" w14:textId="1CD3892D" w:rsidR="00B42356" w:rsidRPr="0030070D" w:rsidRDefault="00B42356" w:rsidP="00952046">
      <w:pPr>
        <w:pStyle w:val="Bullet"/>
        <w:numPr>
          <w:ilvl w:val="0"/>
          <w:numId w:val="34"/>
        </w:numPr>
        <w:spacing w:after="240"/>
      </w:pPr>
      <w:r w:rsidRPr="0030070D">
        <w:t>are first notified to the MII or MDO on or after 1 July 2004</w:t>
      </w:r>
    </w:p>
    <w:p w14:paraId="7F4F5813" w14:textId="2B83CE14" w:rsidR="00B42356" w:rsidRPr="0030070D" w:rsidRDefault="00B42356" w:rsidP="00952046">
      <w:pPr>
        <w:pStyle w:val="Bullet"/>
        <w:numPr>
          <w:ilvl w:val="0"/>
          <w:numId w:val="34"/>
        </w:numPr>
        <w:spacing w:after="240"/>
      </w:pPr>
      <w:r w:rsidRPr="0030070D">
        <w:lastRenderedPageBreak/>
        <w:t>relate to a practitioner who is eligible under the Scheme at the date of notification</w:t>
      </w:r>
      <w:r w:rsidR="008D6B56">
        <w:rPr>
          <w:rStyle w:val="FootnoteReference"/>
        </w:rPr>
        <w:footnoteReference w:id="9"/>
      </w:r>
    </w:p>
    <w:p w14:paraId="21F2C126" w14:textId="1DBB3486" w:rsidR="00B42356" w:rsidRPr="0030070D" w:rsidRDefault="00B42356" w:rsidP="00952046">
      <w:pPr>
        <w:pStyle w:val="Bullet"/>
        <w:numPr>
          <w:ilvl w:val="0"/>
          <w:numId w:val="34"/>
        </w:numPr>
        <w:spacing w:after="240"/>
      </w:pPr>
      <w:r w:rsidRPr="0030070D">
        <w:t xml:space="preserve">meet the other requirements for </w:t>
      </w:r>
      <w:r w:rsidR="009B0312">
        <w:t>‘</w:t>
      </w:r>
      <w:r w:rsidRPr="0030070D">
        <w:t xml:space="preserve">payable </w:t>
      </w:r>
      <w:proofErr w:type="gramStart"/>
      <w:r w:rsidRPr="0030070D">
        <w:t>claims</w:t>
      </w:r>
      <w:r w:rsidR="009B0312">
        <w:t>’</w:t>
      </w:r>
      <w:proofErr w:type="gramEnd"/>
      <w:r w:rsidRPr="0030070D">
        <w:t>.</w:t>
      </w:r>
      <w:r w:rsidR="008D6B56">
        <w:rPr>
          <w:rStyle w:val="FootnoteReference"/>
        </w:rPr>
        <w:footnoteReference w:id="10"/>
      </w:r>
    </w:p>
    <w:p w14:paraId="78E8862C" w14:textId="463DC1D7" w:rsidR="00B42356" w:rsidRDefault="0037789B" w:rsidP="00952046">
      <w:pPr>
        <w:pStyle w:val="Bullet"/>
        <w:numPr>
          <w:ilvl w:val="0"/>
          <w:numId w:val="42"/>
        </w:numPr>
        <w:spacing w:after="240"/>
      </w:pPr>
      <w:r w:rsidRPr="00857E81">
        <w:t xml:space="preserve">As </w:t>
      </w:r>
      <w:proofErr w:type="gramStart"/>
      <w:r w:rsidRPr="00857E81">
        <w:t>at</w:t>
      </w:r>
      <w:proofErr w:type="gramEnd"/>
      <w:r w:rsidRPr="00857E81">
        <w:t xml:space="preserve"> 30 </w:t>
      </w:r>
      <w:r w:rsidRPr="00CC782C">
        <w:t>June 202</w:t>
      </w:r>
      <w:r w:rsidR="008A51C9" w:rsidRPr="00CC782C">
        <w:t>4</w:t>
      </w:r>
      <w:r w:rsidR="00B42356" w:rsidRPr="00CC782C">
        <w:t xml:space="preserve">, MIIs and MDOs had reported </w:t>
      </w:r>
      <w:r w:rsidR="002158D1" w:rsidRPr="00CC782C">
        <w:t>1,</w:t>
      </w:r>
      <w:r w:rsidR="006E7598" w:rsidRPr="00CC782C">
        <w:t>90</w:t>
      </w:r>
      <w:r w:rsidR="00045B08" w:rsidRPr="00CC782C">
        <w:t>3</w:t>
      </w:r>
      <w:r w:rsidR="00B42356" w:rsidRPr="00857E81">
        <w:t xml:space="preserve"> medical incidents relating to eligible medical practitioners since the commencement of the Scheme. </w:t>
      </w:r>
      <w:r w:rsidR="00472CA7" w:rsidRPr="00857E81">
        <w:t>Of these incidents,</w:t>
      </w:r>
      <w:r w:rsidR="00602E73">
        <w:t xml:space="preserve"> </w:t>
      </w:r>
      <w:r w:rsidR="004A4CAA">
        <w:t>675</w:t>
      </w:r>
      <w:r w:rsidR="00B42356" w:rsidRPr="00857E81">
        <w:t xml:space="preserve"> were shown as </w:t>
      </w:r>
      <w:r w:rsidR="009B0312" w:rsidRPr="00857E81">
        <w:t>‘</w:t>
      </w:r>
      <w:r w:rsidR="00B42356" w:rsidRPr="00857E81">
        <w:t>finalised</w:t>
      </w:r>
      <w:r w:rsidR="009B0312" w:rsidRPr="00857E81">
        <w:t>’</w:t>
      </w:r>
      <w:r w:rsidR="00602E73">
        <w:t xml:space="preserve"> or ‘closed’</w:t>
      </w:r>
      <w:r w:rsidR="00B42356" w:rsidRPr="00857E81">
        <w:t xml:space="preserve"> with null case estimate</w:t>
      </w:r>
      <w:r w:rsidR="008D6B56" w:rsidRPr="00857E81">
        <w:rPr>
          <w:rStyle w:val="FootnoteReference"/>
        </w:rPr>
        <w:footnoteReference w:id="11"/>
      </w:r>
      <w:r w:rsidR="00B42356" w:rsidRPr="00857E81">
        <w:t xml:space="preserve"> attached to them, and </w:t>
      </w:r>
      <w:r w:rsidR="004A4CAA">
        <w:t>40</w:t>
      </w:r>
      <w:r w:rsidR="00B42356" w:rsidRPr="00857E81">
        <w:t xml:space="preserve"> were shown as </w:t>
      </w:r>
      <w:r w:rsidR="009B0312" w:rsidRPr="00857E81">
        <w:t>‘</w:t>
      </w:r>
      <w:r w:rsidR="00B42356" w:rsidRPr="00857E81">
        <w:t>open</w:t>
      </w:r>
      <w:r w:rsidR="009B0312" w:rsidRPr="00857E81">
        <w:t>’</w:t>
      </w:r>
      <w:r w:rsidR="00B42356" w:rsidRPr="00857E81">
        <w:t xml:space="preserve"> with null case estimate. This </w:t>
      </w:r>
      <w:r w:rsidR="00B42356" w:rsidRPr="00A3252D">
        <w:t xml:space="preserve">leaves </w:t>
      </w:r>
      <w:r w:rsidR="003F044B" w:rsidRPr="00A3252D">
        <w:t>1,</w:t>
      </w:r>
      <w:r w:rsidR="00F61D35" w:rsidRPr="00A3252D">
        <w:t>18</w:t>
      </w:r>
      <w:r w:rsidR="006C6648">
        <w:t>8</w:t>
      </w:r>
      <w:r w:rsidR="00B42356" w:rsidRPr="00A3252D">
        <w:t> </w:t>
      </w:r>
      <w:r w:rsidR="00472CA7" w:rsidRPr="00A3252D">
        <w:t>incidents</w:t>
      </w:r>
      <w:r w:rsidR="00B42356" w:rsidRPr="003933AA">
        <w:t xml:space="preserve"> where</w:t>
      </w:r>
      <w:r w:rsidR="00B42356" w:rsidRPr="0005424A">
        <w:t xml:space="preserve"> an amount has been or is expected to be paid.</w:t>
      </w:r>
      <w:r w:rsidR="00AA4E03">
        <w:t xml:space="preserve"> They are shown in Table 3.</w:t>
      </w:r>
    </w:p>
    <w:bookmarkEnd w:id="63"/>
    <w:p w14:paraId="0BA02E06" w14:textId="77777777" w:rsidR="00B42356" w:rsidRPr="00D6236F" w:rsidRDefault="00B42356" w:rsidP="0040224A">
      <w:pPr>
        <w:pStyle w:val="Caption"/>
      </w:pPr>
      <w:r w:rsidRPr="00874263">
        <w:t>Table 3: Reported</w:t>
      </w:r>
      <w:r w:rsidRPr="000E5633">
        <w:t xml:space="preserve"> incidents by year of eligibility</w:t>
      </w:r>
    </w:p>
    <w:p w14:paraId="70D58C43" w14:textId="3BAA0BC3" w:rsidR="00B42356" w:rsidRDefault="007D6D2F" w:rsidP="005C7871">
      <w:pPr>
        <w:pStyle w:val="OutlineNumbered1"/>
        <w:numPr>
          <w:ilvl w:val="0"/>
          <w:numId w:val="0"/>
        </w:numPr>
        <w:tabs>
          <w:tab w:val="left" w:pos="709"/>
        </w:tabs>
        <w:spacing w:line="240" w:lineRule="auto"/>
        <w:jc w:val="center"/>
      </w:pPr>
      <w:r w:rsidRPr="007D6D2F">
        <w:rPr>
          <w:noProof/>
        </w:rPr>
        <w:drawing>
          <wp:inline distT="0" distB="0" distL="0" distR="0" wp14:anchorId="52366B86" wp14:editId="4C004DC3">
            <wp:extent cx="4584701" cy="3581400"/>
            <wp:effectExtent l="0" t="0" r="6350" b="0"/>
            <wp:docPr id="16976240" name="Picture 26" descr="Total number of reported incidents (where an amount has been or is expected to be paid and date of eligibility was available) as at 30 June 2024 was 1,188. The equivalent figure last year was 1,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1" cy="3581400"/>
                    </a:xfrm>
                    <a:prstGeom prst="rect">
                      <a:avLst/>
                    </a:prstGeom>
                    <a:noFill/>
                    <a:ln>
                      <a:noFill/>
                    </a:ln>
                  </pic:spPr>
                </pic:pic>
              </a:graphicData>
            </a:graphic>
          </wp:inline>
        </w:drawing>
      </w:r>
    </w:p>
    <w:p w14:paraId="5DB4F79B" w14:textId="5860D531" w:rsidR="00AA4E03" w:rsidRDefault="00AA4E03" w:rsidP="00A658FA">
      <w:pPr>
        <w:pStyle w:val="Bullet"/>
        <w:numPr>
          <w:ilvl w:val="0"/>
          <w:numId w:val="42"/>
        </w:numPr>
        <w:spacing w:after="240"/>
      </w:pPr>
      <w:r>
        <w:t xml:space="preserve">In theory, this data could be used to analyse the </w:t>
      </w:r>
      <w:r w:rsidR="00EE64F4">
        <w:t xml:space="preserve">development pattern between eligibility commencement and claims being reported. </w:t>
      </w:r>
      <w:r>
        <w:t xml:space="preserve">Furthermore, it could be used to derive claim rates. However, </w:t>
      </w:r>
      <w:r w:rsidR="00CA1CD0">
        <w:t>the</w:t>
      </w:r>
      <w:r>
        <w:t xml:space="preserve"> numerous issues</w:t>
      </w:r>
      <w:r w:rsidR="00CA1CD0">
        <w:t xml:space="preserve"> </w:t>
      </w:r>
      <w:r w:rsidR="00CA1CD0">
        <w:lastRenderedPageBreak/>
        <w:t xml:space="preserve">associated with this data undermine its usefulness, </w:t>
      </w:r>
      <w:r>
        <w:t xml:space="preserve">including </w:t>
      </w:r>
      <w:r w:rsidR="00967524">
        <w:t xml:space="preserve">missing </w:t>
      </w:r>
      <w:r w:rsidR="004468A6">
        <w:t>year</w:t>
      </w:r>
      <w:r w:rsidR="00967524">
        <w:t xml:space="preserve"> of eligibility, </w:t>
      </w:r>
      <w:r>
        <w:t xml:space="preserve">internal </w:t>
      </w:r>
      <w:r w:rsidR="007E787B">
        <w:t>in</w:t>
      </w:r>
      <w:r>
        <w:t>consistency</w:t>
      </w:r>
      <w:r w:rsidR="00981AA3">
        <w:t xml:space="preserve">, </w:t>
      </w:r>
      <w:r>
        <w:t>inconsistenc</w:t>
      </w:r>
      <w:r w:rsidR="00EE64F4">
        <w:t>ies</w:t>
      </w:r>
      <w:r>
        <w:t xml:space="preserve"> between insurers</w:t>
      </w:r>
      <w:r w:rsidR="00615DC7">
        <w:t>,</w:t>
      </w:r>
      <w:r w:rsidR="00981AA3">
        <w:t xml:space="preserve"> and </w:t>
      </w:r>
      <w:r w:rsidR="00986521">
        <w:t xml:space="preserve">irregular and </w:t>
      </w:r>
      <w:r w:rsidR="00981AA3">
        <w:t xml:space="preserve">significant </w:t>
      </w:r>
      <w:r w:rsidR="00986521">
        <w:t xml:space="preserve">variations </w:t>
      </w:r>
      <w:r w:rsidR="00981AA3">
        <w:t>from year to year</w:t>
      </w:r>
      <w:r>
        <w:t xml:space="preserve">. Therefore, </w:t>
      </w:r>
      <w:r w:rsidR="00F61F78">
        <w:t xml:space="preserve">as was the case previously, </w:t>
      </w:r>
      <w:r>
        <w:t xml:space="preserve">we have not been able to utilise this data for analytical purposes. </w:t>
      </w:r>
      <w:r w:rsidR="00B643A8">
        <w:t xml:space="preserve">Nonetheless, it </w:t>
      </w:r>
      <w:r w:rsidR="00D83233">
        <w:t>highlights</w:t>
      </w:r>
      <w:r w:rsidR="00A32A6D">
        <w:t xml:space="preserve"> the volatility </w:t>
      </w:r>
      <w:r w:rsidR="00D83233">
        <w:t xml:space="preserve">in </w:t>
      </w:r>
      <w:r w:rsidR="006F1716">
        <w:t xml:space="preserve">the </w:t>
      </w:r>
      <w:r w:rsidR="00D83233">
        <w:t xml:space="preserve">claims experience </w:t>
      </w:r>
      <w:r w:rsidR="00F17FE8">
        <w:t xml:space="preserve">and a general upward trend underpinned by </w:t>
      </w:r>
      <w:r w:rsidR="00AF0F89">
        <w:t>a growing number of new entrants</w:t>
      </w:r>
      <w:r w:rsidR="00F17FE8">
        <w:t xml:space="preserve">. </w:t>
      </w:r>
      <w:r w:rsidR="00DF3BEE">
        <w:t xml:space="preserve"> </w:t>
      </w:r>
      <w:r w:rsidR="004C0E97">
        <w:t xml:space="preserve"> </w:t>
      </w:r>
    </w:p>
    <w:p w14:paraId="20CA9B7E" w14:textId="0D3077D0" w:rsidR="00DA4261" w:rsidRPr="00D25280" w:rsidRDefault="00B42356" w:rsidP="00D25280">
      <w:pPr>
        <w:pStyle w:val="Heading2"/>
        <w:numPr>
          <w:ilvl w:val="0"/>
          <w:numId w:val="0"/>
        </w:numPr>
      </w:pPr>
      <w:bookmarkStart w:id="68" w:name="_Toc192773708"/>
      <w:r w:rsidRPr="00D25280">
        <w:t>3.5</w:t>
      </w:r>
      <w:r w:rsidRPr="00D25280">
        <w:tab/>
      </w:r>
      <w:bookmarkStart w:id="69" w:name="_Toc35502564"/>
      <w:bookmarkEnd w:id="64"/>
      <w:bookmarkEnd w:id="65"/>
      <w:bookmarkEnd w:id="66"/>
      <w:bookmarkEnd w:id="67"/>
      <w:r w:rsidR="001D00A0" w:rsidRPr="00D25280">
        <w:t>AMOUNT OF RUN</w:t>
      </w:r>
      <w:r w:rsidR="009B0312">
        <w:noBreakHyphen/>
      </w:r>
      <w:r w:rsidR="001D00A0" w:rsidRPr="00D25280">
        <w:t>OFF COVER INDEMNITY PAYMENTS</w:t>
      </w:r>
      <w:bookmarkEnd w:id="68"/>
      <w:bookmarkEnd w:id="69"/>
    </w:p>
    <w:p w14:paraId="78AAE843" w14:textId="3E10AD06" w:rsidR="00DA4261" w:rsidRPr="0030070D" w:rsidRDefault="00DA4261" w:rsidP="00952046">
      <w:pPr>
        <w:pStyle w:val="Bullet"/>
        <w:numPr>
          <w:ilvl w:val="0"/>
          <w:numId w:val="43"/>
        </w:numPr>
        <w:spacing w:after="240"/>
      </w:pPr>
      <w:r w:rsidRPr="0030070D">
        <w:t>ROC indemnity payments are the payments made by the Australian Government to MDOs and MIIs as reimbursement of the costs of eligible claims.</w:t>
      </w:r>
    </w:p>
    <w:p w14:paraId="1289FE6E" w14:textId="239F0A93" w:rsidR="00600D89" w:rsidRDefault="00DA4261" w:rsidP="00952046">
      <w:pPr>
        <w:pStyle w:val="Bullet"/>
        <w:numPr>
          <w:ilvl w:val="0"/>
          <w:numId w:val="43"/>
        </w:numPr>
        <w:spacing w:after="240"/>
      </w:pPr>
      <w:r>
        <w:t xml:space="preserve">Table 4 illustrates the progress of ROC indemnity payments (including indirect claims handling expenses) since the beginning of the </w:t>
      </w:r>
      <w:r w:rsidR="008A16D2">
        <w:t>S</w:t>
      </w:r>
      <w:r>
        <w:t>cheme. We have relied on the data provided by Services Australia.</w:t>
      </w:r>
    </w:p>
    <w:p w14:paraId="2A51C0C7" w14:textId="123628DE" w:rsidR="00DA4261" w:rsidRPr="00CA3061" w:rsidRDefault="00DA4261" w:rsidP="0040224A">
      <w:pPr>
        <w:pStyle w:val="Caption"/>
      </w:pPr>
      <w:r w:rsidRPr="003E1784">
        <w:t>Table 4:</w:t>
      </w:r>
      <w:r w:rsidRPr="00B34832">
        <w:t xml:space="preserve"> Run</w:t>
      </w:r>
      <w:r w:rsidR="009B0312">
        <w:noBreakHyphen/>
      </w:r>
      <w:r w:rsidRPr="00B34832">
        <w:t>Off Cover indemnity payments by year of eligibility</w:t>
      </w:r>
    </w:p>
    <w:p w14:paraId="4A36BDBF" w14:textId="496BCC6F" w:rsidR="00600D89" w:rsidRDefault="007433ED" w:rsidP="00FD36EC">
      <w:pPr>
        <w:pStyle w:val="Bullet"/>
        <w:numPr>
          <w:ilvl w:val="0"/>
          <w:numId w:val="0"/>
        </w:numPr>
        <w:spacing w:after="240" w:line="360" w:lineRule="auto"/>
        <w:ind w:left="284"/>
        <w:jc w:val="center"/>
      </w:pPr>
      <w:r w:rsidRPr="007433ED">
        <w:rPr>
          <w:noProof/>
        </w:rPr>
        <w:drawing>
          <wp:inline distT="0" distB="0" distL="0" distR="0" wp14:anchorId="6788EC21" wp14:editId="73A2D900">
            <wp:extent cx="4572000" cy="3578860"/>
            <wp:effectExtent l="0" t="0" r="0" b="2540"/>
            <wp:docPr id="855296873" name="Picture 1" descr="Total amount of ROC indemnity payments made by Services Australia as at 30 June 2024 was $124.1 million (where doctor’s eligibility date was known). The equivalent figure as at 30 June 2023 was $105.3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578860"/>
                    </a:xfrm>
                    <a:prstGeom prst="rect">
                      <a:avLst/>
                    </a:prstGeom>
                    <a:noFill/>
                    <a:ln>
                      <a:noFill/>
                    </a:ln>
                  </pic:spPr>
                </pic:pic>
              </a:graphicData>
            </a:graphic>
          </wp:inline>
        </w:drawing>
      </w:r>
    </w:p>
    <w:p w14:paraId="1D5D4ACB" w14:textId="0DAD5917" w:rsidR="00DA4261" w:rsidRPr="00474C8F" w:rsidRDefault="00DA4261" w:rsidP="00952046">
      <w:pPr>
        <w:pStyle w:val="Bullet"/>
        <w:numPr>
          <w:ilvl w:val="0"/>
          <w:numId w:val="43"/>
        </w:numPr>
        <w:spacing w:after="240"/>
      </w:pPr>
      <w:r w:rsidRPr="0030070D">
        <w:lastRenderedPageBreak/>
        <w:t xml:space="preserve">ROC indemnity payments </w:t>
      </w:r>
      <w:r w:rsidRPr="0018346C">
        <w:t xml:space="preserve">totalling </w:t>
      </w:r>
      <w:r w:rsidR="0037789B" w:rsidRPr="0018346C">
        <w:t>$</w:t>
      </w:r>
      <w:r w:rsidR="00B83479" w:rsidRPr="0018346C">
        <w:t>1</w:t>
      </w:r>
      <w:r w:rsidR="0018346C" w:rsidRPr="0018346C">
        <w:t>24.1</w:t>
      </w:r>
      <w:r w:rsidRPr="0018346C">
        <w:t xml:space="preserve"> million (including</w:t>
      </w:r>
      <w:r w:rsidRPr="0030070D">
        <w:t xml:space="preserve"> indirect claims handling expenses) </w:t>
      </w:r>
      <w:r>
        <w:t>have</w:t>
      </w:r>
      <w:r w:rsidR="0037789B">
        <w:t xml:space="preserve"> been made up to 30 June </w:t>
      </w:r>
      <w:r w:rsidR="0037789B" w:rsidRPr="0018346C">
        <w:t>202</w:t>
      </w:r>
      <w:r w:rsidR="000E5633" w:rsidRPr="0018346C">
        <w:t>4</w:t>
      </w:r>
      <w:r w:rsidRPr="0018346C">
        <w:t>,</w:t>
      </w:r>
      <w:r w:rsidRPr="0030070D">
        <w:t xml:space="preserve"> all of them since 1</w:t>
      </w:r>
      <w:r>
        <w:t> </w:t>
      </w:r>
      <w:r w:rsidRPr="0030070D">
        <w:t>July 2007. Specifically</w:t>
      </w:r>
      <w:r w:rsidR="00B34832">
        <w:t>,</w:t>
      </w:r>
      <w:r w:rsidRPr="0030070D">
        <w:t xml:space="preserve"> during </w:t>
      </w:r>
      <w:r w:rsidR="0037789B" w:rsidRPr="0099455C">
        <w:t>20</w:t>
      </w:r>
      <w:r w:rsidR="00B34832" w:rsidRPr="0099455C">
        <w:t>2</w:t>
      </w:r>
      <w:r w:rsidR="000E5633" w:rsidRPr="0099455C">
        <w:t>3</w:t>
      </w:r>
      <w:r w:rsidR="009B0312" w:rsidRPr="0099455C">
        <w:noBreakHyphen/>
      </w:r>
      <w:r w:rsidR="0037789B" w:rsidRPr="0099455C">
        <w:t>2</w:t>
      </w:r>
      <w:r w:rsidR="000E5633" w:rsidRPr="0099455C">
        <w:t>4</w:t>
      </w:r>
      <w:r w:rsidRPr="003D75F3">
        <w:t xml:space="preserve">, </w:t>
      </w:r>
      <w:r w:rsidR="0037789B" w:rsidRPr="003D75F3">
        <w:t>$</w:t>
      </w:r>
      <w:r w:rsidR="003D75F3" w:rsidRPr="003D75F3">
        <w:t>18.9</w:t>
      </w:r>
      <w:r w:rsidRPr="003D75F3">
        <w:t xml:space="preserve"> million</w:t>
      </w:r>
      <w:r w:rsidRPr="0030070D">
        <w:t xml:space="preserve"> in ROC indemnity payments were</w:t>
      </w:r>
      <w:r>
        <w:t> </w:t>
      </w:r>
      <w:r w:rsidRPr="0030070D">
        <w:t>mad</w:t>
      </w:r>
      <w:r w:rsidRPr="00876EE6">
        <w:t>e</w:t>
      </w:r>
      <w:r w:rsidRPr="00474C8F">
        <w:t>.</w:t>
      </w:r>
      <w:r w:rsidR="00F971B4">
        <w:t xml:space="preserve"> Notably, </w:t>
      </w:r>
      <w:r w:rsidR="007059FC">
        <w:t xml:space="preserve">a significant amount </w:t>
      </w:r>
      <w:r w:rsidR="007E4CC0">
        <w:t>has been paid toward</w:t>
      </w:r>
      <w:r w:rsidR="008C318E">
        <w:t xml:space="preserve"> the 2018-19 eligibility year and it has </w:t>
      </w:r>
      <w:r w:rsidR="00363263">
        <w:t xml:space="preserve">continued to grow. </w:t>
      </w:r>
      <w:r w:rsidR="00682B4D">
        <w:t>This</w:t>
      </w:r>
      <w:r w:rsidR="00565B92">
        <w:t xml:space="preserve"> is likely caused by </w:t>
      </w:r>
      <w:r w:rsidR="007E4CC0">
        <w:t xml:space="preserve">claims clusters. </w:t>
      </w:r>
    </w:p>
    <w:p w14:paraId="1F0AFF93" w14:textId="29B9D63A" w:rsidR="00DA4261" w:rsidRPr="003E776B" w:rsidRDefault="00DA4261" w:rsidP="00952046">
      <w:pPr>
        <w:pStyle w:val="Bullet"/>
        <w:numPr>
          <w:ilvl w:val="0"/>
          <w:numId w:val="43"/>
        </w:numPr>
        <w:spacing w:after="240"/>
      </w:pPr>
      <w:r w:rsidRPr="0030070D">
        <w:t>The Scheme also provides for payments in respect of compliance costs under the ROC Claims and Administration Protocol (section 34ZN of the Medical Indemnity Act).</w:t>
      </w:r>
      <w:r>
        <w:t xml:space="preserve"> </w:t>
      </w:r>
      <w:r w:rsidR="0037789B" w:rsidRPr="002C4429">
        <w:t>Around $</w:t>
      </w:r>
      <w:r w:rsidR="002C4429" w:rsidRPr="002C4429">
        <w:t>30.9</w:t>
      </w:r>
      <w:r w:rsidRPr="002C4429">
        <w:t xml:space="preserve"> million in compliance</w:t>
      </w:r>
      <w:r w:rsidRPr="0030070D">
        <w:t xml:space="preserve"> cost payments have been made to MIIs up to 30 </w:t>
      </w:r>
      <w:r w:rsidRPr="00363263">
        <w:t>June </w:t>
      </w:r>
      <w:r w:rsidR="0037789B" w:rsidRPr="00363263">
        <w:t>202</w:t>
      </w:r>
      <w:r w:rsidR="000E5633" w:rsidRPr="00363263">
        <w:t>4</w:t>
      </w:r>
      <w:r w:rsidR="00D83973" w:rsidRPr="00363263">
        <w:t>.</w:t>
      </w:r>
      <w:r w:rsidRPr="003E776B">
        <w:t xml:space="preserve"> </w:t>
      </w:r>
      <w:r w:rsidR="00D83973">
        <w:t>B</w:t>
      </w:r>
      <w:r w:rsidRPr="003E776B">
        <w:t>ased on applications received by Services Australia</w:t>
      </w:r>
      <w:r w:rsidR="00D83973">
        <w:t>,</w:t>
      </w:r>
      <w:r w:rsidR="00CD777F">
        <w:t xml:space="preserve"> </w:t>
      </w:r>
      <w:r w:rsidR="00D83973">
        <w:t>w</w:t>
      </w:r>
      <w:r w:rsidRPr="003E776B">
        <w:t xml:space="preserve">e have estimated that a </w:t>
      </w:r>
      <w:r w:rsidRPr="00073D5B">
        <w:t>fu</w:t>
      </w:r>
      <w:r w:rsidR="007A2239" w:rsidRPr="00073D5B">
        <w:t>rther $</w:t>
      </w:r>
      <w:r w:rsidR="00DD1D3B" w:rsidRPr="00073D5B">
        <w:t>2.</w:t>
      </w:r>
      <w:r w:rsidR="00073D5B" w:rsidRPr="00073D5B">
        <w:t>8</w:t>
      </w:r>
      <w:r w:rsidRPr="00073D5B">
        <w:t> million</w:t>
      </w:r>
      <w:r w:rsidRPr="003E776B">
        <w:t xml:space="preserve"> relating </w:t>
      </w:r>
      <w:r w:rsidR="007A2239">
        <w:t>to periods prior to 30 </w:t>
      </w:r>
      <w:r w:rsidR="007A2239" w:rsidRPr="00363263">
        <w:t xml:space="preserve">June </w:t>
      </w:r>
      <w:r w:rsidR="0071080F" w:rsidRPr="00363263">
        <w:t>2024</w:t>
      </w:r>
      <w:r w:rsidRPr="00363263">
        <w:t xml:space="preserve"> is</w:t>
      </w:r>
      <w:r w:rsidRPr="003E776B">
        <w:t xml:space="preserve"> payable</w:t>
      </w:r>
      <w:r w:rsidRPr="007A2239">
        <w:t>. Table</w:t>
      </w:r>
      <w:r w:rsidRPr="003E776B">
        <w:t xml:space="preserve"> 5 shows the historical compliance costs paid by the Scheme as provided by Services Australia</w:t>
      </w:r>
      <w:r w:rsidR="009B0312">
        <w:t xml:space="preserve">. </w:t>
      </w:r>
    </w:p>
    <w:p w14:paraId="03FB7C3A" w14:textId="77777777" w:rsidR="00DA4261" w:rsidRPr="00D6236F" w:rsidRDefault="00DA4261" w:rsidP="0040224A">
      <w:pPr>
        <w:pStyle w:val="Caption"/>
      </w:pPr>
      <w:r w:rsidRPr="002C4429">
        <w:t>Table 5: Historica</w:t>
      </w:r>
      <w:r w:rsidRPr="003E776B">
        <w:t>l compliance cost payments</w:t>
      </w:r>
    </w:p>
    <w:p w14:paraId="6FC4E540" w14:textId="1346A67F" w:rsidR="00DA4261" w:rsidRPr="004D4CCD" w:rsidRDefault="002C4429" w:rsidP="00130C8B">
      <w:pPr>
        <w:pStyle w:val="SingleParagraph"/>
        <w:spacing w:line="240" w:lineRule="auto"/>
        <w:jc w:val="right"/>
      </w:pPr>
      <w:r w:rsidRPr="002C4429">
        <w:rPr>
          <w:noProof/>
        </w:rPr>
        <w:drawing>
          <wp:inline distT="0" distB="0" distL="0" distR="0" wp14:anchorId="3AD0432A" wp14:editId="380AD97F">
            <wp:extent cx="4699001" cy="2901950"/>
            <wp:effectExtent l="0" t="0" r="6350" b="0"/>
            <wp:docPr id="1384936322" name="Picture 1" descr="Total amount of ROC compliance costs made by SA as at 30 June 2024 was $30.9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001" cy="2901950"/>
                    </a:xfrm>
                    <a:prstGeom prst="rect">
                      <a:avLst/>
                    </a:prstGeom>
                    <a:noFill/>
                    <a:ln>
                      <a:noFill/>
                    </a:ln>
                  </pic:spPr>
                </pic:pic>
              </a:graphicData>
            </a:graphic>
          </wp:inline>
        </w:drawing>
      </w:r>
    </w:p>
    <w:p w14:paraId="0D5C6BBD" w14:textId="77777777" w:rsidR="00600D89" w:rsidRDefault="00600D89" w:rsidP="00DE0B92">
      <w:pPr>
        <w:spacing w:after="0"/>
      </w:pPr>
    </w:p>
    <w:p w14:paraId="6F9BBB1D" w14:textId="4D0D729A" w:rsidR="00DA4261" w:rsidRPr="0030070D" w:rsidRDefault="00DA4261" w:rsidP="00952046">
      <w:pPr>
        <w:pStyle w:val="Bullet"/>
        <w:numPr>
          <w:ilvl w:val="0"/>
          <w:numId w:val="43"/>
        </w:numPr>
        <w:spacing w:after="240"/>
      </w:pPr>
      <w:r w:rsidRPr="0030070D">
        <w:t>The Commonwealth</w:t>
      </w:r>
      <w:r w:rsidR="009B0312">
        <w:t>’</w:t>
      </w:r>
      <w:r w:rsidRPr="0030070D">
        <w:t xml:space="preserve">s own administration costs are funded </w:t>
      </w:r>
      <w:r w:rsidR="00DE0B92">
        <w:t xml:space="preserve">through the Commonwealth budget </w:t>
      </w:r>
      <w:r w:rsidRPr="0030070D">
        <w:t xml:space="preserve">and are </w:t>
      </w:r>
      <w:r w:rsidR="00DE0B92">
        <w:t xml:space="preserve">therefore </w:t>
      </w:r>
      <w:r w:rsidRPr="0030070D">
        <w:t>not considered in this report.</w:t>
      </w:r>
    </w:p>
    <w:p w14:paraId="0C4C9048" w14:textId="08A2D4F2" w:rsidR="00DA4261" w:rsidRPr="00DA4261" w:rsidRDefault="00DA4261" w:rsidP="00D25280">
      <w:pPr>
        <w:pStyle w:val="Heading2"/>
        <w:numPr>
          <w:ilvl w:val="0"/>
          <w:numId w:val="0"/>
        </w:numPr>
        <w:ind w:left="567" w:hanging="567"/>
      </w:pPr>
      <w:bookmarkStart w:id="70" w:name="_Toc425348052"/>
      <w:bookmarkStart w:id="71" w:name="_Toc35502565"/>
      <w:bookmarkStart w:id="72" w:name="_Toc192773709"/>
      <w:r>
        <w:lastRenderedPageBreak/>
        <w:t>3.6</w:t>
      </w:r>
      <w:r>
        <w:tab/>
      </w:r>
      <w:r w:rsidRPr="00DA4261">
        <w:t>RUN</w:t>
      </w:r>
      <w:r w:rsidR="009B0312">
        <w:noBreakHyphen/>
      </w:r>
      <w:r w:rsidRPr="00DA4261">
        <w:t>OFF COVER SUPPORT PAYMENTS</w:t>
      </w:r>
      <w:bookmarkEnd w:id="70"/>
      <w:bookmarkEnd w:id="71"/>
      <w:bookmarkEnd w:id="72"/>
    </w:p>
    <w:p w14:paraId="66AF49AA" w14:textId="2B696385" w:rsidR="00DA4261" w:rsidRPr="0030070D" w:rsidRDefault="00F602EB" w:rsidP="00DE0B92">
      <w:pPr>
        <w:pStyle w:val="Bullet"/>
        <w:keepNext/>
        <w:numPr>
          <w:ilvl w:val="0"/>
          <w:numId w:val="44"/>
        </w:numPr>
        <w:spacing w:after="240"/>
        <w:ind w:left="1077" w:hanging="357"/>
      </w:pPr>
      <w:r>
        <w:t xml:space="preserve">ROC support payments are paid to Services Australia </w:t>
      </w:r>
      <w:r w:rsidR="00DA4261" w:rsidRPr="0030070D">
        <w:t>in the form of an annual lump sum imposed as a tax on each MII from 1 July 2004 under the MI</w:t>
      </w:r>
      <w:r w:rsidR="00DA4261">
        <w:t> </w:t>
      </w:r>
      <w:r w:rsidR="00DA4261" w:rsidRPr="0030070D">
        <w:t>ROCSPA.</w:t>
      </w:r>
    </w:p>
    <w:p w14:paraId="6DA9FCEF" w14:textId="77777777" w:rsidR="00DA4261" w:rsidRPr="0030070D" w:rsidRDefault="00DA4261" w:rsidP="00952046">
      <w:pPr>
        <w:pStyle w:val="Bullet"/>
        <w:numPr>
          <w:ilvl w:val="0"/>
          <w:numId w:val="44"/>
        </w:numPr>
        <w:spacing w:after="240"/>
      </w:pPr>
      <w:r w:rsidRPr="0030070D">
        <w:t xml:space="preserve">The amount of </w:t>
      </w:r>
      <w:r>
        <w:t xml:space="preserve">the </w:t>
      </w:r>
      <w:r w:rsidRPr="0030070D">
        <w:t xml:space="preserve">ROC support payments is calculated using a method set out in the MI ROCSPA. Appendix </w:t>
      </w:r>
      <w:r>
        <w:t>3</w:t>
      </w:r>
      <w:r w:rsidRPr="0030070D">
        <w:t xml:space="preserve"> describes the calculation in detail. Very briefly, it is based on:</w:t>
      </w:r>
    </w:p>
    <w:p w14:paraId="2D595888" w14:textId="77777777" w:rsidR="00DA4261" w:rsidRPr="00B5502F" w:rsidRDefault="00DA4261" w:rsidP="00BF2D8A">
      <w:pPr>
        <w:pStyle w:val="Bullet"/>
        <w:numPr>
          <w:ilvl w:val="0"/>
          <w:numId w:val="0"/>
        </w:numPr>
        <w:spacing w:after="240"/>
        <w:ind w:left="1080"/>
        <w:rPr>
          <w:rStyle w:val="Italic"/>
        </w:rPr>
      </w:pPr>
      <w:r w:rsidRPr="00B5502F">
        <w:rPr>
          <w:rStyle w:val="Italic"/>
        </w:rPr>
        <w:t xml:space="preserve">Applicable rate × (premium income less taxes and charges) </w:t>
      </w:r>
      <w:r w:rsidRPr="00707F03">
        <w:rPr>
          <w:rStyle w:val="Italic"/>
          <w:sz w:val="22"/>
          <w:szCs w:val="22"/>
        </w:rPr>
        <w:t>÷</w:t>
      </w:r>
      <w:r w:rsidRPr="00B5502F">
        <w:rPr>
          <w:rStyle w:val="Italic"/>
        </w:rPr>
        <w:t xml:space="preserve"> (1 + applicable rate).</w:t>
      </w:r>
    </w:p>
    <w:p w14:paraId="57A62F0C" w14:textId="04AA703F" w:rsidR="00DA4261" w:rsidRPr="0023575C" w:rsidRDefault="007A2239" w:rsidP="00952046">
      <w:pPr>
        <w:pStyle w:val="Bullet"/>
        <w:numPr>
          <w:ilvl w:val="0"/>
          <w:numId w:val="44"/>
        </w:numPr>
        <w:spacing w:after="240"/>
      </w:pPr>
      <w:r w:rsidRPr="0023575C">
        <w:rPr>
          <w:color w:val="auto"/>
        </w:rPr>
        <w:t>In 20</w:t>
      </w:r>
      <w:r w:rsidR="00C73B74" w:rsidRPr="0023575C">
        <w:rPr>
          <w:color w:val="auto"/>
        </w:rPr>
        <w:t>2</w:t>
      </w:r>
      <w:r w:rsidR="00761D19" w:rsidRPr="0023575C">
        <w:rPr>
          <w:color w:val="auto"/>
        </w:rPr>
        <w:t>3</w:t>
      </w:r>
      <w:r w:rsidR="009B0312" w:rsidRPr="0023575C">
        <w:rPr>
          <w:color w:val="auto"/>
        </w:rPr>
        <w:noBreakHyphen/>
      </w:r>
      <w:r w:rsidRPr="0023575C">
        <w:rPr>
          <w:color w:val="auto"/>
        </w:rPr>
        <w:t>2</w:t>
      </w:r>
      <w:r w:rsidR="00761D19" w:rsidRPr="0023575C">
        <w:rPr>
          <w:color w:val="auto"/>
        </w:rPr>
        <w:t>4</w:t>
      </w:r>
      <w:r w:rsidR="00DA4261" w:rsidRPr="0023575C">
        <w:rPr>
          <w:color w:val="auto"/>
        </w:rPr>
        <w:t xml:space="preserve">, </w:t>
      </w:r>
      <w:r w:rsidR="00DA4261" w:rsidRPr="0023575C">
        <w:t>the applicable rate was 5 per cent for all insurers.</w:t>
      </w:r>
    </w:p>
    <w:p w14:paraId="3F558B3D" w14:textId="17B09766" w:rsidR="009C2012" w:rsidRDefault="00DA4261" w:rsidP="00952046">
      <w:pPr>
        <w:pStyle w:val="Bullet"/>
        <w:numPr>
          <w:ilvl w:val="0"/>
          <w:numId w:val="44"/>
        </w:numPr>
        <w:spacing w:after="240"/>
      </w:pPr>
      <w:r w:rsidRPr="0023575C">
        <w:t xml:space="preserve">Table 6 summarises the ROC support payments received. The amounts include minor amendments that were made during the relevant year. The total amount received in </w:t>
      </w:r>
      <w:r w:rsidR="007A2239" w:rsidRPr="0023575C">
        <w:t>20</w:t>
      </w:r>
      <w:r w:rsidR="00093FE3" w:rsidRPr="0023575C">
        <w:t>2</w:t>
      </w:r>
      <w:r w:rsidR="00880D41" w:rsidRPr="0023575C">
        <w:t>3</w:t>
      </w:r>
      <w:r w:rsidR="009B0312" w:rsidRPr="0023575C">
        <w:noBreakHyphen/>
      </w:r>
      <w:r w:rsidR="007A2239" w:rsidRPr="0023575C">
        <w:t>2</w:t>
      </w:r>
      <w:r w:rsidR="00880D41" w:rsidRPr="0023575C">
        <w:t>4</w:t>
      </w:r>
      <w:r w:rsidRPr="0023575C">
        <w:t xml:space="preserve"> </w:t>
      </w:r>
      <w:r w:rsidR="008C5D6A" w:rsidRPr="0023575C">
        <w:t>increased</w:t>
      </w:r>
      <w:r w:rsidRPr="0023575C">
        <w:t xml:space="preserve"> </w:t>
      </w:r>
      <w:r w:rsidR="008C5D6A" w:rsidRPr="0023575C">
        <w:t xml:space="preserve">from last year. This was driven by an </w:t>
      </w:r>
      <w:r w:rsidRPr="0023575C">
        <w:t>increase in</w:t>
      </w:r>
      <w:r w:rsidR="00B8517B" w:rsidRPr="0023575C">
        <w:t xml:space="preserve"> </w:t>
      </w:r>
      <w:r w:rsidR="00B8517B" w:rsidRPr="00DD2761">
        <w:t>both</w:t>
      </w:r>
      <w:r w:rsidRPr="00DD2761">
        <w:t xml:space="preserve"> the </w:t>
      </w:r>
      <w:r w:rsidR="009035E0" w:rsidRPr="00DD2761">
        <w:t xml:space="preserve">average premium </w:t>
      </w:r>
      <w:r w:rsidR="000D0D8E" w:rsidRPr="00DD2761">
        <w:t xml:space="preserve">and the </w:t>
      </w:r>
      <w:r w:rsidRPr="00DD2761">
        <w:t xml:space="preserve">number of contributing </w:t>
      </w:r>
      <w:r w:rsidR="00A73A9F" w:rsidRPr="00DD2761">
        <w:t>practitioner</w:t>
      </w:r>
      <w:r w:rsidRPr="00DD2761">
        <w:t>s</w:t>
      </w:r>
      <w:r w:rsidR="000B2B21" w:rsidRPr="00DD2761">
        <w:t xml:space="preserve">, with the latter </w:t>
      </w:r>
      <w:r w:rsidR="003A4D40" w:rsidRPr="00DD2761">
        <w:t xml:space="preserve">growing by </w:t>
      </w:r>
      <w:r w:rsidR="008F1680" w:rsidRPr="00DD2761">
        <w:t>over</w:t>
      </w:r>
      <w:r w:rsidR="00841298" w:rsidRPr="00DD2761">
        <w:t xml:space="preserve"> </w:t>
      </w:r>
      <w:r w:rsidR="00EA737E" w:rsidRPr="00DD2761">
        <w:t>5</w:t>
      </w:r>
      <w:r w:rsidR="00841298" w:rsidRPr="00DD2761">
        <w:t>%</w:t>
      </w:r>
      <w:r w:rsidR="00A800FC" w:rsidRPr="00DD2761">
        <w:t xml:space="preserve">. </w:t>
      </w:r>
      <w:r w:rsidR="009A5CFD" w:rsidRPr="00DD2761">
        <w:t xml:space="preserve">After excluding the </w:t>
      </w:r>
      <w:r w:rsidR="0007610C" w:rsidRPr="00DD2761">
        <w:t xml:space="preserve">practitioners who have not earned a sufficient premium in the most recent financial year to be considered </w:t>
      </w:r>
      <w:r w:rsidR="002D31D3" w:rsidRPr="00DD2761">
        <w:t>‘at-risk’</w:t>
      </w:r>
      <w:r w:rsidR="005440A6" w:rsidRPr="00DD2761">
        <w:t xml:space="preserve">, the growth </w:t>
      </w:r>
      <w:r w:rsidR="00DE2273" w:rsidRPr="00DD2761">
        <w:t xml:space="preserve">rate </w:t>
      </w:r>
      <w:r w:rsidR="005440A6" w:rsidRPr="00DD2761">
        <w:t xml:space="preserve">was </w:t>
      </w:r>
      <w:r w:rsidR="00DB14A3" w:rsidRPr="00DD2761">
        <w:t>3.8</w:t>
      </w:r>
      <w:r w:rsidR="005440A6" w:rsidRPr="00DD2761">
        <w:t>%</w:t>
      </w:r>
      <w:r w:rsidR="00D60FD8" w:rsidRPr="00DD2761">
        <w:t xml:space="preserve">, which can be compared to </w:t>
      </w:r>
      <w:r w:rsidR="00DD2761" w:rsidRPr="00DD2761">
        <w:t>6.8</w:t>
      </w:r>
      <w:r w:rsidR="00D60FD8" w:rsidRPr="00DD2761">
        <w:t xml:space="preserve">% in </w:t>
      </w:r>
      <w:r w:rsidR="00DB14A3" w:rsidRPr="00DD2761">
        <w:t>2023</w:t>
      </w:r>
      <w:r w:rsidR="00DD2761">
        <w:t xml:space="preserve"> and </w:t>
      </w:r>
      <w:r w:rsidR="00517118">
        <w:t>2</w:t>
      </w:r>
      <w:r w:rsidR="00517118" w:rsidRPr="00517118">
        <w:t>.6</w:t>
      </w:r>
      <w:r w:rsidR="00DD2761" w:rsidRPr="00517118">
        <w:t>% in 2022</w:t>
      </w:r>
      <w:r w:rsidR="005440A6" w:rsidRPr="00DD2761">
        <w:t>. It</w:t>
      </w:r>
      <w:r w:rsidR="00517118">
        <w:t xml:space="preserve"> seems that </w:t>
      </w:r>
      <w:r w:rsidR="00D60FD8" w:rsidRPr="00DD2761">
        <w:t xml:space="preserve">the significant growth </w:t>
      </w:r>
      <w:r w:rsidR="00E835C3" w:rsidRPr="00DD2761">
        <w:t xml:space="preserve">in 2023 </w:t>
      </w:r>
      <w:r w:rsidR="00D60FD8" w:rsidRPr="00DD2761">
        <w:t>was temporary</w:t>
      </w:r>
      <w:r w:rsidR="00B1154A" w:rsidRPr="00DD2761">
        <w:t xml:space="preserve">. </w:t>
      </w:r>
      <w:r w:rsidR="00FC315C" w:rsidRPr="00DD2761">
        <w:t>Some parent holding companies of the MIIs continue to collect membership fees in addition</w:t>
      </w:r>
      <w:r w:rsidR="00FC315C" w:rsidRPr="0030070D">
        <w:t xml:space="preserve"> to medical indemnity premiums.</w:t>
      </w:r>
      <w:r w:rsidR="00FC315C" w:rsidRPr="00FC315C" w:rsidDel="00DA3A3B">
        <w:t xml:space="preserve"> </w:t>
      </w:r>
      <w:r w:rsidR="00FC315C" w:rsidRPr="0030070D">
        <w:t>ROC support payments are not payable on membership fees.</w:t>
      </w:r>
    </w:p>
    <w:p w14:paraId="32C22276" w14:textId="3BE8D4C4" w:rsidR="00DA4261" w:rsidRPr="00D6236F" w:rsidRDefault="00DA4261" w:rsidP="0040224A">
      <w:pPr>
        <w:pStyle w:val="Caption"/>
      </w:pPr>
      <w:r w:rsidRPr="008B3C4E">
        <w:t>Table 6:</w:t>
      </w:r>
      <w:r w:rsidRPr="0071080F">
        <w:t xml:space="preserve"> Run</w:t>
      </w:r>
      <w:r w:rsidR="009B0312" w:rsidRPr="0071080F">
        <w:noBreakHyphen/>
      </w:r>
      <w:r w:rsidRPr="0071080F">
        <w:t>Off Cover support payments</w:t>
      </w:r>
    </w:p>
    <w:p w14:paraId="5CB0E879" w14:textId="525BF24F" w:rsidR="00DA4261" w:rsidRDefault="0078627F" w:rsidP="00DA4261">
      <w:pPr>
        <w:pStyle w:val="TableGraphic"/>
      </w:pPr>
      <w:r w:rsidRPr="0078627F">
        <w:rPr>
          <w:noProof/>
        </w:rPr>
        <w:drawing>
          <wp:inline distT="0" distB="0" distL="0" distR="0" wp14:anchorId="0FAD6930" wp14:editId="33B5F9F2">
            <wp:extent cx="4895848" cy="1282065"/>
            <wp:effectExtent l="0" t="0" r="0" b="0"/>
            <wp:docPr id="1547064966" name="Picture 27" descr="Total Run-Off Cover support payments received from MIIs and MDOs were $25.7m in 2023-24, compared to $23.6 millio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48" cy="1282065"/>
                    </a:xfrm>
                    <a:prstGeom prst="rect">
                      <a:avLst/>
                    </a:prstGeom>
                    <a:noFill/>
                    <a:ln>
                      <a:noFill/>
                    </a:ln>
                  </pic:spPr>
                </pic:pic>
              </a:graphicData>
            </a:graphic>
          </wp:inline>
        </w:drawing>
      </w:r>
    </w:p>
    <w:p w14:paraId="09D36179" w14:textId="77777777" w:rsidR="00DA4261" w:rsidRPr="002E0884" w:rsidRDefault="00DA4261" w:rsidP="00600D89">
      <w:pPr>
        <w:pStyle w:val="ChartorTableNote"/>
        <w:ind w:left="0" w:firstLine="0"/>
      </w:pPr>
      <w:r>
        <w:t xml:space="preserve">Note: MIGA includes historical payments from </w:t>
      </w:r>
      <w:proofErr w:type="spellStart"/>
      <w:r>
        <w:t>Invivo</w:t>
      </w:r>
      <w:proofErr w:type="spellEnd"/>
      <w:r>
        <w:t xml:space="preserve"> (QBE</w:t>
      </w:r>
      <w:proofErr w:type="gramStart"/>
      <w:r>
        <w:t>)</w:t>
      </w:r>
      <w:proofErr w:type="gramEnd"/>
      <w:r>
        <w:t xml:space="preserve"> and Avant includes historical payments from AMIL and PIICA.</w:t>
      </w:r>
    </w:p>
    <w:p w14:paraId="0D4F0792" w14:textId="77777777" w:rsidR="00DA4261" w:rsidRPr="0030070D" w:rsidRDefault="00DA4261" w:rsidP="00DA4261">
      <w:pPr>
        <w:pStyle w:val="SingleParagraph"/>
      </w:pPr>
    </w:p>
    <w:p w14:paraId="2BE230C0" w14:textId="013A21AD" w:rsidR="00DA4261" w:rsidRPr="00DA37CD" w:rsidRDefault="00DE0B92" w:rsidP="00952046">
      <w:pPr>
        <w:pStyle w:val="Bullet"/>
        <w:numPr>
          <w:ilvl w:val="0"/>
          <w:numId w:val="44"/>
        </w:numPr>
        <w:spacing w:after="240"/>
      </w:pPr>
      <w:r w:rsidRPr="00DA37CD">
        <w:t>To</w:t>
      </w:r>
      <w:r w:rsidR="00DA4261" w:rsidRPr="00DA37CD">
        <w:t xml:space="preserve"> provide full transparency for practitioners, MIIs are required to attribute ROC support payments to individual policyholders. Each premium notice specifies the amount that has been included in the policyholder</w:t>
      </w:r>
      <w:r w:rsidR="009B0312">
        <w:t>’</w:t>
      </w:r>
      <w:r w:rsidR="00DA4261" w:rsidRPr="00DA37CD">
        <w:t>s invoice to meet the MII</w:t>
      </w:r>
      <w:r w:rsidR="009B0312">
        <w:t>’</w:t>
      </w:r>
      <w:r w:rsidR="00DA4261" w:rsidRPr="00DA37CD">
        <w:t>s ROC support payment obligations. All amounts are reported to Services Australia, which maintains a record of each practitioner</w:t>
      </w:r>
      <w:r w:rsidR="009B0312">
        <w:t>’</w:t>
      </w:r>
      <w:r w:rsidR="00DA4261" w:rsidRPr="00DA37CD">
        <w:t xml:space="preserve">s total </w:t>
      </w:r>
      <w:r w:rsidR="00DA4261" w:rsidRPr="00DA37CD">
        <w:lastRenderedPageBreak/>
        <w:t>run</w:t>
      </w:r>
      <w:r w:rsidR="009B0312">
        <w:noBreakHyphen/>
      </w:r>
      <w:r w:rsidR="00DA4261" w:rsidRPr="00DA37CD">
        <w:t>off cover credit. Interest is applied to this balance annually in accordance with section 34ZS of the Medical Indemnity Act.</w:t>
      </w:r>
    </w:p>
    <w:p w14:paraId="1F74FEE2" w14:textId="6CA01472" w:rsidR="00DA4261" w:rsidRPr="0030070D" w:rsidRDefault="00DA4261" w:rsidP="00952046">
      <w:pPr>
        <w:pStyle w:val="Bullet"/>
        <w:numPr>
          <w:ilvl w:val="0"/>
          <w:numId w:val="44"/>
        </w:numPr>
        <w:spacing w:after="240"/>
      </w:pPr>
      <w:r w:rsidRPr="0030070D">
        <w:t xml:space="preserve">Part 2, Division 2B, Subdivision E of the Medical Indemnity Act provides for certain payments, should the Scheme ever be wound up without alternative arrangements being put in place. </w:t>
      </w:r>
      <w:r>
        <w:t>Medical practitioners</w:t>
      </w:r>
      <w:r w:rsidRPr="0030070D">
        <w:t xml:space="preserve"> who </w:t>
      </w:r>
      <w:r>
        <w:t xml:space="preserve">are </w:t>
      </w:r>
      <w:r w:rsidRPr="0030070D">
        <w:t>still practising at the time of the wind</w:t>
      </w:r>
      <w:r>
        <w:t xml:space="preserve"> </w:t>
      </w:r>
      <w:r w:rsidRPr="0030070D">
        <w:t>up of the Scheme would be entitled to have an amount not exceeding their total run</w:t>
      </w:r>
      <w:r w:rsidR="009B0312">
        <w:noBreakHyphen/>
      </w:r>
      <w:r w:rsidRPr="0030070D">
        <w:t xml:space="preserve">off cover credit paid to their nominated medical indemnity provider. Practitioners who </w:t>
      </w:r>
      <w:r>
        <w:t xml:space="preserve">are </w:t>
      </w:r>
      <w:r w:rsidRPr="0030070D">
        <w:t>eligible for the Scheme at the time of its wind</w:t>
      </w:r>
      <w:r>
        <w:t xml:space="preserve"> </w:t>
      </w:r>
      <w:r w:rsidRPr="0030070D">
        <w:t>up would not be entitled to any refund but would continue to be covered for any future claims that might emerge.</w:t>
      </w:r>
    </w:p>
    <w:p w14:paraId="6662E25D" w14:textId="5CD8D99A" w:rsidR="00DA4261" w:rsidRPr="0030070D" w:rsidRDefault="00DA4261" w:rsidP="00952046">
      <w:pPr>
        <w:pStyle w:val="Bullet"/>
        <w:numPr>
          <w:ilvl w:val="0"/>
          <w:numId w:val="44"/>
        </w:numPr>
        <w:spacing w:after="240"/>
      </w:pPr>
      <w:r w:rsidRPr="0030070D">
        <w:t xml:space="preserve">Figure 2 summarises the contribution to ROC support payments by age of practitioner. Note that age and gender were not available for a minority of </w:t>
      </w:r>
      <w:r>
        <w:t>medical practitioners</w:t>
      </w:r>
      <w:r w:rsidRPr="0030070D">
        <w:t xml:space="preserve">. The chart is based only on practitioners who paid at least </w:t>
      </w:r>
      <w:r w:rsidRPr="002E1F7B">
        <w:t>$1,7</w:t>
      </w:r>
      <w:r w:rsidR="005037CD">
        <w:t>5</w:t>
      </w:r>
      <w:r w:rsidRPr="002E1F7B" w:rsidDel="005037CD">
        <w:t>0</w:t>
      </w:r>
      <w:r w:rsidRPr="002E1F7B">
        <w:t xml:space="preserve"> in respect</w:t>
      </w:r>
      <w:r w:rsidRPr="0030070D">
        <w:t xml:space="preserve"> of both medical indemnity premium (net of discounts and loadings) and membership fees </w:t>
      </w:r>
      <w:r w:rsidRPr="00146CD9">
        <w:t xml:space="preserve">during </w:t>
      </w:r>
      <w:r w:rsidR="00E53BD6" w:rsidRPr="00146CD9">
        <w:t>20</w:t>
      </w:r>
      <w:r w:rsidR="00D55E7B" w:rsidRPr="00146CD9">
        <w:t>2</w:t>
      </w:r>
      <w:r w:rsidR="00D350A9" w:rsidRPr="00146CD9">
        <w:t>3</w:t>
      </w:r>
      <w:r w:rsidR="009B0312" w:rsidRPr="00146CD9">
        <w:noBreakHyphen/>
      </w:r>
      <w:r w:rsidR="00E53BD6" w:rsidRPr="00146CD9">
        <w:t>2</w:t>
      </w:r>
      <w:r w:rsidR="00D350A9" w:rsidRPr="00146CD9">
        <w:t>4</w:t>
      </w:r>
      <w:r w:rsidRPr="0030070D">
        <w:t xml:space="preserve">. We refer to these practitioners as </w:t>
      </w:r>
      <w:r w:rsidR="009B0312">
        <w:t>‘</w:t>
      </w:r>
      <w:r w:rsidRPr="0030070D">
        <w:t>at</w:t>
      </w:r>
      <w:r w:rsidR="009B0312">
        <w:noBreakHyphen/>
      </w:r>
      <w:r w:rsidRPr="0030070D">
        <w:t>risk</w:t>
      </w:r>
      <w:r w:rsidR="009B0312">
        <w:t>’</w:t>
      </w:r>
      <w:r w:rsidRPr="0030070D">
        <w:t xml:space="preserve"> </w:t>
      </w:r>
      <w:r>
        <w:t>medical practitioners</w:t>
      </w:r>
      <w:r w:rsidRPr="0030070D">
        <w:t>. The proportion of ROC support payments is greater than the proportion of practitioners fo</w:t>
      </w:r>
      <w:r>
        <w:t xml:space="preserve">r medical practitioners </w:t>
      </w:r>
      <w:r w:rsidRPr="00D00BC4">
        <w:t xml:space="preserve">aged </w:t>
      </w:r>
      <w:r w:rsidR="00987416" w:rsidRPr="00D00BC4">
        <w:t>approximately</w:t>
      </w:r>
      <w:r w:rsidRPr="00D00BC4">
        <w:t xml:space="preserve"> between 4</w:t>
      </w:r>
      <w:r w:rsidR="00987416" w:rsidRPr="00D00BC4">
        <w:t>5</w:t>
      </w:r>
      <w:r w:rsidRPr="00D00BC4">
        <w:t xml:space="preserve"> and 6</w:t>
      </w:r>
      <w:r w:rsidR="00987416" w:rsidRPr="00D00BC4">
        <w:t>5</w:t>
      </w:r>
      <w:r w:rsidRPr="00D00BC4">
        <w:t>. This</w:t>
      </w:r>
      <w:r>
        <w:t xml:space="preserve"> is consistent with this age group being at the peak of their career. For younger practitioners, the chart shows a lower proportion of ROC support payments</w:t>
      </w:r>
      <w:r w:rsidRPr="003E564A">
        <w:t>, reflecting relatively lower risk taking at the start of the career. The chart also reflects a slightly lower level of premiums for older medical practitioners who may</w:t>
      </w:r>
      <w:r w:rsidRPr="0030070D">
        <w:t xml:space="preserve"> tend to wind down their practice hours and possibly perform fewer risky medical procedures (for example, surgery) as they reach more advanced ages.</w:t>
      </w:r>
    </w:p>
    <w:p w14:paraId="7A9307D0" w14:textId="4307B590" w:rsidR="00DA4261" w:rsidRPr="001C2997" w:rsidRDefault="00DA4261" w:rsidP="0040224A">
      <w:pPr>
        <w:pStyle w:val="Caption"/>
      </w:pPr>
      <w:r w:rsidRPr="00626C4F">
        <w:t>Figure 2: Contribution</w:t>
      </w:r>
      <w:r w:rsidRPr="0071080F">
        <w:t xml:space="preserve"> to Run</w:t>
      </w:r>
      <w:r w:rsidR="009B0312" w:rsidRPr="0071080F">
        <w:noBreakHyphen/>
      </w:r>
      <w:r w:rsidRPr="0071080F">
        <w:t>Off Cover support payments by age</w:t>
      </w:r>
    </w:p>
    <w:p w14:paraId="759FA454" w14:textId="752D4DDC" w:rsidR="00DA4261" w:rsidRPr="0030070D" w:rsidRDefault="0078627F" w:rsidP="00272AD8">
      <w:pPr>
        <w:pStyle w:val="ChartGraphic"/>
        <w:jc w:val="right"/>
      </w:pPr>
      <w:r w:rsidRPr="0078627F">
        <w:rPr>
          <w:noProof/>
        </w:rPr>
        <w:drawing>
          <wp:inline distT="0" distB="0" distL="0" distR="0" wp14:anchorId="0B121F36" wp14:editId="37EB2389">
            <wp:extent cx="4279900" cy="2508250"/>
            <wp:effectExtent l="0" t="0" r="6350" b="6350"/>
            <wp:docPr id="877544694" name="Picture 28" descr="This chart shows that the proportion of ROC support payments is greater than the proportion of ‘at-risk’ practitioners aged between 45 and 65.  The proportions are similar for doctors aged above 65.  For all other ages, the proportion of ROC support payments is slightly lower than the proportion of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9900" cy="2508250"/>
                    </a:xfrm>
                    <a:prstGeom prst="rect">
                      <a:avLst/>
                    </a:prstGeom>
                    <a:noFill/>
                    <a:ln>
                      <a:noFill/>
                    </a:ln>
                  </pic:spPr>
                </pic:pic>
              </a:graphicData>
            </a:graphic>
          </wp:inline>
        </w:drawing>
      </w:r>
    </w:p>
    <w:p w14:paraId="08702EC5" w14:textId="77777777" w:rsidR="00DA4261" w:rsidRPr="004F5256" w:rsidRDefault="00DA4261" w:rsidP="00DA4261">
      <w:pPr>
        <w:pStyle w:val="SingleParagraph"/>
      </w:pPr>
    </w:p>
    <w:p w14:paraId="52BEDF9B" w14:textId="5A487CC1" w:rsidR="00DA4261" w:rsidRPr="0030070D" w:rsidRDefault="00DA4261" w:rsidP="00952046">
      <w:pPr>
        <w:pStyle w:val="Bullet"/>
        <w:numPr>
          <w:ilvl w:val="0"/>
          <w:numId w:val="44"/>
        </w:numPr>
        <w:spacing w:after="240"/>
      </w:pPr>
      <w:r>
        <w:lastRenderedPageBreak/>
        <w:t xml:space="preserve">Figure 3 </w:t>
      </w:r>
      <w:r w:rsidRPr="0030070D">
        <w:t xml:space="preserve">summarises the contribution to ROC support payments by area of specialty. Specialty codes were not available in relation to a small minority of </w:t>
      </w:r>
      <w:r>
        <w:t>medical practitioners</w:t>
      </w:r>
      <w:r w:rsidRPr="0030070D">
        <w:t xml:space="preserve">. </w:t>
      </w:r>
      <w:r w:rsidR="00CC21D2">
        <w:t xml:space="preserve">As for </w:t>
      </w:r>
      <w:r w:rsidRPr="0030070D">
        <w:t xml:space="preserve">Figure 2, this chart only includes </w:t>
      </w:r>
      <w:r w:rsidR="009B0312">
        <w:t>‘</w:t>
      </w:r>
      <w:r w:rsidRPr="0030070D">
        <w:t>at</w:t>
      </w:r>
      <w:r w:rsidR="009B0312">
        <w:noBreakHyphen/>
      </w:r>
      <w:r w:rsidRPr="0030070D">
        <w:t>risk</w:t>
      </w:r>
      <w:r w:rsidR="009B0312">
        <w:t>’</w:t>
      </w:r>
      <w:r w:rsidRPr="0030070D">
        <w:t xml:space="preserve"> </w:t>
      </w:r>
      <w:r>
        <w:t>medical practitioners.</w:t>
      </w:r>
    </w:p>
    <w:p w14:paraId="7F95254E" w14:textId="29479E9D" w:rsidR="00DA4261" w:rsidRDefault="00DA4261" w:rsidP="00952046">
      <w:pPr>
        <w:pStyle w:val="Bullet"/>
        <w:numPr>
          <w:ilvl w:val="0"/>
          <w:numId w:val="44"/>
        </w:numPr>
        <w:spacing w:after="240"/>
        <w:rPr>
          <w:spacing w:val="-2"/>
        </w:rPr>
      </w:pPr>
      <w:r w:rsidRPr="00407D32">
        <w:rPr>
          <w:spacing w:val="-2"/>
        </w:rPr>
        <w:t>Medical indemnity insurance premiums tend to be risk</w:t>
      </w:r>
      <w:r w:rsidR="009B0312">
        <w:rPr>
          <w:spacing w:val="-2"/>
        </w:rPr>
        <w:noBreakHyphen/>
      </w:r>
      <w:r w:rsidRPr="00407D32">
        <w:rPr>
          <w:spacing w:val="-2"/>
        </w:rPr>
        <w:t xml:space="preserve">based. Thus, practitioners operating in higher risk areas of specialty are likely to incur the highest premiums and, accordingly, the highest ROC support payment </w:t>
      </w:r>
      <w:r w:rsidRPr="00F114FA">
        <w:rPr>
          <w:spacing w:val="-2"/>
        </w:rPr>
        <w:t xml:space="preserve">liabilities. The largest ROC support payments </w:t>
      </w:r>
      <w:r w:rsidR="00F1427E" w:rsidRPr="00F114FA">
        <w:rPr>
          <w:spacing w:val="-2"/>
        </w:rPr>
        <w:t xml:space="preserve">per person </w:t>
      </w:r>
      <w:r w:rsidRPr="00F114FA">
        <w:rPr>
          <w:spacing w:val="-2"/>
        </w:rPr>
        <w:t>are for obstetricians, gynaecologists, neurosurgeons, cosmetic/plastic/reconstructive surgeons, orthopaedic surgeons, and general surgeons. General practitioners</w:t>
      </w:r>
      <w:r w:rsidR="009B0312" w:rsidRPr="00F114FA">
        <w:rPr>
          <w:spacing w:val="-2"/>
        </w:rPr>
        <w:t xml:space="preserve"> – </w:t>
      </w:r>
      <w:r w:rsidRPr="00F114FA">
        <w:rPr>
          <w:spacing w:val="-2"/>
        </w:rPr>
        <w:t>non</w:t>
      </w:r>
      <w:r w:rsidR="009B0312" w:rsidRPr="00F114FA">
        <w:rPr>
          <w:spacing w:val="-2"/>
        </w:rPr>
        <w:noBreakHyphen/>
      </w:r>
      <w:r w:rsidRPr="00F114FA">
        <w:rPr>
          <w:spacing w:val="-2"/>
        </w:rPr>
        <w:t xml:space="preserve">procedural have </w:t>
      </w:r>
      <w:r w:rsidR="00F114FA" w:rsidRPr="00F114FA">
        <w:rPr>
          <w:spacing w:val="-2"/>
        </w:rPr>
        <w:t xml:space="preserve">one of </w:t>
      </w:r>
      <w:r w:rsidRPr="00F114FA">
        <w:rPr>
          <w:spacing w:val="-2"/>
        </w:rPr>
        <w:t>the smallest average ROC support payments</w:t>
      </w:r>
      <w:r w:rsidR="00146CD9" w:rsidRPr="00F114FA">
        <w:rPr>
          <w:spacing w:val="-2"/>
        </w:rPr>
        <w:t xml:space="preserve"> per person</w:t>
      </w:r>
      <w:r w:rsidR="00152AD1" w:rsidRPr="00F114FA">
        <w:rPr>
          <w:spacing w:val="-2"/>
        </w:rPr>
        <w:t xml:space="preserve"> although together </w:t>
      </w:r>
      <w:r w:rsidR="00F1427E" w:rsidRPr="00F114FA">
        <w:rPr>
          <w:spacing w:val="-2"/>
        </w:rPr>
        <w:t>make up around 27% of the total</w:t>
      </w:r>
      <w:r w:rsidR="00FB1A38">
        <w:rPr>
          <w:spacing w:val="-2"/>
        </w:rPr>
        <w:t xml:space="preserve"> payments</w:t>
      </w:r>
      <w:r w:rsidRPr="00F114FA">
        <w:rPr>
          <w:spacing w:val="-2"/>
        </w:rPr>
        <w:t>. Note that</w:t>
      </w:r>
      <w:r w:rsidRPr="00407D32">
        <w:rPr>
          <w:spacing w:val="-2"/>
        </w:rPr>
        <w:t xml:space="preserve"> </w:t>
      </w:r>
      <w:r w:rsidR="00DD43D1">
        <w:rPr>
          <w:spacing w:val="-2"/>
        </w:rPr>
        <w:t>many</w:t>
      </w:r>
      <w:r w:rsidRPr="00407D32">
        <w:rPr>
          <w:spacing w:val="-2"/>
        </w:rPr>
        <w:t xml:space="preserve"> medical practitioners not otherwise classified (including interns and trainees) are not shown in this chart as they are not included in the </w:t>
      </w:r>
      <w:r w:rsidR="009B0312">
        <w:rPr>
          <w:spacing w:val="-2"/>
        </w:rPr>
        <w:t>‘</w:t>
      </w:r>
      <w:r w:rsidRPr="00407D32">
        <w:rPr>
          <w:spacing w:val="-2"/>
        </w:rPr>
        <w:t>at</w:t>
      </w:r>
      <w:r w:rsidR="009B0312">
        <w:rPr>
          <w:spacing w:val="-2"/>
        </w:rPr>
        <w:noBreakHyphen/>
      </w:r>
      <w:r w:rsidRPr="00407D32">
        <w:rPr>
          <w:spacing w:val="-2"/>
        </w:rPr>
        <w:t>risk</w:t>
      </w:r>
      <w:r w:rsidR="009B0312">
        <w:rPr>
          <w:spacing w:val="-2"/>
        </w:rPr>
        <w:t>’</w:t>
      </w:r>
      <w:r w:rsidRPr="00407D32">
        <w:rPr>
          <w:spacing w:val="-2"/>
        </w:rPr>
        <w:t xml:space="preserve"> group.</w:t>
      </w:r>
    </w:p>
    <w:p w14:paraId="17C52609" w14:textId="0E877C19" w:rsidR="00DA4261" w:rsidRDefault="00DA4261" w:rsidP="0040224A">
      <w:pPr>
        <w:pStyle w:val="Caption"/>
      </w:pPr>
      <w:r w:rsidRPr="00626C4F">
        <w:lastRenderedPageBreak/>
        <w:t>Figure 3: Co</w:t>
      </w:r>
      <w:r w:rsidRPr="0071080F">
        <w:t>ntribution to Run</w:t>
      </w:r>
      <w:r w:rsidR="009B0312" w:rsidRPr="0071080F">
        <w:noBreakHyphen/>
      </w:r>
      <w:r w:rsidRPr="0071080F">
        <w:t>Off Cover support payments by specialisation</w:t>
      </w:r>
    </w:p>
    <w:p w14:paraId="0150F520" w14:textId="6610E6EF" w:rsidR="00DA4261" w:rsidRDefault="001709CC" w:rsidP="00E35164">
      <w:pPr>
        <w:pStyle w:val="ChartGraphic"/>
        <w:keepNext w:val="0"/>
      </w:pPr>
      <w:r w:rsidRPr="001709CC">
        <w:rPr>
          <w:noProof/>
        </w:rPr>
        <w:drawing>
          <wp:inline distT="0" distB="0" distL="0" distR="0" wp14:anchorId="3F8C85BA" wp14:editId="426B2919">
            <wp:extent cx="4660898" cy="5181598"/>
            <wp:effectExtent l="0" t="0" r="6350" b="0"/>
            <wp:docPr id="846747412" name="Picture 29" descr="This chart shows that practitioners in higher risk specialties incur the largest ROC support payments.  For example, obstetricians incur around 5 per cent of all ROCS support payments while comprising around 1 per cent of the ‘at-risk’ practitioner population.  Conversely, the less risky areas of specialty incur the lowest ROCS support payments.  For example, general practitioners (non-procedural) incur about  a quarter of ROCS support payments while comprising more than 30% of the ‘at-risk’ practitioner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0898" cy="5181598"/>
                    </a:xfrm>
                    <a:prstGeom prst="rect">
                      <a:avLst/>
                    </a:prstGeom>
                    <a:noFill/>
                    <a:ln>
                      <a:noFill/>
                    </a:ln>
                  </pic:spPr>
                </pic:pic>
              </a:graphicData>
            </a:graphic>
          </wp:inline>
        </w:drawing>
      </w:r>
    </w:p>
    <w:p w14:paraId="19D8758A" w14:textId="77777777" w:rsidR="00DA4261" w:rsidRDefault="00DA4261" w:rsidP="00DA4261"/>
    <w:p w14:paraId="6F7D1FF4" w14:textId="2021E95B" w:rsidR="0098347F" w:rsidRDefault="00F602EB" w:rsidP="00DA4261">
      <w:pPr>
        <w:ind w:left="833" w:hanging="720"/>
      </w:pPr>
      <w:r>
        <w:t xml:space="preserve"> </w:t>
      </w:r>
    </w:p>
    <w:p w14:paraId="6F21FD2C" w14:textId="77777777" w:rsidR="0098347F" w:rsidRDefault="0098347F">
      <w:pPr>
        <w:spacing w:after="200" w:line="276" w:lineRule="auto"/>
        <w:jc w:val="left"/>
      </w:pPr>
      <w:r>
        <w:br w:type="page"/>
      </w:r>
    </w:p>
    <w:p w14:paraId="53F62E6D" w14:textId="038AAEDF" w:rsidR="007A5E35" w:rsidRDefault="00F602EB" w:rsidP="007A5E35">
      <w:pPr>
        <w:pStyle w:val="Heading1"/>
      </w:pPr>
      <w:bookmarkStart w:id="73" w:name="_Toc63865414"/>
      <w:bookmarkStart w:id="74" w:name="_Toc63866215"/>
      <w:bookmarkStart w:id="75" w:name="_Toc63866545"/>
      <w:bookmarkStart w:id="76" w:name="_Toc63866677"/>
      <w:bookmarkStart w:id="77" w:name="_Toc192773710"/>
      <w:r>
        <w:lastRenderedPageBreak/>
        <w:t>FINANCIAL MANAGEMENT OF THE RUN</w:t>
      </w:r>
      <w:r w:rsidR="009B0312">
        <w:noBreakHyphen/>
      </w:r>
      <w:r>
        <w:t>OFF COVER SCHEME</w:t>
      </w:r>
      <w:bookmarkStart w:id="78" w:name="_Toc63865415"/>
      <w:bookmarkStart w:id="79" w:name="_Toc63866216"/>
      <w:bookmarkStart w:id="80" w:name="_Toc63866546"/>
      <w:bookmarkStart w:id="81" w:name="_Toc63866678"/>
      <w:bookmarkEnd w:id="73"/>
      <w:bookmarkEnd w:id="74"/>
      <w:bookmarkEnd w:id="75"/>
      <w:bookmarkEnd w:id="76"/>
      <w:bookmarkEnd w:id="77"/>
    </w:p>
    <w:p w14:paraId="5E957AE8" w14:textId="5E1A63CF" w:rsidR="00F602EB" w:rsidRPr="007A5E35" w:rsidRDefault="00E36D5C" w:rsidP="00F94366">
      <w:pPr>
        <w:pStyle w:val="Heading2"/>
      </w:pPr>
      <w:bookmarkStart w:id="82" w:name="_Toc192773711"/>
      <w:r w:rsidRPr="006B384C">
        <w:t>20</w:t>
      </w:r>
      <w:r w:rsidR="00D55E7B" w:rsidRPr="006B384C">
        <w:t>2</w:t>
      </w:r>
      <w:r w:rsidR="004163EE">
        <w:t>3</w:t>
      </w:r>
      <w:r w:rsidR="009B0312" w:rsidRPr="006B384C">
        <w:noBreakHyphen/>
      </w:r>
      <w:r w:rsidRPr="006B384C">
        <w:t>2</w:t>
      </w:r>
      <w:r w:rsidR="004163EE">
        <w:t>4</w:t>
      </w:r>
      <w:r w:rsidR="00F602EB" w:rsidRPr="007A5E35">
        <w:t xml:space="preserve"> CASH FLOW</w:t>
      </w:r>
      <w:bookmarkEnd w:id="78"/>
      <w:bookmarkEnd w:id="79"/>
      <w:bookmarkEnd w:id="80"/>
      <w:bookmarkEnd w:id="81"/>
      <w:bookmarkEnd w:id="82"/>
    </w:p>
    <w:p w14:paraId="27990F84" w14:textId="7AD5FFC1" w:rsidR="00F602EB" w:rsidRPr="002E4E9E" w:rsidRDefault="00F602EB" w:rsidP="00952046">
      <w:pPr>
        <w:pStyle w:val="ListParagraph"/>
        <w:numPr>
          <w:ilvl w:val="0"/>
          <w:numId w:val="45"/>
        </w:numPr>
      </w:pPr>
      <w:r w:rsidRPr="00FB1A38">
        <w:t xml:space="preserve">Table </w:t>
      </w:r>
      <w:r w:rsidR="00425220" w:rsidRPr="00FB1A38">
        <w:t xml:space="preserve">7 </w:t>
      </w:r>
      <w:r w:rsidRPr="00FB1A38">
        <w:t xml:space="preserve">sets out the cash flow statement </w:t>
      </w:r>
      <w:r w:rsidR="00E36D5C" w:rsidRPr="00FB1A38">
        <w:t xml:space="preserve">of the Notional Account for </w:t>
      </w:r>
      <w:r w:rsidR="00E36D5C" w:rsidRPr="002E4E9E">
        <w:t>20</w:t>
      </w:r>
      <w:r w:rsidR="00D55E7B" w:rsidRPr="002E4E9E">
        <w:t>2</w:t>
      </w:r>
      <w:r w:rsidR="0071080F" w:rsidRPr="002E4E9E">
        <w:t>3</w:t>
      </w:r>
      <w:r w:rsidR="009B0312" w:rsidRPr="002E4E9E">
        <w:noBreakHyphen/>
      </w:r>
      <w:r w:rsidR="00D55E7B" w:rsidRPr="002E4E9E">
        <w:t>2</w:t>
      </w:r>
      <w:r w:rsidR="0071080F" w:rsidRPr="002E4E9E">
        <w:t>4</w:t>
      </w:r>
      <w:r w:rsidRPr="002E4E9E">
        <w:rPr>
          <w:color w:val="auto"/>
        </w:rPr>
        <w:t>.</w:t>
      </w:r>
      <w:r w:rsidR="00F94366" w:rsidRPr="002E4E9E">
        <w:rPr>
          <w:color w:val="auto"/>
        </w:rPr>
        <w:t xml:space="preserve"> </w:t>
      </w:r>
    </w:p>
    <w:p w14:paraId="35F510BF" w14:textId="7DF1FCB4" w:rsidR="00F602EB" w:rsidRDefault="00F602EB" w:rsidP="0040224A">
      <w:pPr>
        <w:pStyle w:val="Caption"/>
      </w:pPr>
      <w:r w:rsidRPr="002E4E9E">
        <w:t xml:space="preserve">Table </w:t>
      </w:r>
      <w:r w:rsidR="007A5E35" w:rsidRPr="002E4E9E">
        <w:t>7</w:t>
      </w:r>
      <w:r w:rsidRPr="002E4E9E">
        <w:t>:</w:t>
      </w:r>
      <w:r w:rsidRPr="00CE3454">
        <w:t xml:space="preserve"> Cash flow statem</w:t>
      </w:r>
      <w:r w:rsidR="00E36D5C" w:rsidRPr="00CE3454">
        <w:t xml:space="preserve">ent of the Notional </w:t>
      </w:r>
      <w:r w:rsidR="00E36D5C" w:rsidRPr="00FB1A38">
        <w:t xml:space="preserve">Account </w:t>
      </w:r>
      <w:r w:rsidR="00425220" w:rsidRPr="00FB1A38">
        <w:t>FY</w:t>
      </w:r>
      <w:r w:rsidR="00E36D5C" w:rsidRPr="00FB1A38">
        <w:t>20</w:t>
      </w:r>
      <w:r w:rsidR="00D55E7B" w:rsidRPr="00FB1A38">
        <w:t>2</w:t>
      </w:r>
      <w:r w:rsidR="0071080F" w:rsidRPr="00FB1A38">
        <w:t>3</w:t>
      </w:r>
      <w:r w:rsidR="009B0312" w:rsidRPr="00FB1A38">
        <w:noBreakHyphen/>
      </w:r>
      <w:r w:rsidR="00E36D5C" w:rsidRPr="00FB1A38">
        <w:t>2</w:t>
      </w:r>
      <w:r w:rsidR="0071080F" w:rsidRPr="00FB1A38">
        <w:t>4</w:t>
      </w:r>
    </w:p>
    <w:p w14:paraId="6264A37A" w14:textId="09521146" w:rsidR="00904582" w:rsidRDefault="002E4E9E" w:rsidP="009B19A3">
      <w:pPr>
        <w:keepNext/>
        <w:spacing w:line="240" w:lineRule="auto"/>
        <w:jc w:val="center"/>
      </w:pPr>
      <w:bookmarkStart w:id="83" w:name="_Hlk64895631"/>
      <w:r w:rsidRPr="002E4E9E">
        <w:rPr>
          <w:noProof/>
        </w:rPr>
        <w:drawing>
          <wp:inline distT="0" distB="0" distL="0" distR="0" wp14:anchorId="49622A13" wp14:editId="4B0B3DE3">
            <wp:extent cx="4699001" cy="1454150"/>
            <wp:effectExtent l="0" t="0" r="6350" b="0"/>
            <wp:docPr id="1065130119" name="Picture 2" descr="Net cashflow was $13.597 million over 2023 -24. This was calculated from income of $25.7 million support payments plus $9.5m notional interest and expenses of $21.5 million (i.e. indemnity payments and administration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01" cy="1454150"/>
                    </a:xfrm>
                    <a:prstGeom prst="rect">
                      <a:avLst/>
                    </a:prstGeom>
                    <a:noFill/>
                    <a:ln>
                      <a:noFill/>
                    </a:ln>
                  </pic:spPr>
                </pic:pic>
              </a:graphicData>
            </a:graphic>
          </wp:inline>
        </w:drawing>
      </w:r>
    </w:p>
    <w:p w14:paraId="516D509D" w14:textId="7915E8BC" w:rsidR="00F602EB" w:rsidRDefault="00F602EB" w:rsidP="00952046">
      <w:pPr>
        <w:pStyle w:val="Heading2"/>
        <w:numPr>
          <w:ilvl w:val="1"/>
          <w:numId w:val="24"/>
        </w:numPr>
      </w:pPr>
      <w:bookmarkStart w:id="84" w:name="_Toc63865416"/>
      <w:bookmarkStart w:id="85" w:name="_Toc63866217"/>
      <w:bookmarkStart w:id="86" w:name="_Toc63866547"/>
      <w:bookmarkStart w:id="87" w:name="_Toc63866679"/>
      <w:bookmarkStart w:id="88" w:name="_Ref97631376"/>
      <w:bookmarkStart w:id="89" w:name="_Toc192773712"/>
      <w:bookmarkEnd w:id="83"/>
      <w:r>
        <w:t>EXPERIENCE AND MODEL</w:t>
      </w:r>
      <w:bookmarkEnd w:id="84"/>
      <w:bookmarkEnd w:id="85"/>
      <w:bookmarkEnd w:id="86"/>
      <w:bookmarkEnd w:id="87"/>
      <w:bookmarkEnd w:id="88"/>
      <w:bookmarkEnd w:id="89"/>
    </w:p>
    <w:p w14:paraId="69BA8780" w14:textId="0B8299CE" w:rsidR="00F602EB" w:rsidRDefault="00F602EB" w:rsidP="00F602EB">
      <w:pPr>
        <w:pStyle w:val="Heading3"/>
      </w:pPr>
      <w:bookmarkStart w:id="90" w:name="_Toc63865417"/>
      <w:bookmarkStart w:id="91" w:name="_Toc63866218"/>
      <w:bookmarkStart w:id="92" w:name="_Toc63866548"/>
      <w:bookmarkStart w:id="93" w:name="_Toc63866680"/>
      <w:r w:rsidRPr="007366F4">
        <w:t>C</w:t>
      </w:r>
      <w:r w:rsidR="00E36D5C" w:rsidRPr="007366F4">
        <w:t xml:space="preserve">omment on experience </w:t>
      </w:r>
      <w:r w:rsidR="00E36D5C" w:rsidRPr="004851DA">
        <w:t xml:space="preserve">during </w:t>
      </w:r>
      <w:bookmarkEnd w:id="90"/>
      <w:bookmarkEnd w:id="91"/>
      <w:bookmarkEnd w:id="92"/>
      <w:bookmarkEnd w:id="93"/>
      <w:r w:rsidR="00E36D5C" w:rsidRPr="004851DA">
        <w:t>20</w:t>
      </w:r>
      <w:r w:rsidR="000F71FA" w:rsidRPr="004851DA">
        <w:t>2</w:t>
      </w:r>
      <w:r w:rsidR="0070349F" w:rsidRPr="004851DA">
        <w:t>3</w:t>
      </w:r>
      <w:r w:rsidR="009B0312" w:rsidRPr="004851DA">
        <w:noBreakHyphen/>
      </w:r>
      <w:r w:rsidR="00E36D5C" w:rsidRPr="004851DA">
        <w:t>2</w:t>
      </w:r>
      <w:r w:rsidR="0070349F" w:rsidRPr="004851DA">
        <w:t>4</w:t>
      </w:r>
    </w:p>
    <w:p w14:paraId="286FF0BB" w14:textId="6AA2C65A" w:rsidR="00C73CA7" w:rsidRDefault="002F6D6D" w:rsidP="00952046">
      <w:pPr>
        <w:pStyle w:val="ListParagraph"/>
        <w:numPr>
          <w:ilvl w:val="0"/>
          <w:numId w:val="46"/>
        </w:numPr>
      </w:pPr>
      <w:bookmarkStart w:id="94" w:name="_Toc63865418"/>
      <w:bookmarkStart w:id="95" w:name="_Toc63866219"/>
      <w:bookmarkStart w:id="96" w:name="_Toc63866549"/>
      <w:bookmarkStart w:id="97" w:name="_Toc63866681"/>
      <w:r>
        <w:t>P</w:t>
      </w:r>
      <w:r w:rsidR="009B5C06" w:rsidRPr="009B5C06">
        <w:t xml:space="preserve">ayments </w:t>
      </w:r>
      <w:r w:rsidR="009235DA">
        <w:t xml:space="preserve">by Services Australia </w:t>
      </w:r>
      <w:r w:rsidR="009B5C06" w:rsidRPr="009B5C06">
        <w:t xml:space="preserve">have increased sharply </w:t>
      </w:r>
      <w:r>
        <w:t>in recent years</w:t>
      </w:r>
      <w:r w:rsidR="009B5C06" w:rsidRPr="009B5C06">
        <w:t xml:space="preserve">. The spike in 2020 can be attributed to one large claim that is now fully reimbursed. The significant increase since then </w:t>
      </w:r>
      <w:r>
        <w:t>is</w:t>
      </w:r>
      <w:r w:rsidR="00640844">
        <w:t xml:space="preserve"> partially attributable to certain clusters of claims as advised by some insurers. This </w:t>
      </w:r>
      <w:r w:rsidR="0047096C">
        <w:t xml:space="preserve">is </w:t>
      </w:r>
      <w:r w:rsidR="00A66679">
        <w:t>consistent with</w:t>
      </w:r>
      <w:r w:rsidR="009B5C06" w:rsidRPr="009B5C06">
        <w:t xml:space="preserve"> the </w:t>
      </w:r>
      <w:r w:rsidR="002F4CC4">
        <w:t xml:space="preserve">abnormally </w:t>
      </w:r>
      <w:r w:rsidR="00BD44D6">
        <w:t>large number</w:t>
      </w:r>
      <w:r w:rsidR="002F4CC4">
        <w:t xml:space="preserve"> of </w:t>
      </w:r>
      <w:r w:rsidR="009134EF">
        <w:t xml:space="preserve">reported </w:t>
      </w:r>
      <w:r w:rsidR="002F4CC4">
        <w:t xml:space="preserve">incidents </w:t>
      </w:r>
      <w:r w:rsidR="00BD44D6">
        <w:t xml:space="preserve">associated with </w:t>
      </w:r>
      <w:r w:rsidR="00FF739E">
        <w:t>one year’s</w:t>
      </w:r>
      <w:r w:rsidR="00BD44D6">
        <w:t xml:space="preserve"> new entrants </w:t>
      </w:r>
      <w:r w:rsidR="009B5C06" w:rsidRPr="009B5C06">
        <w:t xml:space="preserve">as </w:t>
      </w:r>
      <w:r w:rsidR="006954F9">
        <w:t xml:space="preserve">shown in </w:t>
      </w:r>
      <w:r w:rsidR="00B74B2A">
        <w:t>Table 3</w:t>
      </w:r>
      <w:r w:rsidR="009B5C06" w:rsidRPr="009B5C06">
        <w:t xml:space="preserve">. However, it is also reasonable to expect the cashflows to follow an underlying upward trend as the </w:t>
      </w:r>
      <w:r w:rsidR="00DF3934">
        <w:t>S</w:t>
      </w:r>
      <w:r w:rsidR="009B5C06" w:rsidRPr="009B5C06">
        <w:t xml:space="preserve">cheme matures. </w:t>
      </w:r>
    </w:p>
    <w:p w14:paraId="08732DDF" w14:textId="25B691D5" w:rsidR="009B5C06" w:rsidRPr="009B5C06" w:rsidRDefault="009B5C06" w:rsidP="00952046">
      <w:pPr>
        <w:pStyle w:val="ListParagraph"/>
        <w:numPr>
          <w:ilvl w:val="0"/>
          <w:numId w:val="46"/>
        </w:numPr>
      </w:pPr>
      <w:r w:rsidRPr="006B14A2">
        <w:t xml:space="preserve">The actual payments made by </w:t>
      </w:r>
      <w:r w:rsidR="009235DA" w:rsidRPr="006B14A2">
        <w:t>Services Australia</w:t>
      </w:r>
      <w:r w:rsidRPr="006B14A2">
        <w:t xml:space="preserve"> in the first six months of 202</w:t>
      </w:r>
      <w:r w:rsidR="006B14A2" w:rsidRPr="006B14A2">
        <w:t>4</w:t>
      </w:r>
      <w:r w:rsidRPr="006B14A2">
        <w:t>-2</w:t>
      </w:r>
      <w:r w:rsidR="006B14A2" w:rsidRPr="006B14A2">
        <w:t>5</w:t>
      </w:r>
      <w:r w:rsidRPr="006B14A2">
        <w:t xml:space="preserve"> is about $</w:t>
      </w:r>
      <w:r w:rsidR="006B14A2" w:rsidRPr="006B14A2">
        <w:t>10</w:t>
      </w:r>
      <w:r w:rsidRPr="006B14A2">
        <w:t>m. As was the case in recent years, it was spread over many claims rather than one or two very large claims. This suggests</w:t>
      </w:r>
      <w:r w:rsidRPr="009B5C06">
        <w:t xml:space="preserve"> that the </w:t>
      </w:r>
      <w:r w:rsidR="00DF3934">
        <w:t>S</w:t>
      </w:r>
      <w:r w:rsidRPr="009B5C06">
        <w:t xml:space="preserve">cheme may be maturing, resulting in an underlying upward trend in payments even after the clusters of claims coming to an end. </w:t>
      </w:r>
    </w:p>
    <w:p w14:paraId="0A796DD4" w14:textId="3BE7DD6C" w:rsidR="007C159D" w:rsidRDefault="0036553D" w:rsidP="00952046">
      <w:pPr>
        <w:pStyle w:val="ListParagraph"/>
        <w:numPr>
          <w:ilvl w:val="0"/>
          <w:numId w:val="46"/>
        </w:numPr>
      </w:pPr>
      <w:r w:rsidRPr="00FB0796">
        <w:t xml:space="preserve">In relation to </w:t>
      </w:r>
      <w:r w:rsidR="002673A8">
        <w:t xml:space="preserve">the </w:t>
      </w:r>
      <w:r w:rsidRPr="00FB0796">
        <w:t>Scheme</w:t>
      </w:r>
      <w:r w:rsidR="009B0312" w:rsidRPr="00FB0796">
        <w:noBreakHyphen/>
      </w:r>
      <w:r w:rsidRPr="00FB0796">
        <w:t xml:space="preserve">eligible claims which had been notified at the time of the previous review (30 June </w:t>
      </w:r>
      <w:r w:rsidRPr="00A93FD5">
        <w:t>20</w:t>
      </w:r>
      <w:r w:rsidR="000F71FA" w:rsidRPr="00A93FD5">
        <w:t>2</w:t>
      </w:r>
      <w:r w:rsidR="007C6E7B" w:rsidRPr="00A93FD5">
        <w:t>3</w:t>
      </w:r>
      <w:r w:rsidRPr="00A93FD5">
        <w:t>) but</w:t>
      </w:r>
      <w:r w:rsidRPr="00FB0796">
        <w:t xml:space="preserve"> not yet paid, actuarial estimates of the corresponding ROC indemnity payments had an undiscounted value </w:t>
      </w:r>
      <w:r w:rsidR="00782C63" w:rsidRPr="00FB0796">
        <w:t xml:space="preserve">then </w:t>
      </w:r>
      <w:r w:rsidR="00782C63" w:rsidRPr="003B6B02">
        <w:rPr>
          <w:color w:val="auto"/>
        </w:rPr>
        <w:t>of $</w:t>
      </w:r>
      <w:r w:rsidR="00320F8C" w:rsidRPr="003B6B02">
        <w:rPr>
          <w:color w:val="auto"/>
        </w:rPr>
        <w:t>54.0</w:t>
      </w:r>
      <w:r w:rsidRPr="003B6B02">
        <w:rPr>
          <w:color w:val="auto"/>
        </w:rPr>
        <w:t xml:space="preserve"> million </w:t>
      </w:r>
      <w:r w:rsidRPr="002236DA">
        <w:t>(excluding</w:t>
      </w:r>
      <w:r w:rsidRPr="00FB0796">
        <w:t xml:space="preserve"> claims handling costs). </w:t>
      </w:r>
      <w:r w:rsidR="00E5354E">
        <w:t>T</w:t>
      </w:r>
      <w:r w:rsidR="00650612">
        <w:t xml:space="preserve">his </w:t>
      </w:r>
      <w:r w:rsidR="00AC6724">
        <w:t>included</w:t>
      </w:r>
      <w:r w:rsidR="00650612">
        <w:t xml:space="preserve"> an expected </w:t>
      </w:r>
      <w:r w:rsidR="0018511A">
        <w:t>indemnity payment of $</w:t>
      </w:r>
      <w:r w:rsidR="00B07396">
        <w:t>15.3m (</w:t>
      </w:r>
      <w:r w:rsidR="005A7DE4">
        <w:t>excluding claims handling costs)</w:t>
      </w:r>
      <w:r w:rsidR="0018511A">
        <w:t xml:space="preserve"> in </w:t>
      </w:r>
      <w:r w:rsidR="0018511A">
        <w:lastRenderedPageBreak/>
        <w:t xml:space="preserve">2023-24. </w:t>
      </w:r>
      <w:r w:rsidR="007C159D">
        <w:t>If this had occurred, the expected outstanding claims estimates at 30 June 2024 would have been around $40 million.</w:t>
      </w:r>
    </w:p>
    <w:p w14:paraId="3F8CB726" w14:textId="3B7CCBB9" w:rsidR="008D5B79" w:rsidRDefault="007C159D" w:rsidP="007C159D">
      <w:pPr>
        <w:pStyle w:val="Bullet"/>
        <w:tabs>
          <w:tab w:val="clear" w:pos="472"/>
          <w:tab w:val="num" w:pos="1134"/>
        </w:tabs>
        <w:ind w:left="1560"/>
      </w:pPr>
      <w:r>
        <w:t>During 2023-24</w:t>
      </w:r>
      <w:r w:rsidR="00280551">
        <w:t xml:space="preserve">, </w:t>
      </w:r>
      <w:r w:rsidR="005A7DE4">
        <w:t>the actual</w:t>
      </w:r>
      <w:r w:rsidR="00834663" w:rsidRPr="002506B5">
        <w:t xml:space="preserve"> </w:t>
      </w:r>
      <w:r w:rsidR="00FB0796" w:rsidRPr="002506B5">
        <w:t>indemnity</w:t>
      </w:r>
      <w:r w:rsidR="00834663" w:rsidRPr="002506B5">
        <w:t xml:space="preserve"> payments </w:t>
      </w:r>
      <w:r w:rsidR="00280551" w:rsidRPr="00B5346D">
        <w:t xml:space="preserve">received by MIIs/MDOs relating to these claims </w:t>
      </w:r>
      <w:r w:rsidR="00280551">
        <w:t>where</w:t>
      </w:r>
      <w:r w:rsidR="00834663" w:rsidRPr="002506B5">
        <w:t xml:space="preserve"> about $</w:t>
      </w:r>
      <w:r w:rsidR="003006D1">
        <w:t>19</w:t>
      </w:r>
      <w:r w:rsidR="00F467F2" w:rsidRPr="002506B5">
        <w:t>.</w:t>
      </w:r>
      <w:r w:rsidR="003006D1">
        <w:t>8</w:t>
      </w:r>
      <w:r w:rsidR="0036553D" w:rsidRPr="002506B5">
        <w:t xml:space="preserve"> million </w:t>
      </w:r>
      <w:r w:rsidR="0036553D" w:rsidRPr="00B5346D">
        <w:t xml:space="preserve">(based on </w:t>
      </w:r>
      <w:r w:rsidR="00E35DF7">
        <w:t xml:space="preserve">the latest </w:t>
      </w:r>
      <w:r w:rsidR="0036553D" w:rsidRPr="00B5346D">
        <w:t xml:space="preserve">industry data). </w:t>
      </w:r>
      <w:r w:rsidR="003045E7">
        <w:t>This is around $</w:t>
      </w:r>
      <w:r w:rsidR="00926C0E">
        <w:t>4.</w:t>
      </w:r>
      <w:r w:rsidR="003045E7">
        <w:t>5 million higher than expected</w:t>
      </w:r>
      <w:r w:rsidR="008D5B79">
        <w:t>.</w:t>
      </w:r>
    </w:p>
    <w:p w14:paraId="6067230D" w14:textId="1B62FCC9" w:rsidR="008D5B79" w:rsidRDefault="0036553D" w:rsidP="007C159D">
      <w:pPr>
        <w:pStyle w:val="Bullet"/>
        <w:tabs>
          <w:tab w:val="clear" w:pos="472"/>
          <w:tab w:val="num" w:pos="1134"/>
        </w:tabs>
        <w:ind w:left="1560"/>
      </w:pPr>
      <w:r w:rsidRPr="00B5346D">
        <w:t>All else being equal, this would suggest a r</w:t>
      </w:r>
      <w:r w:rsidR="00834663" w:rsidRPr="00B5346D">
        <w:t xml:space="preserve">esidual figure </w:t>
      </w:r>
      <w:proofErr w:type="gramStart"/>
      <w:r w:rsidR="00834663" w:rsidRPr="00B5346D">
        <w:t>at</w:t>
      </w:r>
      <w:proofErr w:type="gramEnd"/>
      <w:r w:rsidR="00834663" w:rsidRPr="00B5346D">
        <w:t xml:space="preserve"> 30 June </w:t>
      </w:r>
      <w:r w:rsidR="00834663" w:rsidRPr="002506B5">
        <w:t>202</w:t>
      </w:r>
      <w:r w:rsidR="007C6E7B" w:rsidRPr="002506B5">
        <w:t>4</w:t>
      </w:r>
      <w:r w:rsidRPr="00B5346D">
        <w:t xml:space="preserve"> of about </w:t>
      </w:r>
      <w:r w:rsidR="00834663" w:rsidRPr="004F2EC7">
        <w:rPr>
          <w:color w:val="auto"/>
        </w:rPr>
        <w:t>$</w:t>
      </w:r>
      <w:r w:rsidR="004F2EC7" w:rsidRPr="004F2EC7">
        <w:rPr>
          <w:color w:val="auto"/>
        </w:rPr>
        <w:t>34.2</w:t>
      </w:r>
      <w:r w:rsidRPr="004F2EC7">
        <w:rPr>
          <w:color w:val="auto"/>
        </w:rPr>
        <w:t xml:space="preserve"> million. </w:t>
      </w:r>
      <w:r w:rsidR="000F69B5">
        <w:rPr>
          <w:color w:val="auto"/>
        </w:rPr>
        <w:t>However, u</w:t>
      </w:r>
      <w:r w:rsidRPr="004F2EC7">
        <w:rPr>
          <w:color w:val="auto"/>
        </w:rPr>
        <w:t xml:space="preserve">pdated </w:t>
      </w:r>
      <w:r w:rsidRPr="00F16DED">
        <w:t>industry estimates</w:t>
      </w:r>
      <w:r w:rsidR="0022651E" w:rsidRPr="00F16DED">
        <w:t xml:space="preserve"> </w:t>
      </w:r>
      <w:r w:rsidRPr="00F16DED">
        <w:t xml:space="preserve">put this number at around </w:t>
      </w:r>
      <w:r w:rsidR="00834663" w:rsidRPr="002664C9">
        <w:t>$</w:t>
      </w:r>
      <w:r w:rsidR="008E675A">
        <w:t>48.5</w:t>
      </w:r>
      <w:r w:rsidR="00834663" w:rsidRPr="002664C9">
        <w:t> million</w:t>
      </w:r>
      <w:r w:rsidRPr="002664C9">
        <w:t>, which is higher than expected.</w:t>
      </w:r>
      <w:r w:rsidRPr="003D47EB">
        <w:t xml:space="preserve"> </w:t>
      </w:r>
      <w:r w:rsidR="008D5B79">
        <w:t>This demonstrates an increase in the outstanding claims estimates during 2023-24.</w:t>
      </w:r>
    </w:p>
    <w:p w14:paraId="57FD3545" w14:textId="4512466B" w:rsidR="0036553D" w:rsidRPr="003D47EB" w:rsidRDefault="00204056" w:rsidP="00F724BA">
      <w:pPr>
        <w:pStyle w:val="Bullet"/>
        <w:numPr>
          <w:ilvl w:val="0"/>
          <w:numId w:val="0"/>
        </w:numPr>
        <w:ind w:left="1088"/>
      </w:pPr>
      <w:r>
        <w:t>I</w:t>
      </w:r>
      <w:r w:rsidR="007B3D9B">
        <w:t>ndustry actuaries</w:t>
      </w:r>
      <w:r w:rsidR="001004C1">
        <w:t xml:space="preserve"> have attributed </w:t>
      </w:r>
      <w:r w:rsidR="00D4328C">
        <w:t xml:space="preserve">this </w:t>
      </w:r>
      <w:r w:rsidR="001004C1">
        <w:t xml:space="preserve">increase to the </w:t>
      </w:r>
      <w:r w:rsidR="00E94789">
        <w:t xml:space="preserve">inherent volatility </w:t>
      </w:r>
      <w:r w:rsidR="004D3ED1">
        <w:t>of</w:t>
      </w:r>
      <w:r w:rsidR="00E94789">
        <w:t xml:space="preserve"> ROCS claims</w:t>
      </w:r>
      <w:r w:rsidR="00700348">
        <w:t xml:space="preserve">. We are also aware of certain </w:t>
      </w:r>
      <w:r w:rsidR="009A1986">
        <w:t>internal</w:t>
      </w:r>
      <w:r w:rsidR="00700348">
        <w:t xml:space="preserve"> reviews </w:t>
      </w:r>
      <w:r w:rsidR="004D3ED1">
        <w:t xml:space="preserve">currently </w:t>
      </w:r>
      <w:r w:rsidR="00401D3C">
        <w:t xml:space="preserve">being </w:t>
      </w:r>
      <w:r w:rsidR="00837006">
        <w:t>undertaken</w:t>
      </w:r>
      <w:r w:rsidR="004D3ED1">
        <w:t xml:space="preserve"> </w:t>
      </w:r>
      <w:r w:rsidR="00700348">
        <w:t>by</w:t>
      </w:r>
      <w:r w:rsidR="009A1986">
        <w:t xml:space="preserve"> </w:t>
      </w:r>
      <w:r w:rsidR="00E022D5">
        <w:t>certain</w:t>
      </w:r>
      <w:r w:rsidR="009A1986">
        <w:t xml:space="preserve"> insurers</w:t>
      </w:r>
      <w:r w:rsidR="000F19A7">
        <w:t xml:space="preserve">. This may </w:t>
      </w:r>
      <w:r w:rsidR="009A1986">
        <w:t>lead to more</w:t>
      </w:r>
      <w:r w:rsidR="004D3ED1">
        <w:t xml:space="preserve"> robust </w:t>
      </w:r>
      <w:r w:rsidR="00665B20">
        <w:t xml:space="preserve">case estimates. As we await the results of such reviews, </w:t>
      </w:r>
      <w:r w:rsidR="00844F68">
        <w:t xml:space="preserve">no further adjustments </w:t>
      </w:r>
      <w:r w:rsidR="00F42C9F">
        <w:t xml:space="preserve">to the industry data </w:t>
      </w:r>
      <w:r w:rsidR="00844F68">
        <w:t xml:space="preserve">were </w:t>
      </w:r>
      <w:r w:rsidR="00757CBF">
        <w:t xml:space="preserve">made </w:t>
      </w:r>
      <w:r w:rsidR="00F42C9F">
        <w:t>this year</w:t>
      </w:r>
      <w:r w:rsidR="00844F68">
        <w:t xml:space="preserve">. </w:t>
      </w:r>
      <w:r w:rsidR="00665B20">
        <w:t xml:space="preserve"> </w:t>
      </w:r>
      <w:r w:rsidR="009A1986">
        <w:t xml:space="preserve"> </w:t>
      </w:r>
      <w:r w:rsidR="00E3116F">
        <w:t xml:space="preserve"> </w:t>
      </w:r>
      <w:r w:rsidR="007B3D9B">
        <w:t xml:space="preserve"> </w:t>
      </w:r>
    </w:p>
    <w:p w14:paraId="77CBF4ED" w14:textId="7A1F940D" w:rsidR="003E7F39" w:rsidRPr="003E7F39" w:rsidRDefault="00AE544E" w:rsidP="00A53C22">
      <w:pPr>
        <w:pStyle w:val="ListParagraph"/>
        <w:numPr>
          <w:ilvl w:val="0"/>
          <w:numId w:val="46"/>
        </w:numPr>
      </w:pPr>
      <w:r>
        <w:rPr>
          <w:color w:val="auto"/>
        </w:rPr>
        <w:t>T</w:t>
      </w:r>
      <w:r w:rsidR="00784A48" w:rsidRPr="001973E3">
        <w:rPr>
          <w:color w:val="auto"/>
        </w:rPr>
        <w:t>he previous report estimated the incurred</w:t>
      </w:r>
      <w:r w:rsidR="009B0312" w:rsidRPr="001973E3">
        <w:rPr>
          <w:color w:val="auto"/>
        </w:rPr>
        <w:noBreakHyphen/>
      </w:r>
      <w:r w:rsidR="00784A48" w:rsidRPr="001973E3">
        <w:rPr>
          <w:color w:val="auto"/>
        </w:rPr>
        <w:t>but</w:t>
      </w:r>
      <w:r w:rsidR="009B0312" w:rsidRPr="001973E3">
        <w:rPr>
          <w:color w:val="auto"/>
        </w:rPr>
        <w:noBreakHyphen/>
      </w:r>
      <w:r w:rsidR="00784A48" w:rsidRPr="001973E3">
        <w:rPr>
          <w:color w:val="auto"/>
        </w:rPr>
        <w:t>not</w:t>
      </w:r>
      <w:r w:rsidR="009B0312" w:rsidRPr="001973E3">
        <w:rPr>
          <w:color w:val="auto"/>
        </w:rPr>
        <w:noBreakHyphen/>
      </w:r>
      <w:r w:rsidR="00784A48" w:rsidRPr="001973E3">
        <w:rPr>
          <w:color w:val="auto"/>
        </w:rPr>
        <w:t>reported (IBNR) Run</w:t>
      </w:r>
      <w:r w:rsidR="009B0312" w:rsidRPr="001973E3">
        <w:rPr>
          <w:color w:val="auto"/>
        </w:rPr>
        <w:noBreakHyphen/>
      </w:r>
      <w:r w:rsidR="00784A48" w:rsidRPr="001973E3">
        <w:rPr>
          <w:color w:val="auto"/>
        </w:rPr>
        <w:t xml:space="preserve">Off Cover Scheme liability </w:t>
      </w:r>
      <w:proofErr w:type="gramStart"/>
      <w:r w:rsidR="00784A48" w:rsidRPr="001973E3">
        <w:rPr>
          <w:color w:val="auto"/>
        </w:rPr>
        <w:t>at</w:t>
      </w:r>
      <w:proofErr w:type="gramEnd"/>
      <w:r w:rsidR="00784A48" w:rsidRPr="001973E3">
        <w:rPr>
          <w:color w:val="auto"/>
        </w:rPr>
        <w:t xml:space="preserve"> 30 June </w:t>
      </w:r>
      <w:r w:rsidR="00784A48" w:rsidRPr="0015381F">
        <w:rPr>
          <w:color w:val="auto"/>
        </w:rPr>
        <w:t>20</w:t>
      </w:r>
      <w:r w:rsidR="007D415B" w:rsidRPr="0015381F">
        <w:rPr>
          <w:color w:val="auto"/>
        </w:rPr>
        <w:t>2</w:t>
      </w:r>
      <w:r w:rsidR="00903DFA" w:rsidRPr="0015381F">
        <w:rPr>
          <w:color w:val="auto"/>
        </w:rPr>
        <w:t>3</w:t>
      </w:r>
      <w:r w:rsidR="00784A48" w:rsidRPr="0015381F">
        <w:rPr>
          <w:color w:val="auto"/>
        </w:rPr>
        <w:t xml:space="preserve"> as $</w:t>
      </w:r>
      <w:r w:rsidR="00790081" w:rsidRPr="0015381F">
        <w:rPr>
          <w:color w:val="auto"/>
        </w:rPr>
        <w:t>110.</w:t>
      </w:r>
      <w:r w:rsidR="00AC44A5" w:rsidRPr="0015381F">
        <w:rPr>
          <w:color w:val="auto"/>
        </w:rPr>
        <w:t>2</w:t>
      </w:r>
      <w:r w:rsidR="00784A48" w:rsidRPr="0015381F">
        <w:rPr>
          <w:color w:val="auto"/>
        </w:rPr>
        <w:t xml:space="preserve"> million (excluding</w:t>
      </w:r>
      <w:r w:rsidR="00784A48" w:rsidRPr="001973E3">
        <w:rPr>
          <w:color w:val="auto"/>
        </w:rPr>
        <w:t xml:space="preserve"> claims handling costs and discounted at 5 per cent per annum). Table 8 sets out the expected new notifications that were implied within that estimate, alongside the most recent estimates. </w:t>
      </w:r>
    </w:p>
    <w:p w14:paraId="745E0671" w14:textId="2E9A7D76" w:rsidR="0036553D" w:rsidRPr="00F747D9" w:rsidRDefault="0036553D" w:rsidP="0040224A">
      <w:pPr>
        <w:pStyle w:val="Caption"/>
      </w:pPr>
      <w:r w:rsidRPr="00AA5821">
        <w:t>Table 8: Expected</w:t>
      </w:r>
      <w:r w:rsidRPr="0071080F">
        <w:t xml:space="preserve"> new notifications (excluding CHE)</w:t>
      </w:r>
    </w:p>
    <w:p w14:paraId="562A18FB" w14:textId="1C0A6AE2" w:rsidR="0036553D" w:rsidRDefault="00C023E2" w:rsidP="00736B72">
      <w:pPr>
        <w:pStyle w:val="TableGraphic"/>
        <w:jc w:val="center"/>
      </w:pPr>
      <w:r w:rsidRPr="00C023E2">
        <w:rPr>
          <w:noProof/>
        </w:rPr>
        <w:drawing>
          <wp:inline distT="0" distB="0" distL="0" distR="0" wp14:anchorId="5BCBEB27" wp14:editId="5B9E1CED">
            <wp:extent cx="4555490" cy="876300"/>
            <wp:effectExtent l="0" t="0" r="0" b="0"/>
            <wp:docPr id="1749588165" name="Picture 3" descr="Implied within last year’s estimate was an expectation that approximately $17.9 million in new notifications would emerge during 2023-24, $18.6 million during 2024-25, $19.3 million during 2025-26 and $20.1 million during 2026-27. The most recent industry actuarial estimates predict around $15.2 million for 2023-24, $19.9 million for 2024-25, $20.8 million for 2025-26 and $21.6 million for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88165" name="Picture 3" descr="Implied within last year’s estimate was an expectation that approximately $17.9 million in new notifications would emerge during 2023-24, $18.6 million during 2024-25, $19.3 million during 2025-26 and $20.1 million during 2026-27. The most recent industry actuarial estimates predict around $15.2 million for 2023-24, $19.9 million for 2024-25, $20.8 million for 2025-26 and $21.6 million for 2026-27.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5490" cy="876300"/>
                    </a:xfrm>
                    <a:prstGeom prst="rect">
                      <a:avLst/>
                    </a:prstGeom>
                    <a:noFill/>
                    <a:ln>
                      <a:noFill/>
                    </a:ln>
                  </pic:spPr>
                </pic:pic>
              </a:graphicData>
            </a:graphic>
          </wp:inline>
        </w:drawing>
      </w:r>
    </w:p>
    <w:p w14:paraId="53C4FC7A" w14:textId="77777777" w:rsidR="00065AEC" w:rsidRPr="00065AEC" w:rsidRDefault="00065AEC" w:rsidP="00AD626A">
      <w:pPr>
        <w:spacing w:after="0"/>
        <w:ind w:left="0" w:firstLine="0"/>
      </w:pPr>
    </w:p>
    <w:p w14:paraId="520C95C9" w14:textId="77FF2B08" w:rsidR="001973E3" w:rsidRPr="00FC5B72" w:rsidRDefault="001973E3" w:rsidP="007F26B2">
      <w:pPr>
        <w:pStyle w:val="ListParagraph"/>
        <w:numPr>
          <w:ilvl w:val="0"/>
          <w:numId w:val="46"/>
        </w:numPr>
      </w:pPr>
      <w:r w:rsidRPr="003D47EB">
        <w:rPr>
          <w:color w:val="auto"/>
        </w:rPr>
        <w:t xml:space="preserve">Note that the estimates </w:t>
      </w:r>
      <w:r>
        <w:rPr>
          <w:color w:val="auto"/>
        </w:rPr>
        <w:t>above</w:t>
      </w:r>
      <w:r w:rsidRPr="003D47EB">
        <w:rPr>
          <w:color w:val="auto"/>
        </w:rPr>
        <w:t xml:space="preserve"> have been calculated from projected cash flows discounted at 5 per cent per annum to the middle of each notification year. It shows that the estimates have generally increased from last year</w:t>
      </w:r>
      <w:r w:rsidRPr="003D47EB">
        <w:t xml:space="preserve">. However, these estimates derived from industry actuaries’ cash flow projections do not always reconcile with the case estimates provided by the </w:t>
      </w:r>
      <w:r w:rsidRPr="00FC5B72">
        <w:t xml:space="preserve">insurers. This highlights the uncertainties with the estimates. </w:t>
      </w:r>
    </w:p>
    <w:p w14:paraId="7A3DF8DF" w14:textId="17B26BD5" w:rsidR="00A5456F" w:rsidRPr="00FC5B72" w:rsidRDefault="00035E01" w:rsidP="007F26B2">
      <w:pPr>
        <w:pStyle w:val="ListParagraph"/>
        <w:numPr>
          <w:ilvl w:val="0"/>
          <w:numId w:val="46"/>
        </w:numPr>
        <w:spacing w:before="240"/>
      </w:pPr>
      <w:r w:rsidRPr="00FC5B72">
        <w:t>The</w:t>
      </w:r>
      <w:r w:rsidR="007B2DD4" w:rsidRPr="00FC5B72">
        <w:t xml:space="preserve"> increase in the </w:t>
      </w:r>
      <w:r w:rsidR="00FC7D53" w:rsidRPr="00FC5B72">
        <w:t xml:space="preserve">expected </w:t>
      </w:r>
      <w:r w:rsidR="00FC5B72" w:rsidRPr="00FC5B72">
        <w:t>future</w:t>
      </w:r>
      <w:r w:rsidR="00FC7D53" w:rsidRPr="00FC5B72">
        <w:t xml:space="preserve"> notifications </w:t>
      </w:r>
      <w:r w:rsidR="006D199C">
        <w:t xml:space="preserve">shown in Table 8 led to an </w:t>
      </w:r>
      <w:r w:rsidR="00FC5B72" w:rsidRPr="00FC5B72">
        <w:t>increase</w:t>
      </w:r>
      <w:r w:rsidR="006D199C">
        <w:t xml:space="preserve"> in</w:t>
      </w:r>
      <w:r w:rsidR="00FC5B72" w:rsidRPr="00FC5B72">
        <w:t xml:space="preserve"> the IBNR estimate </w:t>
      </w:r>
      <w:r w:rsidR="006D199C">
        <w:t xml:space="preserve">as shown </w:t>
      </w:r>
      <w:r w:rsidR="00FC5B72" w:rsidRPr="00FC5B72">
        <w:t>in Table 11</w:t>
      </w:r>
      <w:r w:rsidR="00A92B86" w:rsidRPr="00FC5B72">
        <w:t xml:space="preserve">. </w:t>
      </w:r>
      <w:r w:rsidR="007B2DD4" w:rsidRPr="00FC5B72">
        <w:t xml:space="preserve"> </w:t>
      </w:r>
    </w:p>
    <w:p w14:paraId="2CBD77BB" w14:textId="2438DB40" w:rsidR="00F602EB" w:rsidRDefault="00F602EB" w:rsidP="00F602EB">
      <w:pPr>
        <w:pStyle w:val="Heading3"/>
      </w:pPr>
      <w:r>
        <w:lastRenderedPageBreak/>
        <w:t xml:space="preserve">Changes to </w:t>
      </w:r>
      <w:r w:rsidR="009C36A8">
        <w:t xml:space="preserve">new accrual </w:t>
      </w:r>
      <w:r>
        <w:t>model and assumptions</w:t>
      </w:r>
      <w:bookmarkEnd w:id="94"/>
      <w:bookmarkEnd w:id="95"/>
      <w:bookmarkEnd w:id="96"/>
      <w:bookmarkEnd w:id="97"/>
    </w:p>
    <w:p w14:paraId="61013B2A" w14:textId="4D2CC01C" w:rsidR="005A4BDB" w:rsidRPr="00362D39" w:rsidRDefault="006B7A34" w:rsidP="007F26B2">
      <w:pPr>
        <w:pStyle w:val="ListParagraph"/>
        <w:numPr>
          <w:ilvl w:val="0"/>
          <w:numId w:val="46"/>
        </w:numPr>
        <w:rPr>
          <w:color w:val="auto"/>
        </w:rPr>
      </w:pPr>
      <w:bookmarkStart w:id="98" w:name="_Toc63865419"/>
      <w:bookmarkStart w:id="99" w:name="_Toc63866220"/>
      <w:bookmarkStart w:id="100" w:name="_Toc63866550"/>
      <w:bookmarkStart w:id="101" w:name="_Toc63866682"/>
      <w:r w:rsidRPr="00150E07">
        <w:rPr>
          <w:color w:val="auto"/>
        </w:rPr>
        <w:t>In 2023</w:t>
      </w:r>
      <w:r w:rsidR="000524D5" w:rsidRPr="00150E07">
        <w:rPr>
          <w:color w:val="auto"/>
        </w:rPr>
        <w:t>, w</w:t>
      </w:r>
      <w:r w:rsidR="00456E41" w:rsidRPr="00150E07">
        <w:rPr>
          <w:color w:val="auto"/>
        </w:rPr>
        <w:t>e reviewed the</w:t>
      </w:r>
      <w:r w:rsidR="0036553D" w:rsidRPr="00150E07">
        <w:rPr>
          <w:color w:val="auto"/>
        </w:rPr>
        <w:t xml:space="preserve"> assumptions</w:t>
      </w:r>
      <w:r w:rsidR="0036553D" w:rsidRPr="00362D39">
        <w:rPr>
          <w:color w:val="auto"/>
        </w:rPr>
        <w:t xml:space="preserve"> </w:t>
      </w:r>
      <w:proofErr w:type="gramStart"/>
      <w:r w:rsidR="0036553D" w:rsidRPr="00362D39">
        <w:rPr>
          <w:color w:val="auto"/>
        </w:rPr>
        <w:t>in light of</w:t>
      </w:r>
      <w:proofErr w:type="gramEnd"/>
      <w:r w:rsidR="0036553D" w:rsidRPr="00362D39">
        <w:rPr>
          <w:color w:val="auto"/>
        </w:rPr>
        <w:t xml:space="preserve"> the most recent </w:t>
      </w:r>
      <w:r w:rsidR="00456E41" w:rsidRPr="00362D39">
        <w:rPr>
          <w:color w:val="auto"/>
        </w:rPr>
        <w:t xml:space="preserve">NCPD </w:t>
      </w:r>
      <w:r w:rsidR="0036553D" w:rsidRPr="00362D39">
        <w:rPr>
          <w:color w:val="auto"/>
        </w:rPr>
        <w:t>data</w:t>
      </w:r>
      <w:r w:rsidR="00456E41" w:rsidRPr="00362D39">
        <w:rPr>
          <w:color w:val="auto"/>
        </w:rPr>
        <w:t xml:space="preserve"> received in early 2023</w:t>
      </w:r>
      <w:r w:rsidR="0036553D" w:rsidRPr="00362D39">
        <w:rPr>
          <w:color w:val="auto"/>
        </w:rPr>
        <w:t xml:space="preserve">. </w:t>
      </w:r>
      <w:r w:rsidR="00095D4B" w:rsidRPr="00362D39">
        <w:rPr>
          <w:color w:val="auto"/>
        </w:rPr>
        <w:t xml:space="preserve">As a result, the claim rate assumption </w:t>
      </w:r>
      <w:r w:rsidR="00352166">
        <w:rPr>
          <w:color w:val="auto"/>
        </w:rPr>
        <w:t>was</w:t>
      </w:r>
      <w:r w:rsidR="00095D4B" w:rsidRPr="00362D39">
        <w:rPr>
          <w:color w:val="auto"/>
        </w:rPr>
        <w:t xml:space="preserve"> increased from 4% to 5%. </w:t>
      </w:r>
    </w:p>
    <w:p w14:paraId="3C9755F7" w14:textId="6754CED0" w:rsidR="000A3950" w:rsidRPr="00362D39" w:rsidRDefault="006233EC" w:rsidP="007F26B2">
      <w:pPr>
        <w:pStyle w:val="Bullet"/>
        <w:numPr>
          <w:ilvl w:val="0"/>
          <w:numId w:val="46"/>
        </w:numPr>
        <w:spacing w:after="240"/>
        <w:rPr>
          <w:color w:val="auto"/>
        </w:rPr>
      </w:pPr>
      <w:r>
        <w:rPr>
          <w:color w:val="auto"/>
        </w:rPr>
        <w:t>A</w:t>
      </w:r>
      <w:r w:rsidR="00151899" w:rsidRPr="00362D39">
        <w:rPr>
          <w:color w:val="auto"/>
        </w:rPr>
        <w:t>lthough the new entrant patterns appear to have been influenced by COVID-19 as seen in Table</w:t>
      </w:r>
      <w:r w:rsidR="00084ADB" w:rsidRPr="00362D39">
        <w:rPr>
          <w:color w:val="auto"/>
        </w:rPr>
        <w:t xml:space="preserve"> 2</w:t>
      </w:r>
      <w:r w:rsidR="00EC58E8" w:rsidRPr="00362D39">
        <w:rPr>
          <w:color w:val="auto"/>
        </w:rPr>
        <w:t xml:space="preserve">, </w:t>
      </w:r>
      <w:r w:rsidR="003A1E92">
        <w:rPr>
          <w:color w:val="auto"/>
        </w:rPr>
        <w:t xml:space="preserve">and they have not yet returned to pre-COVID levels, </w:t>
      </w:r>
      <w:r w:rsidR="00EF56EA">
        <w:rPr>
          <w:color w:val="auto"/>
        </w:rPr>
        <w:t>short term</w:t>
      </w:r>
      <w:r w:rsidR="00042FFF" w:rsidRPr="00362D39">
        <w:rPr>
          <w:color w:val="auto"/>
        </w:rPr>
        <w:t xml:space="preserve"> movements in new entrants</w:t>
      </w:r>
      <w:r w:rsidR="00EC58E8" w:rsidRPr="00362D39">
        <w:rPr>
          <w:color w:val="auto"/>
        </w:rPr>
        <w:t xml:space="preserve"> have an immaterial impact </w:t>
      </w:r>
      <w:r w:rsidR="00042FFF" w:rsidRPr="00362D39">
        <w:rPr>
          <w:color w:val="auto"/>
        </w:rPr>
        <w:t xml:space="preserve">on </w:t>
      </w:r>
      <w:r w:rsidR="00EC58E8" w:rsidRPr="00362D39">
        <w:rPr>
          <w:color w:val="auto"/>
        </w:rPr>
        <w:t>next year</w:t>
      </w:r>
      <w:r w:rsidR="009B0312" w:rsidRPr="00362D39">
        <w:rPr>
          <w:color w:val="auto"/>
        </w:rPr>
        <w:t>’</w:t>
      </w:r>
      <w:r w:rsidR="00EC58E8" w:rsidRPr="00362D39">
        <w:rPr>
          <w:color w:val="auto"/>
        </w:rPr>
        <w:t xml:space="preserve">s </w:t>
      </w:r>
      <w:r w:rsidR="00042FFF" w:rsidRPr="00362D39">
        <w:rPr>
          <w:color w:val="auto"/>
        </w:rPr>
        <w:t>new accrual estimate</w:t>
      </w:r>
      <w:r w:rsidR="00EC58E8" w:rsidRPr="00362D39">
        <w:rPr>
          <w:color w:val="auto"/>
        </w:rPr>
        <w:t xml:space="preserve">. For the new accrual estimate, it is the ROCS eligibility status of the </w:t>
      </w:r>
      <w:r w:rsidR="00663452" w:rsidRPr="00362D39">
        <w:rPr>
          <w:color w:val="auto"/>
        </w:rPr>
        <w:t>practitioner</w:t>
      </w:r>
      <w:r w:rsidR="00EC58E8" w:rsidRPr="00362D39">
        <w:rPr>
          <w:color w:val="auto"/>
        </w:rPr>
        <w:t xml:space="preserve"> at the time of the claim</w:t>
      </w:r>
      <w:r w:rsidR="009B0312" w:rsidRPr="00362D39">
        <w:rPr>
          <w:color w:val="auto"/>
        </w:rPr>
        <w:t>’</w:t>
      </w:r>
      <w:r w:rsidR="00EC58E8" w:rsidRPr="00362D39">
        <w:rPr>
          <w:color w:val="auto"/>
        </w:rPr>
        <w:t xml:space="preserve">s notification that is </w:t>
      </w:r>
      <w:r w:rsidR="00302FE4">
        <w:rPr>
          <w:color w:val="auto"/>
        </w:rPr>
        <w:t>impactful</w:t>
      </w:r>
      <w:r w:rsidR="00EC58E8" w:rsidRPr="00362D39">
        <w:rPr>
          <w:color w:val="auto"/>
        </w:rPr>
        <w:t xml:space="preserve">. Given the frequent long delays in the notification of medical indemnity claims, </w:t>
      </w:r>
      <w:r w:rsidR="008F6B79" w:rsidRPr="00362D39">
        <w:rPr>
          <w:color w:val="auto"/>
        </w:rPr>
        <w:t xml:space="preserve">the cumulative long term </w:t>
      </w:r>
      <w:r w:rsidR="00EC58E8" w:rsidRPr="00362D39">
        <w:rPr>
          <w:color w:val="auto"/>
        </w:rPr>
        <w:t xml:space="preserve">ROCS eligibility </w:t>
      </w:r>
      <w:r w:rsidR="008F6B79" w:rsidRPr="00362D39">
        <w:rPr>
          <w:color w:val="auto"/>
        </w:rPr>
        <w:t>probabilities have a far greater relevance than the short</w:t>
      </w:r>
      <w:r w:rsidR="009B0312" w:rsidRPr="00362D39">
        <w:rPr>
          <w:color w:val="auto"/>
        </w:rPr>
        <w:noBreakHyphen/>
      </w:r>
      <w:r w:rsidR="008F6B79" w:rsidRPr="00362D39">
        <w:rPr>
          <w:color w:val="auto"/>
        </w:rPr>
        <w:t xml:space="preserve">term </w:t>
      </w:r>
      <w:r w:rsidR="000379C0" w:rsidRPr="00362D39">
        <w:rPr>
          <w:color w:val="auto"/>
        </w:rPr>
        <w:t xml:space="preserve">eligibility </w:t>
      </w:r>
      <w:r w:rsidR="008F6B79" w:rsidRPr="00362D39">
        <w:rPr>
          <w:color w:val="auto"/>
        </w:rPr>
        <w:t>probabilities</w:t>
      </w:r>
      <w:r w:rsidR="00EC58E8" w:rsidRPr="00362D39">
        <w:rPr>
          <w:color w:val="auto"/>
        </w:rPr>
        <w:t>.</w:t>
      </w:r>
      <w:r w:rsidR="000A3950" w:rsidRPr="00362D39">
        <w:rPr>
          <w:color w:val="auto"/>
        </w:rPr>
        <w:t xml:space="preserve"> Furthermore, it is not unreasonable to expect their exit patterns to gradually return to the long</w:t>
      </w:r>
      <w:r w:rsidR="000A3950" w:rsidRPr="00362D39">
        <w:rPr>
          <w:color w:val="auto"/>
        </w:rPr>
        <w:noBreakHyphen/>
        <w:t xml:space="preserve">term trend. </w:t>
      </w:r>
    </w:p>
    <w:p w14:paraId="47279024" w14:textId="358E13C1" w:rsidR="00042FFF" w:rsidRDefault="00665840" w:rsidP="007F26B2">
      <w:pPr>
        <w:pStyle w:val="Bullet"/>
        <w:numPr>
          <w:ilvl w:val="0"/>
          <w:numId w:val="46"/>
        </w:numPr>
        <w:spacing w:after="240"/>
        <w:rPr>
          <w:color w:val="auto"/>
        </w:rPr>
      </w:pPr>
      <w:r w:rsidRPr="00362D39">
        <w:rPr>
          <w:color w:val="auto"/>
        </w:rPr>
        <w:t>C</w:t>
      </w:r>
      <w:r w:rsidR="002947DA" w:rsidRPr="00362D39">
        <w:rPr>
          <w:color w:val="auto"/>
        </w:rPr>
        <w:t>onsidering</w:t>
      </w:r>
      <w:r w:rsidR="000379C0" w:rsidRPr="00362D39">
        <w:rPr>
          <w:color w:val="auto"/>
        </w:rPr>
        <w:t xml:space="preserve"> </w:t>
      </w:r>
      <w:r w:rsidR="002947DA" w:rsidRPr="00362D39">
        <w:rPr>
          <w:color w:val="auto"/>
        </w:rPr>
        <w:t>all</w:t>
      </w:r>
      <w:r w:rsidR="000379C0" w:rsidRPr="00362D39">
        <w:rPr>
          <w:color w:val="auto"/>
        </w:rPr>
        <w:t xml:space="preserve"> the factors above, </w:t>
      </w:r>
      <w:r w:rsidR="00CE3454" w:rsidRPr="00362D39">
        <w:rPr>
          <w:color w:val="auto"/>
        </w:rPr>
        <w:t xml:space="preserve">no </w:t>
      </w:r>
      <w:r w:rsidR="009F0FA2">
        <w:rPr>
          <w:color w:val="auto"/>
        </w:rPr>
        <w:t xml:space="preserve">material </w:t>
      </w:r>
      <w:r w:rsidR="008F6B79" w:rsidRPr="00362D39">
        <w:rPr>
          <w:color w:val="auto"/>
        </w:rPr>
        <w:t>adjustments have been made to the</w:t>
      </w:r>
      <w:r w:rsidR="00432DF5" w:rsidRPr="00362D39">
        <w:rPr>
          <w:color w:val="auto"/>
        </w:rPr>
        <w:t xml:space="preserve"> long</w:t>
      </w:r>
      <w:r w:rsidR="009B0312" w:rsidRPr="00362D39">
        <w:rPr>
          <w:color w:val="auto"/>
        </w:rPr>
        <w:noBreakHyphen/>
      </w:r>
      <w:r w:rsidR="00432DF5" w:rsidRPr="00362D39">
        <w:rPr>
          <w:color w:val="auto"/>
        </w:rPr>
        <w:t>term</w:t>
      </w:r>
      <w:r w:rsidR="008F6B79" w:rsidRPr="00362D39">
        <w:rPr>
          <w:color w:val="auto"/>
        </w:rPr>
        <w:t xml:space="preserve"> ROCS eligibility </w:t>
      </w:r>
      <w:r w:rsidR="00393A42" w:rsidRPr="00362D39">
        <w:rPr>
          <w:color w:val="auto"/>
        </w:rPr>
        <w:t>probabilities</w:t>
      </w:r>
      <w:r w:rsidR="00192EAB">
        <w:rPr>
          <w:color w:val="auto"/>
        </w:rPr>
        <w:t>.</w:t>
      </w:r>
      <w:r w:rsidR="00FD7C60">
        <w:rPr>
          <w:color w:val="auto"/>
        </w:rPr>
        <w:t xml:space="preserve"> The</w:t>
      </w:r>
      <w:r w:rsidR="002E4682">
        <w:rPr>
          <w:color w:val="auto"/>
        </w:rPr>
        <w:t>y</w:t>
      </w:r>
      <w:r w:rsidR="00FD7C60">
        <w:rPr>
          <w:color w:val="auto"/>
        </w:rPr>
        <w:t xml:space="preserve"> were, however, updated to the Australian Life Tables</w:t>
      </w:r>
      <w:r w:rsidR="002E4682">
        <w:rPr>
          <w:color w:val="auto"/>
        </w:rPr>
        <w:t xml:space="preserve"> 2020-22</w:t>
      </w:r>
      <w:r w:rsidR="00FD7C60">
        <w:rPr>
          <w:color w:val="auto"/>
        </w:rPr>
        <w:t xml:space="preserve">. </w:t>
      </w:r>
      <w:r w:rsidR="00192EAB">
        <w:rPr>
          <w:color w:val="auto"/>
        </w:rPr>
        <w:t xml:space="preserve"> </w:t>
      </w:r>
    </w:p>
    <w:p w14:paraId="26940F29" w14:textId="58259D9E" w:rsidR="0036553D" w:rsidRDefault="0036553D" w:rsidP="007F26B2">
      <w:pPr>
        <w:pStyle w:val="Bullet"/>
        <w:numPr>
          <w:ilvl w:val="0"/>
          <w:numId w:val="46"/>
        </w:numPr>
        <w:spacing w:after="240"/>
      </w:pPr>
      <w:r w:rsidRPr="0030070D">
        <w:t>Appendix 4 sets out the main assumptions and describes the methodology that was used to estimate the liabilities</w:t>
      </w:r>
      <w:r w:rsidR="00C827AB">
        <w:t xml:space="preserve"> </w:t>
      </w:r>
      <w:proofErr w:type="gramStart"/>
      <w:r w:rsidR="00C827AB">
        <w:t>at</w:t>
      </w:r>
      <w:proofErr w:type="gramEnd"/>
      <w:r w:rsidR="00C827AB">
        <w:t xml:space="preserve"> 30 </w:t>
      </w:r>
      <w:r w:rsidR="00C827AB" w:rsidRPr="000C667C">
        <w:t>June 202</w:t>
      </w:r>
      <w:r w:rsidR="00025A51" w:rsidRPr="000C667C">
        <w:t>4</w:t>
      </w:r>
      <w:r w:rsidRPr="000C667C">
        <w:t>.</w:t>
      </w:r>
      <w:r w:rsidRPr="0030070D">
        <w:t xml:space="preserve"> </w:t>
      </w:r>
      <w:r>
        <w:t xml:space="preserve">Appendix 5 describes the assumptions and methodology used to project future liabilities. </w:t>
      </w:r>
      <w:r w:rsidRPr="0030070D">
        <w:t xml:space="preserve">Appendix </w:t>
      </w:r>
      <w:r>
        <w:t>6</w:t>
      </w:r>
      <w:r w:rsidRPr="0030070D">
        <w:t xml:space="preserve"> </w:t>
      </w:r>
      <w:r>
        <w:t xml:space="preserve">considers </w:t>
      </w:r>
      <w:r w:rsidRPr="0030070D">
        <w:t>the effect of the High Cost Claims Scheme (HCCS).</w:t>
      </w:r>
      <w:r>
        <w:t xml:space="preserve"> </w:t>
      </w:r>
    </w:p>
    <w:p w14:paraId="52B2A702" w14:textId="0E6958D2" w:rsidR="00F602EB" w:rsidRDefault="00F94366" w:rsidP="006305F9">
      <w:pPr>
        <w:pStyle w:val="Heading2"/>
      </w:pPr>
      <w:bookmarkStart w:id="102" w:name="_Toc192773713"/>
      <w:r>
        <w:t xml:space="preserve">RESULTS: </w:t>
      </w:r>
      <w:r w:rsidR="00F602EB">
        <w:t>PROJECTED RUN</w:t>
      </w:r>
      <w:r w:rsidR="009B0312">
        <w:noBreakHyphen/>
      </w:r>
      <w:r w:rsidR="00F602EB">
        <w:t>OFF COVER COMMONWEALTH CONTRIBUTIONS</w:t>
      </w:r>
      <w:bookmarkEnd w:id="98"/>
      <w:bookmarkEnd w:id="99"/>
      <w:bookmarkEnd w:id="100"/>
      <w:bookmarkEnd w:id="101"/>
      <w:bookmarkEnd w:id="102"/>
    </w:p>
    <w:p w14:paraId="0463C292" w14:textId="7716D0EE" w:rsidR="000C4927" w:rsidRPr="00E332DE" w:rsidRDefault="000C4927" w:rsidP="007A79BF">
      <w:pPr>
        <w:pStyle w:val="ListParagraph"/>
        <w:keepLines/>
        <w:numPr>
          <w:ilvl w:val="0"/>
          <w:numId w:val="47"/>
        </w:numPr>
        <w:ind w:left="1077" w:hanging="357"/>
      </w:pPr>
      <w:r w:rsidRPr="00E332DE">
        <w:t xml:space="preserve">This section sets out </w:t>
      </w:r>
      <w:r w:rsidR="007A79BF">
        <w:t xml:space="preserve">a </w:t>
      </w:r>
      <w:r w:rsidRPr="00E332DE">
        <w:t xml:space="preserve">projection of ROC indemnity payments for the next ten financial years. For the reasons described above, the projections should be </w:t>
      </w:r>
      <w:r w:rsidRPr="00861535">
        <w:rPr>
          <w:color w:val="auto"/>
        </w:rPr>
        <w:t xml:space="preserve">regarded as indicative only. The data issues referred to earlier in this report also contribute to the uncertainty. </w:t>
      </w:r>
      <w:r w:rsidR="00390BDF" w:rsidRPr="00861535">
        <w:rPr>
          <w:color w:val="auto"/>
        </w:rPr>
        <w:t>T</w:t>
      </w:r>
      <w:r w:rsidRPr="00861535">
        <w:rPr>
          <w:color w:val="auto"/>
        </w:rPr>
        <w:t>he data provi</w:t>
      </w:r>
      <w:r w:rsidR="00390BDF" w:rsidRPr="00861535">
        <w:rPr>
          <w:color w:val="auto"/>
        </w:rPr>
        <w:t xml:space="preserve">ded by the industry in </w:t>
      </w:r>
      <w:r w:rsidR="00390BDF" w:rsidRPr="00064035">
        <w:rPr>
          <w:color w:val="auto"/>
        </w:rPr>
        <w:t>late 202</w:t>
      </w:r>
      <w:r w:rsidR="0092431D" w:rsidRPr="00064035">
        <w:rPr>
          <w:color w:val="auto"/>
        </w:rPr>
        <w:t>4</w:t>
      </w:r>
      <w:r w:rsidRPr="00064035">
        <w:rPr>
          <w:color w:val="auto"/>
        </w:rPr>
        <w:t xml:space="preserve"> was </w:t>
      </w:r>
      <w:r w:rsidRPr="00861535">
        <w:rPr>
          <w:color w:val="auto"/>
        </w:rPr>
        <w:t xml:space="preserve">broadly consistent with the trend implied in the past payments data provided by Services Australia. The underlying assumptions and methodology are described in Appendices 4 and 5, with the calculations summarised in Table 21. Table </w:t>
      </w:r>
      <w:r>
        <w:t>9</w:t>
      </w:r>
      <w:r w:rsidRPr="00E332DE">
        <w:t xml:space="preserve"> below sets out the projections, which are illustrated in Figure 4. The payments projected below are in nominal dollars and have not been discounted to current dollar values.</w:t>
      </w:r>
    </w:p>
    <w:p w14:paraId="022C194F" w14:textId="00A23D11" w:rsidR="000C4927" w:rsidRDefault="000C4927" w:rsidP="00952046">
      <w:pPr>
        <w:pStyle w:val="ListParagraph"/>
        <w:numPr>
          <w:ilvl w:val="0"/>
          <w:numId w:val="47"/>
        </w:numPr>
      </w:pPr>
      <w:r>
        <w:t xml:space="preserve">While we have </w:t>
      </w:r>
      <w:r w:rsidRPr="008764C3">
        <w:t>received the actual payments to the end of D</w:t>
      </w:r>
      <w:r w:rsidR="00390BDF" w:rsidRPr="008764C3">
        <w:t>ecember 202</w:t>
      </w:r>
      <w:r w:rsidR="0092431D" w:rsidRPr="008764C3">
        <w:t>4</w:t>
      </w:r>
      <w:r w:rsidRPr="008764C3">
        <w:t xml:space="preserve"> from Services Australia, it is inherently difficult to adjust the industry projection for the full year based on half years of actual payments given the lumpy nature of the ROC indemnity payments. The projected </w:t>
      </w:r>
      <w:r w:rsidR="00390BDF" w:rsidRPr="008764C3">
        <w:t xml:space="preserve">payment figure </w:t>
      </w:r>
      <w:r w:rsidR="00390BDF" w:rsidRPr="008764C3">
        <w:lastRenderedPageBreak/>
        <w:t>for 202</w:t>
      </w:r>
      <w:r w:rsidR="0092431D" w:rsidRPr="008764C3">
        <w:t>4</w:t>
      </w:r>
      <w:r w:rsidR="009B0312" w:rsidRPr="008764C3">
        <w:noBreakHyphen/>
      </w:r>
      <w:r w:rsidR="00390BDF" w:rsidRPr="008764C3">
        <w:t>2</w:t>
      </w:r>
      <w:r w:rsidR="0092431D" w:rsidRPr="008764C3">
        <w:t>5</w:t>
      </w:r>
      <w:r w:rsidRPr="008764C3">
        <w:t xml:space="preserve"> does not appear inconsistent with the actual payments to the end of </w:t>
      </w:r>
      <w:r w:rsidR="00390BDF" w:rsidRPr="008764C3">
        <w:t>December 202</w:t>
      </w:r>
      <w:r w:rsidR="0092431D" w:rsidRPr="008764C3">
        <w:t>4</w:t>
      </w:r>
      <w:r w:rsidRPr="008764C3">
        <w:t>. The projected indemnity payments include indirect costs associated with handling claims, referred</w:t>
      </w:r>
      <w:r w:rsidRPr="0030070D">
        <w:t xml:space="preserve"> to as indirect claims handling expenses (CHE).</w:t>
      </w:r>
      <w:r>
        <w:t xml:space="preserve"> </w:t>
      </w:r>
    </w:p>
    <w:p w14:paraId="11AFD08F" w14:textId="7DC0DDE0" w:rsidR="00D91329" w:rsidRPr="00861535" w:rsidRDefault="006736F2" w:rsidP="00D91329">
      <w:pPr>
        <w:pStyle w:val="ListParagraph"/>
        <w:numPr>
          <w:ilvl w:val="0"/>
          <w:numId w:val="47"/>
        </w:numPr>
        <w:rPr>
          <w:color w:val="auto"/>
        </w:rPr>
      </w:pPr>
      <w:r>
        <w:rPr>
          <w:color w:val="auto"/>
        </w:rPr>
        <w:t>Although</w:t>
      </w:r>
      <w:r w:rsidR="00D91329" w:rsidRPr="00861535">
        <w:rPr>
          <w:color w:val="auto"/>
        </w:rPr>
        <w:t xml:space="preserve"> our projections are already above the industry projections, it is still possible that, due to the volatile nature of medical indemnity claims, the actual payments will be higher than expected, either due to claims being settled earlier than expected, more claims being notified, or higher than expected number of large new claims. </w:t>
      </w:r>
    </w:p>
    <w:p w14:paraId="0E079DEE" w14:textId="6ABAEDBC" w:rsidR="00D91329" w:rsidRPr="00861535" w:rsidRDefault="00D91329" w:rsidP="00D91329">
      <w:pPr>
        <w:pStyle w:val="ListParagraph"/>
        <w:numPr>
          <w:ilvl w:val="0"/>
          <w:numId w:val="47"/>
        </w:numPr>
        <w:rPr>
          <w:color w:val="auto"/>
        </w:rPr>
      </w:pPr>
      <w:r w:rsidRPr="00861535">
        <w:rPr>
          <w:color w:val="auto"/>
        </w:rPr>
        <w:t>Inevitably, considerable judgement was involved in the interpretation of insurers</w:t>
      </w:r>
      <w:r w:rsidR="00582E2D" w:rsidRPr="00861535">
        <w:rPr>
          <w:color w:val="auto"/>
        </w:rPr>
        <w:t>’</w:t>
      </w:r>
      <w:r w:rsidRPr="00861535">
        <w:rPr>
          <w:color w:val="auto"/>
        </w:rPr>
        <w:t xml:space="preserve"> projections. While </w:t>
      </w:r>
      <w:r w:rsidR="004C6C83">
        <w:rPr>
          <w:color w:val="auto"/>
        </w:rPr>
        <w:t xml:space="preserve">a period of stability </w:t>
      </w:r>
      <w:r w:rsidR="00D31E4E">
        <w:rPr>
          <w:color w:val="auto"/>
        </w:rPr>
        <w:t xml:space="preserve">in payments </w:t>
      </w:r>
      <w:r w:rsidR="004C6C83">
        <w:rPr>
          <w:color w:val="auto"/>
        </w:rPr>
        <w:t>is</w:t>
      </w:r>
      <w:r w:rsidR="001B68C8">
        <w:rPr>
          <w:color w:val="auto"/>
        </w:rPr>
        <w:t xml:space="preserve"> not unreasonable following the </w:t>
      </w:r>
      <w:r w:rsidR="000503AA">
        <w:rPr>
          <w:color w:val="auto"/>
        </w:rPr>
        <w:t>conclusion</w:t>
      </w:r>
      <w:r w:rsidR="00D31E4E">
        <w:rPr>
          <w:color w:val="auto"/>
        </w:rPr>
        <w:t xml:space="preserve"> of </w:t>
      </w:r>
      <w:r w:rsidR="00762DE7">
        <w:rPr>
          <w:color w:val="auto"/>
        </w:rPr>
        <w:t xml:space="preserve">certain claims clusters occurred in recent years, </w:t>
      </w:r>
      <w:r w:rsidR="000503AA">
        <w:rPr>
          <w:color w:val="auto"/>
        </w:rPr>
        <w:t xml:space="preserve">and appears consistent with the latest SA data, </w:t>
      </w:r>
      <w:r w:rsidRPr="00861535">
        <w:rPr>
          <w:color w:val="auto"/>
        </w:rPr>
        <w:t>we will actively monitor emerging experience and update assumptions if necessary.</w:t>
      </w:r>
    </w:p>
    <w:p w14:paraId="013AF6C7" w14:textId="27138EE1" w:rsidR="000C4927" w:rsidRPr="00D6236F" w:rsidRDefault="000C4927" w:rsidP="0040224A">
      <w:pPr>
        <w:pStyle w:val="Caption"/>
      </w:pPr>
      <w:r w:rsidRPr="00D51A5D">
        <w:t>Table 9: Projected</w:t>
      </w:r>
      <w:r w:rsidRPr="00D6236F">
        <w:t xml:space="preserve"> Run</w:t>
      </w:r>
      <w:r w:rsidR="009B0312">
        <w:noBreakHyphen/>
      </w:r>
      <w:r w:rsidRPr="00D6236F">
        <w:t>Off Cover indemnity payments (including CHE)</w:t>
      </w:r>
    </w:p>
    <w:p w14:paraId="38348288" w14:textId="3BC8A0C8" w:rsidR="00487145" w:rsidRDefault="75C1B3BF" w:rsidP="00487145">
      <w:pPr>
        <w:pStyle w:val="ChartandTableFootnoteAlpha"/>
        <w:ind w:firstLine="0"/>
      </w:pPr>
      <w:r w:rsidRPr="00582A6B">
        <w:t xml:space="preserve"> </w:t>
      </w:r>
      <w:r w:rsidR="00937410" w:rsidRPr="00937410">
        <w:rPr>
          <w:noProof/>
        </w:rPr>
        <w:drawing>
          <wp:inline distT="0" distB="0" distL="0" distR="0" wp14:anchorId="3D0F697C" wp14:editId="69D216FC">
            <wp:extent cx="4740908" cy="1600200"/>
            <wp:effectExtent l="0" t="0" r="2540" b="0"/>
            <wp:docPr id="1478612505" name="Picture 4" descr="We project the indemnity payments to be $22.768 million in 2025, and gradually increase to $31.218 million in 20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0908" cy="1600200"/>
                    </a:xfrm>
                    <a:prstGeom prst="rect">
                      <a:avLst/>
                    </a:prstGeom>
                    <a:noFill/>
                    <a:ln>
                      <a:noFill/>
                    </a:ln>
                  </pic:spPr>
                </pic:pic>
              </a:graphicData>
            </a:graphic>
          </wp:inline>
        </w:drawing>
      </w:r>
    </w:p>
    <w:p w14:paraId="508EE1E5" w14:textId="40632FFB" w:rsidR="000C4927" w:rsidRPr="0030070D" w:rsidRDefault="000C4927" w:rsidP="00952046">
      <w:pPr>
        <w:pStyle w:val="ChartandTableFootnoteAlpha"/>
        <w:numPr>
          <w:ilvl w:val="0"/>
          <w:numId w:val="50"/>
        </w:numPr>
        <w:ind w:left="720"/>
      </w:pPr>
      <w:r w:rsidRPr="0030070D">
        <w:t xml:space="preserve">These projected payments do not include </w:t>
      </w:r>
      <w:r>
        <w:t xml:space="preserve">ongoing </w:t>
      </w:r>
      <w:r w:rsidRPr="0030070D">
        <w:t>administration amounts payable to insurers under the ROC Claims and Administration Protocol</w:t>
      </w:r>
      <w:r>
        <w:t xml:space="preserve"> which are different to CHE</w:t>
      </w:r>
      <w:r w:rsidRPr="0030070D">
        <w:t>.</w:t>
      </w:r>
    </w:p>
    <w:p w14:paraId="147CFFA3" w14:textId="77777777" w:rsidR="000C4927" w:rsidRPr="00845FDE" w:rsidRDefault="000C4927" w:rsidP="000C4927">
      <w:pPr>
        <w:pStyle w:val="SingleParagraph"/>
      </w:pPr>
    </w:p>
    <w:p w14:paraId="1A67C3D8" w14:textId="70C4D87A" w:rsidR="000C4927" w:rsidRPr="00C12629" w:rsidRDefault="000C4927" w:rsidP="0040224A">
      <w:pPr>
        <w:pStyle w:val="Caption"/>
      </w:pPr>
      <w:r w:rsidRPr="006746F0">
        <w:lastRenderedPageBreak/>
        <w:t>Figure 4: Historical</w:t>
      </w:r>
      <w:r w:rsidRPr="00C12629">
        <w:t xml:space="preserve"> </w:t>
      </w:r>
      <w:r w:rsidRPr="00A5004D">
        <w:t>and</w:t>
      </w:r>
      <w:r w:rsidRPr="00C12629">
        <w:t xml:space="preserve"> projected Run</w:t>
      </w:r>
      <w:r w:rsidR="009B0312">
        <w:noBreakHyphen/>
      </w:r>
      <w:r w:rsidRPr="00C12629">
        <w:t>Off Cover indemnity payments (including CHE)</w:t>
      </w:r>
    </w:p>
    <w:p w14:paraId="19D0EEB7" w14:textId="23ABB584" w:rsidR="000C4927" w:rsidRDefault="75C1B3BF" w:rsidP="000C4927">
      <w:pPr>
        <w:pStyle w:val="ChartGraphic"/>
      </w:pPr>
      <w:r w:rsidRPr="00582A6B">
        <w:t xml:space="preserve"> </w:t>
      </w:r>
      <w:r w:rsidR="00937410" w:rsidRPr="00937410">
        <w:rPr>
          <w:noProof/>
        </w:rPr>
        <w:drawing>
          <wp:inline distT="0" distB="0" distL="0" distR="0" wp14:anchorId="6FD02A06" wp14:editId="4058A481">
            <wp:extent cx="4593589" cy="2840990"/>
            <wp:effectExtent l="0" t="0" r="0" b="0"/>
            <wp:docPr id="67815229" name="Picture 5" descr="This chart shows the historical and projected ROC indemnity payments (including CHE) in nominal dollars. The specific numbers are set out in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3589" cy="2840990"/>
                    </a:xfrm>
                    <a:prstGeom prst="rect">
                      <a:avLst/>
                    </a:prstGeom>
                    <a:noFill/>
                    <a:ln>
                      <a:noFill/>
                    </a:ln>
                  </pic:spPr>
                </pic:pic>
              </a:graphicData>
            </a:graphic>
          </wp:inline>
        </w:drawing>
      </w:r>
    </w:p>
    <w:p w14:paraId="3AF5F1B2" w14:textId="7F62B3A0" w:rsidR="00F602EB" w:rsidRDefault="00F602EB" w:rsidP="000C4927">
      <w:pPr>
        <w:ind w:left="833" w:hanging="720"/>
      </w:pPr>
    </w:p>
    <w:p w14:paraId="11BCB4D0" w14:textId="3573C64C" w:rsidR="000C4927" w:rsidRPr="000C4927" w:rsidRDefault="00F94366" w:rsidP="00F94366">
      <w:pPr>
        <w:pStyle w:val="Heading2"/>
      </w:pPr>
      <w:bookmarkStart w:id="103" w:name="_Toc35502570"/>
      <w:bookmarkStart w:id="104" w:name="_Toc192773714"/>
      <w:r>
        <w:t xml:space="preserve">RESULTS: </w:t>
      </w:r>
      <w:r w:rsidR="006B30F7">
        <w:t>L</w:t>
      </w:r>
      <w:r>
        <w:t xml:space="preserve">IABILITY </w:t>
      </w:r>
      <w:proofErr w:type="gramStart"/>
      <w:r>
        <w:t>AT</w:t>
      </w:r>
      <w:proofErr w:type="gramEnd"/>
      <w:r>
        <w:t xml:space="preserve"> 30 JUNE </w:t>
      </w:r>
      <w:r w:rsidRPr="005F3CD0">
        <w:t>202</w:t>
      </w:r>
      <w:r w:rsidR="00857137" w:rsidRPr="005F3CD0">
        <w:t>4</w:t>
      </w:r>
      <w:r w:rsidRPr="005F3CD0">
        <w:t xml:space="preserve"> &amp;</w:t>
      </w:r>
      <w:r>
        <w:t xml:space="preserve"> NOTIONAL ACCOUNT</w:t>
      </w:r>
      <w:bookmarkEnd w:id="103"/>
      <w:bookmarkEnd w:id="104"/>
    </w:p>
    <w:p w14:paraId="35D48B62" w14:textId="30674413" w:rsidR="000C4927" w:rsidRPr="00481A37" w:rsidRDefault="000C4927" w:rsidP="00AC0BA0">
      <w:pPr>
        <w:pStyle w:val="ListParagraph"/>
        <w:keepLines/>
        <w:numPr>
          <w:ilvl w:val="0"/>
          <w:numId w:val="48"/>
        </w:numPr>
        <w:ind w:left="1077" w:hanging="357"/>
      </w:pPr>
      <w:bookmarkStart w:id="105" w:name="_Toc63865421"/>
      <w:bookmarkStart w:id="106" w:name="_Toc63866222"/>
      <w:bookmarkStart w:id="107" w:name="_Toc63866552"/>
      <w:bookmarkStart w:id="108" w:name="_Toc63866684"/>
      <w:r w:rsidRPr="00481A37">
        <w:t>The estimation of the Commonwealth</w:t>
      </w:r>
      <w:r w:rsidR="009B0312">
        <w:t>’</w:t>
      </w:r>
      <w:r w:rsidRPr="00481A37">
        <w:t>s liabilities under the Scheme is inherently imprecise. The operation of the Scheme is likely to be characterised by a small number of claims of highly variable size. It is not possible to predict the costs of the Scheme with a high level of confidence. For example, the presence of a single very large claim in any given year could have a substantial effect on the total amount of ROC indemnity payments for that year.</w:t>
      </w:r>
    </w:p>
    <w:p w14:paraId="35F4006D" w14:textId="47D92431" w:rsidR="000C4927" w:rsidRPr="0030070D" w:rsidRDefault="000C4927" w:rsidP="00952046">
      <w:pPr>
        <w:pStyle w:val="ListParagraph"/>
        <w:numPr>
          <w:ilvl w:val="0"/>
          <w:numId w:val="48"/>
        </w:numPr>
      </w:pPr>
      <w:r w:rsidRPr="00986610">
        <w:t xml:space="preserve">The liabilities of the Scheme could be measured in </w:t>
      </w:r>
      <w:r w:rsidR="0069234C" w:rsidRPr="00986610">
        <w:t>several</w:t>
      </w:r>
      <w:r w:rsidRPr="00986610">
        <w:t xml:space="preserve"> ways. It is normal for insurance</w:t>
      </w:r>
      <w:r w:rsidR="009B0312">
        <w:noBreakHyphen/>
      </w:r>
      <w:r w:rsidRPr="00986610">
        <w:t>type</w:t>
      </w:r>
      <w:r w:rsidRPr="0030070D">
        <w:t xml:space="preserve"> liabilities to be measured on either a </w:t>
      </w:r>
      <w:r w:rsidR="009B0312">
        <w:t>‘</w:t>
      </w:r>
      <w:r w:rsidRPr="0030070D">
        <w:t>notified</w:t>
      </w:r>
      <w:r w:rsidR="009B0312">
        <w:t>’</w:t>
      </w:r>
      <w:r w:rsidRPr="0030070D">
        <w:t xml:space="preserve"> or an </w:t>
      </w:r>
      <w:r w:rsidR="009B0312">
        <w:t>‘</w:t>
      </w:r>
      <w:r w:rsidRPr="0030070D">
        <w:t>occurrence</w:t>
      </w:r>
      <w:r w:rsidR="009B0312">
        <w:t>’</w:t>
      </w:r>
      <w:r w:rsidRPr="0030070D">
        <w:t xml:space="preserve"> basis. On a notified basis, new liabilities would accrue to the Scheme as new claims were notified. On an occurrence basis, new liabilities would accrue to the Scheme at the time of the occurrence of the medical incidents which were expected to give rise to medical indemnity claims which would attract a ROC indemnity payment.</w:t>
      </w:r>
    </w:p>
    <w:p w14:paraId="6CC1168F" w14:textId="77777777" w:rsidR="000C4927" w:rsidRDefault="000C4927" w:rsidP="00952046">
      <w:pPr>
        <w:pStyle w:val="ListParagraph"/>
        <w:numPr>
          <w:ilvl w:val="0"/>
          <w:numId w:val="48"/>
        </w:numPr>
      </w:pPr>
      <w:r w:rsidRPr="0030070D">
        <w:t xml:space="preserve">Under the occurrence model, liabilities are recognised more quickly than under the notified model. The occurrence model is more consistent with the notion that the Scheme is ongoing. Accordingly, the occurrence model has been adopted for this report. The liabilities of the Scheme are therefore </w:t>
      </w:r>
      <w:r w:rsidRPr="0030070D">
        <w:lastRenderedPageBreak/>
        <w:t>taken as the present value of future ROC indemnity payments (including associated insurer claims handling expenses) which relate to medical incidents which occurred before the effective date of valuation.</w:t>
      </w:r>
    </w:p>
    <w:p w14:paraId="468B584C" w14:textId="683CD67E" w:rsidR="000C4927" w:rsidRDefault="000C4927" w:rsidP="00952046">
      <w:pPr>
        <w:pStyle w:val="ListParagraph"/>
        <w:numPr>
          <w:ilvl w:val="0"/>
          <w:numId w:val="48"/>
        </w:numPr>
      </w:pPr>
      <w:r>
        <w:t>The Commonwealth</w:t>
      </w:r>
      <w:r w:rsidR="009B0312">
        <w:t>’</w:t>
      </w:r>
      <w:r>
        <w:t xml:space="preserve">s liabilities </w:t>
      </w:r>
      <w:r w:rsidR="006B30F7">
        <w:t xml:space="preserve">under the scheme </w:t>
      </w:r>
      <w:proofErr w:type="gramStart"/>
      <w:r w:rsidR="006B30F7">
        <w:t>at</w:t>
      </w:r>
      <w:proofErr w:type="gramEnd"/>
      <w:r w:rsidR="006B30F7">
        <w:t xml:space="preserve"> 30 </w:t>
      </w:r>
      <w:r w:rsidR="006B30F7" w:rsidRPr="005F3CD0">
        <w:t>June 202</w:t>
      </w:r>
      <w:r w:rsidR="00FE51EB" w:rsidRPr="005F3CD0">
        <w:t>4</w:t>
      </w:r>
      <w:r>
        <w:t xml:space="preserve"> are considered under the following categories:</w:t>
      </w:r>
    </w:p>
    <w:p w14:paraId="6AC72842" w14:textId="4815AC38" w:rsidR="000C4927" w:rsidRDefault="000C4927" w:rsidP="00952046">
      <w:pPr>
        <w:pStyle w:val="Bullet"/>
        <w:numPr>
          <w:ilvl w:val="0"/>
          <w:numId w:val="34"/>
        </w:numPr>
        <w:spacing w:after="240"/>
      </w:pPr>
      <w:r>
        <w:t xml:space="preserve">Outstanding compliance costs as </w:t>
      </w:r>
      <w:proofErr w:type="gramStart"/>
      <w:r>
        <w:t>at</w:t>
      </w:r>
      <w:proofErr w:type="gramEnd"/>
      <w:r>
        <w:t xml:space="preserve"> 30 June this year</w:t>
      </w:r>
    </w:p>
    <w:p w14:paraId="75606535" w14:textId="027CBE4F" w:rsidR="000C4927" w:rsidRDefault="000C4927" w:rsidP="00952046">
      <w:pPr>
        <w:pStyle w:val="Bullet"/>
        <w:numPr>
          <w:ilvl w:val="0"/>
          <w:numId w:val="34"/>
        </w:numPr>
        <w:spacing w:after="240"/>
      </w:pPr>
      <w:r>
        <w:t>Scheme eligible claims which had been notified at the time of the review and paid by the MIIs, but not yet recovered from Services Australia</w:t>
      </w:r>
    </w:p>
    <w:p w14:paraId="0E179E90" w14:textId="069D87A3" w:rsidR="000C4927" w:rsidRDefault="000C4927" w:rsidP="00952046">
      <w:pPr>
        <w:pStyle w:val="Bullet"/>
        <w:numPr>
          <w:ilvl w:val="0"/>
          <w:numId w:val="34"/>
        </w:numPr>
        <w:spacing w:after="240"/>
      </w:pPr>
      <w:r>
        <w:t>Scheme eligible claims which had been notified to the MIIs at the time of the review but not yet paid</w:t>
      </w:r>
    </w:p>
    <w:p w14:paraId="3B2ABAFA" w14:textId="5AA2CE26" w:rsidR="000C4927" w:rsidRDefault="000C4927" w:rsidP="00952046">
      <w:pPr>
        <w:pStyle w:val="Bullet"/>
        <w:numPr>
          <w:ilvl w:val="0"/>
          <w:numId w:val="34"/>
        </w:numPr>
        <w:spacing w:after="240"/>
      </w:pPr>
      <w:r>
        <w:t>Incurred claims that have not yet been reported to the MIIs</w:t>
      </w:r>
    </w:p>
    <w:p w14:paraId="7153D94A" w14:textId="77777777" w:rsidR="000C4927" w:rsidRDefault="000C4927" w:rsidP="00952046">
      <w:pPr>
        <w:pStyle w:val="Bullet"/>
        <w:numPr>
          <w:ilvl w:val="0"/>
          <w:numId w:val="34"/>
        </w:numPr>
        <w:spacing w:after="240"/>
      </w:pPr>
      <w:r>
        <w:t>Claims handling expenses.</w:t>
      </w:r>
    </w:p>
    <w:p w14:paraId="38C3EF3C" w14:textId="023902DA" w:rsidR="000C4927" w:rsidRPr="0030070D" w:rsidRDefault="000C4927" w:rsidP="00952046">
      <w:pPr>
        <w:pStyle w:val="ListParagraph"/>
        <w:numPr>
          <w:ilvl w:val="0"/>
          <w:numId w:val="48"/>
        </w:numPr>
      </w:pPr>
      <w:r w:rsidRPr="0030070D">
        <w:t>The Scheme must be managed over a long</w:t>
      </w:r>
      <w:r w:rsidR="009602CA">
        <w:t xml:space="preserve"> </w:t>
      </w:r>
      <w:r w:rsidRPr="0030070D">
        <w:t xml:space="preserve">timeframe. As discussed previously, ROC indemnity payments are likely to be </w:t>
      </w:r>
      <w:r w:rsidR="009B0312">
        <w:t>‘</w:t>
      </w:r>
      <w:r w:rsidRPr="0030070D">
        <w:t>lumpy</w:t>
      </w:r>
      <w:r w:rsidR="009B0312">
        <w:t>’</w:t>
      </w:r>
      <w:r w:rsidRPr="0030070D">
        <w:t xml:space="preserve"> in nature and immature in size for some years. ROC support payments will be received well in advance of ROC indemnity payments. As a result of the payment timing mismatch and the expected volatility in the ROC indemnity payment pattern, it is appropriate to have a system which enables proper tracking of the financial flows over time. Accordingly, a</w:t>
      </w:r>
      <w:r>
        <w:t> </w:t>
      </w:r>
      <w:r w:rsidRPr="0030070D">
        <w:t>ROC notional account (the Notional Account) is maintained.</w:t>
      </w:r>
    </w:p>
    <w:p w14:paraId="4FBD944E" w14:textId="77777777" w:rsidR="000C4927" w:rsidRDefault="000C4927" w:rsidP="00952046">
      <w:pPr>
        <w:pStyle w:val="ListParagraph"/>
        <w:numPr>
          <w:ilvl w:val="0"/>
          <w:numId w:val="48"/>
        </w:numPr>
      </w:pPr>
      <w:r w:rsidRPr="0030070D">
        <w:t>It is important to appreciate that the Notional Account is not an official Government account. Rather, it is a device established for the sole purpose of facilitating equity between practitioners and other taxpayers.</w:t>
      </w:r>
    </w:p>
    <w:p w14:paraId="36EF676D" w14:textId="77777777" w:rsidR="000C4927" w:rsidRPr="0030070D" w:rsidRDefault="000C4927" w:rsidP="00952046">
      <w:pPr>
        <w:pStyle w:val="ListParagraph"/>
        <w:numPr>
          <w:ilvl w:val="0"/>
          <w:numId w:val="48"/>
        </w:numPr>
      </w:pPr>
      <w:r w:rsidRPr="0030070D">
        <w:t>The Notional Account is credited with:</w:t>
      </w:r>
    </w:p>
    <w:p w14:paraId="195F9A70" w14:textId="69FBE5E2" w:rsidR="000C4927" w:rsidRPr="001C2997" w:rsidRDefault="000C4927" w:rsidP="00952046">
      <w:pPr>
        <w:pStyle w:val="Bullet"/>
        <w:numPr>
          <w:ilvl w:val="0"/>
          <w:numId w:val="34"/>
        </w:numPr>
        <w:spacing w:after="240"/>
      </w:pPr>
      <w:r w:rsidRPr="001C2997">
        <w:t>ROC support payments</w:t>
      </w:r>
    </w:p>
    <w:p w14:paraId="03B48C5D" w14:textId="796CB012" w:rsidR="000C4927" w:rsidRPr="001C2997" w:rsidRDefault="000C4927" w:rsidP="00952046">
      <w:pPr>
        <w:pStyle w:val="Bullet"/>
        <w:numPr>
          <w:ilvl w:val="0"/>
          <w:numId w:val="34"/>
        </w:numPr>
        <w:spacing w:after="240"/>
      </w:pPr>
      <w:r w:rsidRPr="001C2997">
        <w:t xml:space="preserve">amounts to offset ROC indemnity payments which relate to </w:t>
      </w:r>
      <w:r>
        <w:t>medical practitioners</w:t>
      </w:r>
      <w:r w:rsidRPr="001C2997">
        <w:t xml:space="preserve"> who were eligible at the commencement of the scheme</w:t>
      </w:r>
    </w:p>
    <w:p w14:paraId="40797ED0" w14:textId="77777777" w:rsidR="000C4927" w:rsidRPr="001C2997" w:rsidRDefault="000C4927" w:rsidP="00952046">
      <w:pPr>
        <w:pStyle w:val="Bullet"/>
        <w:numPr>
          <w:ilvl w:val="0"/>
          <w:numId w:val="34"/>
        </w:numPr>
        <w:spacing w:after="240"/>
      </w:pPr>
      <w:r>
        <w:t>notional interest.</w:t>
      </w:r>
    </w:p>
    <w:p w14:paraId="1002BFCA" w14:textId="1C50A248" w:rsidR="000C4927" w:rsidRPr="007C0A7C" w:rsidRDefault="000C4927" w:rsidP="00952046">
      <w:pPr>
        <w:pStyle w:val="ListParagraph"/>
        <w:numPr>
          <w:ilvl w:val="0"/>
          <w:numId w:val="48"/>
        </w:numPr>
      </w:pPr>
      <w:r w:rsidRPr="0030070D">
        <w:t xml:space="preserve">Notional interest is credited to the Notional Account to ensure reasonable treatment of the time value of money since ROC support payments are received by </w:t>
      </w:r>
      <w:r>
        <w:t>Services Australia</w:t>
      </w:r>
      <w:r w:rsidRPr="0030070D">
        <w:t xml:space="preserve"> well in advance of any ROC indemnity payments being made by </w:t>
      </w:r>
      <w:r w:rsidRPr="007C0A7C">
        <w:t>Services Australia.</w:t>
      </w:r>
      <w:r w:rsidR="00CF29F9">
        <w:t xml:space="preserve"> </w:t>
      </w:r>
      <w:r w:rsidR="00E47F64">
        <w:t>T</w:t>
      </w:r>
      <w:r w:rsidR="00CF29F9" w:rsidRPr="00DC3EC6">
        <w:t xml:space="preserve">he Amending Rules </w:t>
      </w:r>
      <w:r w:rsidR="00CF29F9">
        <w:t xml:space="preserve">legislated in July 2021 </w:t>
      </w:r>
      <w:r w:rsidR="00CF29F9" w:rsidRPr="00DC3EC6">
        <w:t>replace</w:t>
      </w:r>
      <w:r w:rsidR="00000015">
        <w:t>d</w:t>
      </w:r>
      <w:r w:rsidR="00CF29F9" w:rsidRPr="00DC3EC6">
        <w:t xml:space="preserve"> the existing reference to the General </w:t>
      </w:r>
      <w:r w:rsidR="00CF29F9" w:rsidRPr="00DC3EC6">
        <w:lastRenderedPageBreak/>
        <w:t xml:space="preserve">Interest Charge rate with a rate based on the annual change in the Consumer Price </w:t>
      </w:r>
      <w:r w:rsidR="00CF29F9" w:rsidRPr="00CF29F9">
        <w:t xml:space="preserve">Index rate in sections 10 of the </w:t>
      </w:r>
      <w:r w:rsidR="00CF29F9" w:rsidRPr="00CF29F9">
        <w:rPr>
          <w:i/>
          <w:iCs/>
        </w:rPr>
        <w:t>Medical Indemnity Rules 2020</w:t>
      </w:r>
      <w:r w:rsidR="00CF29F9" w:rsidRPr="00CF29F9">
        <w:t>.</w:t>
      </w:r>
      <w:r w:rsidR="00CF29F9">
        <w:t xml:space="preserve"> As a result, all past notional interest charges </w:t>
      </w:r>
      <w:r w:rsidR="00000015">
        <w:t>were</w:t>
      </w:r>
      <w:r w:rsidR="00CF29F9">
        <w:t xml:space="preserve"> recalculated retrospectively in line with this new interest rate</w:t>
      </w:r>
      <w:r w:rsidR="00CF29F9" w:rsidRPr="000D45F2">
        <w:rPr>
          <w:iCs/>
        </w:rPr>
        <w:t xml:space="preserve">. </w:t>
      </w:r>
      <w:r w:rsidR="00CF29F9">
        <w:t xml:space="preserve">The notional interest becomes a cost to government, should the scheme be wound up. In this circumstance, contributions are returned to </w:t>
      </w:r>
      <w:r w:rsidR="00F371C6">
        <w:t xml:space="preserve">practitioners </w:t>
      </w:r>
      <w:r w:rsidR="00CF29F9">
        <w:t>that are not yet eligible with interest at the prescribed rate. This is discussed further at the end of this section 4.4</w:t>
      </w:r>
      <w:r w:rsidR="00DD251E">
        <w:t>.</w:t>
      </w:r>
    </w:p>
    <w:p w14:paraId="54847422" w14:textId="77777777" w:rsidR="000C4927" w:rsidRPr="0011626B" w:rsidRDefault="000C4927" w:rsidP="00952046">
      <w:pPr>
        <w:pStyle w:val="ListParagraph"/>
        <w:numPr>
          <w:ilvl w:val="0"/>
          <w:numId w:val="48"/>
        </w:numPr>
      </w:pPr>
      <w:r w:rsidRPr="0011626B">
        <w:t>On establishment of the Scheme, the Government announced that it would fund the opening liability that was attributable to practitioners who were already eligible for cover under the Scheme at the time of its commencement. Since the commencement of ROC indemnity payments, effect has been given to this commitment by ensuring that the Notional Account is credited annually with amounts to offset any ROC indemnity payments which relate to medical practitioners who were eligible at the commencement of the Scheme.</w:t>
      </w:r>
    </w:p>
    <w:p w14:paraId="78682EB0" w14:textId="77777777" w:rsidR="000C4927" w:rsidRPr="0011626B" w:rsidRDefault="000C4927" w:rsidP="00AC0BA0">
      <w:pPr>
        <w:pStyle w:val="ListParagraph"/>
        <w:keepNext/>
        <w:numPr>
          <w:ilvl w:val="0"/>
          <w:numId w:val="48"/>
        </w:numPr>
        <w:ind w:left="1077" w:hanging="357"/>
      </w:pPr>
      <w:r w:rsidRPr="0011626B">
        <w:t>The Notional Account is charged with:</w:t>
      </w:r>
    </w:p>
    <w:p w14:paraId="4FD41D2F" w14:textId="75D18778" w:rsidR="000C4927" w:rsidRPr="0011626B" w:rsidRDefault="000C4927" w:rsidP="00952046">
      <w:pPr>
        <w:pStyle w:val="Bullet"/>
        <w:numPr>
          <w:ilvl w:val="0"/>
          <w:numId w:val="34"/>
        </w:numPr>
        <w:spacing w:after="240"/>
      </w:pPr>
      <w:r w:rsidRPr="0011626B">
        <w:t>ROC indemnity payments</w:t>
      </w:r>
    </w:p>
    <w:p w14:paraId="177068AC" w14:textId="40362638" w:rsidR="000C4927" w:rsidRPr="0011626B" w:rsidRDefault="000C4927" w:rsidP="00952046">
      <w:pPr>
        <w:pStyle w:val="Bullet"/>
        <w:numPr>
          <w:ilvl w:val="0"/>
          <w:numId w:val="34"/>
        </w:numPr>
        <w:spacing w:after="240"/>
      </w:pPr>
      <w:r w:rsidRPr="0011626B">
        <w:t xml:space="preserve">Payments made under the </w:t>
      </w:r>
      <w:r w:rsidR="00DC0904">
        <w:t>Medical Indemnity Regulations</w:t>
      </w:r>
      <w:r w:rsidRPr="0011626B">
        <w:t>.</w:t>
      </w:r>
    </w:p>
    <w:p w14:paraId="4E6C44BB" w14:textId="457165ED" w:rsidR="000C4927" w:rsidRPr="0011626B" w:rsidRDefault="000C4927" w:rsidP="00952046">
      <w:pPr>
        <w:pStyle w:val="ListParagraph"/>
        <w:numPr>
          <w:ilvl w:val="0"/>
          <w:numId w:val="48"/>
        </w:numPr>
      </w:pPr>
      <w:r w:rsidRPr="0011626B">
        <w:t xml:space="preserve">The Scheme will also pay an amount to a MII or MDO to cover the indirect costs associated with handling claims, referred to as indirect </w:t>
      </w:r>
      <w:r w:rsidR="000826C7">
        <w:t>CHE</w:t>
      </w:r>
      <w:r w:rsidRPr="0011626B">
        <w:t>. The Scheme pays 5 per cent of the c</w:t>
      </w:r>
      <w:r>
        <w:t>ost of each claim to cover CHE.</w:t>
      </w:r>
    </w:p>
    <w:p w14:paraId="2A95A741" w14:textId="77777777" w:rsidR="000C4927" w:rsidRPr="0011626B" w:rsidRDefault="000C4927" w:rsidP="00952046">
      <w:pPr>
        <w:pStyle w:val="ListParagraph"/>
        <w:numPr>
          <w:ilvl w:val="0"/>
          <w:numId w:val="48"/>
        </w:numPr>
      </w:pPr>
      <w:r w:rsidRPr="0011626B">
        <w:t>Appendix 2 provides more detail on claim amounts eligible under the Scheme.</w:t>
      </w:r>
    </w:p>
    <w:p w14:paraId="4A3E42FA" w14:textId="5D23DEA1" w:rsidR="000C4927" w:rsidRPr="0011626B" w:rsidRDefault="000C4927" w:rsidP="00952046">
      <w:pPr>
        <w:pStyle w:val="ListParagraph"/>
        <w:numPr>
          <w:ilvl w:val="0"/>
          <w:numId w:val="48"/>
        </w:numPr>
      </w:pPr>
      <w:r w:rsidRPr="0011626B">
        <w:t xml:space="preserve">Note that the Scheme </w:t>
      </w:r>
      <w:r w:rsidR="009B0312">
        <w:t>‘</w:t>
      </w:r>
      <w:r w:rsidRPr="0011626B">
        <w:t>operates after</w:t>
      </w:r>
      <w:r w:rsidR="009B0312">
        <w:t>’</w:t>
      </w:r>
      <w:r w:rsidRPr="0011626B">
        <w:t xml:space="preserve"> the HCCS. The effect of the HCCS is described in detail in Appendix 6.</w:t>
      </w:r>
    </w:p>
    <w:p w14:paraId="519C4CE8" w14:textId="77777777" w:rsidR="000C4927" w:rsidRPr="0011626B" w:rsidRDefault="000C4927" w:rsidP="00952046">
      <w:pPr>
        <w:pStyle w:val="ListParagraph"/>
        <w:numPr>
          <w:ilvl w:val="0"/>
          <w:numId w:val="48"/>
        </w:numPr>
      </w:pPr>
      <w:r>
        <w:t>Table 10</w:t>
      </w:r>
      <w:r w:rsidRPr="0011626B">
        <w:t xml:space="preserve"> describes how an eligible $1 million claim notified after 1 July 2018 would be funded</w:t>
      </w:r>
      <w:r w:rsidRPr="00AD2A86">
        <w:rPr>
          <w:rStyle w:val="FootnoteReference"/>
        </w:rPr>
        <w:footnoteReference w:id="12"/>
      </w:r>
      <w:r w:rsidRPr="0011626B">
        <w:t xml:space="preserve">. The total amount paid of $1,050,000 </w:t>
      </w:r>
      <w:r>
        <w:t>comprises</w:t>
      </w:r>
      <w:r w:rsidRPr="0011626B">
        <w:t xml:space="preserve"> claim costs of $1 million and CHE of $50,000.</w:t>
      </w:r>
    </w:p>
    <w:p w14:paraId="743F432F" w14:textId="7B53A837" w:rsidR="000C4927" w:rsidRPr="00D23D04" w:rsidRDefault="000C4927" w:rsidP="0040224A">
      <w:pPr>
        <w:pStyle w:val="Caption"/>
      </w:pPr>
      <w:r w:rsidRPr="00AA2CDE">
        <w:lastRenderedPageBreak/>
        <w:t>Table 10: Funding sources for a $1 million claim which is eligible for the Run</w:t>
      </w:r>
      <w:r w:rsidR="009B0312" w:rsidRPr="00AA2CDE">
        <w:noBreakHyphen/>
      </w:r>
      <w:r w:rsidRPr="00AA2CDE">
        <w:t>Off Cover Scheme</w:t>
      </w:r>
    </w:p>
    <w:p w14:paraId="60CB1F0F" w14:textId="48A228E7" w:rsidR="000C4927" w:rsidRPr="003D7E03" w:rsidRDefault="00AA0EA2" w:rsidP="00487145">
      <w:pPr>
        <w:spacing w:line="240" w:lineRule="auto"/>
      </w:pPr>
      <w:r w:rsidRPr="00AA0EA2">
        <w:rPr>
          <w:noProof/>
        </w:rPr>
        <w:drawing>
          <wp:inline distT="0" distB="0" distL="0" distR="0" wp14:anchorId="52B75D29" wp14:editId="0A2917B4">
            <wp:extent cx="4866218" cy="768350"/>
            <wp:effectExtent l="0" t="0" r="0" b="0"/>
            <wp:docPr id="772557540" name="Picture 31" descr="HCCS will cover $250,000. The total reimbursement under the Run-Off Cover Scheme will be $800,000 which includes $50,000 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6218" cy="768350"/>
                    </a:xfrm>
                    <a:prstGeom prst="rect">
                      <a:avLst/>
                    </a:prstGeom>
                    <a:noFill/>
                    <a:ln>
                      <a:noFill/>
                    </a:ln>
                  </pic:spPr>
                </pic:pic>
              </a:graphicData>
            </a:graphic>
          </wp:inline>
        </w:drawing>
      </w:r>
    </w:p>
    <w:p w14:paraId="6B735E9C" w14:textId="33BEDC29" w:rsidR="000C4927" w:rsidRPr="0011626B" w:rsidRDefault="000C4927" w:rsidP="00952046">
      <w:pPr>
        <w:pStyle w:val="ListParagraph"/>
        <w:numPr>
          <w:ilvl w:val="0"/>
          <w:numId w:val="48"/>
        </w:numPr>
      </w:pPr>
      <w:r w:rsidRPr="0011626B">
        <w:t xml:space="preserve">As noted earlier, the </w:t>
      </w:r>
      <w:r w:rsidRPr="00EA4E42">
        <w:rPr>
          <w:i/>
          <w:iCs/>
        </w:rPr>
        <w:t>Medical Indemnity Act</w:t>
      </w:r>
      <w:r w:rsidRPr="00112308">
        <w:t xml:space="preserve"> </w:t>
      </w:r>
      <w:r w:rsidRPr="0011626B">
        <w:t>provides for payment of a practitioner</w:t>
      </w:r>
      <w:r w:rsidR="009B0312">
        <w:t>’</w:t>
      </w:r>
      <w:r w:rsidRPr="0011626B">
        <w:t>s total run</w:t>
      </w:r>
      <w:r w:rsidR="009B0312">
        <w:noBreakHyphen/>
      </w:r>
      <w:r w:rsidRPr="0011626B">
        <w:t>off cover credit, should the Scheme ever be wound up without alternative arrangements being put in place. Thus, in this event, a large part of the accumulated ROC support payment balance would become a liability of the Scheme. At the same time, since the Scheme liabilities are being measured on an occurrence basis, some of the liabilities of the Scheme would be released, partially offsetting this impact. However, for the purpose of this report, the Scheme has been assumed to be ongoing and the whole amount of the accumulated ROC support payments has been taken to be available to meet relevant ROC indemnity payments.</w:t>
      </w:r>
    </w:p>
    <w:p w14:paraId="4401708C" w14:textId="26D0C755" w:rsidR="000C4927" w:rsidRPr="00E560F7" w:rsidRDefault="000C4927" w:rsidP="00952046">
      <w:pPr>
        <w:pStyle w:val="ListParagraph"/>
        <w:numPr>
          <w:ilvl w:val="0"/>
          <w:numId w:val="48"/>
        </w:numPr>
      </w:pPr>
      <w:r w:rsidRPr="0011626B">
        <w:t xml:space="preserve">The liability estimates given in this report are central estimates. In broad terms, this means that they are intended to be equally likely to be too high or too low. </w:t>
      </w:r>
      <w:proofErr w:type="gramStart"/>
      <w:r w:rsidRPr="0011626B">
        <w:t>In particular, it</w:t>
      </w:r>
      <w:proofErr w:type="gramEnd"/>
      <w:r w:rsidRPr="0011626B">
        <w:t xml:space="preserve"> is not intended that the liability estimates contain any margin for risk. Funding considerations for the Scheme are not the same as for private sector insurance arrangements. The objective here is to manage the funding over the long term. Since substantial volatility in the liability estimates is likely from time to time, periods of surplus and periods of deficit in the Notional Account might be expected. However, given the </w:t>
      </w:r>
      <w:r w:rsidR="0069234C" w:rsidRPr="0011626B">
        <w:t>long</w:t>
      </w:r>
      <w:r w:rsidR="009B0312">
        <w:noBreakHyphen/>
      </w:r>
      <w:r w:rsidR="0069234C" w:rsidRPr="0011626B">
        <w:t>time</w:t>
      </w:r>
      <w:r w:rsidRPr="0011626B">
        <w:t xml:space="preserve"> horizon </w:t>
      </w:r>
      <w:r>
        <w:t>for funding the Scheme, it is appropriate. A</w:t>
      </w:r>
      <w:r w:rsidRPr="0011626B">
        <w:t xml:space="preserve"> </w:t>
      </w:r>
      <w:r w:rsidR="0069234C" w:rsidRPr="0011626B">
        <w:t>short</w:t>
      </w:r>
      <w:r w:rsidR="009B0312">
        <w:noBreakHyphen/>
      </w:r>
      <w:r w:rsidR="0069234C" w:rsidRPr="0011626B">
        <w:t>term</w:t>
      </w:r>
      <w:r w:rsidRPr="0011626B">
        <w:t xml:space="preserve"> deficit in the Notional Account is not a cause for concern. As a result of this, </w:t>
      </w:r>
      <w:r w:rsidRPr="00E560F7">
        <w:t>there is no strong reason to maintain a risk margin in the liability estimates.</w:t>
      </w:r>
    </w:p>
    <w:p w14:paraId="064777AA" w14:textId="67FF6320" w:rsidR="000C4927" w:rsidRPr="00E560F7" w:rsidRDefault="000C4927" w:rsidP="00952046">
      <w:pPr>
        <w:pStyle w:val="ListParagraph"/>
        <w:numPr>
          <w:ilvl w:val="0"/>
          <w:numId w:val="48"/>
        </w:numPr>
      </w:pPr>
      <w:r w:rsidRPr="00E560F7">
        <w:t>Table 11 below sets out the balance sheet of the Not</w:t>
      </w:r>
      <w:r w:rsidR="006B30F7" w:rsidRPr="00E560F7">
        <w:t xml:space="preserve">ional Account as </w:t>
      </w:r>
      <w:proofErr w:type="gramStart"/>
      <w:r w:rsidR="006B30F7" w:rsidRPr="00E560F7">
        <w:t>at</w:t>
      </w:r>
      <w:proofErr w:type="gramEnd"/>
      <w:r w:rsidR="006B30F7" w:rsidRPr="00E560F7">
        <w:t xml:space="preserve"> 30 June 202</w:t>
      </w:r>
      <w:r w:rsidR="00AE3378" w:rsidRPr="00E560F7">
        <w:t>4</w:t>
      </w:r>
      <w:r w:rsidR="009B0312" w:rsidRPr="00E560F7">
        <w:t xml:space="preserve">. </w:t>
      </w:r>
    </w:p>
    <w:p w14:paraId="1DA4EB72" w14:textId="26D3044B" w:rsidR="000C4927" w:rsidRPr="00D6236F" w:rsidRDefault="000C4927" w:rsidP="0040224A">
      <w:pPr>
        <w:pStyle w:val="Caption"/>
      </w:pPr>
      <w:r w:rsidRPr="00E560F7">
        <w:lastRenderedPageBreak/>
        <w:t>Table 11: Balance</w:t>
      </w:r>
      <w:r w:rsidRPr="00137348">
        <w:t xml:space="preserve"> sheet of the Notional Account</w:t>
      </w:r>
      <w:r w:rsidR="00487145">
        <w:t xml:space="preserve"> as </w:t>
      </w:r>
      <w:proofErr w:type="gramStart"/>
      <w:r w:rsidR="00487145">
        <w:t>at</w:t>
      </w:r>
      <w:proofErr w:type="gramEnd"/>
      <w:r w:rsidR="00487145">
        <w:t xml:space="preserve"> 30 June </w:t>
      </w:r>
      <w:r w:rsidR="00487145" w:rsidRPr="0039374C">
        <w:t>202</w:t>
      </w:r>
      <w:r w:rsidR="00D45B6E" w:rsidRPr="0039374C">
        <w:t>4</w:t>
      </w:r>
    </w:p>
    <w:p w14:paraId="2F2CC9F6" w14:textId="4CD5980F" w:rsidR="00487145" w:rsidRDefault="0078553E" w:rsidP="00487145">
      <w:pPr>
        <w:pStyle w:val="ChartandTableFootnoteAlpha"/>
        <w:ind w:firstLine="0"/>
      </w:pPr>
      <w:r w:rsidRPr="0078553E">
        <w:rPr>
          <w:noProof/>
        </w:rPr>
        <w:drawing>
          <wp:inline distT="0" distB="0" distL="0" distR="0" wp14:anchorId="3471C897" wp14:editId="50970632">
            <wp:extent cx="4702810" cy="1746885"/>
            <wp:effectExtent l="0" t="0" r="2540" b="5715"/>
            <wp:docPr id="1818303138" name="Picture 1" descr="The notional account had $313 million assets and $212 million liabilities as at 30 June 2024. The liabilities consisted of $3 million outstanding compliance costs, $18 million paid by MIIs but not yet recovered from Medicare Australia, $57 million notified to MIIs but not yet paid by them, $124 million incurred but not yet notified to MIIs and $11 million claims handling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2810" cy="1746885"/>
                    </a:xfrm>
                    <a:prstGeom prst="rect">
                      <a:avLst/>
                    </a:prstGeom>
                    <a:noFill/>
                    <a:ln>
                      <a:noFill/>
                    </a:ln>
                  </pic:spPr>
                </pic:pic>
              </a:graphicData>
            </a:graphic>
          </wp:inline>
        </w:drawing>
      </w:r>
    </w:p>
    <w:p w14:paraId="3DAC2780" w14:textId="565E2C6B" w:rsidR="000C4927" w:rsidRPr="00137348" w:rsidRDefault="000C4927" w:rsidP="00952046">
      <w:pPr>
        <w:pStyle w:val="ChartandTableFootnoteAlpha"/>
        <w:numPr>
          <w:ilvl w:val="0"/>
          <w:numId w:val="51"/>
        </w:numPr>
        <w:ind w:left="720"/>
      </w:pPr>
      <w:r w:rsidRPr="00137348">
        <w:t>Based on payments ma</w:t>
      </w:r>
      <w:r w:rsidR="00F50A2E">
        <w:t>de by Services Australia in 202</w:t>
      </w:r>
      <w:r w:rsidR="00B326FC">
        <w:t>4</w:t>
      </w:r>
      <w:r w:rsidR="00F50A2E">
        <w:t>/2</w:t>
      </w:r>
      <w:r w:rsidR="00B326FC">
        <w:t>5</w:t>
      </w:r>
      <w:r w:rsidRPr="00137348">
        <w:t xml:space="preserve"> in r</w:t>
      </w:r>
      <w:r w:rsidR="00F50A2E">
        <w:t xml:space="preserve">elation to prior claim years. </w:t>
      </w:r>
    </w:p>
    <w:p w14:paraId="107432E5" w14:textId="724D3FBB" w:rsidR="000C4927" w:rsidRPr="0039374C" w:rsidRDefault="000C4927" w:rsidP="00952046">
      <w:pPr>
        <w:pStyle w:val="ChartandTableFootnoteAlpha"/>
        <w:numPr>
          <w:ilvl w:val="0"/>
          <w:numId w:val="51"/>
        </w:numPr>
        <w:ind w:left="720"/>
      </w:pPr>
      <w:r w:rsidRPr="0039374C">
        <w:t xml:space="preserve">Based on </w:t>
      </w:r>
      <w:r w:rsidR="00E10134">
        <w:t>a comparison between S</w:t>
      </w:r>
      <w:r w:rsidR="00C57677">
        <w:t xml:space="preserve">ervices </w:t>
      </w:r>
      <w:r w:rsidR="00E10134">
        <w:t>A</w:t>
      </w:r>
      <w:r w:rsidR="007740CA">
        <w:t>ustralia</w:t>
      </w:r>
      <w:r w:rsidR="00E10134">
        <w:t xml:space="preserve"> and insurer data. </w:t>
      </w:r>
    </w:p>
    <w:p w14:paraId="54D1230D" w14:textId="227D697C" w:rsidR="000C4927" w:rsidRPr="0039374C" w:rsidRDefault="000C4927" w:rsidP="00952046">
      <w:pPr>
        <w:pStyle w:val="ChartandTableFootnoteAlpha"/>
        <w:numPr>
          <w:ilvl w:val="0"/>
          <w:numId w:val="51"/>
        </w:numPr>
        <w:ind w:left="720"/>
      </w:pPr>
      <w:r w:rsidRPr="0039374C">
        <w:t>Based on estimates provided by industry actuaries.</w:t>
      </w:r>
    </w:p>
    <w:p w14:paraId="763A9BD6" w14:textId="0088FFCA" w:rsidR="000C4927" w:rsidRPr="0039374C" w:rsidRDefault="000C4927" w:rsidP="00952046">
      <w:pPr>
        <w:pStyle w:val="ChartandTableFootnoteAlpha"/>
        <w:numPr>
          <w:ilvl w:val="0"/>
          <w:numId w:val="51"/>
        </w:numPr>
        <w:ind w:left="720"/>
      </w:pPr>
      <w:r w:rsidRPr="0039374C">
        <w:t>Based on estimates provided by industry actuaries and models developed within this office.</w:t>
      </w:r>
      <w:r w:rsidR="0069234C" w:rsidRPr="0039374C">
        <w:t xml:space="preserve"> </w:t>
      </w:r>
    </w:p>
    <w:p w14:paraId="41795315" w14:textId="7F8C6111" w:rsidR="000C4927" w:rsidRPr="0039374C" w:rsidRDefault="000C4927" w:rsidP="00952046">
      <w:pPr>
        <w:pStyle w:val="ChartandTableFootnoteAlpha"/>
        <w:numPr>
          <w:ilvl w:val="0"/>
          <w:numId w:val="51"/>
        </w:numPr>
        <w:ind w:left="720"/>
      </w:pPr>
      <w:r w:rsidRPr="0039374C">
        <w:t xml:space="preserve">Based on 5 per cent of </w:t>
      </w:r>
      <w:r w:rsidR="009B0312" w:rsidRPr="0039374C">
        <w:t>‘</w:t>
      </w:r>
      <w:r w:rsidRPr="0039374C">
        <w:t>grossed up</w:t>
      </w:r>
      <w:r w:rsidR="009B0312" w:rsidRPr="0039374C">
        <w:t>’</w:t>
      </w:r>
      <w:r w:rsidRPr="0039374C">
        <w:t xml:space="preserve"> ROC indemnity payments (to allow for the impact of the HCCS).</w:t>
      </w:r>
    </w:p>
    <w:p w14:paraId="66752DA9" w14:textId="77777777" w:rsidR="000C4927" w:rsidRPr="0039374C" w:rsidRDefault="000C4927" w:rsidP="000C4927">
      <w:pPr>
        <w:pStyle w:val="SingleParagraph"/>
      </w:pPr>
    </w:p>
    <w:p w14:paraId="12AE615D" w14:textId="3E5D57EC" w:rsidR="00441FC4" w:rsidRDefault="000C4927" w:rsidP="00952046">
      <w:pPr>
        <w:pStyle w:val="ListParagraph"/>
        <w:numPr>
          <w:ilvl w:val="0"/>
          <w:numId w:val="48"/>
        </w:numPr>
      </w:pPr>
      <w:r w:rsidRPr="0039374C">
        <w:t xml:space="preserve">The Notional Account </w:t>
      </w:r>
      <w:proofErr w:type="gramStart"/>
      <w:r w:rsidR="00ED50E3" w:rsidRPr="0039374C">
        <w:t>at</w:t>
      </w:r>
      <w:proofErr w:type="gramEnd"/>
      <w:r w:rsidR="00ED50E3" w:rsidRPr="0039374C">
        <w:t xml:space="preserve"> 30 June 202</w:t>
      </w:r>
      <w:r w:rsidR="00D45B6E" w:rsidRPr="0039374C">
        <w:t>4</w:t>
      </w:r>
      <w:r w:rsidRPr="0039374C">
        <w:t xml:space="preserve"> has disclosed</w:t>
      </w:r>
      <w:r w:rsidRPr="00EF4D25">
        <w:t xml:space="preserve"> an estimated notional surplus of </w:t>
      </w:r>
      <w:r w:rsidR="00ED50E3" w:rsidRPr="003C5842">
        <w:t>about $</w:t>
      </w:r>
      <w:r w:rsidR="006052AC" w:rsidRPr="003C5842">
        <w:t>1</w:t>
      </w:r>
      <w:r w:rsidR="003C5842" w:rsidRPr="003C5842">
        <w:t>00</w:t>
      </w:r>
      <w:r w:rsidRPr="003C5842">
        <w:t xml:space="preserve"> million. </w:t>
      </w:r>
      <w:r w:rsidR="00441FC4">
        <w:t>This is below the estimated surplus of about $116 million reported last year.</w:t>
      </w:r>
    </w:p>
    <w:p w14:paraId="5C69DD43" w14:textId="55F78B10" w:rsidR="00822D33" w:rsidRPr="00217D02" w:rsidRDefault="00CF29F9" w:rsidP="00952046">
      <w:pPr>
        <w:pStyle w:val="ListParagraph"/>
        <w:numPr>
          <w:ilvl w:val="0"/>
          <w:numId w:val="48"/>
        </w:numPr>
      </w:pPr>
      <w:r w:rsidRPr="003C5842">
        <w:t>On</w:t>
      </w:r>
      <w:r>
        <w:t xml:space="preserve"> one hand, the notional interest increases the notional account balance each year. On the other hand, some of the notional interest becomes a cost to government, should the Scheme be wound up. </w:t>
      </w:r>
      <w:r w:rsidR="000C4927" w:rsidRPr="00EF4D25">
        <w:t xml:space="preserve">Note again that no account has been taken for possible payments to practitioners under Subdivision E of the </w:t>
      </w:r>
      <w:r w:rsidR="000C4927" w:rsidRPr="00EF4D25">
        <w:rPr>
          <w:i/>
          <w:iCs/>
        </w:rPr>
        <w:t>Medical Indemnity Act</w:t>
      </w:r>
      <w:r w:rsidR="000C4927" w:rsidRPr="00EF4D25">
        <w:t xml:space="preserve">, should the Scheme be wound up without alternative arrangements being put in place. </w:t>
      </w:r>
    </w:p>
    <w:p w14:paraId="38658EDA" w14:textId="3BFA0936" w:rsidR="000C4927" w:rsidRPr="0011626B" w:rsidRDefault="000C4927" w:rsidP="00952046">
      <w:pPr>
        <w:pStyle w:val="ListParagraph"/>
        <w:numPr>
          <w:ilvl w:val="0"/>
          <w:numId w:val="48"/>
        </w:numPr>
      </w:pPr>
      <w:r w:rsidRPr="0011626B">
        <w:t>Generally, the estimated surplus position should be regarded as highly uncertain.</w:t>
      </w:r>
      <w:r>
        <w:t xml:space="preserve"> A </w:t>
      </w:r>
      <w:r w:rsidR="00431A29">
        <w:t xml:space="preserve">more </w:t>
      </w:r>
      <w:r>
        <w:t xml:space="preserve">accurate estimate of the surplus can be made possible if the ROCS levy balances of the ROCS eligible practitioners could </w:t>
      </w:r>
      <w:r w:rsidR="00ED50E3">
        <w:t xml:space="preserve">be </w:t>
      </w:r>
      <w:r>
        <w:t xml:space="preserve">monitored </w:t>
      </w:r>
      <w:r w:rsidR="00CF29F9">
        <w:t xml:space="preserve">and supplied </w:t>
      </w:r>
      <w:r>
        <w:t xml:space="preserve">by Services Australia. </w:t>
      </w:r>
    </w:p>
    <w:p w14:paraId="41D55219" w14:textId="05D40DF8" w:rsidR="00F602EB" w:rsidRPr="006305F9" w:rsidRDefault="00F602EB" w:rsidP="00F94366">
      <w:pPr>
        <w:pStyle w:val="Heading2"/>
      </w:pPr>
      <w:bookmarkStart w:id="109" w:name="_Toc192773715"/>
      <w:r w:rsidRPr="006305F9">
        <w:t>RESULTS: PROJECTED LIABILITIES OF THE SCHEME</w:t>
      </w:r>
      <w:bookmarkEnd w:id="105"/>
      <w:bookmarkEnd w:id="106"/>
      <w:bookmarkEnd w:id="107"/>
      <w:bookmarkEnd w:id="108"/>
      <w:bookmarkEnd w:id="109"/>
    </w:p>
    <w:p w14:paraId="7F0BF97E" w14:textId="7511E399" w:rsidR="000C4927" w:rsidRPr="0011626B" w:rsidRDefault="000C4927" w:rsidP="00707F03">
      <w:pPr>
        <w:pStyle w:val="OutlineNumbered45"/>
        <w:ind w:left="924" w:hanging="567"/>
      </w:pPr>
      <w:r w:rsidRPr="0011626B">
        <w:t>Finally, it is appropriate to provide a projection of the liabilities of the Scheme. Future li</w:t>
      </w:r>
      <w:r>
        <w:t>abilities under the scheme are</w:t>
      </w:r>
      <w:r w:rsidRPr="0011626B">
        <w:t xml:space="preserve"> projected having regard to the annual rate at which future liabilities will accrue, the payment of claims and the interest that is required to accrue to the (discounted) reserves each year.</w:t>
      </w:r>
    </w:p>
    <w:p w14:paraId="096F5ACD" w14:textId="4B076C65" w:rsidR="000C4927" w:rsidRPr="00C07768" w:rsidRDefault="000C4927" w:rsidP="00707F03">
      <w:pPr>
        <w:pStyle w:val="OutlineNumbered45"/>
        <w:ind w:left="924" w:hanging="567"/>
        <w:rPr>
          <w:color w:val="auto"/>
        </w:rPr>
      </w:pPr>
      <w:r w:rsidRPr="0011626B">
        <w:t>Table 1</w:t>
      </w:r>
      <w:r>
        <w:t>2</w:t>
      </w:r>
      <w:r w:rsidRPr="0011626B">
        <w:t xml:space="preserve"> sets out estimates of the liabilities of the Notional Account at the end of each of the next five financial years. The purpose is to illustrate the short</w:t>
      </w:r>
      <w:r w:rsidR="009B0312">
        <w:noBreakHyphen/>
      </w:r>
      <w:r w:rsidRPr="00C07768">
        <w:t>term development of the Scheme. There is substantial uncertainty in these estimates</w:t>
      </w:r>
      <w:r w:rsidR="00292EA7" w:rsidRPr="00C07768">
        <w:t xml:space="preserve">. </w:t>
      </w:r>
      <w:r w:rsidRPr="00C07768">
        <w:t xml:space="preserve">The numbers shown </w:t>
      </w:r>
      <w:r w:rsidR="00292EA7" w:rsidRPr="00C07768">
        <w:t xml:space="preserve">below </w:t>
      </w:r>
      <w:r w:rsidRPr="00C07768">
        <w:t xml:space="preserve">have been discounted to the end </w:t>
      </w:r>
      <w:r w:rsidRPr="00C07768">
        <w:lastRenderedPageBreak/>
        <w:t>of the relevant financial year but have not been discounted to give values in today</w:t>
      </w:r>
      <w:r w:rsidR="009B0312" w:rsidRPr="00C07768">
        <w:t>’</w:t>
      </w:r>
      <w:r w:rsidRPr="00C07768">
        <w:t xml:space="preserve">s </w:t>
      </w:r>
      <w:r w:rsidRPr="00C07768">
        <w:rPr>
          <w:color w:val="auto"/>
        </w:rPr>
        <w:t xml:space="preserve">terms. </w:t>
      </w:r>
      <w:r w:rsidR="00C07768" w:rsidRPr="00C07768">
        <w:t xml:space="preserve">The projected liabilities start off </w:t>
      </w:r>
      <w:r w:rsidR="00C07768" w:rsidRPr="003059AF">
        <w:t xml:space="preserve">being </w:t>
      </w:r>
      <w:r w:rsidR="00D45B6E" w:rsidRPr="003059AF">
        <w:t xml:space="preserve">over </w:t>
      </w:r>
      <w:r w:rsidR="00C07768" w:rsidRPr="003059AF">
        <w:t>$</w:t>
      </w:r>
      <w:r w:rsidR="003059AF" w:rsidRPr="003059AF">
        <w:t>14</w:t>
      </w:r>
      <w:r w:rsidR="00C07768" w:rsidRPr="003059AF">
        <w:t>m higher than</w:t>
      </w:r>
      <w:r w:rsidR="00C07768" w:rsidRPr="00C07768">
        <w:t xml:space="preserve"> the corresponding amounts presented in last year’s report </w:t>
      </w:r>
      <w:r w:rsidR="00917100">
        <w:t>but</w:t>
      </w:r>
      <w:r w:rsidR="00C07768" w:rsidRPr="00C07768">
        <w:t xml:space="preserve"> will grow at a </w:t>
      </w:r>
      <w:r w:rsidR="00917100">
        <w:t>slower</w:t>
      </w:r>
      <w:r w:rsidR="00C07768" w:rsidRPr="00C07768">
        <w:t xml:space="preserve"> rate due </w:t>
      </w:r>
      <w:r w:rsidR="00C07768" w:rsidRPr="0013492B">
        <w:t xml:space="preserve">to </w:t>
      </w:r>
      <w:r w:rsidR="00917100" w:rsidRPr="0013492B">
        <w:t>higher</w:t>
      </w:r>
      <w:r w:rsidR="00C07768" w:rsidRPr="0013492B">
        <w:t xml:space="preserve"> projected payments</w:t>
      </w:r>
      <w:r w:rsidR="00FE0366">
        <w:t xml:space="preserve"> in the short term</w:t>
      </w:r>
      <w:r w:rsidR="00052584" w:rsidRPr="0013492B">
        <w:rPr>
          <w:color w:val="auto"/>
        </w:rPr>
        <w:t xml:space="preserve">. </w:t>
      </w:r>
      <w:r w:rsidR="0013492B">
        <w:rPr>
          <w:color w:val="auto"/>
        </w:rPr>
        <w:t>Th</w:t>
      </w:r>
      <w:r w:rsidR="006751D4">
        <w:rPr>
          <w:color w:val="auto"/>
        </w:rPr>
        <w:t>is is expected to reduce the</w:t>
      </w:r>
      <w:r w:rsidR="0013492B">
        <w:rPr>
          <w:color w:val="auto"/>
        </w:rPr>
        <w:t xml:space="preserve"> difference </w:t>
      </w:r>
      <w:r w:rsidR="006751D4">
        <w:rPr>
          <w:color w:val="auto"/>
        </w:rPr>
        <w:t>to $</w:t>
      </w:r>
      <w:r w:rsidR="005F0F52">
        <w:rPr>
          <w:color w:val="auto"/>
        </w:rPr>
        <w:t>3</w:t>
      </w:r>
      <w:r w:rsidR="006751D4">
        <w:rPr>
          <w:color w:val="auto"/>
        </w:rPr>
        <w:t xml:space="preserve">m by 30 June 2028. </w:t>
      </w:r>
      <w:r w:rsidR="00616B1A" w:rsidRPr="0013492B">
        <w:rPr>
          <w:color w:val="auto"/>
        </w:rPr>
        <w:t>The</w:t>
      </w:r>
      <w:r w:rsidR="00616B1A">
        <w:rPr>
          <w:color w:val="auto"/>
        </w:rPr>
        <w:t xml:space="preserve"> </w:t>
      </w:r>
      <w:r w:rsidR="005C7026">
        <w:rPr>
          <w:color w:val="auto"/>
        </w:rPr>
        <w:t>projected liabilities are</w:t>
      </w:r>
      <w:r w:rsidR="00616B1A">
        <w:rPr>
          <w:color w:val="auto"/>
        </w:rPr>
        <w:t xml:space="preserve"> discussed in Appendix </w:t>
      </w:r>
      <w:r w:rsidR="005E2606">
        <w:rPr>
          <w:color w:val="auto"/>
        </w:rPr>
        <w:t>5.</w:t>
      </w:r>
      <w:r w:rsidR="00052584" w:rsidRPr="00C07768">
        <w:rPr>
          <w:color w:val="auto"/>
        </w:rPr>
        <w:t xml:space="preserve"> </w:t>
      </w:r>
      <w:r w:rsidRPr="00C07768">
        <w:rPr>
          <w:color w:val="auto"/>
        </w:rPr>
        <w:t>Detailed actual versus expected analysis is contained in Appendix 4.</w:t>
      </w:r>
    </w:p>
    <w:p w14:paraId="0FFB200D" w14:textId="77777777" w:rsidR="000C4927" w:rsidRPr="00D6236F" w:rsidRDefault="000C4927" w:rsidP="0040224A">
      <w:pPr>
        <w:pStyle w:val="Caption"/>
      </w:pPr>
      <w:r w:rsidRPr="00ED712A">
        <w:t>Table 12: Projected</w:t>
      </w:r>
      <w:r w:rsidRPr="0047389E">
        <w:t xml:space="preserve"> balance sheet liabilities of the Notional Account</w:t>
      </w:r>
    </w:p>
    <w:p w14:paraId="33F0449A" w14:textId="7C5ACABA" w:rsidR="00487145" w:rsidRDefault="0078553E" w:rsidP="00023DD9">
      <w:pPr>
        <w:pStyle w:val="ChartandTableFootnoteAlpha"/>
        <w:jc w:val="center"/>
      </w:pPr>
      <w:r w:rsidRPr="0078553E">
        <w:rPr>
          <w:noProof/>
        </w:rPr>
        <w:drawing>
          <wp:inline distT="0" distB="0" distL="0" distR="0" wp14:anchorId="0163C140" wp14:editId="2D4CF4DF">
            <wp:extent cx="4855208" cy="1263015"/>
            <wp:effectExtent l="0" t="0" r="2540" b="0"/>
            <wp:docPr id="482104222" name="Picture 2" descr="The liabilities as at 30 June 2024 were estimated to be $212 million, and this number is expected to grow steadily to $307 million by 30 June 2029. We estimated new accrual to be $24 million in 2024-25, $26m in 2025-26 and allowed this number to increase with inf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5208" cy="1263015"/>
                    </a:xfrm>
                    <a:prstGeom prst="rect">
                      <a:avLst/>
                    </a:prstGeom>
                    <a:noFill/>
                    <a:ln>
                      <a:noFill/>
                    </a:ln>
                  </pic:spPr>
                </pic:pic>
              </a:graphicData>
            </a:graphic>
          </wp:inline>
        </w:drawing>
      </w:r>
    </w:p>
    <w:p w14:paraId="6E1C0C9A" w14:textId="4419FC49" w:rsidR="000C4927" w:rsidRPr="0030070D" w:rsidRDefault="000C4927" w:rsidP="002C694F">
      <w:pPr>
        <w:pStyle w:val="ChartandTableFootnoteAlpha"/>
        <w:numPr>
          <w:ilvl w:val="0"/>
          <w:numId w:val="52"/>
        </w:numPr>
        <w:ind w:left="426"/>
      </w:pPr>
      <w:r w:rsidRPr="0030070D">
        <w:t>ROC indemnity payments plus CHE only. Does not include liability in respect of outstanding compliance costs. Refer Appendix 4 for further information.</w:t>
      </w:r>
    </w:p>
    <w:p w14:paraId="45226F70" w14:textId="451C6F06" w:rsidR="00F602EB" w:rsidRDefault="00F602EB" w:rsidP="000C4927">
      <w:pPr>
        <w:ind w:left="833" w:hanging="720"/>
      </w:pPr>
      <w:r>
        <w:t> </w:t>
      </w:r>
    </w:p>
    <w:p w14:paraId="4EC1BB81" w14:textId="77777777" w:rsidR="00F94006" w:rsidRDefault="00F94006">
      <w:pPr>
        <w:rPr>
          <w:rFonts w:ascii="Arial Bold" w:hAnsi="Arial Bold" w:cs="Arial"/>
          <w:b/>
          <w:bCs/>
          <w:iCs/>
          <w:color w:val="74000E" w:themeColor="accent1"/>
          <w:sz w:val="30"/>
          <w:szCs w:val="28"/>
        </w:rPr>
      </w:pPr>
      <w:bookmarkStart w:id="110" w:name="_Toc63865422"/>
      <w:bookmarkStart w:id="111" w:name="_Toc63866223"/>
      <w:bookmarkStart w:id="112" w:name="_Toc63866553"/>
      <w:bookmarkStart w:id="113" w:name="_Toc63866685"/>
      <w:r>
        <w:br w:type="page"/>
      </w:r>
    </w:p>
    <w:p w14:paraId="551A03C3" w14:textId="2825D74F" w:rsidR="00F602EB" w:rsidRDefault="006305F9" w:rsidP="00952046">
      <w:pPr>
        <w:pStyle w:val="Heading2"/>
        <w:numPr>
          <w:ilvl w:val="1"/>
          <w:numId w:val="37"/>
        </w:numPr>
      </w:pPr>
      <w:bookmarkStart w:id="114" w:name="_Toc192773716"/>
      <w:r>
        <w:lastRenderedPageBreak/>
        <w:t>ACTUARIA</w:t>
      </w:r>
      <w:bookmarkEnd w:id="110"/>
      <w:bookmarkEnd w:id="111"/>
      <w:bookmarkEnd w:id="112"/>
      <w:bookmarkEnd w:id="113"/>
      <w:r>
        <w:t>L MANAGEMENT</w:t>
      </w:r>
      <w:bookmarkEnd w:id="114"/>
    </w:p>
    <w:p w14:paraId="66202B3A" w14:textId="524EFAE3" w:rsidR="000C4927" w:rsidRDefault="000C4927" w:rsidP="00AC0BA0">
      <w:pPr>
        <w:pStyle w:val="OutlineNumbered45"/>
        <w:keepLines/>
        <w:numPr>
          <w:ilvl w:val="0"/>
          <w:numId w:val="49"/>
        </w:numPr>
        <w:ind w:left="1077" w:hanging="357"/>
      </w:pPr>
      <w:r w:rsidRPr="0030070D">
        <w:t>Regular review of the costs and notional assets of the Scheme will allow the ROC support payment rate to be adjusted from time to time, if necessary. Consideration of that rate is beyond the scope of this report. This report has described a framework for the valuation of Scheme liabilities and established the Notional Account. It is intended that the valuation and accounting framework be applied at each future annual review of the Scheme.</w:t>
      </w:r>
    </w:p>
    <w:p w14:paraId="634E671E" w14:textId="77777777" w:rsidR="00365F83" w:rsidRDefault="00365F83" w:rsidP="00365F83">
      <w:pPr>
        <w:pStyle w:val="OutlineNumbered45"/>
        <w:keepLines/>
        <w:numPr>
          <w:ilvl w:val="0"/>
          <w:numId w:val="0"/>
        </w:numPr>
        <w:ind w:left="1077"/>
      </w:pPr>
    </w:p>
    <w:p w14:paraId="076B9331" w14:textId="38BB7A88" w:rsidR="00012FC3" w:rsidRDefault="00245CF7" w:rsidP="00012FC3">
      <w:pPr>
        <w:spacing w:line="240" w:lineRule="auto"/>
        <w:ind w:left="833" w:hanging="720"/>
      </w:pPr>
      <w:r>
        <w:rPr>
          <w:noProof/>
        </w:rPr>
        <w:drawing>
          <wp:inline distT="0" distB="0" distL="0" distR="0" wp14:anchorId="0B587E7D" wp14:editId="3E88914B">
            <wp:extent cx="1971776" cy="568354"/>
            <wp:effectExtent l="0" t="0" r="9525" b="3175"/>
            <wp:docPr id="20215522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52260"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1776" cy="568354"/>
                    </a:xfrm>
                    <a:prstGeom prst="rect">
                      <a:avLst/>
                    </a:prstGeom>
                  </pic:spPr>
                </pic:pic>
              </a:graphicData>
            </a:graphic>
          </wp:inline>
        </w:drawing>
      </w:r>
    </w:p>
    <w:p w14:paraId="6BF3036D" w14:textId="637DC781" w:rsidR="00F602EB" w:rsidRDefault="00F602EB" w:rsidP="000C4927">
      <w:pPr>
        <w:spacing w:after="0"/>
      </w:pPr>
      <w:r>
        <w:t>Guy Thorburn FIAA</w:t>
      </w:r>
    </w:p>
    <w:p w14:paraId="64D75C2A" w14:textId="54A0054F" w:rsidR="00F602EB" w:rsidRDefault="00F602EB" w:rsidP="000C4927">
      <w:pPr>
        <w:spacing w:after="0"/>
      </w:pPr>
      <w:r>
        <w:t>Australian Government Actuary</w:t>
      </w:r>
    </w:p>
    <w:p w14:paraId="34F7A2EE" w14:textId="4143F67A" w:rsidR="00F602EB" w:rsidRDefault="00D34F1F" w:rsidP="000C4927">
      <w:pPr>
        <w:spacing w:after="0"/>
      </w:pPr>
      <w:r w:rsidRPr="00D34F1F">
        <w:t xml:space="preserve">16 May </w:t>
      </w:r>
      <w:r w:rsidR="00B334F0" w:rsidRPr="00D34F1F">
        <w:t>2025</w:t>
      </w:r>
    </w:p>
    <w:p w14:paraId="1B325EFA" w14:textId="5428B6B9" w:rsidR="00F602EB" w:rsidRDefault="00F602EB" w:rsidP="00F602EB"/>
    <w:p w14:paraId="34042D13" w14:textId="77777777" w:rsidR="00B33816" w:rsidRDefault="00B33816">
      <w:pPr>
        <w:rPr>
          <w:rFonts w:ascii="Arial Bold" w:hAnsi="Arial Bold" w:cs="Arial"/>
          <w:b/>
          <w:bCs/>
          <w:color w:val="0E4E77" w:themeColor="accent6"/>
          <w:kern w:val="32"/>
          <w:sz w:val="36"/>
          <w:szCs w:val="36"/>
        </w:rPr>
      </w:pPr>
      <w:bookmarkStart w:id="115" w:name="_Toc35502573"/>
      <w:r>
        <w:br w:type="page"/>
      </w:r>
    </w:p>
    <w:p w14:paraId="4FBBD9AA" w14:textId="15B64D87" w:rsidR="000C4927" w:rsidRPr="000C4927" w:rsidRDefault="000C4927" w:rsidP="009F06E8">
      <w:pPr>
        <w:pStyle w:val="Heading1"/>
        <w:numPr>
          <w:ilvl w:val="0"/>
          <w:numId w:val="0"/>
        </w:numPr>
      </w:pPr>
      <w:bookmarkStart w:id="116" w:name="_Toc192773717"/>
      <w:r w:rsidRPr="000C4927">
        <w:lastRenderedPageBreak/>
        <w:t>APPENDIX 1: ELIGIBLE PRACTITIONERS AND RUN</w:t>
      </w:r>
      <w:r w:rsidR="009B0312">
        <w:noBreakHyphen/>
      </w:r>
      <w:r w:rsidRPr="000C4927">
        <w:t>OFF COVER SCHEME CONTRACTS</w:t>
      </w:r>
      <w:bookmarkEnd w:id="115"/>
      <w:bookmarkEnd w:id="116"/>
    </w:p>
    <w:p w14:paraId="749A26CC" w14:textId="241E9B9F" w:rsidR="000C4927" w:rsidRPr="006358FF" w:rsidRDefault="006358FF" w:rsidP="006358FF">
      <w:pPr>
        <w:pStyle w:val="Heading3"/>
      </w:pPr>
      <w:r w:rsidRPr="006358FF">
        <w:t>Eligible persons</w:t>
      </w:r>
    </w:p>
    <w:p w14:paraId="2C75CCFC" w14:textId="77EA8E0A" w:rsidR="000C4927" w:rsidRDefault="000C4927" w:rsidP="00952046">
      <w:pPr>
        <w:pStyle w:val="AppendixParagraph"/>
        <w:numPr>
          <w:ilvl w:val="0"/>
          <w:numId w:val="35"/>
        </w:numPr>
        <w:rPr>
          <w:lang w:val="en-AU"/>
        </w:rPr>
      </w:pPr>
      <w:r w:rsidRPr="009F06E8">
        <w:rPr>
          <w:lang w:val="en-AU"/>
        </w:rPr>
        <w:t>Eligible persons are those who fit one or more of the following eligibility categories at the time the claim (or medical incident) is first notified to the MII or MDO (section 34</w:t>
      </w:r>
      <w:proofErr w:type="gramStart"/>
      <w:r w:rsidRPr="009F06E8">
        <w:rPr>
          <w:lang w:val="en-AU"/>
        </w:rPr>
        <w:t>ZB(</w:t>
      </w:r>
      <w:proofErr w:type="gramEnd"/>
      <w:r w:rsidRPr="009F06E8">
        <w:rPr>
          <w:lang w:val="en-AU"/>
        </w:rPr>
        <w:t xml:space="preserve">2) of the Medical Indemnity Act and </w:t>
      </w:r>
      <w:r w:rsidRPr="00B03DC1">
        <w:rPr>
          <w:lang w:val="en-AU"/>
        </w:rPr>
        <w:t>Medical Indemnity Regulations 2003</w:t>
      </w:r>
      <w:r w:rsidRPr="009F06E8">
        <w:rPr>
          <w:lang w:val="en-AU"/>
        </w:rPr>
        <w:t xml:space="preserve"> regulation 12):</w:t>
      </w:r>
    </w:p>
    <w:p w14:paraId="4242DBDF" w14:textId="7259D1AD" w:rsidR="00845E25" w:rsidRPr="004D2D2F" w:rsidRDefault="00845E25" w:rsidP="0095279C">
      <w:pPr>
        <w:pStyle w:val="Bullet"/>
        <w:numPr>
          <w:ilvl w:val="0"/>
          <w:numId w:val="34"/>
        </w:numPr>
        <w:spacing w:after="240"/>
      </w:pPr>
      <w:r w:rsidRPr="004D2D2F">
        <w:t>A medical practitioner who has permanently retired from paid medical practice</w:t>
      </w:r>
      <w:r w:rsidR="00A57591" w:rsidRPr="0095279C">
        <w:rPr>
          <w:vertAlign w:val="superscript"/>
        </w:rPr>
        <w:footnoteReference w:id="13"/>
      </w:r>
      <w:r w:rsidRPr="004D2D2F">
        <w:t>.</w:t>
      </w:r>
    </w:p>
    <w:p w14:paraId="22468C97" w14:textId="12D1D3F7" w:rsidR="00845E25" w:rsidRPr="004D2D2F" w:rsidRDefault="00845E25" w:rsidP="0095279C">
      <w:pPr>
        <w:pStyle w:val="Bullet"/>
        <w:numPr>
          <w:ilvl w:val="0"/>
          <w:numId w:val="34"/>
        </w:numPr>
        <w:spacing w:after="240"/>
      </w:pPr>
      <w:r w:rsidRPr="004D2D2F">
        <w:t>A legal representative of a deceased medical practitioner (provided that a claim can be made against the deceased</w:t>
      </w:r>
      <w:r w:rsidR="009B0312">
        <w:t>’</w:t>
      </w:r>
      <w:r w:rsidRPr="004D2D2F">
        <w:t>s estate).</w:t>
      </w:r>
    </w:p>
    <w:p w14:paraId="078C495C" w14:textId="77777777" w:rsidR="00845E25" w:rsidRPr="004D2D2F" w:rsidRDefault="00845E25" w:rsidP="0095279C">
      <w:pPr>
        <w:pStyle w:val="Bullet"/>
        <w:numPr>
          <w:ilvl w:val="0"/>
          <w:numId w:val="34"/>
        </w:numPr>
        <w:spacing w:after="240"/>
      </w:pPr>
      <w:r w:rsidRPr="004D2D2F">
        <w:t>A medical practitioner who has ceased paid medical practice due to permanent disability.</w:t>
      </w:r>
    </w:p>
    <w:p w14:paraId="2BE7135C" w14:textId="77777777" w:rsidR="00845E25" w:rsidRPr="004D2D2F" w:rsidRDefault="00845E25" w:rsidP="0095279C">
      <w:pPr>
        <w:pStyle w:val="Bullet"/>
        <w:numPr>
          <w:ilvl w:val="0"/>
          <w:numId w:val="34"/>
        </w:numPr>
        <w:spacing w:after="240"/>
      </w:pPr>
      <w:r w:rsidRPr="004D2D2F">
        <w:t>A medical practitioner who has ceased paid medical practice because of maternity.</w:t>
      </w:r>
    </w:p>
    <w:p w14:paraId="5ADE6818" w14:textId="77777777" w:rsidR="00845E25" w:rsidRPr="004D2D2F" w:rsidRDefault="00845E25" w:rsidP="0095279C">
      <w:pPr>
        <w:pStyle w:val="Bullet"/>
        <w:numPr>
          <w:ilvl w:val="0"/>
          <w:numId w:val="34"/>
        </w:numPr>
        <w:spacing w:after="240"/>
      </w:pPr>
      <w:r w:rsidRPr="004D2D2F">
        <w:t>An overseas trained medical practitioner, who worked in Australia under an appropriate visa, has permanently ceased medical practice in Australia and does not reside in Australia.</w:t>
      </w:r>
    </w:p>
    <w:p w14:paraId="3ACE1AB8" w14:textId="5CD77210" w:rsidR="00845E25" w:rsidRPr="00845E25" w:rsidRDefault="00845E25" w:rsidP="00952046">
      <w:pPr>
        <w:pStyle w:val="FootnoteText"/>
        <w:numPr>
          <w:ilvl w:val="0"/>
          <w:numId w:val="35"/>
        </w:numPr>
        <w:rPr>
          <w:color w:val="000000"/>
          <w:sz w:val="20"/>
          <w:lang w:eastAsia="en-AU"/>
        </w:rPr>
      </w:pPr>
      <w:r w:rsidRPr="00845E25">
        <w:rPr>
          <w:i/>
          <w:iCs/>
          <w:color w:val="000000"/>
          <w:sz w:val="20"/>
          <w:lang w:eastAsia="en-AU"/>
        </w:rPr>
        <w:t xml:space="preserve">Medical </w:t>
      </w:r>
      <w:r w:rsidR="00067609">
        <w:rPr>
          <w:i/>
          <w:iCs/>
          <w:color w:val="000000"/>
          <w:sz w:val="20"/>
          <w:lang w:eastAsia="en-AU"/>
        </w:rPr>
        <w:t>Indemnity</w:t>
      </w:r>
      <w:r w:rsidR="00747A5D">
        <w:rPr>
          <w:i/>
          <w:iCs/>
          <w:color w:val="000000"/>
          <w:sz w:val="20"/>
          <w:lang w:eastAsia="en-AU"/>
        </w:rPr>
        <w:t xml:space="preserve"> Rules 202</w:t>
      </w:r>
      <w:r w:rsidR="00067609">
        <w:rPr>
          <w:i/>
          <w:iCs/>
          <w:color w:val="000000"/>
          <w:sz w:val="20"/>
          <w:lang w:eastAsia="en-AU"/>
        </w:rPr>
        <w:t>0</w:t>
      </w:r>
      <w:r w:rsidRPr="00845E25">
        <w:rPr>
          <w:color w:val="000000"/>
          <w:sz w:val="20"/>
          <w:lang w:eastAsia="en-AU"/>
        </w:rPr>
        <w:t xml:space="preserve"> stipulates a temporary exemption, which allows </w:t>
      </w:r>
      <w:r w:rsidR="00C46186">
        <w:rPr>
          <w:color w:val="000000"/>
          <w:sz w:val="20"/>
          <w:lang w:eastAsia="en-AU"/>
        </w:rPr>
        <w:t>eligible persons</w:t>
      </w:r>
      <w:r w:rsidRPr="00845E25">
        <w:rPr>
          <w:color w:val="000000"/>
          <w:sz w:val="20"/>
          <w:lang w:eastAsia="en-AU"/>
        </w:rPr>
        <w:t xml:space="preserve"> to return to private practice </w:t>
      </w:r>
      <w:proofErr w:type="gramStart"/>
      <w:r w:rsidRPr="00845E25">
        <w:rPr>
          <w:color w:val="000000"/>
          <w:sz w:val="20"/>
          <w:lang w:eastAsia="en-AU"/>
        </w:rPr>
        <w:t>in order to</w:t>
      </w:r>
      <w:proofErr w:type="gramEnd"/>
      <w:r w:rsidRPr="00845E25">
        <w:rPr>
          <w:color w:val="000000"/>
          <w:sz w:val="20"/>
          <w:lang w:eastAsia="en-AU"/>
        </w:rPr>
        <w:t xml:space="preserve"> provide treatment during the COVID</w:t>
      </w:r>
      <w:r w:rsidR="009B0312">
        <w:rPr>
          <w:color w:val="000000"/>
          <w:sz w:val="20"/>
          <w:lang w:eastAsia="en-AU"/>
        </w:rPr>
        <w:noBreakHyphen/>
      </w:r>
      <w:r w:rsidRPr="00845E25">
        <w:rPr>
          <w:color w:val="000000"/>
          <w:sz w:val="20"/>
          <w:lang w:eastAsia="en-AU"/>
        </w:rPr>
        <w:t xml:space="preserve">19 pandemic without the practitioner losing their eligibility under the </w:t>
      </w:r>
      <w:r w:rsidR="00C46186">
        <w:rPr>
          <w:color w:val="000000"/>
          <w:sz w:val="20"/>
          <w:lang w:eastAsia="en-AU"/>
        </w:rPr>
        <w:t>Scheme</w:t>
      </w:r>
      <w:r w:rsidRPr="00845E25">
        <w:rPr>
          <w:color w:val="000000"/>
          <w:sz w:val="20"/>
          <w:lang w:eastAsia="en-AU"/>
        </w:rPr>
        <w:t>. This exemption remain</w:t>
      </w:r>
      <w:r w:rsidR="00A4408F">
        <w:rPr>
          <w:color w:val="000000"/>
          <w:sz w:val="20"/>
          <w:lang w:eastAsia="en-AU"/>
        </w:rPr>
        <w:t>ed</w:t>
      </w:r>
      <w:r w:rsidRPr="00845E25">
        <w:rPr>
          <w:color w:val="000000"/>
          <w:sz w:val="20"/>
          <w:lang w:eastAsia="en-AU"/>
        </w:rPr>
        <w:t xml:space="preserve"> in place until </w:t>
      </w:r>
      <w:r w:rsidR="00134956">
        <w:rPr>
          <w:color w:val="000000"/>
          <w:sz w:val="20"/>
          <w:lang w:eastAsia="en-AU"/>
        </w:rPr>
        <w:t>2</w:t>
      </w:r>
      <w:r w:rsidR="00F27A30">
        <w:rPr>
          <w:color w:val="000000"/>
          <w:sz w:val="20"/>
          <w:lang w:eastAsia="en-AU"/>
        </w:rPr>
        <w:t xml:space="preserve">1 </w:t>
      </w:r>
      <w:r w:rsidR="00134956">
        <w:rPr>
          <w:color w:val="000000"/>
          <w:sz w:val="20"/>
          <w:lang w:eastAsia="en-AU"/>
        </w:rPr>
        <w:t xml:space="preserve">September </w:t>
      </w:r>
      <w:r w:rsidR="00F27A30">
        <w:rPr>
          <w:color w:val="000000"/>
          <w:sz w:val="20"/>
          <w:lang w:eastAsia="en-AU"/>
        </w:rPr>
        <w:t>2023</w:t>
      </w:r>
      <w:r w:rsidRPr="00845E25">
        <w:rPr>
          <w:color w:val="000000"/>
          <w:sz w:val="20"/>
          <w:lang w:eastAsia="en-AU"/>
        </w:rPr>
        <w:t>.</w:t>
      </w:r>
    </w:p>
    <w:p w14:paraId="46F4DCF9" w14:textId="77777777" w:rsidR="00845E25" w:rsidRPr="009F06E8" w:rsidRDefault="00845E25" w:rsidP="00845E25">
      <w:pPr>
        <w:pStyle w:val="AppendixParagraph"/>
        <w:rPr>
          <w:lang w:val="en-AU"/>
        </w:rPr>
      </w:pPr>
    </w:p>
    <w:p w14:paraId="57FA0097" w14:textId="77777777" w:rsidR="00845E25" w:rsidRDefault="00845E25" w:rsidP="00845E25"/>
    <w:p w14:paraId="658D3D6A" w14:textId="69F9EFD7" w:rsidR="000C4927" w:rsidRPr="000C4927" w:rsidRDefault="000C4927" w:rsidP="000C4927">
      <w:pPr>
        <w:pStyle w:val="Heading2Appendix"/>
        <w:ind w:left="0" w:firstLine="0"/>
        <w:rPr>
          <w:rFonts w:ascii="Arial" w:hAnsi="Arial" w:cs="Arial"/>
          <w:bCs/>
          <w:caps w:val="0"/>
          <w:smallCaps w:val="0"/>
          <w:sz w:val="26"/>
          <w:szCs w:val="26"/>
        </w:rPr>
      </w:pPr>
      <w:r w:rsidRPr="000C4927">
        <w:rPr>
          <w:rFonts w:ascii="Arial" w:hAnsi="Arial" w:cs="Arial"/>
          <w:bCs/>
          <w:caps w:val="0"/>
          <w:smallCaps w:val="0"/>
          <w:sz w:val="26"/>
          <w:szCs w:val="26"/>
        </w:rPr>
        <w:lastRenderedPageBreak/>
        <w:t>Provision and notification of compulsory run</w:t>
      </w:r>
      <w:r w:rsidR="009B0312">
        <w:rPr>
          <w:rFonts w:ascii="Arial" w:hAnsi="Arial" w:cs="Arial"/>
          <w:bCs/>
          <w:caps w:val="0"/>
          <w:smallCaps w:val="0"/>
          <w:sz w:val="26"/>
          <w:szCs w:val="26"/>
        </w:rPr>
        <w:noBreakHyphen/>
      </w:r>
      <w:r w:rsidRPr="000C4927">
        <w:rPr>
          <w:rFonts w:ascii="Arial" w:hAnsi="Arial" w:cs="Arial"/>
          <w:bCs/>
          <w:caps w:val="0"/>
          <w:smallCaps w:val="0"/>
          <w:sz w:val="26"/>
          <w:szCs w:val="26"/>
        </w:rPr>
        <w:t>off cover</w:t>
      </w:r>
    </w:p>
    <w:p w14:paraId="4C23C47C" w14:textId="7ACB1DCD" w:rsidR="000C4927" w:rsidRPr="00B03DC1" w:rsidRDefault="000C4927" w:rsidP="00952046">
      <w:pPr>
        <w:pStyle w:val="AppendixParagraph"/>
        <w:numPr>
          <w:ilvl w:val="0"/>
          <w:numId w:val="35"/>
        </w:numPr>
        <w:rPr>
          <w:lang w:val="en-AU"/>
        </w:rPr>
      </w:pPr>
      <w:r w:rsidRPr="00B03DC1">
        <w:rPr>
          <w:lang w:val="en-AU"/>
        </w:rPr>
        <w:t>The practitioner</w:t>
      </w:r>
      <w:r w:rsidR="009B0312">
        <w:rPr>
          <w:lang w:val="en-AU"/>
        </w:rPr>
        <w:t>’</w:t>
      </w:r>
      <w:r w:rsidRPr="00B03DC1">
        <w:rPr>
          <w:lang w:val="en-AU"/>
        </w:rPr>
        <w:t>s last medical indemnity insurer is required to provide run</w:t>
      </w:r>
      <w:r w:rsidR="009B0312">
        <w:rPr>
          <w:lang w:val="en-AU"/>
        </w:rPr>
        <w:noBreakHyphen/>
      </w:r>
      <w:r w:rsidRPr="00B03DC1">
        <w:rPr>
          <w:lang w:val="en-AU"/>
        </w:rPr>
        <w:t>off cover to an eligible practitioner under section 26A of the PSPS Act.</w:t>
      </w:r>
    </w:p>
    <w:p w14:paraId="1335B579" w14:textId="7B26B901" w:rsidR="000C4927" w:rsidRPr="0011626B" w:rsidRDefault="000C4927" w:rsidP="00952046">
      <w:pPr>
        <w:pStyle w:val="AppendixParagraph"/>
        <w:numPr>
          <w:ilvl w:val="0"/>
          <w:numId w:val="35"/>
        </w:numPr>
      </w:pPr>
      <w:r w:rsidRPr="0030070D">
        <w:rPr>
          <w:lang w:val="en-AU"/>
        </w:rPr>
        <w:t>The compulsory run</w:t>
      </w:r>
      <w:r w:rsidR="009B0312">
        <w:rPr>
          <w:lang w:val="en-AU"/>
        </w:rPr>
        <w:noBreakHyphen/>
      </w:r>
      <w:r w:rsidRPr="0030070D">
        <w:rPr>
          <w:lang w:val="en-AU"/>
        </w:rPr>
        <w:t>off cover must encompass the same nature and range of incidents as the last medical indemnity cover held by the eligible practitioner (subsection 26A(4)(b)).</w:t>
      </w:r>
    </w:p>
    <w:p w14:paraId="0E7F9011" w14:textId="77777777" w:rsidR="000C4927" w:rsidRPr="0030070D" w:rsidRDefault="000C4927" w:rsidP="00952046">
      <w:pPr>
        <w:pStyle w:val="AppendixParagraph"/>
        <w:numPr>
          <w:ilvl w:val="0"/>
          <w:numId w:val="35"/>
        </w:numPr>
        <w:rPr>
          <w:lang w:val="en-AU"/>
        </w:rPr>
      </w:pPr>
      <w:r w:rsidRPr="0030070D">
        <w:rPr>
          <w:lang w:val="en-AU"/>
        </w:rPr>
        <w:t>Section 26D compels MIIs to notify eligible practitioners of:</w:t>
      </w:r>
    </w:p>
    <w:p w14:paraId="4EC69CFD" w14:textId="41F627DE" w:rsidR="000C4927" w:rsidRPr="0030070D" w:rsidRDefault="000C4927" w:rsidP="00952046">
      <w:pPr>
        <w:pStyle w:val="NormalIndent"/>
        <w:numPr>
          <w:ilvl w:val="0"/>
          <w:numId w:val="36"/>
        </w:numPr>
        <w:spacing w:after="200"/>
        <w:rPr>
          <w:rFonts w:cs="Arial"/>
        </w:rPr>
      </w:pPr>
      <w:r w:rsidRPr="0030070D">
        <w:rPr>
          <w:rFonts w:cs="Arial"/>
        </w:rPr>
        <w:t>the nature and range of incidents encompassed by the compulsory run</w:t>
      </w:r>
      <w:r w:rsidR="009B0312">
        <w:rPr>
          <w:rFonts w:cs="Arial"/>
        </w:rPr>
        <w:noBreakHyphen/>
      </w:r>
      <w:r w:rsidRPr="0030070D">
        <w:rPr>
          <w:rFonts w:cs="Arial"/>
        </w:rPr>
        <w:t>off cover</w:t>
      </w:r>
    </w:p>
    <w:p w14:paraId="29241F75" w14:textId="3C098DFC" w:rsidR="00707F03" w:rsidRDefault="000C4927" w:rsidP="00952046">
      <w:pPr>
        <w:pStyle w:val="NormalIndent"/>
        <w:numPr>
          <w:ilvl w:val="0"/>
          <w:numId w:val="36"/>
        </w:numPr>
        <w:spacing w:after="200"/>
        <w:rPr>
          <w:rFonts w:cs="Arial"/>
        </w:rPr>
      </w:pPr>
      <w:r w:rsidRPr="0030070D">
        <w:rPr>
          <w:rFonts w:cs="Arial"/>
        </w:rPr>
        <w:t>the terms and conditions on which it is provided.</w:t>
      </w:r>
    </w:p>
    <w:p w14:paraId="65584288" w14:textId="2D88F34E" w:rsidR="000C4927" w:rsidRPr="00707F03" w:rsidRDefault="000C4927" w:rsidP="00952046">
      <w:pPr>
        <w:pStyle w:val="NormalIndent"/>
        <w:numPr>
          <w:ilvl w:val="0"/>
          <w:numId w:val="35"/>
        </w:numPr>
        <w:spacing w:after="200"/>
        <w:rPr>
          <w:rFonts w:cs="Arial"/>
        </w:rPr>
      </w:pPr>
      <w:r w:rsidRPr="0030070D">
        <w:t>The compulsory run</w:t>
      </w:r>
      <w:r w:rsidR="009B0312">
        <w:noBreakHyphen/>
      </w:r>
      <w:r w:rsidRPr="0030070D">
        <w:t>off cover is taken to be a contract of insurance between the MII and the eligible practitioner for the purposes of the PSPS Act (section</w:t>
      </w:r>
      <w:r>
        <w:t> </w:t>
      </w:r>
      <w:r w:rsidRPr="0030070D">
        <w:t>26E).</w:t>
      </w:r>
    </w:p>
    <w:p w14:paraId="25CF334B" w14:textId="77A9F42F" w:rsidR="00F602EB" w:rsidRDefault="00F602EB" w:rsidP="00F602EB"/>
    <w:p w14:paraId="000A678C" w14:textId="77777777" w:rsidR="00E728FD" w:rsidRDefault="00E728FD">
      <w:pPr>
        <w:spacing w:after="200" w:line="276" w:lineRule="auto"/>
        <w:jc w:val="left"/>
        <w:rPr>
          <w:rFonts w:ascii="Arial Bold" w:hAnsi="Arial Bold" w:cs="Arial"/>
          <w:b/>
          <w:bCs/>
          <w:color w:val="0E4E77" w:themeColor="accent6"/>
          <w:kern w:val="32"/>
          <w:sz w:val="36"/>
          <w:szCs w:val="36"/>
        </w:rPr>
      </w:pPr>
      <w:bookmarkStart w:id="117" w:name="_Toc63865424"/>
      <w:bookmarkStart w:id="118" w:name="_Toc63866225"/>
      <w:bookmarkStart w:id="119" w:name="_Toc63866555"/>
      <w:bookmarkStart w:id="120" w:name="_Toc63866687"/>
      <w:r>
        <w:br w:type="page"/>
      </w:r>
    </w:p>
    <w:p w14:paraId="3A5731C3" w14:textId="4044FE92" w:rsidR="00F602EB" w:rsidRDefault="00F602EB" w:rsidP="000C4927">
      <w:pPr>
        <w:pStyle w:val="Heading1"/>
        <w:numPr>
          <w:ilvl w:val="0"/>
          <w:numId w:val="0"/>
        </w:numPr>
      </w:pPr>
      <w:bookmarkStart w:id="121" w:name="_Toc192773718"/>
      <w:r>
        <w:lastRenderedPageBreak/>
        <w:t>APPENDIX 2:</w:t>
      </w:r>
      <w:r w:rsidR="000C4927">
        <w:t xml:space="preserve"> </w:t>
      </w:r>
      <w:bookmarkStart w:id="122" w:name="_Toc63865425"/>
      <w:bookmarkStart w:id="123" w:name="_Toc63866226"/>
      <w:bookmarkStart w:id="124" w:name="_Toc63866556"/>
      <w:bookmarkStart w:id="125" w:name="_Toc63866688"/>
      <w:bookmarkEnd w:id="117"/>
      <w:bookmarkEnd w:id="118"/>
      <w:bookmarkEnd w:id="119"/>
      <w:bookmarkEnd w:id="120"/>
      <w:r w:rsidR="000C4927" w:rsidRPr="000C4927">
        <w:t>RUN</w:t>
      </w:r>
      <w:r w:rsidR="009B0312">
        <w:noBreakHyphen/>
      </w:r>
      <w:r w:rsidR="000C4927" w:rsidRPr="000C4927">
        <w:t>OFF COVER SCHEME CLAIMS</w:t>
      </w:r>
      <w:bookmarkEnd w:id="121"/>
      <w:r w:rsidR="000C4927" w:rsidRPr="000C4927">
        <w:t xml:space="preserve"> </w:t>
      </w:r>
      <w:bookmarkEnd w:id="122"/>
      <w:bookmarkEnd w:id="123"/>
      <w:bookmarkEnd w:id="124"/>
      <w:bookmarkEnd w:id="125"/>
    </w:p>
    <w:p w14:paraId="2FAA1BB9" w14:textId="69E14DB3" w:rsidR="000C4927" w:rsidRPr="000C4927" w:rsidRDefault="00E728FD" w:rsidP="00E728FD">
      <w:pPr>
        <w:pStyle w:val="AppendixParagraph"/>
        <w:ind w:left="720" w:hanging="720"/>
      </w:pPr>
      <w:r>
        <w:t>A.2.1</w:t>
      </w:r>
      <w:r>
        <w:tab/>
      </w:r>
      <w:r w:rsidR="000C4927" w:rsidRPr="000C4927">
        <w:t>The legislation defines claims broadly. Claims need not involve legal proceedings. Claims may include civil claims for negligence, administrative proceedings, disciplinary proceedings (including those performed by a professional body) and inquiries or investigations into conduct (subsection 4(1) of the Medical Indemnity Act).</w:t>
      </w:r>
    </w:p>
    <w:p w14:paraId="2BF66532" w14:textId="1ED47F55" w:rsidR="000C4927" w:rsidRPr="0030070D" w:rsidRDefault="00E728FD" w:rsidP="00E728FD">
      <w:pPr>
        <w:pStyle w:val="AppendixParagraph"/>
        <w:ind w:left="720" w:hanging="720"/>
      </w:pPr>
      <w:r>
        <w:t>A.2.2</w:t>
      </w:r>
      <w:r>
        <w:tab/>
      </w:r>
      <w:r w:rsidR="000C4927" w:rsidRPr="0030070D">
        <w:t>A ROC claim is payable to an MII or MDO under section 34ZC in relation to a claim eligible under subsection 34</w:t>
      </w:r>
      <w:proofErr w:type="gramStart"/>
      <w:r w:rsidR="000C4927" w:rsidRPr="0030070D">
        <w:t>ZB(</w:t>
      </w:r>
      <w:proofErr w:type="gramEnd"/>
      <w:r w:rsidR="000C4927" w:rsidRPr="0030070D">
        <w:t>1) if:</w:t>
      </w:r>
    </w:p>
    <w:p w14:paraId="2694F29A" w14:textId="4EA9A276" w:rsidR="000C4927" w:rsidRPr="003F01F8" w:rsidRDefault="000C4927" w:rsidP="00952046">
      <w:pPr>
        <w:pStyle w:val="NormalIndent"/>
        <w:numPr>
          <w:ilvl w:val="0"/>
          <w:numId w:val="36"/>
        </w:numPr>
        <w:spacing w:after="200"/>
        <w:rPr>
          <w:rFonts w:cs="Arial"/>
        </w:rPr>
      </w:pPr>
      <w:r w:rsidRPr="003F01F8">
        <w:rPr>
          <w:rFonts w:cs="Arial"/>
        </w:rPr>
        <w:t>it was first notified to the MII or MDO on or after 1 July 2004</w:t>
      </w:r>
    </w:p>
    <w:p w14:paraId="3B2BC3B4" w14:textId="5CCA5BD0" w:rsidR="000C4927" w:rsidRPr="003F01F8" w:rsidRDefault="000C4927" w:rsidP="00952046">
      <w:pPr>
        <w:pStyle w:val="NormalIndent"/>
        <w:numPr>
          <w:ilvl w:val="0"/>
          <w:numId w:val="36"/>
        </w:numPr>
        <w:spacing w:after="200"/>
        <w:rPr>
          <w:rFonts w:cs="Arial"/>
        </w:rPr>
      </w:pPr>
      <w:r w:rsidRPr="003F01F8">
        <w:rPr>
          <w:rFonts w:cs="Arial"/>
        </w:rPr>
        <w:t>it relates to a person eligible under subsection 34</w:t>
      </w:r>
      <w:proofErr w:type="gramStart"/>
      <w:r w:rsidRPr="003F01F8">
        <w:rPr>
          <w:rFonts w:cs="Arial"/>
        </w:rPr>
        <w:t>ZB(</w:t>
      </w:r>
      <w:proofErr w:type="gramEnd"/>
      <w:r w:rsidRPr="003F01F8">
        <w:rPr>
          <w:rFonts w:cs="Arial"/>
        </w:rPr>
        <w:t>2) (see Appendix 1)</w:t>
      </w:r>
    </w:p>
    <w:p w14:paraId="18FFAE5A" w14:textId="5A311753" w:rsidR="000C4927" w:rsidRPr="003F01F8" w:rsidRDefault="000C4927" w:rsidP="00952046">
      <w:pPr>
        <w:pStyle w:val="NormalIndent"/>
        <w:numPr>
          <w:ilvl w:val="0"/>
          <w:numId w:val="36"/>
        </w:numPr>
        <w:spacing w:after="200"/>
        <w:rPr>
          <w:rFonts w:cs="Arial"/>
        </w:rPr>
      </w:pPr>
      <w:r w:rsidRPr="003F01F8">
        <w:rPr>
          <w:rFonts w:cs="Arial"/>
        </w:rPr>
        <w:t>it relates to incident(s) occurring in connection with the person</w:t>
      </w:r>
      <w:r w:rsidR="009B0312">
        <w:rPr>
          <w:rFonts w:cs="Arial"/>
        </w:rPr>
        <w:t>’</w:t>
      </w:r>
      <w:r w:rsidRPr="003F01F8">
        <w:rPr>
          <w:rFonts w:cs="Arial"/>
        </w:rPr>
        <w:t>s practice as a medical practitioner (see paragraph 34ZB(1)(b))</w:t>
      </w:r>
    </w:p>
    <w:p w14:paraId="23D083FF" w14:textId="36E4FF59" w:rsidR="000C4927" w:rsidRPr="003F01F8" w:rsidRDefault="000C4927" w:rsidP="00952046">
      <w:pPr>
        <w:pStyle w:val="NormalIndent"/>
        <w:numPr>
          <w:ilvl w:val="0"/>
          <w:numId w:val="36"/>
        </w:numPr>
        <w:spacing w:after="200"/>
        <w:rPr>
          <w:rFonts w:cs="Arial"/>
        </w:rPr>
      </w:pPr>
      <w:r w:rsidRPr="003F01F8">
        <w:rPr>
          <w:rFonts w:cs="Arial"/>
        </w:rPr>
        <w:t>either the person is indemnified for the claim by an MII in accordance with section 26A of the PSPS Act, or the person is indemnified under incident</w:t>
      </w:r>
      <w:r w:rsidR="009B0312">
        <w:rPr>
          <w:rFonts w:cs="Arial"/>
        </w:rPr>
        <w:noBreakHyphen/>
      </w:r>
      <w:r w:rsidRPr="003F01F8">
        <w:rPr>
          <w:rFonts w:cs="Arial"/>
        </w:rPr>
        <w:t>occurring based cover provided by an MDO (paragraph 34ZB(1)(e))</w:t>
      </w:r>
    </w:p>
    <w:p w14:paraId="11648430" w14:textId="597FE529" w:rsidR="000C4927" w:rsidRPr="003F01F8" w:rsidRDefault="000C4927" w:rsidP="00952046">
      <w:pPr>
        <w:pStyle w:val="NormalIndent"/>
        <w:numPr>
          <w:ilvl w:val="0"/>
          <w:numId w:val="36"/>
        </w:numPr>
        <w:spacing w:after="200"/>
        <w:rPr>
          <w:rFonts w:cs="Arial"/>
        </w:rPr>
      </w:pPr>
      <w:r w:rsidRPr="003F01F8">
        <w:rPr>
          <w:rFonts w:cs="Arial"/>
        </w:rPr>
        <w:t>the claim would be paid in the ordinary course of the MII</w:t>
      </w:r>
      <w:r w:rsidR="009B0312">
        <w:rPr>
          <w:rFonts w:cs="Arial"/>
        </w:rPr>
        <w:t>’</w:t>
      </w:r>
      <w:r w:rsidRPr="003F01F8">
        <w:rPr>
          <w:rFonts w:cs="Arial"/>
        </w:rPr>
        <w:t>s or MDO</w:t>
      </w:r>
      <w:r w:rsidR="009B0312">
        <w:rPr>
          <w:rFonts w:cs="Arial"/>
        </w:rPr>
        <w:t>’</w:t>
      </w:r>
      <w:r w:rsidRPr="003F01F8">
        <w:rPr>
          <w:rFonts w:cs="Arial"/>
        </w:rPr>
        <w:t>s business.</w:t>
      </w:r>
    </w:p>
    <w:p w14:paraId="582FE1E7" w14:textId="0265A981" w:rsidR="000C4927" w:rsidRPr="0030070D" w:rsidRDefault="00E728FD" w:rsidP="00E728FD">
      <w:pPr>
        <w:pStyle w:val="AppendixParagraph"/>
        <w:ind w:left="709" w:hanging="720"/>
        <w:rPr>
          <w:lang w:val="en-AU"/>
        </w:rPr>
      </w:pPr>
      <w:r>
        <w:rPr>
          <w:lang w:val="en-AU"/>
        </w:rPr>
        <w:t>A.2.3</w:t>
      </w:r>
      <w:r>
        <w:rPr>
          <w:lang w:val="en-AU"/>
        </w:rPr>
        <w:tab/>
      </w:r>
      <w:r w:rsidR="000C4927" w:rsidRPr="0030070D">
        <w:rPr>
          <w:lang w:val="en-AU"/>
        </w:rPr>
        <w:t>Where these criteria are met, the Commonwealth is liable to pay run</w:t>
      </w:r>
      <w:r w:rsidR="009B0312">
        <w:rPr>
          <w:lang w:val="en-AU"/>
        </w:rPr>
        <w:noBreakHyphen/>
      </w:r>
      <w:r w:rsidR="000C4927" w:rsidRPr="0030070D">
        <w:rPr>
          <w:lang w:val="en-AU"/>
        </w:rPr>
        <w:t>off cover indemnities regardless of whether the MII or MDO has sought private reinsurance (section 34ZF).</w:t>
      </w:r>
    </w:p>
    <w:p w14:paraId="3FFA4B29" w14:textId="014CA952" w:rsidR="000C4927" w:rsidRPr="0030070D" w:rsidRDefault="00E728FD" w:rsidP="00E728FD">
      <w:pPr>
        <w:pStyle w:val="AppendixParagraph"/>
        <w:ind w:left="709" w:hanging="709"/>
        <w:rPr>
          <w:lang w:val="en-AU"/>
        </w:rPr>
      </w:pPr>
      <w:r>
        <w:rPr>
          <w:lang w:val="en-AU"/>
        </w:rPr>
        <w:t>A.2.4</w:t>
      </w:r>
      <w:r>
        <w:rPr>
          <w:lang w:val="en-AU"/>
        </w:rPr>
        <w:tab/>
      </w:r>
      <w:r w:rsidR="000C4927" w:rsidRPr="0030070D">
        <w:rPr>
          <w:lang w:val="en-AU"/>
        </w:rPr>
        <w:t xml:space="preserve">Applications for ROC indemnity payments must be made to </w:t>
      </w:r>
      <w:r w:rsidR="000C4927">
        <w:rPr>
          <w:lang w:val="en-AU"/>
        </w:rPr>
        <w:t>Services Australia</w:t>
      </w:r>
      <w:r w:rsidR="000C4927" w:rsidRPr="0030070D">
        <w:rPr>
          <w:lang w:val="en-AU"/>
        </w:rPr>
        <w:t xml:space="preserve"> (section 36 of the Medical Indemnity Act). They are paid by the </w:t>
      </w:r>
      <w:r w:rsidR="000C4927">
        <w:rPr>
          <w:lang w:val="en-AU"/>
        </w:rPr>
        <w:t>Chief Executive Medicare</w:t>
      </w:r>
      <w:r w:rsidR="000C4927" w:rsidRPr="0030070D">
        <w:rPr>
          <w:lang w:val="en-AU"/>
        </w:rPr>
        <w:t xml:space="preserve"> before the end of the month that immediately follows the month in which the MII applies for the indemnity (section 37).</w:t>
      </w:r>
    </w:p>
    <w:p w14:paraId="0022417C" w14:textId="6D51C1BC" w:rsidR="000C4927" w:rsidRDefault="00E728FD" w:rsidP="00E728FD">
      <w:pPr>
        <w:pStyle w:val="AppendixParagraph"/>
        <w:spacing w:after="0"/>
        <w:ind w:left="709" w:hanging="709"/>
        <w:rPr>
          <w:lang w:val="en-AU"/>
        </w:rPr>
      </w:pPr>
      <w:r>
        <w:rPr>
          <w:lang w:val="en-AU"/>
        </w:rPr>
        <w:t>A.2.5</w:t>
      </w:r>
      <w:r>
        <w:rPr>
          <w:lang w:val="en-AU"/>
        </w:rPr>
        <w:tab/>
      </w:r>
      <w:r w:rsidR="000C4927" w:rsidRPr="0030070D">
        <w:rPr>
          <w:lang w:val="en-AU"/>
        </w:rPr>
        <w:t>The Scheme operates after the HCCS. Thus, part of the cost of eligible large claims is first met by the HCCS with the rest being picked up by the Scheme (subsection 34</w:t>
      </w:r>
      <w:proofErr w:type="gramStart"/>
      <w:r w:rsidR="000C4927" w:rsidRPr="0030070D">
        <w:rPr>
          <w:lang w:val="en-AU"/>
        </w:rPr>
        <w:t>ZH(</w:t>
      </w:r>
      <w:proofErr w:type="gramEnd"/>
      <w:r w:rsidR="000C4927" w:rsidRPr="0030070D">
        <w:rPr>
          <w:lang w:val="en-AU"/>
        </w:rPr>
        <w:t xml:space="preserve">2)). Where the total incurred cost of </w:t>
      </w:r>
      <w:r w:rsidR="000C4927">
        <w:rPr>
          <w:lang w:val="en-AU"/>
        </w:rPr>
        <w:t>an eligible ROC claim exceeds the HCCS threshold (currently $500,000)</w:t>
      </w:r>
      <w:r w:rsidR="000C4927" w:rsidRPr="0030070D">
        <w:rPr>
          <w:lang w:val="en-AU"/>
        </w:rPr>
        <w:t>, the HCCS meets 50</w:t>
      </w:r>
      <w:r w:rsidR="000C4927">
        <w:rPr>
          <w:lang w:val="en-AU"/>
        </w:rPr>
        <w:t> </w:t>
      </w:r>
      <w:r w:rsidR="000C4927" w:rsidRPr="0030070D">
        <w:rPr>
          <w:lang w:val="en-AU"/>
        </w:rPr>
        <w:t>per</w:t>
      </w:r>
      <w:r w:rsidR="000C4927">
        <w:rPr>
          <w:lang w:val="en-AU"/>
        </w:rPr>
        <w:t> </w:t>
      </w:r>
      <w:r w:rsidR="000C4927" w:rsidRPr="0030070D">
        <w:rPr>
          <w:lang w:val="en-AU"/>
        </w:rPr>
        <w:t>cent of t</w:t>
      </w:r>
      <w:r w:rsidR="000C4927">
        <w:rPr>
          <w:lang w:val="en-AU"/>
        </w:rPr>
        <w:t>he amount by which it exceeds the threshold.</w:t>
      </w:r>
    </w:p>
    <w:p w14:paraId="37DA65EF" w14:textId="77777777" w:rsidR="003F01F8" w:rsidRDefault="003F01F8">
      <w:pPr>
        <w:rPr>
          <w:rFonts w:ascii="Arial Bold" w:hAnsi="Arial Bold" w:cs="Arial"/>
          <w:b/>
          <w:bCs/>
          <w:color w:val="0E4E77" w:themeColor="accent6"/>
          <w:kern w:val="32"/>
          <w:sz w:val="36"/>
          <w:szCs w:val="36"/>
        </w:rPr>
      </w:pPr>
      <w:bookmarkStart w:id="126" w:name="_Toc63865427"/>
      <w:bookmarkStart w:id="127" w:name="_Toc63866228"/>
      <w:bookmarkStart w:id="128" w:name="_Toc63866558"/>
      <w:bookmarkStart w:id="129" w:name="_Toc63866690"/>
      <w:r>
        <w:br w:type="page"/>
      </w:r>
    </w:p>
    <w:p w14:paraId="13777F5A" w14:textId="3B69EC77" w:rsidR="00F602EB" w:rsidRDefault="00F602EB" w:rsidP="00E728FD">
      <w:pPr>
        <w:pStyle w:val="Heading1"/>
        <w:numPr>
          <w:ilvl w:val="0"/>
          <w:numId w:val="0"/>
        </w:numPr>
      </w:pPr>
      <w:bookmarkStart w:id="130" w:name="_Toc192773719"/>
      <w:r>
        <w:lastRenderedPageBreak/>
        <w:t>APPENDIX 3: RUN</w:t>
      </w:r>
      <w:r w:rsidR="009B0312">
        <w:noBreakHyphen/>
      </w:r>
      <w:r>
        <w:t xml:space="preserve">OFF COVER </w:t>
      </w:r>
      <w:bookmarkEnd w:id="126"/>
      <w:bookmarkEnd w:id="127"/>
      <w:bookmarkEnd w:id="128"/>
      <w:bookmarkEnd w:id="129"/>
      <w:r w:rsidR="0006056F">
        <w:t>SUPPORT PAYMENTS</w:t>
      </w:r>
      <w:bookmarkEnd w:id="130"/>
    </w:p>
    <w:p w14:paraId="78C1E07E" w14:textId="51053C89" w:rsidR="00E728FD" w:rsidRPr="0030070D" w:rsidRDefault="00E728FD" w:rsidP="00952046">
      <w:pPr>
        <w:pStyle w:val="AppendixParagraph"/>
        <w:numPr>
          <w:ilvl w:val="6"/>
          <w:numId w:val="25"/>
        </w:numPr>
        <w:ind w:left="811" w:hanging="357"/>
      </w:pPr>
      <w:bookmarkStart w:id="131" w:name="_Toc63865428"/>
      <w:bookmarkStart w:id="132" w:name="_Toc63866229"/>
      <w:bookmarkStart w:id="133" w:name="_Toc63866559"/>
      <w:bookmarkStart w:id="134" w:name="_Toc63866691"/>
      <w:r w:rsidRPr="0030070D">
        <w:t xml:space="preserve">ROC support payments are paid to </w:t>
      </w:r>
      <w:r>
        <w:t>Services Australia</w:t>
      </w:r>
      <w:r w:rsidRPr="0030070D">
        <w:t xml:space="preserve"> in the form of an annual lump sum imposed as a tax on each MII from 1 July 2004. The lump sum is intended to cover the cost of claims and the MIIs</w:t>
      </w:r>
      <w:r w:rsidR="009B0312">
        <w:t>’</w:t>
      </w:r>
      <w:r w:rsidRPr="0030070D">
        <w:t xml:space="preserve"> administration and implementation costs.</w:t>
      </w:r>
    </w:p>
    <w:p w14:paraId="40CE292D" w14:textId="29298A50" w:rsidR="00E728FD" w:rsidRPr="00B03DC1" w:rsidRDefault="00E728FD" w:rsidP="00952046">
      <w:pPr>
        <w:pStyle w:val="AppendixParagraph"/>
        <w:numPr>
          <w:ilvl w:val="6"/>
          <w:numId w:val="25"/>
        </w:numPr>
        <w:ind w:left="811" w:hanging="357"/>
        <w:rPr>
          <w:lang w:val="en-AU"/>
        </w:rPr>
      </w:pPr>
      <w:r w:rsidRPr="00B03DC1">
        <w:rPr>
          <w:lang w:val="en-AU"/>
        </w:rPr>
        <w:t>The amount of support payments is calculated as a percentage of premium income received from contributing practitioners. The calculation rules are set out in the MI ROCSPA and regulations. The tax imposed on each MII is the applicable percentage of the insurer</w:t>
      </w:r>
      <w:r w:rsidR="009B0312">
        <w:rPr>
          <w:lang w:val="en-AU"/>
        </w:rPr>
        <w:t>’</w:t>
      </w:r>
      <w:r w:rsidRPr="00B03DC1">
        <w:rPr>
          <w:lang w:val="en-AU"/>
        </w:rPr>
        <w:t>s premium income (section 6) for the applicable contribution year ending on 30 June or an alternative date specified in the regulations (section 5).</w:t>
      </w:r>
    </w:p>
    <w:p w14:paraId="400E704D" w14:textId="7D9E1FB3" w:rsidR="00E728FD" w:rsidRPr="0030070D" w:rsidRDefault="00E728FD" w:rsidP="00952046">
      <w:pPr>
        <w:pStyle w:val="AppendixParagraph"/>
        <w:numPr>
          <w:ilvl w:val="6"/>
          <w:numId w:val="25"/>
        </w:numPr>
        <w:ind w:left="811" w:hanging="357"/>
        <w:rPr>
          <w:lang w:val="en-AU"/>
        </w:rPr>
      </w:pPr>
      <w:r w:rsidRPr="0030070D">
        <w:rPr>
          <w:lang w:val="en-AU"/>
        </w:rPr>
        <w:t xml:space="preserve">All MIIs except for </w:t>
      </w:r>
      <w:r w:rsidR="00BD5233">
        <w:rPr>
          <w:lang w:val="en-AU"/>
        </w:rPr>
        <w:t>Austra</w:t>
      </w:r>
      <w:r w:rsidR="00BA1D0A">
        <w:rPr>
          <w:lang w:val="en-AU"/>
        </w:rPr>
        <w:t>lasian Medical Insurance Limited (</w:t>
      </w:r>
      <w:r w:rsidRPr="0030070D">
        <w:rPr>
          <w:lang w:val="en-AU"/>
        </w:rPr>
        <w:t>AMIL</w:t>
      </w:r>
      <w:r w:rsidR="00BA1D0A">
        <w:rPr>
          <w:lang w:val="en-AU"/>
        </w:rPr>
        <w:t>)</w:t>
      </w:r>
      <w:r w:rsidRPr="0030070D">
        <w:rPr>
          <w:lang w:val="en-AU"/>
        </w:rPr>
        <w:t xml:space="preserve"> were required to remit their first ROC support payments on 30 June 2005. Since AMIL</w:t>
      </w:r>
      <w:r w:rsidR="009B0312">
        <w:rPr>
          <w:lang w:val="en-AU"/>
        </w:rPr>
        <w:t>’</w:t>
      </w:r>
      <w:r w:rsidRPr="0030070D">
        <w:rPr>
          <w:lang w:val="en-AU"/>
        </w:rPr>
        <w:t>s policy year was a calendar year, it</w:t>
      </w:r>
      <w:r>
        <w:rPr>
          <w:lang w:val="en-AU"/>
        </w:rPr>
        <w:t> </w:t>
      </w:r>
      <w:r w:rsidRPr="0030070D">
        <w:rPr>
          <w:lang w:val="en-AU"/>
        </w:rPr>
        <w:t>was not required to remit ROC support payments until 31 December 2005.</w:t>
      </w:r>
    </w:p>
    <w:p w14:paraId="04F7025B" w14:textId="0C6ED5AE" w:rsidR="00E728FD" w:rsidRPr="0030070D" w:rsidRDefault="00E728FD" w:rsidP="00952046">
      <w:pPr>
        <w:pStyle w:val="AppendixParagraph"/>
        <w:numPr>
          <w:ilvl w:val="6"/>
          <w:numId w:val="25"/>
        </w:numPr>
        <w:ind w:left="811" w:hanging="357"/>
        <w:rPr>
          <w:lang w:val="en-AU"/>
        </w:rPr>
      </w:pPr>
      <w:r w:rsidRPr="0030070D">
        <w:rPr>
          <w:lang w:val="en-AU"/>
        </w:rPr>
        <w:t>Under section 7, a MII</w:t>
      </w:r>
      <w:r w:rsidR="009B0312">
        <w:rPr>
          <w:lang w:val="en-AU"/>
        </w:rPr>
        <w:t>’</w:t>
      </w:r>
      <w:r w:rsidRPr="0030070D">
        <w:rPr>
          <w:lang w:val="en-AU"/>
        </w:rPr>
        <w:t xml:space="preserve">s premium income for the purpose is the sum of </w:t>
      </w:r>
      <w:proofErr w:type="gramStart"/>
      <w:r w:rsidRPr="0030070D">
        <w:rPr>
          <w:lang w:val="en-AU"/>
        </w:rPr>
        <w:t>all of</w:t>
      </w:r>
      <w:proofErr w:type="gramEnd"/>
      <w:r w:rsidRPr="0030070D">
        <w:rPr>
          <w:lang w:val="en-AU"/>
        </w:rPr>
        <w:t xml:space="preserve"> the premiums paid to the insurer for medical indemnity cover provided for medical practitioners, reduced according to the formula:</w:t>
      </w:r>
    </w:p>
    <w:p w14:paraId="1322225F" w14:textId="44A58C8E" w:rsidR="00E728FD" w:rsidRDefault="00E728FD" w:rsidP="00CD7456">
      <w:pPr>
        <w:pStyle w:val="ListParagraph"/>
        <w:ind w:left="811" w:firstLine="0"/>
        <w:jc w:val="left"/>
        <w:rPr>
          <w:rStyle w:val="Italic"/>
          <w:spacing w:val="-2"/>
        </w:rPr>
      </w:pPr>
      <w:r w:rsidRPr="00BF2D8A">
        <w:rPr>
          <w:rStyle w:val="Italic"/>
          <w:spacing w:val="-2"/>
        </w:rPr>
        <w:t>Premium income equals</w:t>
      </w:r>
    </w:p>
    <w:p w14:paraId="1E0DF39D" w14:textId="5BE34EAD" w:rsidR="00BF2D8A" w:rsidRPr="00B03DC1" w:rsidRDefault="00BF2D8A" w:rsidP="00BF2D8A">
      <w:pPr>
        <w:pStyle w:val="ListParagraph"/>
        <w:spacing w:line="240" w:lineRule="auto"/>
        <w:ind w:left="811" w:firstLine="0"/>
        <w:jc w:val="left"/>
        <w:rPr>
          <w:rStyle w:val="Italic"/>
          <w:i w:val="0"/>
          <w:spacing w:val="-2"/>
        </w:rPr>
      </w:pPr>
      <w:r w:rsidRPr="00BF2D8A">
        <w:rPr>
          <w:rStyle w:val="Italic"/>
          <w:i w:val="0"/>
          <w:noProof/>
        </w:rPr>
        <w:drawing>
          <wp:inline distT="0" distB="0" distL="0" distR="0" wp14:anchorId="1D614CDB" wp14:editId="7A618B93">
            <wp:extent cx="4363720" cy="371475"/>
            <wp:effectExtent l="0" t="0" r="0" b="0"/>
            <wp:docPr id="2" name="Picture 2" descr="Net premium, minus Net premium, times Applicable percentage, divided by (1 + Applicabl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t premium, minus Net premium, times Applicable percentage, divided by (1 + Applicable percent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4848"/>
                    <a:stretch/>
                  </pic:blipFill>
                  <pic:spPr bwMode="auto">
                    <a:xfrm>
                      <a:off x="0" y="0"/>
                      <a:ext cx="4372140" cy="372192"/>
                    </a:xfrm>
                    <a:prstGeom prst="rect">
                      <a:avLst/>
                    </a:prstGeom>
                    <a:noFill/>
                    <a:ln>
                      <a:noFill/>
                    </a:ln>
                    <a:extLst>
                      <a:ext uri="{53640926-AAD7-44D8-BBD7-CCE9431645EC}">
                        <a14:shadowObscured xmlns:a14="http://schemas.microsoft.com/office/drawing/2010/main"/>
                      </a:ext>
                    </a:extLst>
                  </pic:spPr>
                </pic:pic>
              </a:graphicData>
            </a:graphic>
          </wp:inline>
        </w:drawing>
      </w:r>
    </w:p>
    <w:p w14:paraId="71430B79" w14:textId="77777777" w:rsidR="00CD7456" w:rsidRDefault="00CD7456" w:rsidP="00CD7456">
      <w:pPr>
        <w:pStyle w:val="AppendixParagraph"/>
        <w:spacing w:before="240"/>
        <w:jc w:val="left"/>
        <w:rPr>
          <w:lang w:val="en-AU"/>
        </w:rPr>
      </w:pPr>
      <w:r>
        <w:rPr>
          <w:lang w:val="en-AU"/>
        </w:rPr>
        <w:t>A.3.5</w:t>
      </w:r>
      <w:r>
        <w:rPr>
          <w:lang w:val="en-AU"/>
        </w:rPr>
        <w:tab/>
      </w:r>
      <w:r w:rsidR="00E728FD" w:rsidRPr="0030070D">
        <w:rPr>
          <w:lang w:val="en-AU"/>
        </w:rPr>
        <w:t>Net premium is calculated according to section 7 as follows:</w:t>
      </w:r>
    </w:p>
    <w:p w14:paraId="05C92066" w14:textId="2CA0E6B7" w:rsidR="00E728FD" w:rsidRPr="005124AD" w:rsidRDefault="00E728FD" w:rsidP="00952046">
      <w:pPr>
        <w:pStyle w:val="NormalIndent"/>
        <w:numPr>
          <w:ilvl w:val="0"/>
          <w:numId w:val="36"/>
        </w:numPr>
        <w:spacing w:after="200"/>
        <w:rPr>
          <w:rFonts w:cs="Arial"/>
        </w:rPr>
      </w:pPr>
      <w:r w:rsidRPr="005124AD">
        <w:rPr>
          <w:rFonts w:cs="Arial"/>
        </w:rPr>
        <w:t>sum of all premiums paid to the insurer during the operation of the Scheme for medical indemnity cover provided for medical practitioners (including subsidy payments made to the insurer on behalf of medical practitioners to assist with the cost of purchasing medical indemnity cover under the Medical Indemnity Premium Support Scheme, section 43(1) Medical Indemnity Act) (subsection (1))</w:t>
      </w:r>
    </w:p>
    <w:p w14:paraId="0FECABD2" w14:textId="45261A9A" w:rsidR="00E728FD" w:rsidRPr="005124AD" w:rsidRDefault="00E728FD" w:rsidP="00952046">
      <w:pPr>
        <w:pStyle w:val="NormalIndent"/>
        <w:numPr>
          <w:ilvl w:val="0"/>
          <w:numId w:val="36"/>
        </w:numPr>
        <w:spacing w:after="200"/>
        <w:rPr>
          <w:rFonts w:cs="Arial"/>
        </w:rPr>
      </w:pPr>
      <w:r w:rsidRPr="005124AD">
        <w:rPr>
          <w:rFonts w:cs="Arial"/>
        </w:rPr>
        <w:t>minus the amount of GST payable (subsection (2)(a)) and the amount of stamp duty payable (subsection (2)(b)) in relation to the premiums</w:t>
      </w:r>
    </w:p>
    <w:p w14:paraId="058844B3" w14:textId="77777777" w:rsidR="00E728FD" w:rsidRPr="005124AD" w:rsidRDefault="00E728FD" w:rsidP="00952046">
      <w:pPr>
        <w:pStyle w:val="NormalIndent"/>
        <w:numPr>
          <w:ilvl w:val="0"/>
          <w:numId w:val="36"/>
        </w:numPr>
        <w:spacing w:after="200"/>
        <w:rPr>
          <w:rFonts w:cs="Arial"/>
        </w:rPr>
      </w:pPr>
      <w:r w:rsidRPr="005124AD">
        <w:rPr>
          <w:rFonts w:cs="Arial"/>
        </w:rPr>
        <w:t>plus/minus other payments specified in the regulations.</w:t>
      </w:r>
    </w:p>
    <w:p w14:paraId="7B02197D" w14:textId="656C5147" w:rsidR="0098347F" w:rsidRDefault="00C406EF" w:rsidP="00056D34">
      <w:pPr>
        <w:pStyle w:val="AppendixParagraph"/>
        <w:ind w:left="720" w:hanging="720"/>
        <w:rPr>
          <w:rFonts w:ascii="Arial Bold" w:hAnsi="Arial Bold" w:cs="Arial"/>
          <w:b/>
          <w:bCs/>
          <w:color w:val="0E4E77" w:themeColor="accent6"/>
          <w:kern w:val="32"/>
          <w:sz w:val="36"/>
          <w:szCs w:val="36"/>
        </w:rPr>
      </w:pPr>
      <w:r>
        <w:lastRenderedPageBreak/>
        <w:t>A.3.6</w:t>
      </w:r>
      <w:r>
        <w:tab/>
      </w:r>
      <w:r w:rsidR="00E728FD" w:rsidRPr="00AA5D38">
        <w:t>For p</w:t>
      </w:r>
      <w:r w:rsidR="005124AD">
        <w:t xml:space="preserve">remium payments relating </w:t>
      </w:r>
      <w:r w:rsidR="005124AD" w:rsidRPr="00765B3B">
        <w:t>to 20</w:t>
      </w:r>
      <w:r w:rsidR="007B2246" w:rsidRPr="00765B3B">
        <w:t>2</w:t>
      </w:r>
      <w:r w:rsidR="003E4BCE" w:rsidRPr="00765B3B">
        <w:t>3</w:t>
      </w:r>
      <w:r w:rsidR="009B0312" w:rsidRPr="00765B3B">
        <w:noBreakHyphen/>
      </w:r>
      <w:r w:rsidR="005124AD" w:rsidRPr="00765B3B">
        <w:t>2</w:t>
      </w:r>
      <w:r w:rsidR="003E4BCE" w:rsidRPr="00765B3B">
        <w:t>4</w:t>
      </w:r>
      <w:r w:rsidR="00E728FD" w:rsidRPr="00765B3B">
        <w:t>, the</w:t>
      </w:r>
      <w:r w:rsidR="00E728FD" w:rsidRPr="00AA5D38">
        <w:t xml:space="preserve"> applicable percentage is specified in the regulations as 5 per cent for all insurers, and thus the ROC support payment will be calculated as net premium x 5 per cent </w:t>
      </w:r>
      <w:r w:rsidR="00E728FD" w:rsidRPr="0011626B">
        <w:rPr>
          <w:sz w:val="22"/>
          <w:szCs w:val="22"/>
        </w:rPr>
        <w:t>÷</w:t>
      </w:r>
      <w:r w:rsidR="00E728FD" w:rsidRPr="00AA5D38">
        <w:t xml:space="preserve"> 1.05.</w:t>
      </w:r>
      <w:r w:rsidR="0098347F">
        <w:br w:type="page"/>
      </w:r>
    </w:p>
    <w:p w14:paraId="36E87FBC" w14:textId="1F073C6B" w:rsidR="00F602EB" w:rsidRDefault="00F602EB" w:rsidP="006735DF">
      <w:pPr>
        <w:pStyle w:val="Heading1"/>
        <w:numPr>
          <w:ilvl w:val="0"/>
          <w:numId w:val="0"/>
        </w:numPr>
      </w:pPr>
      <w:bookmarkStart w:id="135" w:name="_Toc192773720"/>
      <w:r>
        <w:lastRenderedPageBreak/>
        <w:t xml:space="preserve">APPENDIX 4: </w:t>
      </w:r>
      <w:bookmarkEnd w:id="131"/>
      <w:bookmarkEnd w:id="132"/>
      <w:bookmarkEnd w:id="133"/>
      <w:bookmarkEnd w:id="134"/>
      <w:r w:rsidR="005C6484" w:rsidRPr="005C6484">
        <w:t xml:space="preserve">LIABILITIES </w:t>
      </w:r>
      <w:proofErr w:type="gramStart"/>
      <w:r w:rsidR="005C6484" w:rsidRPr="005C6484">
        <w:t>AT</w:t>
      </w:r>
      <w:proofErr w:type="gramEnd"/>
      <w:r w:rsidR="005C6484" w:rsidRPr="005C6484">
        <w:t xml:space="preserve"> 30 </w:t>
      </w:r>
      <w:r w:rsidR="005C6484" w:rsidRPr="00765B3B">
        <w:t>JUNE 20</w:t>
      </w:r>
      <w:r w:rsidR="005124AD" w:rsidRPr="00765B3B">
        <w:t>2</w:t>
      </w:r>
      <w:r w:rsidR="00BE6ABD" w:rsidRPr="00765B3B">
        <w:t>4</w:t>
      </w:r>
      <w:bookmarkEnd w:id="135"/>
    </w:p>
    <w:p w14:paraId="03FADB7D" w14:textId="72836E9A" w:rsidR="009C4A2D" w:rsidRPr="00E85752" w:rsidRDefault="002F7A16" w:rsidP="00952046">
      <w:pPr>
        <w:pStyle w:val="AppendixParagraph"/>
        <w:numPr>
          <w:ilvl w:val="1"/>
          <w:numId w:val="26"/>
        </w:numPr>
        <w:ind w:left="794" w:hanging="340"/>
        <w:rPr>
          <w:lang w:val="en-AU"/>
        </w:rPr>
      </w:pPr>
      <w:bookmarkStart w:id="136" w:name="_Toc63865431"/>
      <w:bookmarkStart w:id="137" w:name="_Toc63866232"/>
      <w:bookmarkStart w:id="138" w:name="_Toc63866562"/>
      <w:bookmarkStart w:id="139" w:name="_Toc63866694"/>
      <w:r w:rsidRPr="00E85752">
        <w:rPr>
          <w:lang w:val="en-AU"/>
        </w:rPr>
        <w:t>The purpose of this appendix is to describe the approach taken (and assumptions used) to calculate the scheme liabilities.</w:t>
      </w:r>
    </w:p>
    <w:p w14:paraId="5F10025E" w14:textId="4A6D597D" w:rsidR="005C6484" w:rsidRPr="00E85752" w:rsidRDefault="005C6484" w:rsidP="00952046">
      <w:pPr>
        <w:pStyle w:val="AppendixParagraph"/>
        <w:numPr>
          <w:ilvl w:val="1"/>
          <w:numId w:val="26"/>
        </w:numPr>
        <w:ind w:left="794" w:hanging="340"/>
        <w:rPr>
          <w:lang w:val="en-AU"/>
        </w:rPr>
      </w:pPr>
      <w:r w:rsidRPr="00E85752">
        <w:rPr>
          <w:lang w:val="en-AU"/>
        </w:rPr>
        <w:t xml:space="preserve">Claims </w:t>
      </w:r>
      <w:r w:rsidR="007B2246">
        <w:rPr>
          <w:lang w:val="en-AU"/>
        </w:rPr>
        <w:t>l</w:t>
      </w:r>
      <w:r w:rsidRPr="00E85752">
        <w:rPr>
          <w:lang w:val="en-AU"/>
        </w:rPr>
        <w:t>iabilities have been assessed on an occurrence basis. New liabilities accrue to the Scheme at the time of the occurrence of the medical incidents which were expected to give rise to medical indemnity claims which would attract a ROC indemnity payment. The liabilities of the Scheme in respect of claims liabilities are therefore taken as the present value of future ROC indemnity payments (plus associated insurer claims handling expenses) which relate to medical incidents which occurred before the effective date of valuation.</w:t>
      </w:r>
    </w:p>
    <w:bookmarkEnd w:id="136"/>
    <w:bookmarkEnd w:id="137"/>
    <w:bookmarkEnd w:id="138"/>
    <w:bookmarkEnd w:id="139"/>
    <w:p w14:paraId="446024C1" w14:textId="354EB836" w:rsidR="005C6484" w:rsidRPr="0030070D" w:rsidRDefault="005C6484" w:rsidP="00D705EC">
      <w:pPr>
        <w:pStyle w:val="Heading3"/>
      </w:pPr>
      <w:r>
        <w:t xml:space="preserve">Summary of </w:t>
      </w:r>
      <w:r w:rsidRPr="0030070D">
        <w:t xml:space="preserve">Liabilities as </w:t>
      </w:r>
      <w:proofErr w:type="gramStart"/>
      <w:r w:rsidRPr="0030070D">
        <w:t>at</w:t>
      </w:r>
      <w:proofErr w:type="gramEnd"/>
      <w:r w:rsidRPr="0030070D">
        <w:t xml:space="preserve"> 30 </w:t>
      </w:r>
      <w:r w:rsidRPr="00765B3B">
        <w:t>June 20</w:t>
      </w:r>
      <w:r w:rsidR="005124AD" w:rsidRPr="00765B3B">
        <w:t>2</w:t>
      </w:r>
      <w:r w:rsidR="00DB407A" w:rsidRPr="00765B3B">
        <w:t>4</w:t>
      </w:r>
    </w:p>
    <w:p w14:paraId="56E9632C" w14:textId="085F47C1" w:rsidR="005C6484" w:rsidRPr="00DF2FA5" w:rsidRDefault="005C6484" w:rsidP="00DF2FA5">
      <w:pPr>
        <w:pStyle w:val="AppendixParagraph"/>
        <w:numPr>
          <w:ilvl w:val="1"/>
          <w:numId w:val="26"/>
        </w:numPr>
        <w:ind w:left="794" w:hanging="340"/>
        <w:rPr>
          <w:lang w:val="en-AU"/>
        </w:rPr>
      </w:pPr>
      <w:bookmarkStart w:id="140" w:name="_Toc63865432"/>
      <w:bookmarkStart w:id="141" w:name="_Toc63866233"/>
      <w:bookmarkStart w:id="142" w:name="_Toc63866563"/>
      <w:bookmarkStart w:id="143" w:name="_Toc63866695"/>
      <w:r w:rsidRPr="00DF2FA5">
        <w:rPr>
          <w:lang w:val="en-AU"/>
        </w:rPr>
        <w:t>Table</w:t>
      </w:r>
      <w:r w:rsidR="00C90AFB">
        <w:rPr>
          <w:lang w:val="en-AU"/>
        </w:rPr>
        <w:t xml:space="preserve"> 13</w:t>
      </w:r>
      <w:r w:rsidRPr="00DF2FA5">
        <w:rPr>
          <w:lang w:val="en-AU"/>
        </w:rPr>
        <w:t xml:space="preserve"> summarises the estimated accrued Scheme liabilities as at</w:t>
      </w:r>
      <w:r w:rsidRPr="00DF2FA5">
        <w:rPr>
          <w:lang w:val="en-AU"/>
        </w:rPr>
        <w:br/>
      </w:r>
      <w:r w:rsidR="005124AD" w:rsidRPr="00DF2FA5">
        <w:rPr>
          <w:lang w:val="en-AU"/>
        </w:rPr>
        <w:t>30 June 202</w:t>
      </w:r>
      <w:r w:rsidR="002908DA" w:rsidRPr="00DF2FA5">
        <w:rPr>
          <w:lang w:val="en-AU"/>
        </w:rPr>
        <w:t>4</w:t>
      </w:r>
      <w:r w:rsidRPr="00DF2FA5">
        <w:rPr>
          <w:lang w:val="en-AU"/>
        </w:rPr>
        <w:t xml:space="preserve">. The Scheme liabilities are divided into outstanding compliance costs, those attributable to claims notified as </w:t>
      </w:r>
      <w:proofErr w:type="gramStart"/>
      <w:r w:rsidRPr="00DF2FA5">
        <w:rPr>
          <w:lang w:val="en-AU"/>
        </w:rPr>
        <w:t>at</w:t>
      </w:r>
      <w:proofErr w:type="gramEnd"/>
      <w:r w:rsidRPr="00DF2FA5">
        <w:rPr>
          <w:lang w:val="en-AU"/>
        </w:rPr>
        <w:t xml:space="preserve"> 30 June 20</w:t>
      </w:r>
      <w:r w:rsidR="005124AD" w:rsidRPr="00DF2FA5">
        <w:rPr>
          <w:lang w:val="en-AU"/>
        </w:rPr>
        <w:t>2</w:t>
      </w:r>
      <w:r w:rsidR="002908DA" w:rsidRPr="00DF2FA5">
        <w:rPr>
          <w:lang w:val="en-AU"/>
        </w:rPr>
        <w:t>4</w:t>
      </w:r>
      <w:r w:rsidRPr="00DF2FA5">
        <w:rPr>
          <w:lang w:val="en-AU"/>
        </w:rPr>
        <w:t xml:space="preserve">, those attributable </w:t>
      </w:r>
      <w:r w:rsidR="005124AD" w:rsidRPr="00DF2FA5">
        <w:rPr>
          <w:lang w:val="en-AU"/>
        </w:rPr>
        <w:t>to IBNR claims as at 30 June 202</w:t>
      </w:r>
      <w:r w:rsidR="005076F4" w:rsidRPr="00DF2FA5">
        <w:rPr>
          <w:lang w:val="en-AU"/>
        </w:rPr>
        <w:t>4</w:t>
      </w:r>
      <w:r w:rsidRPr="00DF2FA5">
        <w:rPr>
          <w:lang w:val="en-AU"/>
        </w:rPr>
        <w:t xml:space="preserve"> and overall claims handling expenses.</w:t>
      </w:r>
    </w:p>
    <w:p w14:paraId="528E8359" w14:textId="09D40A2C" w:rsidR="005C6484" w:rsidRPr="00D6236F" w:rsidRDefault="005C6484" w:rsidP="0040224A">
      <w:pPr>
        <w:pStyle w:val="Caption"/>
      </w:pPr>
      <w:r w:rsidRPr="00396CB0">
        <w:t>Table 13: R</w:t>
      </w:r>
      <w:r w:rsidRPr="0047389E">
        <w:t>un</w:t>
      </w:r>
      <w:r w:rsidR="009B0312">
        <w:noBreakHyphen/>
      </w:r>
      <w:r w:rsidRPr="0047389E">
        <w:t>Off Cover Scheme liabilities related to medical</w:t>
      </w:r>
      <w:r w:rsidR="005124AD">
        <w:t xml:space="preserve"> incidents prior to 30</w:t>
      </w:r>
      <w:r w:rsidR="00ED0524">
        <w:t> </w:t>
      </w:r>
      <w:r w:rsidR="005124AD">
        <w:t xml:space="preserve">June </w:t>
      </w:r>
      <w:r w:rsidR="005124AD" w:rsidRPr="00765B3B">
        <w:t>202</w:t>
      </w:r>
      <w:r w:rsidR="002908DA" w:rsidRPr="00765B3B">
        <w:t>4</w:t>
      </w:r>
      <w:r w:rsidRPr="0047389E">
        <w:t xml:space="preserve"> ($</w:t>
      </w:r>
      <w:r w:rsidR="009B0312">
        <w:t>’</w:t>
      </w:r>
      <w:r w:rsidRPr="0047389E">
        <w:t>m)</w:t>
      </w:r>
    </w:p>
    <w:p w14:paraId="2AC84690" w14:textId="25C0DA2C" w:rsidR="002F7A16" w:rsidRDefault="00A64356" w:rsidP="00377B7D">
      <w:pPr>
        <w:pStyle w:val="AppendixParagraph"/>
        <w:spacing w:line="240" w:lineRule="auto"/>
        <w:ind w:left="709" w:hanging="709"/>
        <w:jc w:val="center"/>
      </w:pPr>
      <w:r w:rsidRPr="00A64356">
        <w:rPr>
          <w:noProof/>
        </w:rPr>
        <w:drawing>
          <wp:inline distT="0" distB="0" distL="0" distR="0" wp14:anchorId="6C14BA46" wp14:editId="7831B384">
            <wp:extent cx="4702810" cy="1164590"/>
            <wp:effectExtent l="0" t="0" r="2540" b="0"/>
            <wp:docPr id="159091044" name="Picture 3" descr="Total Run-Off Cover Scheme liabilities related to medical incidents prior to 30 June 2024 were $212 million as at 30 June 2024. Refer to Table 11 for the break-down of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2810" cy="1164590"/>
                    </a:xfrm>
                    <a:prstGeom prst="rect">
                      <a:avLst/>
                    </a:prstGeom>
                    <a:noFill/>
                    <a:ln>
                      <a:noFill/>
                    </a:ln>
                  </pic:spPr>
                </pic:pic>
              </a:graphicData>
            </a:graphic>
          </wp:inline>
        </w:drawing>
      </w:r>
    </w:p>
    <w:p w14:paraId="0E4A0781" w14:textId="141FDEC7" w:rsidR="005C6484" w:rsidRPr="00D32139" w:rsidRDefault="005C6484" w:rsidP="00D32139">
      <w:pPr>
        <w:pStyle w:val="AppendixParagraph"/>
        <w:numPr>
          <w:ilvl w:val="1"/>
          <w:numId w:val="26"/>
        </w:numPr>
        <w:ind w:left="794" w:hanging="340"/>
        <w:rPr>
          <w:lang w:val="en-AU"/>
        </w:rPr>
      </w:pPr>
      <w:r w:rsidRPr="00D32139">
        <w:rPr>
          <w:lang w:val="en-AU"/>
        </w:rPr>
        <w:t>This section describes the approach taken and the key assumptions used in the calculation of the key liabilities shown above.</w:t>
      </w:r>
    </w:p>
    <w:p w14:paraId="490E9895" w14:textId="77777777" w:rsidR="005C6484" w:rsidRDefault="005C6484" w:rsidP="009F06E8">
      <w:pPr>
        <w:spacing w:after="200" w:line="276" w:lineRule="auto"/>
        <w:jc w:val="left"/>
        <w:rPr>
          <w:rFonts w:ascii="Arial Bold" w:hAnsi="Arial Bold"/>
          <w:b/>
          <w:smallCaps/>
          <w:color w:val="9B0014"/>
          <w:sz w:val="30"/>
          <w:szCs w:val="28"/>
        </w:rPr>
      </w:pPr>
      <w:r>
        <w:br w:type="page"/>
      </w:r>
    </w:p>
    <w:bookmarkEnd w:id="140"/>
    <w:bookmarkEnd w:id="141"/>
    <w:bookmarkEnd w:id="142"/>
    <w:bookmarkEnd w:id="143"/>
    <w:p w14:paraId="09522080" w14:textId="0182C83D" w:rsidR="003418DA" w:rsidRPr="003418DA" w:rsidRDefault="003418DA" w:rsidP="00D705EC">
      <w:pPr>
        <w:pStyle w:val="Heading3"/>
      </w:pPr>
      <w:r w:rsidRPr="003418DA">
        <w:lastRenderedPageBreak/>
        <w:t>Outstanding Compliance Costs</w:t>
      </w:r>
    </w:p>
    <w:p w14:paraId="3BF05C83" w14:textId="196CF7F3" w:rsidR="003418DA" w:rsidRPr="00D32139" w:rsidRDefault="003418DA" w:rsidP="00D32139">
      <w:pPr>
        <w:pStyle w:val="AppendixParagraph"/>
        <w:numPr>
          <w:ilvl w:val="1"/>
          <w:numId w:val="26"/>
        </w:numPr>
        <w:ind w:left="794" w:hanging="340"/>
        <w:rPr>
          <w:lang w:val="en-AU"/>
        </w:rPr>
      </w:pPr>
      <w:r w:rsidRPr="00D32139">
        <w:rPr>
          <w:lang w:val="en-AU"/>
        </w:rPr>
        <w:t>MIIs apply to Services Australia for a refund of the costs of complying with the scheme each year. At the end of any one year the government has a liability for any outstanding compliance costs in respect of the previous years</w:t>
      </w:r>
      <w:r w:rsidR="009B0312" w:rsidRPr="00D32139">
        <w:rPr>
          <w:lang w:val="en-AU"/>
        </w:rPr>
        <w:t>’</w:t>
      </w:r>
      <w:r w:rsidRPr="00D32139">
        <w:rPr>
          <w:lang w:val="en-AU"/>
        </w:rPr>
        <w:t xml:space="preserve"> operation of the scheme, that have not yet been refunded. This liability is generally based on the applications received by Services Australia and estimates by Services Australia in relation to applications that have not been received at the time of writing for compliance costs that have not yet been settled. For this report, the estimate is based on the actual amount that Services Australia has pai</w:t>
      </w:r>
      <w:r w:rsidR="008C0681" w:rsidRPr="00D32139">
        <w:rPr>
          <w:lang w:val="en-AU"/>
        </w:rPr>
        <w:t>d to insurers after 30 June 202</w:t>
      </w:r>
      <w:r w:rsidR="005076F4" w:rsidRPr="00D32139">
        <w:rPr>
          <w:lang w:val="en-AU"/>
        </w:rPr>
        <w:t>4</w:t>
      </w:r>
      <w:r w:rsidRPr="00D32139">
        <w:rPr>
          <w:lang w:val="en-AU"/>
        </w:rPr>
        <w:t xml:space="preserve"> and the expected amount that Services Australia will pa</w:t>
      </w:r>
      <w:r w:rsidR="008C0681" w:rsidRPr="00D32139">
        <w:rPr>
          <w:lang w:val="en-AU"/>
        </w:rPr>
        <w:t>y to insurers after 30 June 202</w:t>
      </w:r>
      <w:r w:rsidR="005076F4" w:rsidRPr="00D32139">
        <w:rPr>
          <w:lang w:val="en-AU"/>
        </w:rPr>
        <w:t>4</w:t>
      </w:r>
      <w:r w:rsidRPr="00D32139">
        <w:rPr>
          <w:lang w:val="en-AU"/>
        </w:rPr>
        <w:t xml:space="preserve"> in respect of previous years</w:t>
      </w:r>
      <w:r w:rsidR="009B0312" w:rsidRPr="00D32139">
        <w:rPr>
          <w:lang w:val="en-AU"/>
        </w:rPr>
        <w:t>’</w:t>
      </w:r>
      <w:r w:rsidR="008C0681" w:rsidRPr="00D32139">
        <w:rPr>
          <w:lang w:val="en-AU"/>
        </w:rPr>
        <w:t xml:space="preserve"> operation.</w:t>
      </w:r>
      <w:r w:rsidRPr="00D32139">
        <w:rPr>
          <w:lang w:val="en-AU"/>
        </w:rPr>
        <w:t xml:space="preserve"> </w:t>
      </w:r>
    </w:p>
    <w:p w14:paraId="264742AB" w14:textId="433B70B2" w:rsidR="003418DA" w:rsidRPr="0029239F" w:rsidRDefault="003418DA" w:rsidP="00D705EC">
      <w:pPr>
        <w:pStyle w:val="Heading3"/>
      </w:pPr>
      <w:r>
        <w:t>Liabilities in relation to notified claims</w:t>
      </w:r>
    </w:p>
    <w:p w14:paraId="48B4F380" w14:textId="2CB825A1" w:rsidR="003418DA" w:rsidRDefault="003418DA" w:rsidP="00D32139">
      <w:pPr>
        <w:pStyle w:val="AppendixParagraph"/>
        <w:numPr>
          <w:ilvl w:val="1"/>
          <w:numId w:val="26"/>
        </w:numPr>
        <w:ind w:left="794" w:hanging="340"/>
        <w:rPr>
          <w:lang w:val="en-AU"/>
        </w:rPr>
      </w:pPr>
      <w:bookmarkStart w:id="144" w:name="_Toc63865434"/>
      <w:bookmarkStart w:id="145" w:name="_Toc63866235"/>
      <w:bookmarkStart w:id="146" w:name="_Toc63866565"/>
      <w:bookmarkStart w:id="147" w:name="_Toc63866697"/>
      <w:r>
        <w:rPr>
          <w:lang w:val="en-AU"/>
        </w:rPr>
        <w:t xml:space="preserve">There are two categories of notified claims, those which have been </w:t>
      </w:r>
      <w:r w:rsidR="00BE261F">
        <w:rPr>
          <w:lang w:val="en-AU"/>
        </w:rPr>
        <w:t>paid</w:t>
      </w:r>
      <w:r>
        <w:rPr>
          <w:lang w:val="en-AU"/>
        </w:rPr>
        <w:t xml:space="preserve"> by the insurer but not yet recovered from Services Australia</w:t>
      </w:r>
      <w:r w:rsidR="00291EEF">
        <w:rPr>
          <w:lang w:val="en-AU"/>
        </w:rPr>
        <w:t>,</w:t>
      </w:r>
      <w:r>
        <w:rPr>
          <w:lang w:val="en-AU"/>
        </w:rPr>
        <w:t xml:space="preserve"> and those that are </w:t>
      </w:r>
      <w:r w:rsidR="00BE261F">
        <w:rPr>
          <w:lang w:val="en-AU"/>
        </w:rPr>
        <w:t xml:space="preserve">not yet paid by the </w:t>
      </w:r>
      <w:r>
        <w:rPr>
          <w:lang w:val="en-AU"/>
        </w:rPr>
        <w:t>insurer.</w:t>
      </w:r>
    </w:p>
    <w:p w14:paraId="3F0D34D6" w14:textId="34C87732" w:rsidR="00854628" w:rsidRPr="00D32139" w:rsidRDefault="75DBFB77" w:rsidP="5DA1044C">
      <w:pPr>
        <w:pStyle w:val="AppendixParagraph"/>
        <w:numPr>
          <w:ilvl w:val="1"/>
          <w:numId w:val="26"/>
        </w:numPr>
        <w:ind w:left="794" w:hanging="340"/>
      </w:pPr>
      <w:r w:rsidRPr="5DA1044C">
        <w:t xml:space="preserve">In </w:t>
      </w:r>
      <w:r w:rsidR="3D3AF295" w:rsidRPr="5DA1044C">
        <w:t>both</w:t>
      </w:r>
      <w:r w:rsidRPr="5DA1044C">
        <w:t xml:space="preserve"> case</w:t>
      </w:r>
      <w:r w:rsidR="3D3AF295" w:rsidRPr="5DA1044C">
        <w:t>s</w:t>
      </w:r>
      <w:r w:rsidRPr="5DA1044C">
        <w:t xml:space="preserve">, we have </w:t>
      </w:r>
      <w:r w:rsidR="23783010" w:rsidRPr="5DA1044C">
        <w:t>relied on the insurer’s data provided in late 202</w:t>
      </w:r>
      <w:r w:rsidR="280D9F65" w:rsidRPr="5DA1044C">
        <w:t>4</w:t>
      </w:r>
      <w:r w:rsidR="23783010" w:rsidRPr="5DA1044C">
        <w:t xml:space="preserve">. </w:t>
      </w:r>
      <w:r w:rsidR="46FCF76B" w:rsidRPr="5DA1044C">
        <w:t>A</w:t>
      </w:r>
      <w:r w:rsidRPr="5DA1044C">
        <w:t xml:space="preserve">ll notified claims have a case estimate placed against them by the relevant insurer. </w:t>
      </w:r>
      <w:r w:rsidR="1BA66BDC" w:rsidRPr="5DA1044C">
        <w:t>Each insurer</w:t>
      </w:r>
      <w:r w:rsidRPr="5DA1044C">
        <w:t xml:space="preserve"> has provided a projection of the expected </w:t>
      </w:r>
      <w:r w:rsidR="4B72638C" w:rsidRPr="5DA1044C">
        <w:t xml:space="preserve">ROCS </w:t>
      </w:r>
      <w:r w:rsidR="2E9D10A9" w:rsidRPr="5DA1044C">
        <w:t>reimbursements</w:t>
      </w:r>
      <w:r w:rsidRPr="5DA1044C">
        <w:t xml:space="preserve"> </w:t>
      </w:r>
      <w:r w:rsidR="397B3FB6" w:rsidRPr="5DA1044C">
        <w:t xml:space="preserve">for these claims </w:t>
      </w:r>
      <w:r w:rsidRPr="5DA1044C">
        <w:t>based on the relevant year of notification</w:t>
      </w:r>
      <w:r w:rsidR="397B3FB6" w:rsidRPr="5DA1044C">
        <w:t xml:space="preserve"> and the current case estimates</w:t>
      </w:r>
      <w:r w:rsidRPr="5DA1044C">
        <w:t xml:space="preserve">. </w:t>
      </w:r>
      <w:r w:rsidR="59AD627F" w:rsidRPr="5DA1044C">
        <w:t xml:space="preserve">These projected cash flows are </w:t>
      </w:r>
      <w:r w:rsidR="70F49950" w:rsidRPr="5DA1044C">
        <w:t xml:space="preserve">adjusted as necessary, then </w:t>
      </w:r>
      <w:r w:rsidR="59AD627F" w:rsidRPr="5DA1044C">
        <w:t>discounted using the expected long</w:t>
      </w:r>
      <w:r w:rsidR="00D20C31">
        <w:rPr>
          <w:lang w:val="en-AU"/>
        </w:rPr>
        <w:noBreakHyphen/>
      </w:r>
      <w:r w:rsidR="59AD627F" w:rsidRPr="5DA1044C">
        <w:t xml:space="preserve">term earning rate to determine a net present value as at the valuation date. </w:t>
      </w:r>
      <w:r w:rsidRPr="5DA1044C">
        <w:t>As with any estimate, it is to be expected that the actual payments that will occur to settle the claim will vary from the claims managers</w:t>
      </w:r>
      <w:r w:rsidR="25BF09FE" w:rsidRPr="5DA1044C">
        <w:t>’</w:t>
      </w:r>
      <w:r w:rsidRPr="5DA1044C">
        <w:t xml:space="preserve"> current estimate.</w:t>
      </w:r>
      <w:r w:rsidR="6B25DDF2" w:rsidRPr="5DA1044C">
        <w:t xml:space="preserve"> Based on the experience data, the case estimates tend to increase over time.</w:t>
      </w:r>
      <w:r w:rsidRPr="5DA1044C">
        <w:t xml:space="preserve"> </w:t>
      </w:r>
      <w:r w:rsidR="21799B9B" w:rsidRPr="5DA1044C">
        <w:t>Therefore, t</w:t>
      </w:r>
      <w:r w:rsidR="1BE4FE66" w:rsidRPr="5DA1044C">
        <w:t xml:space="preserve">he </w:t>
      </w:r>
      <w:r w:rsidR="6B25DDF2" w:rsidRPr="5DA1044C">
        <w:t xml:space="preserve">insurers’ projected cash flows </w:t>
      </w:r>
      <w:r w:rsidR="21799B9B" w:rsidRPr="5DA1044C">
        <w:t>should be treated as indicative</w:t>
      </w:r>
      <w:r w:rsidR="63835502" w:rsidRPr="5DA1044C">
        <w:t xml:space="preserve">. The </w:t>
      </w:r>
      <w:r w:rsidR="49385C98" w:rsidRPr="5DA1044C">
        <w:t>projected</w:t>
      </w:r>
      <w:r w:rsidR="63835502" w:rsidRPr="5DA1044C">
        <w:t xml:space="preserve"> future payments </w:t>
      </w:r>
      <w:r w:rsidR="49385C98" w:rsidRPr="5DA1044C">
        <w:t>appear</w:t>
      </w:r>
      <w:r w:rsidR="63835502" w:rsidRPr="5DA1044C">
        <w:t xml:space="preserve"> in line with </w:t>
      </w:r>
      <w:r w:rsidR="379DF38D" w:rsidRPr="5DA1044C">
        <w:t>the conclusion of certain claims clusters</w:t>
      </w:r>
      <w:r w:rsidR="63835502" w:rsidRPr="5DA1044C">
        <w:t xml:space="preserve"> and the </w:t>
      </w:r>
      <w:r w:rsidR="7B99D891" w:rsidRPr="5DA1044C">
        <w:t>long-term</w:t>
      </w:r>
      <w:r w:rsidR="63835502" w:rsidRPr="5DA1044C">
        <w:t xml:space="preserve"> </w:t>
      </w:r>
      <w:r w:rsidR="379DF38D" w:rsidRPr="5DA1044C">
        <w:t xml:space="preserve">trend; </w:t>
      </w:r>
      <w:r w:rsidR="3763E25D" w:rsidRPr="5DA1044C">
        <w:t>thus,</w:t>
      </w:r>
      <w:r w:rsidR="379DF38D" w:rsidRPr="5DA1044C">
        <w:t xml:space="preserve"> no adjustment was made to the insurers’ data this year</w:t>
      </w:r>
      <w:r w:rsidR="63835502" w:rsidRPr="5DA1044C">
        <w:t xml:space="preserve">. </w:t>
      </w:r>
      <w:r w:rsidR="1BE4FE66" w:rsidRPr="5DA1044C">
        <w:t xml:space="preserve"> </w:t>
      </w:r>
    </w:p>
    <w:p w14:paraId="6E5E34C8" w14:textId="0675C967" w:rsidR="007E52B7" w:rsidRPr="00D32139" w:rsidRDefault="230BA145" w:rsidP="5DA1044C">
      <w:pPr>
        <w:pStyle w:val="AppendixParagraph"/>
        <w:numPr>
          <w:ilvl w:val="1"/>
          <w:numId w:val="26"/>
        </w:numPr>
        <w:ind w:left="794" w:hanging="340"/>
      </w:pPr>
      <w:r w:rsidRPr="5DA1044C">
        <w:t>By comparing t</w:t>
      </w:r>
      <w:r w:rsidR="6743C15F" w:rsidRPr="5DA1044C">
        <w:t xml:space="preserve">he industry’s </w:t>
      </w:r>
      <w:r w:rsidR="59E48E48" w:rsidRPr="5DA1044C">
        <w:t xml:space="preserve">past payments and the </w:t>
      </w:r>
      <w:r w:rsidR="6743C15F" w:rsidRPr="5DA1044C">
        <w:t>past ROCS reimbursements</w:t>
      </w:r>
      <w:r w:rsidR="363D9829" w:rsidRPr="5DA1044C">
        <w:t xml:space="preserve"> received by insurers (according to </w:t>
      </w:r>
      <w:r w:rsidR="2C3FB967" w:rsidRPr="5DA1044C">
        <w:t>the</w:t>
      </w:r>
      <w:r w:rsidR="26D31B6B" w:rsidRPr="5DA1044C">
        <w:t xml:space="preserve"> industry</w:t>
      </w:r>
      <w:r w:rsidR="363D9829" w:rsidRPr="5DA1044C">
        <w:t xml:space="preserve"> data)</w:t>
      </w:r>
      <w:r w:rsidR="59E48E48" w:rsidRPr="5DA1044C">
        <w:t xml:space="preserve">, the </w:t>
      </w:r>
      <w:r w:rsidR="1528ADB4" w:rsidRPr="5DA1044C">
        <w:t>liability</w:t>
      </w:r>
      <w:r w:rsidR="305741A6" w:rsidRPr="5DA1044C">
        <w:t xml:space="preserve"> in relation to </w:t>
      </w:r>
      <w:r w:rsidR="1528ADB4" w:rsidRPr="5DA1044C">
        <w:t xml:space="preserve">paid but not yet reimbursed </w:t>
      </w:r>
      <w:r w:rsidR="305741A6" w:rsidRPr="5DA1044C">
        <w:t xml:space="preserve">claims </w:t>
      </w:r>
      <w:proofErr w:type="gramStart"/>
      <w:r w:rsidR="1528ADB4" w:rsidRPr="5DA1044C">
        <w:t>is</w:t>
      </w:r>
      <w:proofErr w:type="gramEnd"/>
      <w:r w:rsidR="1528ADB4" w:rsidRPr="5DA1044C">
        <w:t xml:space="preserve"> determined</w:t>
      </w:r>
      <w:r w:rsidR="26CA9468" w:rsidRPr="5DA1044C">
        <w:t>.</w:t>
      </w:r>
      <w:r w:rsidR="1007D48A" w:rsidRPr="5DA1044C">
        <w:t xml:space="preserve"> The </w:t>
      </w:r>
      <w:r w:rsidR="24BFF78C" w:rsidRPr="5DA1044C">
        <w:t xml:space="preserve">residual </w:t>
      </w:r>
      <w:r w:rsidR="1007D48A" w:rsidRPr="5DA1044C">
        <w:t xml:space="preserve">liability </w:t>
      </w:r>
      <w:r w:rsidR="042B3885" w:rsidRPr="5DA1044C">
        <w:t xml:space="preserve">in relation to notified claims </w:t>
      </w:r>
      <w:r w:rsidR="1007D48A" w:rsidRPr="5DA1044C">
        <w:t xml:space="preserve">is </w:t>
      </w:r>
      <w:r w:rsidR="042B3885" w:rsidRPr="5DA1044C">
        <w:t>attributed</w:t>
      </w:r>
      <w:r w:rsidR="1007D48A" w:rsidRPr="5DA1044C">
        <w:t xml:space="preserve"> to claims not yet paid by insurers</w:t>
      </w:r>
      <w:r w:rsidR="24BFF78C" w:rsidRPr="5DA1044C">
        <w:t xml:space="preserve">. </w:t>
      </w:r>
      <w:r w:rsidR="26CA9468" w:rsidRPr="5DA1044C">
        <w:t xml:space="preserve"> </w:t>
      </w:r>
      <w:bookmarkEnd w:id="144"/>
      <w:bookmarkEnd w:id="145"/>
      <w:bookmarkEnd w:id="146"/>
      <w:bookmarkEnd w:id="147"/>
    </w:p>
    <w:p w14:paraId="6B79EF6C" w14:textId="77777777" w:rsidR="00DF2FA5" w:rsidRDefault="00DF2FA5" w:rsidP="00DF2FA5">
      <w:pPr>
        <w:pStyle w:val="Heading3"/>
      </w:pPr>
      <w:r>
        <w:t>Liabilities in relation to IBNR claims</w:t>
      </w:r>
    </w:p>
    <w:p w14:paraId="5FF20B79" w14:textId="06821DA9" w:rsidR="003418DA" w:rsidRPr="0052068F" w:rsidRDefault="003418DA" w:rsidP="0052068F">
      <w:pPr>
        <w:pStyle w:val="AppendixParagraph"/>
        <w:numPr>
          <w:ilvl w:val="1"/>
          <w:numId w:val="26"/>
        </w:numPr>
        <w:ind w:left="794" w:hanging="340"/>
        <w:rPr>
          <w:lang w:val="en-AU"/>
        </w:rPr>
      </w:pPr>
      <w:r w:rsidRPr="00C406EF">
        <w:rPr>
          <w:lang w:val="en-AU"/>
        </w:rPr>
        <w:t xml:space="preserve">Due to the nature of this type of liability, claims may be </w:t>
      </w:r>
      <w:r w:rsidR="000C386C">
        <w:rPr>
          <w:lang w:val="en-AU"/>
        </w:rPr>
        <w:t xml:space="preserve">formally </w:t>
      </w:r>
      <w:r w:rsidRPr="00C406EF">
        <w:rPr>
          <w:lang w:val="en-AU"/>
        </w:rPr>
        <w:t xml:space="preserve">notified many years after the event that </w:t>
      </w:r>
      <w:proofErr w:type="gramStart"/>
      <w:r w:rsidRPr="00C406EF">
        <w:rPr>
          <w:lang w:val="en-AU"/>
        </w:rPr>
        <w:t>actually gives</w:t>
      </w:r>
      <w:proofErr w:type="gramEnd"/>
      <w:r w:rsidRPr="00C406EF">
        <w:rPr>
          <w:lang w:val="en-AU"/>
        </w:rPr>
        <w:t xml:space="preserve"> rise to the claim has occurred. Industry provides a projection of claims that will be notified in each year for the next five years. Given the previous comment, </w:t>
      </w:r>
      <w:r w:rsidR="00D04F6F">
        <w:rPr>
          <w:lang w:val="en-AU"/>
        </w:rPr>
        <w:t>most</w:t>
      </w:r>
      <w:r w:rsidRPr="00C406EF">
        <w:rPr>
          <w:lang w:val="en-AU"/>
        </w:rPr>
        <w:t xml:space="preserve"> of the claims that will be notified next </w:t>
      </w:r>
      <w:r w:rsidRPr="00C406EF">
        <w:rPr>
          <w:lang w:val="en-AU"/>
        </w:rPr>
        <w:lastRenderedPageBreak/>
        <w:t>year will have already occurred at the valuation date</w:t>
      </w:r>
      <w:r w:rsidR="002F2521">
        <w:rPr>
          <w:lang w:val="en-AU"/>
        </w:rPr>
        <w:t>. Therefore, they are</w:t>
      </w:r>
      <w:r w:rsidRPr="00C406EF">
        <w:rPr>
          <w:lang w:val="en-AU"/>
        </w:rPr>
        <w:t xml:space="preserve"> already a liability of the scheme.</w:t>
      </w:r>
    </w:p>
    <w:p w14:paraId="63AF1744" w14:textId="60ADFF5B" w:rsidR="003418DA" w:rsidRDefault="003418DA" w:rsidP="0052068F">
      <w:pPr>
        <w:pStyle w:val="AppendixParagraph"/>
        <w:numPr>
          <w:ilvl w:val="1"/>
          <w:numId w:val="26"/>
        </w:numPr>
        <w:ind w:left="794" w:hanging="340"/>
        <w:rPr>
          <w:lang w:val="en-AU"/>
        </w:rPr>
      </w:pPr>
      <w:r>
        <w:rPr>
          <w:lang w:val="en-AU"/>
        </w:rPr>
        <w:t>Industry provides a cash flow projection of the total cost of expected notified claims for the next five years. These are adjusted as necessary and then extrapolated. A proportion of these claims will have already occurred and therefore form part of the IBNR liability. Further, given that claims can be reported many years into the future, some claims that will be notified beyond this five</w:t>
      </w:r>
      <w:r w:rsidR="009B0312">
        <w:rPr>
          <w:lang w:val="en-AU"/>
        </w:rPr>
        <w:noBreakHyphen/>
      </w:r>
      <w:r>
        <w:rPr>
          <w:lang w:val="en-AU"/>
        </w:rPr>
        <w:t>year period will also already be part of the IBNR liability.</w:t>
      </w:r>
    </w:p>
    <w:p w14:paraId="4F1C84A3" w14:textId="77777777" w:rsidR="003418DA" w:rsidRDefault="003418DA" w:rsidP="0052068F">
      <w:pPr>
        <w:pStyle w:val="AppendixParagraph"/>
        <w:numPr>
          <w:ilvl w:val="1"/>
          <w:numId w:val="26"/>
        </w:numPr>
        <w:ind w:left="794" w:hanging="340"/>
        <w:rPr>
          <w:lang w:val="en-AU"/>
        </w:rPr>
      </w:pPr>
      <w:r>
        <w:rPr>
          <w:lang w:val="en-AU"/>
        </w:rPr>
        <w:t>Taking this into account, the following approach is adopted to derive the IBNR liability from the industry estimate:</w:t>
      </w:r>
    </w:p>
    <w:p w14:paraId="14194180" w14:textId="3AE10D7E" w:rsidR="003418DA" w:rsidRPr="00785745" w:rsidRDefault="003418DA" w:rsidP="00952046">
      <w:pPr>
        <w:pStyle w:val="NormalIndent"/>
        <w:numPr>
          <w:ilvl w:val="0"/>
          <w:numId w:val="36"/>
        </w:numPr>
        <w:spacing w:after="200"/>
        <w:rPr>
          <w:rFonts w:cs="Arial"/>
        </w:rPr>
      </w:pPr>
      <w:r w:rsidRPr="00785745">
        <w:rPr>
          <w:rFonts w:cs="Arial"/>
        </w:rPr>
        <w:t>The industry</w:t>
      </w:r>
      <w:r w:rsidR="009B0312">
        <w:rPr>
          <w:rFonts w:cs="Arial"/>
        </w:rPr>
        <w:t>’</w:t>
      </w:r>
      <w:r w:rsidRPr="00785745">
        <w:rPr>
          <w:rFonts w:cs="Arial"/>
        </w:rPr>
        <w:t xml:space="preserve">s </w:t>
      </w:r>
      <w:r w:rsidR="00C3070F">
        <w:rPr>
          <w:rFonts w:cs="Arial"/>
        </w:rPr>
        <w:t>five</w:t>
      </w:r>
      <w:r w:rsidR="009B0312">
        <w:rPr>
          <w:rFonts w:cs="Arial"/>
        </w:rPr>
        <w:noBreakHyphen/>
      </w:r>
      <w:r w:rsidRPr="00785745">
        <w:rPr>
          <w:rFonts w:cs="Arial"/>
        </w:rPr>
        <w:t>year projection is adjusted as necessary and extrapolated for the next 50 years.</w:t>
      </w:r>
    </w:p>
    <w:p w14:paraId="27F28EA3" w14:textId="77777777" w:rsidR="003418DA" w:rsidRPr="00785745" w:rsidRDefault="003418DA" w:rsidP="00952046">
      <w:pPr>
        <w:pStyle w:val="NormalIndent"/>
        <w:numPr>
          <w:ilvl w:val="0"/>
          <w:numId w:val="36"/>
        </w:numPr>
        <w:spacing w:after="200"/>
        <w:rPr>
          <w:rFonts w:cs="Arial"/>
        </w:rPr>
      </w:pPr>
      <w:r w:rsidRPr="00785745">
        <w:rPr>
          <w:rFonts w:cs="Arial"/>
        </w:rPr>
        <w:t>We apply our observed pattern of the period of delay from an incident occurring to it being reported and being eligible for ROCS to determine the portion of the projected future total claims payments that have already occurred and are therefore already liabilities of the scheme.</w:t>
      </w:r>
    </w:p>
    <w:p w14:paraId="1F56D377" w14:textId="435D82C0" w:rsidR="003418DA" w:rsidRPr="005D4502" w:rsidRDefault="003418DA" w:rsidP="00952046">
      <w:pPr>
        <w:pStyle w:val="NormalIndent"/>
        <w:numPr>
          <w:ilvl w:val="0"/>
          <w:numId w:val="36"/>
        </w:numPr>
        <w:spacing w:after="200"/>
        <w:rPr>
          <w:rFonts w:cs="Arial"/>
        </w:rPr>
      </w:pPr>
      <w:r w:rsidRPr="00785745">
        <w:rPr>
          <w:rFonts w:cs="Arial"/>
        </w:rPr>
        <w:t xml:space="preserve">We then apply the observed cash flow patterns to allow for the time it takes to settle claims once notified, and inflation and discount rates are applied to </w:t>
      </w:r>
      <w:r w:rsidRPr="005D4502">
        <w:rPr>
          <w:rFonts w:cs="Arial"/>
        </w:rPr>
        <w:t>determine the present value of the liability.</w:t>
      </w:r>
    </w:p>
    <w:p w14:paraId="7C76DE98" w14:textId="11B192C6" w:rsidR="00283E3C" w:rsidRPr="0052068F" w:rsidRDefault="00C3070F" w:rsidP="0052068F">
      <w:pPr>
        <w:pStyle w:val="AppendixParagraph"/>
        <w:numPr>
          <w:ilvl w:val="1"/>
          <w:numId w:val="26"/>
        </w:numPr>
        <w:ind w:left="794" w:hanging="340"/>
        <w:rPr>
          <w:lang w:val="en-AU"/>
        </w:rPr>
      </w:pPr>
      <w:bookmarkStart w:id="148" w:name="_Ref97203652"/>
      <w:r w:rsidRPr="0052068F">
        <w:rPr>
          <w:lang w:val="en-AU"/>
        </w:rPr>
        <w:t xml:space="preserve">This year, we </w:t>
      </w:r>
      <w:r w:rsidR="00B569CC" w:rsidRPr="0052068F">
        <w:rPr>
          <w:lang w:val="en-AU"/>
        </w:rPr>
        <w:t xml:space="preserve">did not </w:t>
      </w:r>
      <w:r w:rsidR="00BE55D4" w:rsidRPr="0052068F">
        <w:rPr>
          <w:lang w:val="en-AU"/>
        </w:rPr>
        <w:t>appl</w:t>
      </w:r>
      <w:r w:rsidR="00B569CC" w:rsidRPr="0052068F">
        <w:rPr>
          <w:lang w:val="en-AU"/>
        </w:rPr>
        <w:t>y any</w:t>
      </w:r>
      <w:r w:rsidR="00644AF9" w:rsidRPr="0052068F">
        <w:rPr>
          <w:lang w:val="en-AU"/>
        </w:rPr>
        <w:t xml:space="preserve"> adjustment</w:t>
      </w:r>
      <w:r w:rsidR="00BE55D4" w:rsidRPr="0052068F">
        <w:rPr>
          <w:lang w:val="en-AU"/>
        </w:rPr>
        <w:t>s</w:t>
      </w:r>
      <w:r w:rsidR="00644AF9" w:rsidRPr="0052068F">
        <w:rPr>
          <w:lang w:val="en-AU"/>
        </w:rPr>
        <w:t xml:space="preserve"> </w:t>
      </w:r>
      <w:r w:rsidR="00BE55D4" w:rsidRPr="0052068F">
        <w:rPr>
          <w:lang w:val="en-AU"/>
        </w:rPr>
        <w:t>to</w:t>
      </w:r>
      <w:r w:rsidR="00644AF9" w:rsidRPr="0052068F">
        <w:rPr>
          <w:lang w:val="en-AU"/>
        </w:rPr>
        <w:t xml:space="preserve"> insurer</w:t>
      </w:r>
      <w:r w:rsidR="00BE55D4" w:rsidRPr="0052068F">
        <w:rPr>
          <w:lang w:val="en-AU"/>
        </w:rPr>
        <w:t>s’</w:t>
      </w:r>
      <w:r w:rsidR="00644AF9" w:rsidRPr="0052068F">
        <w:rPr>
          <w:lang w:val="en-AU"/>
        </w:rPr>
        <w:t xml:space="preserve"> projections</w:t>
      </w:r>
      <w:r w:rsidR="00807068" w:rsidRPr="0052068F">
        <w:rPr>
          <w:lang w:val="en-AU"/>
        </w:rPr>
        <w:t xml:space="preserve">. </w:t>
      </w:r>
      <w:bookmarkEnd w:id="148"/>
    </w:p>
    <w:p w14:paraId="74AC9C06" w14:textId="32DC1F7E" w:rsidR="003418DA" w:rsidRDefault="003418DA" w:rsidP="00D705EC">
      <w:pPr>
        <w:pStyle w:val="Heading3"/>
      </w:pPr>
      <w:r>
        <w:t>Claims Handling Expenses</w:t>
      </w:r>
    </w:p>
    <w:p w14:paraId="650A8F2E" w14:textId="653DDDD9" w:rsidR="003418DA" w:rsidRPr="0052068F" w:rsidRDefault="003418DA" w:rsidP="0052068F">
      <w:pPr>
        <w:pStyle w:val="AppendixParagraph"/>
        <w:numPr>
          <w:ilvl w:val="1"/>
          <w:numId w:val="26"/>
        </w:numPr>
        <w:ind w:left="794" w:hanging="340"/>
        <w:rPr>
          <w:lang w:val="en-AU"/>
        </w:rPr>
      </w:pPr>
      <w:r w:rsidRPr="0052068F">
        <w:rPr>
          <w:lang w:val="en-AU"/>
        </w:rPr>
        <w:t>The Scheme pays 5 per cent of the direct cost of each eligible claim to cover claims handling expenses. Where an eligible claim is partly covered by the HCCS, the allowance for claims handling expenses paid under the Scheme is 5 per cent of the total claim cost, including the portion covered by the HCCS. Claims costs are therefore grossed up by an allowance that represents the proportion of Scheme claims that are paid by the HCCS.</w:t>
      </w:r>
      <w:r w:rsidR="00317446" w:rsidRPr="0052068F">
        <w:rPr>
          <w:lang w:val="en-AU"/>
        </w:rPr>
        <w:t xml:space="preserve"> This proportion is assumed to be 1</w:t>
      </w:r>
      <w:r w:rsidR="00533689" w:rsidRPr="0052068F">
        <w:rPr>
          <w:lang w:val="en-AU"/>
        </w:rPr>
        <w:t>7</w:t>
      </w:r>
      <w:r w:rsidR="00317446" w:rsidRPr="0052068F">
        <w:rPr>
          <w:lang w:val="en-AU"/>
        </w:rPr>
        <w:t xml:space="preserve">%. </w:t>
      </w:r>
    </w:p>
    <w:p w14:paraId="48E02180" w14:textId="298C05CA" w:rsidR="003921E5" w:rsidRPr="003E5E47" w:rsidRDefault="003418DA" w:rsidP="00BD14CF">
      <w:pPr>
        <w:pStyle w:val="Heading3"/>
        <w:ind w:left="0" w:firstLine="0"/>
      </w:pPr>
      <w:r w:rsidRPr="003E5E47">
        <w:lastRenderedPageBreak/>
        <w:t xml:space="preserve">Comparison of Actual and Expected Liabilities </w:t>
      </w:r>
      <w:proofErr w:type="gramStart"/>
      <w:r w:rsidRPr="003E5E47">
        <w:t>at</w:t>
      </w:r>
      <w:proofErr w:type="gramEnd"/>
      <w:r w:rsidRPr="003E5E47">
        <w:t xml:space="preserve"> 30 June</w:t>
      </w:r>
      <w:r w:rsidR="003921E5" w:rsidRPr="003E5E47">
        <w:t xml:space="preserve"> 202</w:t>
      </w:r>
      <w:r w:rsidR="00F4089E" w:rsidRPr="003E5E47">
        <w:t>4</w:t>
      </w:r>
    </w:p>
    <w:p w14:paraId="6F813ADA" w14:textId="7ABD24EE" w:rsidR="003418DA" w:rsidRPr="0052068F" w:rsidRDefault="003418DA" w:rsidP="0052068F">
      <w:pPr>
        <w:pStyle w:val="AppendixParagraph"/>
        <w:numPr>
          <w:ilvl w:val="1"/>
          <w:numId w:val="26"/>
        </w:numPr>
        <w:ind w:left="794" w:hanging="340"/>
        <w:rPr>
          <w:lang w:val="en-AU"/>
        </w:rPr>
      </w:pPr>
      <w:r w:rsidRPr="0052068F">
        <w:rPr>
          <w:lang w:val="en-AU"/>
        </w:rPr>
        <w:t xml:space="preserve">In any valuation, it is informative to compare 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liabilities</w:t>
      </w:r>
      <w:r w:rsidRPr="0052068F">
        <w:rPr>
          <w:lang w:val="en-AU"/>
        </w:rPr>
        <w:footnoteReference w:id="14"/>
      </w:r>
      <w:r w:rsidRPr="0052068F">
        <w:rPr>
          <w:lang w:val="en-AU"/>
        </w:rPr>
        <w:t xml:space="preserve"> at the valuation date with that which was expected in the prior review. This can highlight areas where a change in approach, or experience has impacted the results.</w:t>
      </w:r>
    </w:p>
    <w:p w14:paraId="4BBBACEA" w14:textId="7BC569CF" w:rsidR="003418DA" w:rsidRPr="0052068F" w:rsidRDefault="003418DA" w:rsidP="0052068F">
      <w:pPr>
        <w:pStyle w:val="AppendixParagraph"/>
        <w:numPr>
          <w:ilvl w:val="1"/>
          <w:numId w:val="26"/>
        </w:numPr>
        <w:ind w:left="794" w:hanging="340"/>
        <w:rPr>
          <w:lang w:val="en-AU"/>
        </w:rPr>
      </w:pPr>
      <w:r w:rsidRPr="0052068F">
        <w:rPr>
          <w:lang w:val="en-AU"/>
        </w:rPr>
        <w:t xml:space="preserve">Table 14 compares 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Scheme liabilities in relation to prior medi</w:t>
      </w:r>
      <w:r w:rsidR="00675EF2" w:rsidRPr="0052068F">
        <w:rPr>
          <w:lang w:val="en-AU"/>
        </w:rPr>
        <w:t xml:space="preserve">cal incidents as </w:t>
      </w:r>
      <w:proofErr w:type="gramStart"/>
      <w:r w:rsidR="00675EF2" w:rsidRPr="0052068F">
        <w:rPr>
          <w:lang w:val="en-AU"/>
        </w:rPr>
        <w:t>at</w:t>
      </w:r>
      <w:proofErr w:type="gramEnd"/>
      <w:r w:rsidR="00675EF2" w:rsidRPr="0052068F">
        <w:rPr>
          <w:lang w:val="en-AU"/>
        </w:rPr>
        <w:t xml:space="preserve"> 30 June 202</w:t>
      </w:r>
      <w:r w:rsidR="001E48D0" w:rsidRPr="0052068F">
        <w:rPr>
          <w:lang w:val="en-AU"/>
        </w:rPr>
        <w:t>4</w:t>
      </w:r>
      <w:r w:rsidRPr="0052068F">
        <w:rPr>
          <w:lang w:val="en-AU"/>
        </w:rPr>
        <w:t xml:space="preserve"> to the </w:t>
      </w:r>
      <w:r w:rsidR="009B0312" w:rsidRPr="0052068F">
        <w:rPr>
          <w:lang w:val="en-AU"/>
        </w:rPr>
        <w:t>‘</w:t>
      </w:r>
      <w:r w:rsidRPr="0052068F">
        <w:rPr>
          <w:lang w:val="en-AU"/>
        </w:rPr>
        <w:t>expected</w:t>
      </w:r>
      <w:r w:rsidR="009B0312" w:rsidRPr="0052068F">
        <w:rPr>
          <w:lang w:val="en-AU"/>
        </w:rPr>
        <w:t>’</w:t>
      </w:r>
      <w:r w:rsidRPr="0052068F">
        <w:rPr>
          <w:lang w:val="en-AU"/>
        </w:rPr>
        <w:t xml:space="preserve"> amounts, which are based on the prior review and </w:t>
      </w:r>
      <w:r w:rsidR="00286158" w:rsidRPr="0052068F">
        <w:rPr>
          <w:lang w:val="en-AU"/>
        </w:rPr>
        <w:t>expected</w:t>
      </w:r>
      <w:r w:rsidRPr="0052068F">
        <w:rPr>
          <w:lang w:val="en-AU"/>
        </w:rPr>
        <w:t xml:space="preserve"> c</w:t>
      </w:r>
      <w:r w:rsidR="00675EF2" w:rsidRPr="0052068F">
        <w:rPr>
          <w:lang w:val="en-AU"/>
        </w:rPr>
        <w:t>ash flows during 20</w:t>
      </w:r>
      <w:r w:rsidR="00D02896" w:rsidRPr="0052068F">
        <w:rPr>
          <w:lang w:val="en-AU"/>
        </w:rPr>
        <w:t>2</w:t>
      </w:r>
      <w:r w:rsidR="001E48D0" w:rsidRPr="0052068F">
        <w:rPr>
          <w:lang w:val="en-AU"/>
        </w:rPr>
        <w:t>3</w:t>
      </w:r>
      <w:r w:rsidR="009B0312" w:rsidRPr="0052068F">
        <w:rPr>
          <w:lang w:val="en-AU"/>
        </w:rPr>
        <w:noBreakHyphen/>
      </w:r>
      <w:r w:rsidR="00675EF2" w:rsidRPr="0052068F">
        <w:rPr>
          <w:lang w:val="en-AU"/>
        </w:rPr>
        <w:t>2</w:t>
      </w:r>
      <w:r w:rsidR="003E5E47" w:rsidRPr="0052068F">
        <w:rPr>
          <w:lang w:val="en-AU"/>
        </w:rPr>
        <w:t>4</w:t>
      </w:r>
      <w:r w:rsidRPr="0052068F">
        <w:rPr>
          <w:lang w:val="en-AU"/>
        </w:rPr>
        <w:t xml:space="preserve">. Both the </w:t>
      </w:r>
      <w:r w:rsidR="009B0312" w:rsidRPr="0052068F">
        <w:rPr>
          <w:lang w:val="en-AU"/>
        </w:rPr>
        <w:t>‘</w:t>
      </w:r>
      <w:r w:rsidRPr="0052068F">
        <w:rPr>
          <w:lang w:val="en-AU"/>
        </w:rPr>
        <w:t>actual</w:t>
      </w:r>
      <w:r w:rsidR="009B0312" w:rsidRPr="0052068F">
        <w:rPr>
          <w:lang w:val="en-AU"/>
        </w:rPr>
        <w:t>’</w:t>
      </w:r>
      <w:r w:rsidRPr="0052068F">
        <w:rPr>
          <w:lang w:val="en-AU"/>
        </w:rPr>
        <w:t xml:space="preserve"> and the </w:t>
      </w:r>
      <w:r w:rsidR="009B0312" w:rsidRPr="0052068F">
        <w:rPr>
          <w:lang w:val="en-AU"/>
        </w:rPr>
        <w:t>‘</w:t>
      </w:r>
      <w:r w:rsidRPr="0052068F">
        <w:rPr>
          <w:lang w:val="en-AU"/>
        </w:rPr>
        <w:t>expected</w:t>
      </w:r>
      <w:r w:rsidR="009B0312" w:rsidRPr="0052068F">
        <w:rPr>
          <w:lang w:val="en-AU"/>
        </w:rPr>
        <w:t>’</w:t>
      </w:r>
      <w:r w:rsidRPr="0052068F">
        <w:rPr>
          <w:lang w:val="en-AU"/>
        </w:rPr>
        <w:t xml:space="preserve"> estimated liabilities have been discounted at 5 per cent per annum. For simplicity, the liability for the amount paid by MIIs but not yet recovered and claims handling expense allowance are not included.</w:t>
      </w:r>
    </w:p>
    <w:p w14:paraId="79E56040" w14:textId="478D5438" w:rsidR="003418DA" w:rsidRPr="00D6236F" w:rsidRDefault="003418DA" w:rsidP="0040224A">
      <w:pPr>
        <w:pStyle w:val="Caption"/>
      </w:pPr>
      <w:r w:rsidRPr="00396CB0">
        <w:t>Table 14: Actual ver</w:t>
      </w:r>
      <w:r w:rsidRPr="00FD7431">
        <w:t>sus expected liabil</w:t>
      </w:r>
      <w:r w:rsidR="00675EF2" w:rsidRPr="00FD7431">
        <w:t xml:space="preserve">ity estimates as </w:t>
      </w:r>
      <w:proofErr w:type="gramStart"/>
      <w:r w:rsidR="00675EF2" w:rsidRPr="00FD7431">
        <w:t>at</w:t>
      </w:r>
      <w:proofErr w:type="gramEnd"/>
      <w:r w:rsidR="00675EF2" w:rsidRPr="00FD7431">
        <w:t xml:space="preserve"> 30 June 202</w:t>
      </w:r>
      <w:r w:rsidR="003E5E47">
        <w:t>4</w:t>
      </w:r>
      <w:r w:rsidRPr="00FD7431">
        <w:t xml:space="preserve"> ($</w:t>
      </w:r>
      <w:r w:rsidR="009B0312" w:rsidRPr="00FD7431">
        <w:t>’</w:t>
      </w:r>
      <w:r w:rsidRPr="00FD7431">
        <w:t>m)</w:t>
      </w:r>
    </w:p>
    <w:p w14:paraId="6FAA6FE2" w14:textId="3AAA884F" w:rsidR="003418DA" w:rsidRDefault="008612EC" w:rsidP="00FD7431">
      <w:pPr>
        <w:pStyle w:val="TableGraphic"/>
        <w:jc w:val="center"/>
      </w:pPr>
      <w:r w:rsidRPr="008612EC">
        <w:rPr>
          <w:noProof/>
        </w:rPr>
        <w:drawing>
          <wp:inline distT="0" distB="0" distL="0" distR="0" wp14:anchorId="7BA07311" wp14:editId="45C8928A">
            <wp:extent cx="4702810" cy="588010"/>
            <wp:effectExtent l="0" t="0" r="2540" b="0"/>
            <wp:docPr id="927583342" name="Picture 10" descr="Our estimate of the liability as at 30 June 2024 (excluding outstanding compliance costs and paid not yet reimbursed) based on the latest data was $15 million higher than what we expected in our last review. The “actual” liability in relation to notified not yet paid claims is $5 million higher than expected, and the “actual” liability in relation to IBNR claims is $9.6 million higher than ex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2810" cy="588010"/>
                    </a:xfrm>
                    <a:prstGeom prst="rect">
                      <a:avLst/>
                    </a:prstGeom>
                    <a:noFill/>
                    <a:ln>
                      <a:noFill/>
                    </a:ln>
                  </pic:spPr>
                </pic:pic>
              </a:graphicData>
            </a:graphic>
          </wp:inline>
        </w:drawing>
      </w:r>
    </w:p>
    <w:p w14:paraId="78931C05" w14:textId="77777777" w:rsidR="003418DA" w:rsidRPr="00845FDE" w:rsidRDefault="003418DA" w:rsidP="009F06E8">
      <w:pPr>
        <w:pStyle w:val="SingleParagraph"/>
      </w:pPr>
    </w:p>
    <w:p w14:paraId="1E29E0A1" w14:textId="10FBA8F6" w:rsidR="003418DA" w:rsidRPr="0052068F" w:rsidRDefault="003418DA" w:rsidP="0052068F">
      <w:pPr>
        <w:pStyle w:val="AppendixParagraph"/>
        <w:numPr>
          <w:ilvl w:val="1"/>
          <w:numId w:val="26"/>
        </w:numPr>
        <w:ind w:left="794" w:hanging="340"/>
        <w:rPr>
          <w:lang w:val="en-AU"/>
        </w:rPr>
      </w:pPr>
      <w:r w:rsidRPr="0052068F">
        <w:rPr>
          <w:lang w:val="en-AU"/>
        </w:rPr>
        <w:t xml:space="preserve">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liability is about $</w:t>
      </w:r>
      <w:r w:rsidR="00D1626E" w:rsidRPr="0052068F">
        <w:rPr>
          <w:lang w:val="en-AU"/>
        </w:rPr>
        <w:t>1</w:t>
      </w:r>
      <w:r w:rsidR="008612EC" w:rsidRPr="0052068F">
        <w:rPr>
          <w:lang w:val="en-AU"/>
        </w:rPr>
        <w:t>4.6</w:t>
      </w:r>
      <w:r w:rsidRPr="0052068F">
        <w:rPr>
          <w:lang w:val="en-AU"/>
        </w:rPr>
        <w:t xml:space="preserve"> million higher than the </w:t>
      </w:r>
      <w:r w:rsidR="009B0312" w:rsidRPr="0052068F">
        <w:rPr>
          <w:lang w:val="en-AU"/>
        </w:rPr>
        <w:t>‘</w:t>
      </w:r>
      <w:r w:rsidRPr="0052068F">
        <w:rPr>
          <w:lang w:val="en-AU"/>
        </w:rPr>
        <w:t>expected</w:t>
      </w:r>
      <w:r w:rsidR="009B0312" w:rsidRPr="0052068F">
        <w:rPr>
          <w:lang w:val="en-AU"/>
        </w:rPr>
        <w:t>’</w:t>
      </w:r>
      <w:r w:rsidRPr="0052068F">
        <w:rPr>
          <w:lang w:val="en-AU"/>
        </w:rPr>
        <w:t xml:space="preserve"> liability based on the prior review. </w:t>
      </w:r>
      <w:r w:rsidR="00E216A0" w:rsidRPr="0052068F">
        <w:rPr>
          <w:lang w:val="en-AU"/>
        </w:rPr>
        <w:t xml:space="preserve">This </w:t>
      </w:r>
      <w:r w:rsidR="00385CBF" w:rsidRPr="0052068F">
        <w:rPr>
          <w:lang w:val="en-AU"/>
        </w:rPr>
        <w:t>is</w:t>
      </w:r>
      <w:r w:rsidR="00E216A0" w:rsidRPr="0052068F">
        <w:rPr>
          <w:lang w:val="en-AU"/>
        </w:rPr>
        <w:t xml:space="preserve"> driven by </w:t>
      </w:r>
      <w:r w:rsidR="00496BB3" w:rsidRPr="0052068F">
        <w:rPr>
          <w:lang w:val="en-AU"/>
        </w:rPr>
        <w:t xml:space="preserve">the </w:t>
      </w:r>
      <w:r w:rsidR="00385CBF" w:rsidRPr="0052068F">
        <w:rPr>
          <w:lang w:val="en-AU"/>
        </w:rPr>
        <w:t>increase</w:t>
      </w:r>
      <w:r w:rsidR="00B00440" w:rsidRPr="0052068F">
        <w:rPr>
          <w:lang w:val="en-AU"/>
        </w:rPr>
        <w:t xml:space="preserve"> in </w:t>
      </w:r>
      <w:r w:rsidR="008612EC" w:rsidRPr="0052068F">
        <w:rPr>
          <w:lang w:val="en-AU"/>
        </w:rPr>
        <w:t xml:space="preserve">both </w:t>
      </w:r>
      <w:r w:rsidR="00B00440" w:rsidRPr="0052068F">
        <w:rPr>
          <w:lang w:val="en-AU"/>
        </w:rPr>
        <w:t xml:space="preserve">the IBNR estimate </w:t>
      </w:r>
      <w:r w:rsidR="008612EC" w:rsidRPr="0052068F">
        <w:rPr>
          <w:lang w:val="en-AU"/>
        </w:rPr>
        <w:t>and the higher</w:t>
      </w:r>
      <w:r w:rsidRPr="0052068F">
        <w:rPr>
          <w:lang w:val="en-AU"/>
        </w:rPr>
        <w:t xml:space="preserve"> estimates provided by industry actuaries in late 20</w:t>
      </w:r>
      <w:r w:rsidR="00286158" w:rsidRPr="0052068F">
        <w:rPr>
          <w:lang w:val="en-AU"/>
        </w:rPr>
        <w:t>2</w:t>
      </w:r>
      <w:r w:rsidR="008612EC" w:rsidRPr="0052068F">
        <w:rPr>
          <w:lang w:val="en-AU"/>
        </w:rPr>
        <w:t>4</w:t>
      </w:r>
      <w:r w:rsidRPr="0052068F">
        <w:rPr>
          <w:lang w:val="en-AU"/>
        </w:rPr>
        <w:t xml:space="preserve"> pertaining to the claims notified but not yet paid</w:t>
      </w:r>
      <w:r w:rsidR="00E2031D" w:rsidRPr="0052068F">
        <w:rPr>
          <w:lang w:val="en-AU"/>
        </w:rPr>
        <w:t>.</w:t>
      </w:r>
      <w:r w:rsidRPr="0052068F">
        <w:rPr>
          <w:lang w:val="en-AU"/>
        </w:rPr>
        <w:t xml:space="preserve"> </w:t>
      </w:r>
    </w:p>
    <w:p w14:paraId="70047B54" w14:textId="6D8BA7DD" w:rsidR="003418DA" w:rsidRDefault="003418DA" w:rsidP="00D705EC">
      <w:pPr>
        <w:pStyle w:val="Heading3"/>
      </w:pPr>
      <w:r w:rsidRPr="00722704">
        <w:t xml:space="preserve">Uncertainty in </w:t>
      </w:r>
      <w:r>
        <w:t xml:space="preserve">the Liability as </w:t>
      </w:r>
      <w:proofErr w:type="gramStart"/>
      <w:r>
        <w:t>at</w:t>
      </w:r>
      <w:proofErr w:type="gramEnd"/>
      <w:r>
        <w:t xml:space="preserve"> 30 Jun</w:t>
      </w:r>
      <w:r w:rsidRPr="00A93041">
        <w:t>e 20</w:t>
      </w:r>
      <w:r w:rsidR="00286158" w:rsidRPr="00A93041">
        <w:t>2</w:t>
      </w:r>
      <w:r w:rsidR="003B25F2" w:rsidRPr="00A93041">
        <w:t>4</w:t>
      </w:r>
    </w:p>
    <w:p w14:paraId="4127E3BD" w14:textId="153DEB19" w:rsidR="003418DA" w:rsidRDefault="003418DA" w:rsidP="0052068F">
      <w:pPr>
        <w:pStyle w:val="AppendixParagraph"/>
        <w:numPr>
          <w:ilvl w:val="1"/>
          <w:numId w:val="26"/>
        </w:numPr>
        <w:ind w:left="794" w:hanging="340"/>
        <w:rPr>
          <w:lang w:val="en-AU"/>
        </w:rPr>
      </w:pPr>
      <w:r>
        <w:rPr>
          <w:lang w:val="en-AU"/>
        </w:rPr>
        <w:t xml:space="preserve">The greatest uncertainty arises from the nature of the </w:t>
      </w:r>
      <w:r w:rsidR="00B60E9E">
        <w:rPr>
          <w:lang w:val="en-AU"/>
        </w:rPr>
        <w:t>S</w:t>
      </w:r>
      <w:r>
        <w:rPr>
          <w:lang w:val="en-AU"/>
        </w:rPr>
        <w:t>cheme. Run</w:t>
      </w:r>
      <w:r w:rsidR="009B0312">
        <w:rPr>
          <w:lang w:val="en-AU"/>
        </w:rPr>
        <w:noBreakHyphen/>
      </w:r>
      <w:r>
        <w:rPr>
          <w:lang w:val="en-AU"/>
        </w:rPr>
        <w:t>off cover claims are inherently long</w:t>
      </w:r>
      <w:r w:rsidR="009B0312">
        <w:rPr>
          <w:lang w:val="en-AU"/>
        </w:rPr>
        <w:noBreakHyphen/>
      </w:r>
      <w:r>
        <w:rPr>
          <w:lang w:val="en-AU"/>
        </w:rPr>
        <w:t>tailed, which means that it can take decades for the scheme to mature in a cash flow sense. In addition, claims cost related to bodily injury is highly variable and tend to be dominated by a small number of large claims. Therefore, it is impossible to estimate the scheme liability with certainty.</w:t>
      </w:r>
    </w:p>
    <w:p w14:paraId="32589CE8" w14:textId="77777777" w:rsidR="003418DA" w:rsidRDefault="003418DA" w:rsidP="0052068F">
      <w:pPr>
        <w:pStyle w:val="AppendixParagraph"/>
        <w:numPr>
          <w:ilvl w:val="1"/>
          <w:numId w:val="26"/>
        </w:numPr>
        <w:ind w:left="794" w:hanging="340"/>
        <w:rPr>
          <w:lang w:val="en-AU"/>
        </w:rPr>
      </w:pPr>
      <w:r>
        <w:rPr>
          <w:lang w:val="en-AU"/>
        </w:rPr>
        <w:t>Our approach for estimating scheme liability, by necessity, focuses on reasonableness of assumptions, of the methodology</w:t>
      </w:r>
      <w:r w:rsidRPr="00722704">
        <w:rPr>
          <w:lang w:val="en-AU"/>
        </w:rPr>
        <w:t xml:space="preserve"> </w:t>
      </w:r>
      <w:r>
        <w:rPr>
          <w:lang w:val="en-AU"/>
        </w:rPr>
        <w:t>and monitoring the progress between projected and actual payments over time.</w:t>
      </w:r>
    </w:p>
    <w:p w14:paraId="0C88428E" w14:textId="52913D02" w:rsidR="003418DA" w:rsidRPr="0052068F" w:rsidRDefault="003418DA" w:rsidP="0052068F">
      <w:pPr>
        <w:pStyle w:val="AppendixParagraph"/>
        <w:numPr>
          <w:ilvl w:val="1"/>
          <w:numId w:val="26"/>
        </w:numPr>
        <w:ind w:left="794" w:hanging="340"/>
        <w:rPr>
          <w:lang w:val="en-AU"/>
        </w:rPr>
      </w:pPr>
      <w:r>
        <w:rPr>
          <w:lang w:val="en-AU"/>
        </w:rPr>
        <w:t xml:space="preserve">We </w:t>
      </w:r>
      <w:proofErr w:type="gramStart"/>
      <w:r w:rsidRPr="00CE4F59">
        <w:rPr>
          <w:lang w:val="en-AU"/>
        </w:rPr>
        <w:t>have to</w:t>
      </w:r>
      <w:proofErr w:type="gramEnd"/>
      <w:r w:rsidRPr="00CE4F59">
        <w:rPr>
          <w:lang w:val="en-AU"/>
        </w:rPr>
        <w:t xml:space="preserve"> rely extensively on the high</w:t>
      </w:r>
      <w:r w:rsidR="009B0312">
        <w:rPr>
          <w:lang w:val="en-AU"/>
        </w:rPr>
        <w:noBreakHyphen/>
      </w:r>
      <w:r w:rsidRPr="00CE4F59">
        <w:rPr>
          <w:lang w:val="en-AU"/>
        </w:rPr>
        <w:t xml:space="preserve">level cash flow projections provided by industry actuaries. </w:t>
      </w:r>
      <w:r>
        <w:rPr>
          <w:lang w:val="en-AU"/>
        </w:rPr>
        <w:t xml:space="preserve">Data often changes significantly year on year, and they can </w:t>
      </w:r>
      <w:r>
        <w:rPr>
          <w:lang w:val="en-AU"/>
        </w:rPr>
        <w:lastRenderedPageBreak/>
        <w:t xml:space="preserve">be very </w:t>
      </w:r>
      <w:r w:rsidRPr="00DB765D">
        <w:rPr>
          <w:lang w:val="en-AU"/>
        </w:rPr>
        <w:t xml:space="preserve">different to the historical payment trend as suggested by </w:t>
      </w:r>
      <w:r>
        <w:rPr>
          <w:lang w:val="en-AU"/>
        </w:rPr>
        <w:t>Services Australia</w:t>
      </w:r>
      <w:r w:rsidRPr="00DB765D">
        <w:rPr>
          <w:lang w:val="en-AU"/>
        </w:rPr>
        <w:t xml:space="preserve"> payments data. Attempting to reconcile the two different sources of data </w:t>
      </w:r>
      <w:r w:rsidRPr="0052068F">
        <w:rPr>
          <w:lang w:val="en-AU"/>
        </w:rPr>
        <w:t>is one area of difficulty when estimating run</w:t>
      </w:r>
      <w:r w:rsidR="009B0312" w:rsidRPr="0052068F">
        <w:rPr>
          <w:lang w:val="en-AU"/>
        </w:rPr>
        <w:noBreakHyphen/>
      </w:r>
      <w:r w:rsidRPr="0052068F">
        <w:rPr>
          <w:lang w:val="en-AU"/>
        </w:rPr>
        <w:t>off cover claims cost.</w:t>
      </w:r>
    </w:p>
    <w:p w14:paraId="626E05FE" w14:textId="75BAD005" w:rsidR="003418DA" w:rsidRPr="0052068F" w:rsidRDefault="003418DA" w:rsidP="0052068F">
      <w:pPr>
        <w:pStyle w:val="AppendixParagraph"/>
        <w:numPr>
          <w:ilvl w:val="1"/>
          <w:numId w:val="26"/>
        </w:numPr>
        <w:ind w:left="794" w:hanging="340"/>
        <w:rPr>
          <w:lang w:val="en-AU"/>
        </w:rPr>
      </w:pPr>
      <w:r w:rsidRPr="0052068F">
        <w:rPr>
          <w:lang w:val="en-AU"/>
        </w:rPr>
        <w:t xml:space="preserve">The IBNR component is also dependent on the assumed notification pattern. This has been updated </w:t>
      </w:r>
      <w:r w:rsidR="00E95D1F" w:rsidRPr="0052068F">
        <w:rPr>
          <w:lang w:val="en-AU"/>
        </w:rPr>
        <w:t>several</w:t>
      </w:r>
      <w:r w:rsidRPr="0052068F">
        <w:rPr>
          <w:lang w:val="en-AU"/>
        </w:rPr>
        <w:t xml:space="preserve"> times since the beginning of the scheme as more data </w:t>
      </w:r>
      <w:r w:rsidR="00E95D1F" w:rsidRPr="0052068F">
        <w:rPr>
          <w:lang w:val="en-AU"/>
        </w:rPr>
        <w:t>emerged</w:t>
      </w:r>
      <w:r w:rsidRPr="0052068F">
        <w:rPr>
          <w:lang w:val="en-AU"/>
        </w:rPr>
        <w:t>. This has reflected the shorter notification delays that we have observed. In theory, a shorter notification pattern would imply a lower ROCS liability as the medical practitioner is less likely to have ceased private practice at the time of notification.</w:t>
      </w:r>
      <w:r w:rsidR="006A08E0" w:rsidRPr="0052068F">
        <w:rPr>
          <w:lang w:val="en-AU"/>
        </w:rPr>
        <w:t xml:space="preserve"> </w:t>
      </w:r>
    </w:p>
    <w:p w14:paraId="31E8DB42" w14:textId="77A5122B" w:rsidR="003418DA" w:rsidRPr="00D369EE" w:rsidRDefault="003418DA" w:rsidP="0052068F">
      <w:pPr>
        <w:pStyle w:val="AppendixParagraph"/>
        <w:numPr>
          <w:ilvl w:val="1"/>
          <w:numId w:val="26"/>
        </w:numPr>
        <w:ind w:left="794" w:hanging="340"/>
        <w:rPr>
          <w:lang w:val="en-AU"/>
        </w:rPr>
      </w:pPr>
      <w:r w:rsidRPr="0006339E">
        <w:rPr>
          <w:lang w:val="en-AU"/>
        </w:rPr>
        <w:t xml:space="preserve">Ultimately, uncertainty is evidenced by the fact that the scheme is still </w:t>
      </w:r>
      <w:r w:rsidR="002D70CB">
        <w:rPr>
          <w:lang w:val="en-AU"/>
        </w:rPr>
        <w:t xml:space="preserve">relatively </w:t>
      </w:r>
      <w:r w:rsidRPr="0006339E">
        <w:rPr>
          <w:lang w:val="en-AU"/>
        </w:rPr>
        <w:t>immature</w:t>
      </w:r>
      <w:r w:rsidR="00452DD3">
        <w:rPr>
          <w:lang w:val="en-AU"/>
        </w:rPr>
        <w:t xml:space="preserve"> and there </w:t>
      </w:r>
      <w:r w:rsidR="00452DD3" w:rsidRPr="0006339E">
        <w:rPr>
          <w:lang w:val="en-AU"/>
        </w:rPr>
        <w:t xml:space="preserve">is </w:t>
      </w:r>
      <w:r w:rsidR="00452DD3">
        <w:rPr>
          <w:lang w:val="en-AU"/>
        </w:rPr>
        <w:t xml:space="preserve">still </w:t>
      </w:r>
      <w:r w:rsidR="00452DD3" w:rsidRPr="0006339E">
        <w:rPr>
          <w:lang w:val="en-AU"/>
        </w:rPr>
        <w:t xml:space="preserve">insufficient </w:t>
      </w:r>
      <w:r w:rsidR="00B02719">
        <w:rPr>
          <w:lang w:val="en-AU"/>
        </w:rPr>
        <w:t xml:space="preserve">reliable </w:t>
      </w:r>
      <w:r w:rsidR="00452DD3" w:rsidRPr="0006339E">
        <w:rPr>
          <w:lang w:val="en-AU"/>
        </w:rPr>
        <w:t xml:space="preserve">data for a </w:t>
      </w:r>
      <w:r w:rsidR="00452DD3">
        <w:rPr>
          <w:lang w:val="en-AU"/>
        </w:rPr>
        <w:t>ground</w:t>
      </w:r>
      <w:r w:rsidR="00452DD3">
        <w:rPr>
          <w:lang w:val="en-AU"/>
        </w:rPr>
        <w:noBreakHyphen/>
        <w:t>up granular</w:t>
      </w:r>
      <w:r w:rsidR="00452DD3" w:rsidRPr="0006339E">
        <w:rPr>
          <w:lang w:val="en-AU"/>
        </w:rPr>
        <w:t xml:space="preserve"> modelling approach.</w:t>
      </w:r>
      <w:r w:rsidR="00B02719">
        <w:rPr>
          <w:lang w:val="en-AU"/>
        </w:rPr>
        <w:t xml:space="preserve"> </w:t>
      </w:r>
      <w:r w:rsidR="002D70CB" w:rsidRPr="00A93041">
        <w:rPr>
          <w:lang w:val="en-AU"/>
        </w:rPr>
        <w:t xml:space="preserve">Only </w:t>
      </w:r>
      <w:r w:rsidR="00AB47D3" w:rsidRPr="00A93041">
        <w:rPr>
          <w:lang w:val="en-AU"/>
        </w:rPr>
        <w:t>1,</w:t>
      </w:r>
      <w:r w:rsidR="00EC1F90" w:rsidRPr="00A93041">
        <w:rPr>
          <w:lang w:val="en-AU"/>
        </w:rPr>
        <w:t>188</w:t>
      </w:r>
      <w:r w:rsidRPr="00A93041">
        <w:rPr>
          <w:lang w:val="en-AU"/>
        </w:rPr>
        <w:t xml:space="preserve"> claims</w:t>
      </w:r>
      <w:r w:rsidRPr="0006339E">
        <w:rPr>
          <w:lang w:val="en-AU"/>
        </w:rPr>
        <w:t xml:space="preserve"> have been notified to insurers that have </w:t>
      </w:r>
      <w:r w:rsidRPr="00D369EE">
        <w:rPr>
          <w:lang w:val="en-AU"/>
        </w:rPr>
        <w:t>a case estimate attached to them. The</w:t>
      </w:r>
      <w:r w:rsidR="001D6A25" w:rsidRPr="00D369EE">
        <w:rPr>
          <w:lang w:val="en-AU"/>
        </w:rPr>
        <w:t xml:space="preserve"> limitation in the claims data still dictates our reliance on the industry</w:t>
      </w:r>
      <w:r w:rsidR="009B0312" w:rsidRPr="00D369EE">
        <w:rPr>
          <w:lang w:val="en-AU"/>
        </w:rPr>
        <w:t>’</w:t>
      </w:r>
      <w:r w:rsidR="001D6A25" w:rsidRPr="00D369EE">
        <w:rPr>
          <w:lang w:val="en-AU"/>
        </w:rPr>
        <w:t xml:space="preserve">s projections. </w:t>
      </w:r>
    </w:p>
    <w:p w14:paraId="3DB0F227" w14:textId="68D17671" w:rsidR="003418DA" w:rsidRPr="0052068F" w:rsidRDefault="60E616AC" w:rsidP="5DA1044C">
      <w:pPr>
        <w:pStyle w:val="AppendixParagraph"/>
        <w:numPr>
          <w:ilvl w:val="1"/>
          <w:numId w:val="26"/>
        </w:numPr>
        <w:ind w:left="794" w:hanging="340"/>
      </w:pPr>
      <w:r w:rsidRPr="5DA1044C">
        <w:t xml:space="preserve">The </w:t>
      </w:r>
      <w:r w:rsidR="5B1A70D4" w:rsidRPr="5DA1044C">
        <w:t>half year payments made by Services Australia to December 202</w:t>
      </w:r>
      <w:r w:rsidR="53BFB614" w:rsidRPr="5DA1044C">
        <w:t>4</w:t>
      </w:r>
      <w:r w:rsidR="5B1A70D4" w:rsidRPr="5DA1044C">
        <w:t xml:space="preserve"> </w:t>
      </w:r>
      <w:r w:rsidR="7385266D" w:rsidRPr="5DA1044C">
        <w:t xml:space="preserve">suggests a </w:t>
      </w:r>
      <w:r w:rsidR="392C2F2A" w:rsidRPr="5DA1044C">
        <w:t xml:space="preserve">return to a </w:t>
      </w:r>
      <w:r w:rsidRPr="5DA1044C">
        <w:t>new normal level of ROCS payments</w:t>
      </w:r>
      <w:r w:rsidR="392C2F2A" w:rsidRPr="5DA1044C">
        <w:t xml:space="preserve"> after </w:t>
      </w:r>
      <w:r w:rsidR="06D6DC04" w:rsidRPr="5DA1044C">
        <w:t xml:space="preserve">the temporary influence of </w:t>
      </w:r>
      <w:r w:rsidR="392C2F2A" w:rsidRPr="5DA1044C">
        <w:t>certain clusters of claims</w:t>
      </w:r>
      <w:r w:rsidRPr="5DA1044C">
        <w:t>.</w:t>
      </w:r>
      <w:r w:rsidR="06D6DC04" w:rsidRPr="5DA1044C">
        <w:t xml:space="preserve"> </w:t>
      </w:r>
      <w:r w:rsidR="73E4CF99" w:rsidRPr="5DA1044C">
        <w:t xml:space="preserve">This was considered </w:t>
      </w:r>
      <w:r w:rsidR="05D3EB2A" w:rsidRPr="5DA1044C">
        <w:t>in</w:t>
      </w:r>
      <w:r w:rsidR="3DCC4AC3" w:rsidRPr="5DA1044C">
        <w:t xml:space="preserve"> determining whether any adjustments should be applied to</w:t>
      </w:r>
      <w:r w:rsidR="05D3EB2A" w:rsidRPr="5DA1044C">
        <w:t xml:space="preserve"> insurers’ data. </w:t>
      </w:r>
      <w:r w:rsidR="703ADF61" w:rsidRPr="5DA1044C">
        <w:t xml:space="preserve">But </w:t>
      </w:r>
      <w:r w:rsidR="4CA1C468" w:rsidRPr="5DA1044C">
        <w:t>a period of stability will be required before this new normal level can be ascertained.</w:t>
      </w:r>
      <w:r w:rsidR="33CCDC52" w:rsidRPr="5DA1044C">
        <w:t xml:space="preserve"> Furthermore, the </w:t>
      </w:r>
      <w:r w:rsidR="227F6DE6" w:rsidRPr="5DA1044C">
        <w:t>long-term</w:t>
      </w:r>
      <w:r w:rsidR="707E729A" w:rsidRPr="5DA1044C">
        <w:t xml:space="preserve"> impact of the </w:t>
      </w:r>
      <w:r w:rsidR="53A5FCC1" w:rsidRPr="5DA1044C">
        <w:t>temporary</w:t>
      </w:r>
      <w:r w:rsidR="33CCDC52" w:rsidRPr="5DA1044C">
        <w:t xml:space="preserve"> ROCS eligibility </w:t>
      </w:r>
      <w:r w:rsidR="53A5FCC1" w:rsidRPr="5DA1044C">
        <w:t>exemption</w:t>
      </w:r>
      <w:r w:rsidR="33CCDC52" w:rsidRPr="5DA1044C">
        <w:t xml:space="preserve"> </w:t>
      </w:r>
      <w:r w:rsidR="591A79B0" w:rsidRPr="5DA1044C">
        <w:t>and the waiv</w:t>
      </w:r>
      <w:r w:rsidR="5343ABA6" w:rsidRPr="5DA1044C">
        <w:t>er</w:t>
      </w:r>
      <w:r w:rsidR="591A79B0" w:rsidRPr="5DA1044C">
        <w:t xml:space="preserve"> of the three</w:t>
      </w:r>
      <w:r w:rsidR="009B0312" w:rsidRPr="0052068F">
        <w:rPr>
          <w:lang w:val="en-AU"/>
        </w:rPr>
        <w:noBreakHyphen/>
      </w:r>
      <w:r w:rsidR="591A79B0" w:rsidRPr="5DA1044C">
        <w:t xml:space="preserve">year waiting period for those resigned under 65 </w:t>
      </w:r>
      <w:r w:rsidR="707E729A" w:rsidRPr="5DA1044C">
        <w:t xml:space="preserve">may not be </w:t>
      </w:r>
      <w:r w:rsidR="6A4765E0" w:rsidRPr="5DA1044C">
        <w:t xml:space="preserve">fully </w:t>
      </w:r>
      <w:r w:rsidR="707E729A" w:rsidRPr="5DA1044C">
        <w:t>reflected in payments for</w:t>
      </w:r>
      <w:r w:rsidR="252CAB7D" w:rsidRPr="5DA1044C">
        <w:t xml:space="preserve"> many </w:t>
      </w:r>
      <w:r w:rsidR="707E729A" w:rsidRPr="5DA1044C">
        <w:t>years</w:t>
      </w:r>
      <w:r w:rsidR="25BF09FE" w:rsidRPr="5DA1044C">
        <w:t xml:space="preserve">. </w:t>
      </w:r>
      <w:r w:rsidRPr="5DA1044C">
        <w:t xml:space="preserve"> </w:t>
      </w:r>
    </w:p>
    <w:p w14:paraId="3E16B970" w14:textId="77777777" w:rsidR="00BF20E3" w:rsidRDefault="00BF20E3">
      <w:pPr>
        <w:rPr>
          <w:rFonts w:ascii="Arial Bold" w:hAnsi="Arial Bold" w:cs="Arial"/>
          <w:b/>
          <w:bCs/>
          <w:color w:val="0E4E77" w:themeColor="accent6"/>
          <w:kern w:val="32"/>
          <w:sz w:val="36"/>
          <w:szCs w:val="36"/>
        </w:rPr>
      </w:pPr>
      <w:bookmarkStart w:id="149" w:name="_Toc35502577"/>
      <w:r>
        <w:br w:type="page"/>
      </w:r>
    </w:p>
    <w:p w14:paraId="4C4699FC" w14:textId="0FC2C546" w:rsidR="003418DA" w:rsidRPr="0030070D" w:rsidRDefault="003418DA" w:rsidP="003418DA">
      <w:pPr>
        <w:pStyle w:val="Heading1"/>
        <w:numPr>
          <w:ilvl w:val="0"/>
          <w:numId w:val="0"/>
        </w:numPr>
        <w:ind w:left="567" w:hanging="567"/>
      </w:pPr>
      <w:bookmarkStart w:id="150" w:name="_Toc192773721"/>
      <w:r w:rsidRPr="0030070D">
        <w:lastRenderedPageBreak/>
        <w:t xml:space="preserve">APPENDIX </w:t>
      </w:r>
      <w:r>
        <w:t>5</w:t>
      </w:r>
      <w:r w:rsidRPr="0030070D">
        <w:t xml:space="preserve">: </w:t>
      </w:r>
      <w:r>
        <w:t>PROJECTED LIABILITIES</w:t>
      </w:r>
      <w:bookmarkEnd w:id="149"/>
      <w:r w:rsidR="00182413">
        <w:t xml:space="preserve"> AND CASH FLOWS</w:t>
      </w:r>
      <w:bookmarkEnd w:id="150"/>
    </w:p>
    <w:p w14:paraId="51FABBA1" w14:textId="271EC0C5" w:rsidR="003418DA" w:rsidRDefault="003418DA" w:rsidP="00952046">
      <w:pPr>
        <w:pStyle w:val="AppendixParagraph"/>
        <w:numPr>
          <w:ilvl w:val="0"/>
          <w:numId w:val="29"/>
        </w:numPr>
      </w:pPr>
      <w:r>
        <w:t xml:space="preserve">The </w:t>
      </w:r>
      <w:r w:rsidRPr="00112308">
        <w:t xml:space="preserve">Medical Indemnity Act </w:t>
      </w:r>
      <w:r>
        <w:t>requires that the report include a projection of the Commonwealth</w:t>
      </w:r>
      <w:r w:rsidR="009B0312">
        <w:t>’</w:t>
      </w:r>
      <w:r>
        <w:t>s liabilities in relation to amounts of Run</w:t>
      </w:r>
      <w:r w:rsidR="009B0312">
        <w:noBreakHyphen/>
      </w:r>
      <w:r>
        <w:t>Off Commonwealth contributions in future financial years. This Appendix summarises the results of that projection, describes the methodology and assumptions and discusses the uncertainty in relation to the liability projections.</w:t>
      </w:r>
    </w:p>
    <w:p w14:paraId="2C5CDC5E" w14:textId="1757ACBF" w:rsidR="003418DA" w:rsidRPr="00C12629" w:rsidRDefault="003418DA" w:rsidP="00D705EC">
      <w:pPr>
        <w:pStyle w:val="Heading3"/>
      </w:pPr>
      <w:r w:rsidRPr="00C12629">
        <w:t>Summary of Projected Liability</w:t>
      </w:r>
    </w:p>
    <w:p w14:paraId="017EBD7F" w14:textId="77777777" w:rsidR="003418DA" w:rsidRDefault="003418DA" w:rsidP="00952046">
      <w:pPr>
        <w:pStyle w:val="AppendixParagraph"/>
        <w:numPr>
          <w:ilvl w:val="0"/>
          <w:numId w:val="29"/>
        </w:numPr>
        <w:rPr>
          <w:lang w:val="en-AU"/>
        </w:rPr>
      </w:pPr>
      <w:r>
        <w:rPr>
          <w:lang w:val="en-AU"/>
        </w:rPr>
        <w:t>In line with previous reports, we have projected the liabilities forward from the valuation date by taking the liability at the valuation date, adding the interest assumed in the valuation, adding an amount for new accrued claims and deducting payments expected in that year along with their associated claims handling expenses.</w:t>
      </w:r>
    </w:p>
    <w:p w14:paraId="76385F37" w14:textId="6DAD4F33" w:rsidR="003418DA" w:rsidRDefault="003418DA" w:rsidP="00952046">
      <w:pPr>
        <w:pStyle w:val="AppendixParagraph"/>
        <w:numPr>
          <w:ilvl w:val="0"/>
          <w:numId w:val="29"/>
        </w:numPr>
        <w:rPr>
          <w:lang w:val="en-AU"/>
        </w:rPr>
      </w:pPr>
      <w:r w:rsidRPr="0030070D">
        <w:t xml:space="preserve">Table </w:t>
      </w:r>
      <w:r w:rsidRPr="00872871">
        <w:t>1</w:t>
      </w:r>
      <w:r>
        <w:t>5</w:t>
      </w:r>
      <w:r w:rsidRPr="0030070D">
        <w:t xml:space="preserve"> below sets out estimates of the liabilities of the Notional Account at the end of each of the next five financial years. The purpose is to illustrate the short</w:t>
      </w:r>
      <w:r w:rsidR="009B0312">
        <w:noBreakHyphen/>
      </w:r>
      <w:r w:rsidRPr="0030070D">
        <w:t xml:space="preserve">term development of the Scheme. </w:t>
      </w:r>
      <w:r w:rsidR="00E95D1F" w:rsidRPr="0011626B">
        <w:t>There is substantial uncertainty in these estimates</w:t>
      </w:r>
      <w:r w:rsidR="00E95D1F">
        <w:t xml:space="preserve">. </w:t>
      </w:r>
      <w:r w:rsidRPr="0030070D">
        <w:t xml:space="preserve">The numbers shown have been discounted to the end of the relevant financial year but have not </w:t>
      </w:r>
      <w:r w:rsidRPr="00F86DAA">
        <w:t>been discounted to give values in today</w:t>
      </w:r>
      <w:r w:rsidR="009B0312" w:rsidRPr="00F86DAA">
        <w:t>’</w:t>
      </w:r>
      <w:r w:rsidRPr="00F86DAA">
        <w:t xml:space="preserve">s terms. The projected liabilities </w:t>
      </w:r>
      <w:r w:rsidR="00AA6BE0" w:rsidRPr="00F86DAA">
        <w:t xml:space="preserve">start off being </w:t>
      </w:r>
      <w:r w:rsidR="00F86DAA">
        <w:t>$</w:t>
      </w:r>
      <w:r w:rsidR="009F6C0A">
        <w:t>20</w:t>
      </w:r>
      <w:r w:rsidR="00F86DAA">
        <w:t>m</w:t>
      </w:r>
      <w:r w:rsidR="00FF609A">
        <w:t xml:space="preserve"> </w:t>
      </w:r>
      <w:r w:rsidR="00AE09C0" w:rsidRPr="00F86DAA">
        <w:t>higher than</w:t>
      </w:r>
      <w:r w:rsidRPr="00F86DAA">
        <w:t xml:space="preserve"> the corresponding amounts presented in last year</w:t>
      </w:r>
      <w:r w:rsidR="009B0312" w:rsidRPr="00F86DAA">
        <w:t>’</w:t>
      </w:r>
      <w:r w:rsidRPr="00F86DAA">
        <w:t>s report</w:t>
      </w:r>
      <w:r w:rsidR="00AA6BE0" w:rsidRPr="00F86DAA">
        <w:t xml:space="preserve"> </w:t>
      </w:r>
      <w:r w:rsidR="001F4C08" w:rsidRPr="00F86DAA">
        <w:t>and</w:t>
      </w:r>
      <w:r w:rsidR="00AA6BE0" w:rsidRPr="00F86DAA">
        <w:t xml:space="preserve"> will grow at a </w:t>
      </w:r>
      <w:r w:rsidR="001F4C08" w:rsidRPr="00F86DAA">
        <w:t>faster</w:t>
      </w:r>
      <w:r w:rsidR="00AA6BE0" w:rsidRPr="00F86DAA">
        <w:t xml:space="preserve"> rate </w:t>
      </w:r>
      <w:r w:rsidR="00A60E5A">
        <w:t xml:space="preserve">in the short term </w:t>
      </w:r>
      <w:r w:rsidR="00AA6BE0" w:rsidRPr="00F86DAA">
        <w:t xml:space="preserve">due to </w:t>
      </w:r>
      <w:r w:rsidR="001F4C08" w:rsidRPr="00F86DAA">
        <w:t>lower</w:t>
      </w:r>
      <w:r w:rsidR="00AA6BE0" w:rsidRPr="00F86DAA">
        <w:t xml:space="preserve"> projected payments</w:t>
      </w:r>
      <w:r w:rsidR="00F86DAA" w:rsidRPr="00F86DAA" w:rsidDel="00BC5F60">
        <w:t xml:space="preserve"> and higher new </w:t>
      </w:r>
      <w:r w:rsidR="00FE783C">
        <w:t>accruals</w:t>
      </w:r>
      <w:r w:rsidRPr="00F86DAA">
        <w:t>.</w:t>
      </w:r>
    </w:p>
    <w:p w14:paraId="6BA9B604" w14:textId="77777777" w:rsidR="003418DA" w:rsidRPr="00D6236F" w:rsidRDefault="003418DA" w:rsidP="0040224A">
      <w:pPr>
        <w:pStyle w:val="Caption"/>
      </w:pPr>
      <w:r w:rsidRPr="00D35E02">
        <w:t>Table 15: Projecte</w:t>
      </w:r>
      <w:r w:rsidRPr="00111225">
        <w:t>d balance sheet liabilities of the Notional Account</w:t>
      </w:r>
    </w:p>
    <w:p w14:paraId="68B8B88D" w14:textId="74E98CF4" w:rsidR="003418DA" w:rsidRPr="00872871" w:rsidRDefault="006B6DFC" w:rsidP="00B77B59">
      <w:pPr>
        <w:pStyle w:val="TableGraphic"/>
        <w:jc w:val="center"/>
      </w:pPr>
      <w:r w:rsidRPr="006B6DFC">
        <w:rPr>
          <w:noProof/>
        </w:rPr>
        <w:drawing>
          <wp:inline distT="0" distB="0" distL="0" distR="0" wp14:anchorId="68B8E93B" wp14:editId="704A7EA6">
            <wp:extent cx="4724398" cy="1301115"/>
            <wp:effectExtent l="0" t="0" r="0" b="0"/>
            <wp:docPr id="1780026130" name="Picture 4" descr="This is a repeat of Tabl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398" cy="1301115"/>
                    </a:xfrm>
                    <a:prstGeom prst="rect">
                      <a:avLst/>
                    </a:prstGeom>
                    <a:noFill/>
                    <a:ln>
                      <a:noFill/>
                    </a:ln>
                  </pic:spPr>
                </pic:pic>
              </a:graphicData>
            </a:graphic>
          </wp:inline>
        </w:drawing>
      </w:r>
    </w:p>
    <w:p w14:paraId="118CF83B" w14:textId="77777777" w:rsidR="003418DA" w:rsidRPr="008B74A6" w:rsidRDefault="003418DA" w:rsidP="003418DA">
      <w:pPr>
        <w:pStyle w:val="SingleParagraph"/>
      </w:pPr>
    </w:p>
    <w:p w14:paraId="681B9E56" w14:textId="1AD76834" w:rsidR="003418DA" w:rsidRPr="009A1368" w:rsidRDefault="003418DA" w:rsidP="00D705EC">
      <w:pPr>
        <w:pStyle w:val="Heading3"/>
        <w:ind w:left="0" w:firstLine="0"/>
      </w:pPr>
      <w:r w:rsidRPr="0030070D">
        <w:t>Description of the model used to project the accrual of new Run</w:t>
      </w:r>
      <w:r w:rsidR="009B0312">
        <w:noBreakHyphen/>
      </w:r>
      <w:r w:rsidRPr="0030070D">
        <w:t>Off Cover Scheme liabilities after 30</w:t>
      </w:r>
      <w:r>
        <w:t> </w:t>
      </w:r>
      <w:r w:rsidRPr="009A1368">
        <w:t>June 20</w:t>
      </w:r>
      <w:r w:rsidR="00112308" w:rsidRPr="009A1368">
        <w:t>2</w:t>
      </w:r>
      <w:r w:rsidR="00B855CC" w:rsidRPr="009A1368">
        <w:t>4</w:t>
      </w:r>
    </w:p>
    <w:p w14:paraId="06963E36" w14:textId="6C1EDCC2" w:rsidR="003418DA" w:rsidRPr="009A1368" w:rsidRDefault="003418DA" w:rsidP="00952046">
      <w:pPr>
        <w:pStyle w:val="AppendixParagraph"/>
        <w:numPr>
          <w:ilvl w:val="0"/>
          <w:numId w:val="29"/>
        </w:numPr>
        <w:rPr>
          <w:lang w:val="en-AU"/>
        </w:rPr>
      </w:pPr>
      <w:r w:rsidRPr="009A1368">
        <w:rPr>
          <w:lang w:val="en-AU"/>
        </w:rPr>
        <w:t xml:space="preserve">The approach involved projecting the expected future ROC indemnity payments for each medical practitioner who was practising as </w:t>
      </w:r>
      <w:proofErr w:type="gramStart"/>
      <w:r w:rsidRPr="009A1368">
        <w:rPr>
          <w:lang w:val="en-AU"/>
        </w:rPr>
        <w:t>at</w:t>
      </w:r>
      <w:proofErr w:type="gramEnd"/>
      <w:r w:rsidRPr="009A1368">
        <w:rPr>
          <w:lang w:val="en-AU"/>
        </w:rPr>
        <w:t xml:space="preserve"> 30 June 20</w:t>
      </w:r>
      <w:r w:rsidR="00112308" w:rsidRPr="009A1368">
        <w:rPr>
          <w:lang w:val="en-AU"/>
        </w:rPr>
        <w:t>2</w:t>
      </w:r>
      <w:r w:rsidR="00B855CC" w:rsidRPr="009A1368">
        <w:rPr>
          <w:lang w:val="en-AU"/>
        </w:rPr>
        <w:t>4</w:t>
      </w:r>
      <w:r w:rsidRPr="009A1368">
        <w:rPr>
          <w:lang w:val="en-AU"/>
        </w:rPr>
        <w:t>.</w:t>
      </w:r>
    </w:p>
    <w:p w14:paraId="5ED955C8" w14:textId="77777777" w:rsidR="003418DA" w:rsidRPr="0030070D" w:rsidRDefault="003418DA" w:rsidP="003F36EB">
      <w:pPr>
        <w:pStyle w:val="AppendixParagraph"/>
        <w:keepNext/>
        <w:numPr>
          <w:ilvl w:val="0"/>
          <w:numId w:val="29"/>
        </w:numPr>
        <w:rPr>
          <w:lang w:val="en-AU"/>
        </w:rPr>
      </w:pPr>
      <w:r w:rsidRPr="0030070D">
        <w:rPr>
          <w:lang w:val="en-AU"/>
        </w:rPr>
        <w:lastRenderedPageBreak/>
        <w:t>A practitioner can become eligible for the Scheme by reason of:</w:t>
      </w:r>
    </w:p>
    <w:p w14:paraId="52BCBC69" w14:textId="6F39750B" w:rsidR="003418DA" w:rsidRPr="0030070D" w:rsidRDefault="003418DA" w:rsidP="00605678">
      <w:pPr>
        <w:pStyle w:val="Bullet"/>
        <w:numPr>
          <w:ilvl w:val="0"/>
          <w:numId w:val="23"/>
        </w:numPr>
        <w:tabs>
          <w:tab w:val="clear" w:pos="1014"/>
          <w:tab w:val="left" w:pos="992"/>
        </w:tabs>
        <w:spacing w:after="240"/>
        <w:ind w:left="993" w:hanging="284"/>
      </w:pPr>
      <w:r w:rsidRPr="0030070D">
        <w:t xml:space="preserve">retirement </w:t>
      </w:r>
    </w:p>
    <w:p w14:paraId="2D94F16C" w14:textId="0DA96BAA" w:rsidR="003418DA" w:rsidRPr="0030070D" w:rsidRDefault="003418DA" w:rsidP="00605678">
      <w:pPr>
        <w:pStyle w:val="Bullet"/>
        <w:numPr>
          <w:ilvl w:val="0"/>
          <w:numId w:val="23"/>
        </w:numPr>
        <w:tabs>
          <w:tab w:val="clear" w:pos="1014"/>
          <w:tab w:val="left" w:pos="992"/>
        </w:tabs>
        <w:spacing w:after="240"/>
        <w:ind w:left="993" w:hanging="284"/>
      </w:pPr>
      <w:r w:rsidRPr="0030070D">
        <w:t>permanent disability</w:t>
      </w:r>
    </w:p>
    <w:p w14:paraId="45FE7794" w14:textId="3794227D" w:rsidR="003418DA" w:rsidRPr="0030070D" w:rsidRDefault="003418DA" w:rsidP="00605678">
      <w:pPr>
        <w:pStyle w:val="Bullet"/>
        <w:numPr>
          <w:ilvl w:val="0"/>
          <w:numId w:val="23"/>
        </w:numPr>
        <w:tabs>
          <w:tab w:val="clear" w:pos="1014"/>
          <w:tab w:val="left" w:pos="992"/>
        </w:tabs>
        <w:spacing w:after="240"/>
        <w:ind w:left="993" w:hanging="284"/>
      </w:pPr>
      <w:r w:rsidRPr="0030070D">
        <w:t>death</w:t>
      </w:r>
    </w:p>
    <w:p w14:paraId="4E3E3D36" w14:textId="48FBE50F" w:rsidR="003418DA" w:rsidRPr="0030070D" w:rsidRDefault="003418DA" w:rsidP="00605678">
      <w:pPr>
        <w:pStyle w:val="Bullet"/>
        <w:numPr>
          <w:ilvl w:val="0"/>
          <w:numId w:val="23"/>
        </w:numPr>
        <w:tabs>
          <w:tab w:val="clear" w:pos="1014"/>
          <w:tab w:val="left" w:pos="992"/>
        </w:tabs>
        <w:spacing w:after="240"/>
        <w:ind w:left="993" w:hanging="284"/>
      </w:pPr>
      <w:r w:rsidRPr="0030070D">
        <w:t>maternity</w:t>
      </w:r>
    </w:p>
    <w:p w14:paraId="44BF0F4B" w14:textId="5797D466" w:rsidR="003418DA" w:rsidRPr="0030070D" w:rsidRDefault="003418DA" w:rsidP="00605678">
      <w:pPr>
        <w:pStyle w:val="Bullet"/>
        <w:numPr>
          <w:ilvl w:val="0"/>
          <w:numId w:val="23"/>
        </w:numPr>
        <w:tabs>
          <w:tab w:val="clear" w:pos="1014"/>
          <w:tab w:val="left" w:pos="992"/>
        </w:tabs>
        <w:spacing w:after="240"/>
        <w:ind w:left="993" w:hanging="284"/>
      </w:pPr>
      <w:r w:rsidRPr="0030070D">
        <w:t>resignation</w:t>
      </w:r>
    </w:p>
    <w:p w14:paraId="70BA7F71" w14:textId="77777777" w:rsidR="003418DA" w:rsidRPr="0030070D" w:rsidRDefault="003418DA" w:rsidP="00605678">
      <w:pPr>
        <w:pStyle w:val="Bullet"/>
        <w:numPr>
          <w:ilvl w:val="0"/>
          <w:numId w:val="23"/>
        </w:numPr>
        <w:tabs>
          <w:tab w:val="clear" w:pos="1014"/>
          <w:tab w:val="left" w:pos="992"/>
        </w:tabs>
        <w:spacing w:after="240"/>
        <w:ind w:left="993" w:hanging="284"/>
      </w:pPr>
      <w:r w:rsidRPr="0030070D">
        <w:t>satisfaction of other eligibility criteria specified in the regulations.</w:t>
      </w:r>
    </w:p>
    <w:p w14:paraId="3DB81207" w14:textId="16F00424" w:rsidR="003418DA" w:rsidRPr="00FC45A1" w:rsidRDefault="003418DA" w:rsidP="00952046">
      <w:pPr>
        <w:pStyle w:val="AppendixParagraph"/>
        <w:numPr>
          <w:ilvl w:val="0"/>
          <w:numId w:val="29"/>
        </w:numPr>
        <w:rPr>
          <w:lang w:val="en-AU"/>
        </w:rPr>
      </w:pPr>
      <w:r w:rsidRPr="0030070D">
        <w:rPr>
          <w:lang w:val="en-AU"/>
        </w:rPr>
        <w:t xml:space="preserve">The probability of </w:t>
      </w:r>
      <w:r w:rsidRPr="009A1368">
        <w:rPr>
          <w:lang w:val="en-AU"/>
        </w:rPr>
        <w:t xml:space="preserve">becoming eligible for the Scheme was estimated for each practitioner based on their age as </w:t>
      </w:r>
      <w:proofErr w:type="gramStart"/>
      <w:r w:rsidRPr="009A1368">
        <w:rPr>
          <w:lang w:val="en-AU"/>
        </w:rPr>
        <w:t>at</w:t>
      </w:r>
      <w:proofErr w:type="gramEnd"/>
      <w:r w:rsidRPr="009A1368">
        <w:rPr>
          <w:lang w:val="en-AU"/>
        </w:rPr>
        <w:t xml:space="preserve"> 30 June 20</w:t>
      </w:r>
      <w:r w:rsidR="00112308" w:rsidRPr="009A1368">
        <w:rPr>
          <w:lang w:val="en-AU"/>
        </w:rPr>
        <w:t>2</w:t>
      </w:r>
      <w:r w:rsidR="006361A1" w:rsidRPr="009A1368">
        <w:rPr>
          <w:lang w:val="en-AU"/>
        </w:rPr>
        <w:t>4</w:t>
      </w:r>
      <w:r w:rsidRPr="009A1368">
        <w:rPr>
          <w:lang w:val="en-AU"/>
        </w:rPr>
        <w:t xml:space="preserve"> and their gender. Note that, prior to 1 July 2020, practitioners do not become eligible by</w:t>
      </w:r>
      <w:r w:rsidRPr="0030070D">
        <w:rPr>
          <w:lang w:val="en-AU"/>
        </w:rPr>
        <w:t xml:space="preserve"> means of resignation until three years have passed since cessation of practice.</w:t>
      </w:r>
      <w:r>
        <w:rPr>
          <w:lang w:val="en-AU"/>
        </w:rPr>
        <w:t xml:space="preserve"> From 1 July 2020, this three</w:t>
      </w:r>
      <w:r w:rsidR="009B0312">
        <w:rPr>
          <w:lang w:val="en-AU"/>
        </w:rPr>
        <w:noBreakHyphen/>
      </w:r>
      <w:r>
        <w:rPr>
          <w:lang w:val="en-AU"/>
        </w:rPr>
        <w:t xml:space="preserve">year waiting period </w:t>
      </w:r>
      <w:r w:rsidR="00EB03EC">
        <w:rPr>
          <w:lang w:val="en-AU"/>
        </w:rPr>
        <w:t>has been</w:t>
      </w:r>
      <w:r>
        <w:rPr>
          <w:lang w:val="en-AU"/>
        </w:rPr>
        <w:t xml:space="preserve"> waived. </w:t>
      </w:r>
      <w:r w:rsidR="00193A1E">
        <w:rPr>
          <w:lang w:val="en-AU"/>
        </w:rPr>
        <w:t xml:space="preserve">Our model has been adjusted </w:t>
      </w:r>
      <w:r w:rsidR="00193A1E" w:rsidRPr="00FC45A1">
        <w:rPr>
          <w:lang w:val="en-AU"/>
        </w:rPr>
        <w:t xml:space="preserve">accordingly. </w:t>
      </w:r>
    </w:p>
    <w:p w14:paraId="1D64D90E" w14:textId="51724D6D" w:rsidR="00367851" w:rsidRPr="005979B7" w:rsidRDefault="00FC45A1" w:rsidP="00367851">
      <w:pPr>
        <w:pStyle w:val="AppendixParagraph"/>
        <w:numPr>
          <w:ilvl w:val="0"/>
          <w:numId w:val="29"/>
        </w:numPr>
      </w:pPr>
      <w:r w:rsidRPr="00FC45A1">
        <w:rPr>
          <w:lang w:val="en-AU"/>
        </w:rPr>
        <w:t>T</w:t>
      </w:r>
      <w:r w:rsidR="003418DA" w:rsidRPr="00FC45A1">
        <w:rPr>
          <w:lang w:val="en-AU"/>
        </w:rPr>
        <w:t xml:space="preserve">he estimated likelihood of practitioners becoming eligible for the Scheme was overlaid on the projected claim notifications to give the projected ROC claim notifications for each practitioner. The expected notified claims cost was multiplied by the likelihood of eligibility in each future </w:t>
      </w:r>
      <w:proofErr w:type="gramStart"/>
      <w:r w:rsidR="003418DA" w:rsidRPr="00FC45A1">
        <w:rPr>
          <w:lang w:val="en-AU"/>
        </w:rPr>
        <w:t>year, and</w:t>
      </w:r>
      <w:proofErr w:type="gramEnd"/>
      <w:r w:rsidR="003418DA" w:rsidRPr="00FC45A1">
        <w:rPr>
          <w:lang w:val="en-AU"/>
        </w:rPr>
        <w:t xml:space="preserve"> summed across all practitioners to arrive at the expected cost of ROC claims notified in that year.</w:t>
      </w:r>
      <w:r w:rsidR="00367851" w:rsidRPr="00FC45A1">
        <w:rPr>
          <w:lang w:val="en-AU"/>
        </w:rPr>
        <w:t xml:space="preserve"> It was assumed that on average practitioners who become eligible for the </w:t>
      </w:r>
      <w:r w:rsidR="00367851" w:rsidRPr="005979B7">
        <w:rPr>
          <w:lang w:val="en-AU"/>
        </w:rPr>
        <w:t>Scheme do so half</w:t>
      </w:r>
      <w:r w:rsidR="009B0312" w:rsidRPr="005979B7">
        <w:rPr>
          <w:lang w:val="en-AU"/>
        </w:rPr>
        <w:noBreakHyphen/>
      </w:r>
      <w:r w:rsidR="00367851" w:rsidRPr="005979B7">
        <w:rPr>
          <w:lang w:val="en-AU"/>
        </w:rPr>
        <w:t>way through the financial year.</w:t>
      </w:r>
    </w:p>
    <w:p w14:paraId="66B66E42" w14:textId="4A5EB10D" w:rsidR="003418DA" w:rsidRPr="0030070D" w:rsidRDefault="003418DA" w:rsidP="00952046">
      <w:pPr>
        <w:pStyle w:val="AppendixParagraph"/>
        <w:numPr>
          <w:ilvl w:val="0"/>
          <w:numId w:val="29"/>
        </w:numPr>
        <w:rPr>
          <w:lang w:val="en-AU"/>
        </w:rPr>
      </w:pPr>
      <w:r w:rsidRPr="0030070D">
        <w:rPr>
          <w:lang w:val="en-AU"/>
        </w:rPr>
        <w:t>Projection of indemnity payments entailed the projection of:</w:t>
      </w:r>
    </w:p>
    <w:p w14:paraId="7FB0D6A7" w14:textId="084953D9" w:rsidR="003418DA" w:rsidRPr="0030070D" w:rsidRDefault="003418DA" w:rsidP="00605678">
      <w:pPr>
        <w:pStyle w:val="Bullet"/>
        <w:numPr>
          <w:ilvl w:val="0"/>
          <w:numId w:val="23"/>
        </w:numPr>
        <w:tabs>
          <w:tab w:val="clear" w:pos="1014"/>
          <w:tab w:val="left" w:pos="992"/>
        </w:tabs>
        <w:spacing w:after="240"/>
        <w:ind w:left="993" w:hanging="284"/>
      </w:pPr>
      <w:r w:rsidRPr="0030070D">
        <w:t>incidents which will result in a claim</w:t>
      </w:r>
    </w:p>
    <w:p w14:paraId="3E27CE76" w14:textId="00226AA0" w:rsidR="003418DA" w:rsidRPr="0030070D" w:rsidRDefault="003418DA" w:rsidP="00605678">
      <w:pPr>
        <w:pStyle w:val="Bullet"/>
        <w:numPr>
          <w:ilvl w:val="0"/>
          <w:numId w:val="23"/>
        </w:numPr>
        <w:tabs>
          <w:tab w:val="clear" w:pos="1014"/>
          <w:tab w:val="left" w:pos="992"/>
        </w:tabs>
        <w:spacing w:after="240"/>
        <w:ind w:left="993" w:hanging="284"/>
      </w:pPr>
      <w:r w:rsidRPr="0030070D">
        <w:t>the delay involved in notification of claims</w:t>
      </w:r>
    </w:p>
    <w:p w14:paraId="18286035" w14:textId="436137D8" w:rsidR="003418DA" w:rsidRPr="0030070D" w:rsidRDefault="003418DA" w:rsidP="00605678">
      <w:pPr>
        <w:pStyle w:val="Bullet"/>
        <w:numPr>
          <w:ilvl w:val="0"/>
          <w:numId w:val="23"/>
        </w:numPr>
        <w:tabs>
          <w:tab w:val="clear" w:pos="1014"/>
          <w:tab w:val="left" w:pos="992"/>
        </w:tabs>
        <w:spacing w:after="240"/>
        <w:ind w:left="993" w:hanging="284"/>
      </w:pPr>
      <w:r w:rsidRPr="0030070D">
        <w:t>the cost of claims after allowing for the HCCS</w:t>
      </w:r>
    </w:p>
    <w:p w14:paraId="5FFF94D6" w14:textId="53DA33C9" w:rsidR="003418DA" w:rsidRPr="0030070D" w:rsidRDefault="003418DA" w:rsidP="00605678">
      <w:pPr>
        <w:pStyle w:val="Bullet"/>
        <w:numPr>
          <w:ilvl w:val="0"/>
          <w:numId w:val="23"/>
        </w:numPr>
        <w:tabs>
          <w:tab w:val="clear" w:pos="1014"/>
          <w:tab w:val="left" w:pos="992"/>
        </w:tabs>
        <w:spacing w:after="240"/>
        <w:ind w:left="993" w:hanging="284"/>
      </w:pPr>
      <w:r w:rsidRPr="0030070D">
        <w:t>the likelihood of eligibility for the Scheme at the time a claim is notified</w:t>
      </w:r>
      <w:r w:rsidR="0089656D">
        <w:t xml:space="preserve"> (if the practitioner is not yet eligible for the Scheme)</w:t>
      </w:r>
    </w:p>
    <w:p w14:paraId="6AFDCFCC" w14:textId="77777777" w:rsidR="003418DA" w:rsidRDefault="003418DA" w:rsidP="00605678">
      <w:pPr>
        <w:pStyle w:val="Bullet"/>
        <w:numPr>
          <w:ilvl w:val="0"/>
          <w:numId w:val="23"/>
        </w:numPr>
        <w:tabs>
          <w:tab w:val="clear" w:pos="1014"/>
          <w:tab w:val="left" w:pos="992"/>
        </w:tabs>
        <w:spacing w:after="240"/>
        <w:ind w:left="993" w:hanging="284"/>
      </w:pPr>
      <w:r w:rsidRPr="0030070D">
        <w:t>the delay involved in the payment of notified claims.</w:t>
      </w:r>
    </w:p>
    <w:p w14:paraId="2619C131" w14:textId="0EE713AD" w:rsidR="003418DA" w:rsidRPr="00533832" w:rsidRDefault="003418DA" w:rsidP="00952046">
      <w:pPr>
        <w:pStyle w:val="AppendixParagraph"/>
        <w:numPr>
          <w:ilvl w:val="0"/>
          <w:numId w:val="29"/>
        </w:numPr>
        <w:rPr>
          <w:lang w:val="en-AU"/>
        </w:rPr>
      </w:pPr>
      <w:r>
        <w:rPr>
          <w:lang w:val="en-AU"/>
        </w:rPr>
        <w:t>T</w:t>
      </w:r>
      <w:r w:rsidRPr="00533832">
        <w:rPr>
          <w:lang w:val="en-AU"/>
        </w:rPr>
        <w:t xml:space="preserve">he total </w:t>
      </w:r>
      <w:r>
        <w:rPr>
          <w:lang w:val="en-AU"/>
        </w:rPr>
        <w:t xml:space="preserve">expected future </w:t>
      </w:r>
      <w:r w:rsidRPr="00533832">
        <w:rPr>
          <w:lang w:val="en-AU"/>
        </w:rPr>
        <w:t xml:space="preserve">ROC claim notifications were calculated as the scalar product of the vector of claim notifications and the vector of probabilities of Scheme eligibility </w:t>
      </w:r>
      <w:r w:rsidR="00D7473E">
        <w:rPr>
          <w:lang w:val="en-AU"/>
        </w:rPr>
        <w:t xml:space="preserve">(if applicable) </w:t>
      </w:r>
      <w:r w:rsidRPr="00533832">
        <w:rPr>
          <w:lang w:val="en-AU"/>
        </w:rPr>
        <w:t xml:space="preserve">for each practising </w:t>
      </w:r>
      <w:r>
        <w:rPr>
          <w:lang w:val="en-AU"/>
        </w:rPr>
        <w:t>medical practitioner</w:t>
      </w:r>
      <w:r w:rsidRPr="00533832">
        <w:rPr>
          <w:lang w:val="en-AU"/>
        </w:rPr>
        <w:t xml:space="preserve"> in each future year.</w:t>
      </w:r>
    </w:p>
    <w:p w14:paraId="2B979980" w14:textId="1BE5BB1B" w:rsidR="004E1114" w:rsidRPr="00533832" w:rsidRDefault="004E1114" w:rsidP="473C59FA">
      <w:pPr>
        <w:pStyle w:val="AppendixParagraph"/>
        <w:numPr>
          <w:ilvl w:val="0"/>
          <w:numId w:val="29"/>
        </w:numPr>
      </w:pPr>
      <w:r w:rsidRPr="473C59FA">
        <w:lastRenderedPageBreak/>
        <w:t xml:space="preserve">Lastly, </w:t>
      </w:r>
      <w:r w:rsidR="00952DF8" w:rsidRPr="473C59FA">
        <w:t>an extra allowanc</w:t>
      </w:r>
      <w:r w:rsidR="00766A2D" w:rsidRPr="473C59FA">
        <w:t xml:space="preserve">e </w:t>
      </w:r>
      <w:r w:rsidR="00952DF8" w:rsidRPr="473C59FA">
        <w:t xml:space="preserve">was introduced </w:t>
      </w:r>
      <w:r w:rsidR="007D6A33" w:rsidRPr="00DC13D7">
        <w:t>last</w:t>
      </w:r>
      <w:r w:rsidR="00952DF8" w:rsidRPr="00DC13D7">
        <w:t xml:space="preserve"> year</w:t>
      </w:r>
      <w:r w:rsidR="00952DF8" w:rsidRPr="473C59FA">
        <w:t xml:space="preserve"> to allow for </w:t>
      </w:r>
      <w:r w:rsidR="00BF79A0" w:rsidRPr="473C59FA">
        <w:t xml:space="preserve">future </w:t>
      </w:r>
      <w:r w:rsidR="00952DF8" w:rsidRPr="473C59FA">
        <w:t xml:space="preserve">growth </w:t>
      </w:r>
      <w:r w:rsidR="009F0018" w:rsidRPr="473C59FA">
        <w:t>in</w:t>
      </w:r>
      <w:r w:rsidR="00952DF8" w:rsidRPr="473C59FA">
        <w:t xml:space="preserve"> the </w:t>
      </w:r>
      <w:r w:rsidR="00895451" w:rsidRPr="473C59FA">
        <w:t>‘</w:t>
      </w:r>
      <w:r w:rsidR="00424137" w:rsidRPr="473C59FA">
        <w:t>at-risk</w:t>
      </w:r>
      <w:r w:rsidR="00895451" w:rsidRPr="473C59FA">
        <w:t>’</w:t>
      </w:r>
      <w:r w:rsidR="00424137" w:rsidRPr="473C59FA">
        <w:t xml:space="preserve"> </w:t>
      </w:r>
      <w:r w:rsidR="00952DF8" w:rsidRPr="473C59FA">
        <w:t>population</w:t>
      </w:r>
      <w:r w:rsidR="00DF6E6A" w:rsidRPr="473C59FA">
        <w:t xml:space="preserve">. </w:t>
      </w:r>
      <w:r w:rsidR="00235744" w:rsidRPr="473C59FA">
        <w:t>Th</w:t>
      </w:r>
      <w:r w:rsidR="00BD63D3" w:rsidRPr="473C59FA">
        <w:t>is growth</w:t>
      </w:r>
      <w:r w:rsidR="00235744" w:rsidRPr="473C59FA">
        <w:t xml:space="preserve"> is </w:t>
      </w:r>
      <w:r w:rsidR="00DF6E6A" w:rsidRPr="473C59FA">
        <w:t>assumed to be</w:t>
      </w:r>
      <w:r w:rsidR="00235744" w:rsidRPr="473C59FA">
        <w:t xml:space="preserve"> 3%</w:t>
      </w:r>
      <w:r w:rsidR="00895451" w:rsidRPr="473C59FA">
        <w:t xml:space="preserve"> </w:t>
      </w:r>
      <w:r w:rsidR="00235744" w:rsidRPr="473C59FA">
        <w:t xml:space="preserve">p.a. based on the </w:t>
      </w:r>
      <w:r w:rsidR="00BD63D3" w:rsidRPr="473C59FA">
        <w:t>experience</w:t>
      </w:r>
      <w:r w:rsidR="00235744" w:rsidRPr="473C59FA">
        <w:t xml:space="preserve"> since 201</w:t>
      </w:r>
      <w:r w:rsidR="00424137" w:rsidRPr="473C59FA">
        <w:t>8</w:t>
      </w:r>
      <w:r w:rsidR="00546282" w:rsidRPr="473C59FA">
        <w:t xml:space="preserve">. It is an </w:t>
      </w:r>
      <w:r w:rsidR="00302D12" w:rsidRPr="473C59FA">
        <w:t xml:space="preserve">approximate </w:t>
      </w:r>
      <w:r w:rsidR="00546282" w:rsidRPr="473C59FA">
        <w:t xml:space="preserve">estimate of </w:t>
      </w:r>
      <w:r w:rsidR="00302D12" w:rsidRPr="473C59FA">
        <w:t>the impact of population growth on new accrual</w:t>
      </w:r>
      <w:r w:rsidR="005C7FC6" w:rsidRPr="473C59FA">
        <w:t xml:space="preserve"> for the next few years</w:t>
      </w:r>
      <w:r w:rsidR="00302D12" w:rsidRPr="473C59FA">
        <w:t>. Uncertainty around this assumption is high</w:t>
      </w:r>
      <w:r w:rsidR="005C7FC6" w:rsidRPr="473C59FA">
        <w:t xml:space="preserve">. </w:t>
      </w:r>
      <w:r w:rsidR="007121BA" w:rsidRPr="473C59FA">
        <w:t xml:space="preserve">For example, the growth in 2022-23 was 7% but it appeared to be an outlier. </w:t>
      </w:r>
      <w:r w:rsidR="00BC56DD" w:rsidRPr="473C59FA">
        <w:t xml:space="preserve">We have </w:t>
      </w:r>
      <w:r w:rsidR="000243C9" w:rsidRPr="473C59FA">
        <w:t>implicitly assume</w:t>
      </w:r>
      <w:r w:rsidR="00BC56DD" w:rsidRPr="473C59FA">
        <w:t>d that</w:t>
      </w:r>
      <w:r w:rsidR="000243C9" w:rsidRPr="473C59FA">
        <w:t xml:space="preserve"> the same growth rate </w:t>
      </w:r>
      <w:r w:rsidR="00BC56DD" w:rsidRPr="473C59FA">
        <w:t xml:space="preserve">would apply </w:t>
      </w:r>
      <w:r w:rsidR="000243C9" w:rsidRPr="473C59FA">
        <w:t>across all age</w:t>
      </w:r>
      <w:r w:rsidR="002A30EA" w:rsidRPr="473C59FA">
        <w:t xml:space="preserve"> groups</w:t>
      </w:r>
      <w:r w:rsidR="000243C9" w:rsidRPr="473C59FA">
        <w:t xml:space="preserve">, which </w:t>
      </w:r>
      <w:r w:rsidR="00B92FA8" w:rsidRPr="473C59FA">
        <w:t xml:space="preserve">is </w:t>
      </w:r>
      <w:r w:rsidR="00BD63D3" w:rsidRPr="473C59FA">
        <w:t>supported</w:t>
      </w:r>
      <w:r w:rsidR="00B92FA8" w:rsidRPr="473C59FA">
        <w:t xml:space="preserve"> by </w:t>
      </w:r>
      <w:r w:rsidR="00BD63D3" w:rsidRPr="473C59FA">
        <w:t>recent experience</w:t>
      </w:r>
      <w:r w:rsidR="00B92FA8" w:rsidRPr="473C59FA">
        <w:t xml:space="preserve"> but </w:t>
      </w:r>
      <w:r w:rsidR="000243C9" w:rsidRPr="473C59FA">
        <w:t xml:space="preserve">may not </w:t>
      </w:r>
      <w:r w:rsidR="00DC13D7" w:rsidRPr="473C59FA">
        <w:t>continue</w:t>
      </w:r>
      <w:r w:rsidR="000243C9" w:rsidRPr="473C59FA">
        <w:t xml:space="preserve">.  </w:t>
      </w:r>
      <w:r w:rsidR="00424137" w:rsidRPr="473C59FA">
        <w:t xml:space="preserve">  </w:t>
      </w:r>
    </w:p>
    <w:p w14:paraId="451546D9" w14:textId="6F1B24F8" w:rsidR="003418DA" w:rsidRPr="00C04A67" w:rsidRDefault="003418DA" w:rsidP="00D705EC">
      <w:pPr>
        <w:pStyle w:val="Heading2Appendix"/>
        <w:rPr>
          <w:sz w:val="26"/>
          <w:szCs w:val="22"/>
        </w:rPr>
      </w:pPr>
      <w:bookmarkStart w:id="151" w:name="_Toc425348058"/>
      <w:r w:rsidRPr="00C04A67">
        <w:rPr>
          <w:sz w:val="26"/>
          <w:szCs w:val="22"/>
        </w:rPr>
        <w:t>Run</w:t>
      </w:r>
      <w:r w:rsidR="009B0312">
        <w:rPr>
          <w:sz w:val="26"/>
          <w:szCs w:val="22"/>
        </w:rPr>
        <w:noBreakHyphen/>
      </w:r>
      <w:r w:rsidRPr="00C04A67">
        <w:rPr>
          <w:sz w:val="26"/>
          <w:szCs w:val="22"/>
        </w:rPr>
        <w:t>Off Cover claims</w:t>
      </w:r>
      <w:bookmarkEnd w:id="151"/>
    </w:p>
    <w:p w14:paraId="5C4BC8B3" w14:textId="77777777" w:rsidR="003418DA" w:rsidRPr="00C04A67" w:rsidRDefault="003418DA" w:rsidP="003418DA">
      <w:pPr>
        <w:pStyle w:val="Heading3Appendix"/>
        <w:rPr>
          <w:sz w:val="24"/>
          <w:szCs w:val="24"/>
        </w:rPr>
      </w:pPr>
      <w:r w:rsidRPr="00C04A67">
        <w:rPr>
          <w:sz w:val="24"/>
          <w:szCs w:val="24"/>
        </w:rPr>
        <w:t>Components of claim cost</w:t>
      </w:r>
    </w:p>
    <w:p w14:paraId="625F5B02" w14:textId="6810C056" w:rsidR="003418DA" w:rsidRPr="009A76FD" w:rsidRDefault="003418DA" w:rsidP="00952046">
      <w:pPr>
        <w:pStyle w:val="AppendixParagraph"/>
        <w:numPr>
          <w:ilvl w:val="0"/>
          <w:numId w:val="29"/>
        </w:numPr>
        <w:rPr>
          <w:lang w:val="en-AU"/>
        </w:rPr>
      </w:pPr>
      <w:r w:rsidRPr="009A76FD">
        <w:rPr>
          <w:lang w:val="en-AU"/>
        </w:rPr>
        <w:t xml:space="preserve">For the purposes of the model, a ROC claim includes any eligible claim notified and finalised at direct cost to the MII. Claim costs include all costs which are directly attributable to the claim. Indirect </w:t>
      </w:r>
      <w:r w:rsidR="000A0ADB">
        <w:rPr>
          <w:lang w:val="en-AU"/>
        </w:rPr>
        <w:t>CHE</w:t>
      </w:r>
      <w:r w:rsidRPr="009A76FD">
        <w:rPr>
          <w:lang w:val="en-AU"/>
        </w:rPr>
        <w:t xml:space="preserve"> are dealt with separately.</w:t>
      </w:r>
    </w:p>
    <w:p w14:paraId="7F334FB6" w14:textId="77777777" w:rsidR="003418DA" w:rsidRPr="009A76FD" w:rsidRDefault="003418DA" w:rsidP="00952046">
      <w:pPr>
        <w:pStyle w:val="AppendixParagraph"/>
        <w:numPr>
          <w:ilvl w:val="0"/>
          <w:numId w:val="29"/>
        </w:numPr>
        <w:rPr>
          <w:lang w:val="en-AU"/>
        </w:rPr>
      </w:pPr>
      <w:r w:rsidRPr="009A76FD">
        <w:rPr>
          <w:lang w:val="en-AU"/>
        </w:rPr>
        <w:t>Directly attributable claim costs include damages, plaintiff legal costs to the extent that they are awarded, and legal defence costs to the extent that they are directly attr</w:t>
      </w:r>
      <w:r>
        <w:rPr>
          <w:lang w:val="en-AU"/>
        </w:rPr>
        <w:t>ibutable to the claim.</w:t>
      </w:r>
    </w:p>
    <w:p w14:paraId="6E860036" w14:textId="77777777" w:rsidR="003418DA" w:rsidRPr="00C04A67" w:rsidRDefault="003418DA" w:rsidP="003418DA">
      <w:pPr>
        <w:pStyle w:val="Heading2Appendix"/>
        <w:rPr>
          <w:sz w:val="26"/>
          <w:szCs w:val="22"/>
        </w:rPr>
      </w:pPr>
      <w:r w:rsidRPr="00C04A67">
        <w:rPr>
          <w:sz w:val="26"/>
          <w:szCs w:val="22"/>
        </w:rPr>
        <w:t>Assumptions</w:t>
      </w:r>
    </w:p>
    <w:p w14:paraId="252A1132" w14:textId="4BC2FC7F" w:rsidR="00952046" w:rsidRPr="0030070D" w:rsidRDefault="00952046" w:rsidP="00952046">
      <w:pPr>
        <w:pStyle w:val="Heading3Appendix"/>
        <w:ind w:left="0" w:firstLine="0"/>
      </w:pPr>
      <w:r w:rsidRPr="0030070D">
        <w:t>Economic assumptions</w:t>
      </w:r>
      <w:r w:rsidR="009B0312">
        <w:t xml:space="preserve"> – </w:t>
      </w:r>
      <w:r>
        <w:t>claims inflation &amp; long</w:t>
      </w:r>
      <w:r w:rsidR="009B0312">
        <w:noBreakHyphen/>
      </w:r>
      <w:r>
        <w:t>term discount rate</w:t>
      </w:r>
    </w:p>
    <w:p w14:paraId="59E27E2F" w14:textId="77777777" w:rsidR="00952046" w:rsidRPr="0052068F" w:rsidRDefault="00952046" w:rsidP="0052068F">
      <w:pPr>
        <w:pStyle w:val="AppendixParagraph"/>
        <w:numPr>
          <w:ilvl w:val="0"/>
          <w:numId w:val="29"/>
        </w:numPr>
        <w:rPr>
          <w:lang w:val="en-AU"/>
        </w:rPr>
      </w:pPr>
      <w:r w:rsidRPr="0052068F">
        <w:rPr>
          <w:lang w:val="en-AU"/>
        </w:rPr>
        <w:t>Medical indemnity claims costs tend to increase at a faster rate than general inflation. Claim payments were projected to increase in line with wage inflation plus superimposed claim cost inflation.</w:t>
      </w:r>
    </w:p>
    <w:p w14:paraId="610FB4CD" w14:textId="775BF6A9" w:rsidR="00952046" w:rsidRPr="0030070D" w:rsidRDefault="00952046" w:rsidP="00952046">
      <w:pPr>
        <w:pStyle w:val="Bullet"/>
        <w:numPr>
          <w:ilvl w:val="0"/>
          <w:numId w:val="23"/>
        </w:numPr>
        <w:tabs>
          <w:tab w:val="clear" w:pos="1014"/>
          <w:tab w:val="left" w:pos="992"/>
        </w:tabs>
        <w:spacing w:after="240"/>
        <w:ind w:left="993" w:hanging="709"/>
      </w:pPr>
      <w:r w:rsidRPr="0030070D">
        <w:t xml:space="preserve">Wage inflation was assumed to be </w:t>
      </w:r>
      <w:r w:rsidR="001865AD">
        <w:t>3.7</w:t>
      </w:r>
      <w:r w:rsidRPr="0030070D">
        <w:t xml:space="preserve"> per cent per annum. </w:t>
      </w:r>
      <w:r w:rsidR="001865AD">
        <w:t xml:space="preserve">It has been revised down from 4 per cent per annum </w:t>
      </w:r>
      <w:r w:rsidR="00AD1D93">
        <w:t xml:space="preserve">assumed in previous years </w:t>
      </w:r>
      <w:r w:rsidR="001865AD">
        <w:t xml:space="preserve">to be consistent with the </w:t>
      </w:r>
      <w:r w:rsidR="00BD15FE">
        <w:t xml:space="preserve">current long-term wage growth assumption </w:t>
      </w:r>
      <w:r w:rsidR="001B16AD">
        <w:t xml:space="preserve">adopted </w:t>
      </w:r>
      <w:r w:rsidR="00FA1A2C">
        <w:t>for</w:t>
      </w:r>
      <w:r w:rsidR="001B16AD" w:rsidRPr="008E0C53">
        <w:t xml:space="preserve"> </w:t>
      </w:r>
      <w:r w:rsidR="00955D30">
        <w:t>several</w:t>
      </w:r>
      <w:r w:rsidR="001B16AD" w:rsidRPr="008E0C53">
        <w:t xml:space="preserve"> </w:t>
      </w:r>
      <w:r w:rsidR="00FA1A2C">
        <w:t>Commonwealth schemes.</w:t>
      </w:r>
    </w:p>
    <w:p w14:paraId="3298139C" w14:textId="5145D109" w:rsidR="00952046" w:rsidRDefault="00952046" w:rsidP="00952046">
      <w:pPr>
        <w:pStyle w:val="Bullet"/>
        <w:numPr>
          <w:ilvl w:val="0"/>
          <w:numId w:val="23"/>
        </w:numPr>
        <w:tabs>
          <w:tab w:val="clear" w:pos="1014"/>
          <w:tab w:val="left" w:pos="992"/>
        </w:tabs>
        <w:spacing w:after="240"/>
        <w:ind w:left="993" w:hanging="709"/>
      </w:pPr>
      <w:r w:rsidRPr="0030070D">
        <w:t xml:space="preserve">Superimposed inflation was assumed to be 2.5 per cent per annum. Superimposed inflation refers to the tendency for medical indemnity claim amounts to increase at rates faster than general inflation. </w:t>
      </w:r>
      <w:r>
        <w:t xml:space="preserve">Whilst </w:t>
      </w:r>
      <w:r w:rsidRPr="0030070D">
        <w:t xml:space="preserve">superimposed inflation </w:t>
      </w:r>
      <w:r>
        <w:t xml:space="preserve">has </w:t>
      </w:r>
      <w:r w:rsidRPr="0030070D">
        <w:t xml:space="preserve">been observed in </w:t>
      </w:r>
      <w:r w:rsidR="009B0312">
        <w:t>“</w:t>
      </w:r>
      <w:r>
        <w:t>bursts</w:t>
      </w:r>
      <w:r w:rsidR="009B0312">
        <w:t>”</w:t>
      </w:r>
      <w:r>
        <w:t xml:space="preserve"> </w:t>
      </w:r>
      <w:r w:rsidRPr="0030070D">
        <w:t>the past</w:t>
      </w:r>
      <w:r>
        <w:t xml:space="preserve">, the timing is unpredictable. </w:t>
      </w:r>
      <w:proofErr w:type="gramStart"/>
      <w:r>
        <w:t>As a consequence</w:t>
      </w:r>
      <w:proofErr w:type="gramEnd"/>
      <w:r>
        <w:t xml:space="preserve">, </w:t>
      </w:r>
      <w:r w:rsidRPr="0030070D">
        <w:t xml:space="preserve">superimposed inflation is typically allowed for with a constant assumption. </w:t>
      </w:r>
      <w:r>
        <w:t xml:space="preserve">Due to the limited data, there is some judgement required in selecting this assumption. </w:t>
      </w:r>
    </w:p>
    <w:p w14:paraId="0F351A2C" w14:textId="6F451501" w:rsidR="00952046" w:rsidRPr="00256668" w:rsidRDefault="00952046" w:rsidP="00952046">
      <w:pPr>
        <w:pStyle w:val="Bullet"/>
        <w:numPr>
          <w:ilvl w:val="0"/>
          <w:numId w:val="23"/>
        </w:numPr>
        <w:tabs>
          <w:tab w:val="clear" w:pos="1014"/>
          <w:tab w:val="left" w:pos="992"/>
        </w:tabs>
        <w:spacing w:after="240"/>
        <w:ind w:left="993" w:hanging="709"/>
      </w:pPr>
      <w:r w:rsidRPr="00256668">
        <w:t xml:space="preserve">Claim payments </w:t>
      </w:r>
      <w:r w:rsidRPr="008E0C53">
        <w:t xml:space="preserve">were discounted at a rate of 5 per cent per annum. This chosen rate provides consistency with the rate adopted in a number of similar </w:t>
      </w:r>
      <w:r w:rsidRPr="008E0C53">
        <w:lastRenderedPageBreak/>
        <w:t>contexts and therefore is suitable from a whole of gover</w:t>
      </w:r>
      <w:r>
        <w:t xml:space="preserve">nment perspective </w:t>
      </w:r>
      <w:proofErr w:type="gramStart"/>
      <w:r>
        <w:t>at</w:t>
      </w:r>
      <w:proofErr w:type="gramEnd"/>
      <w:r>
        <w:t xml:space="preserve"> 30 </w:t>
      </w:r>
      <w:r w:rsidRPr="002C6A95">
        <w:t>June 202</w:t>
      </w:r>
      <w:r w:rsidR="008748BF" w:rsidRPr="002C6A95">
        <w:t>4</w:t>
      </w:r>
      <w:r w:rsidRPr="002C6A95">
        <w:t>. This</w:t>
      </w:r>
      <w:r>
        <w:t xml:space="preserve"> rate is unchanged from last year. </w:t>
      </w:r>
    </w:p>
    <w:p w14:paraId="1DDF469F" w14:textId="79748F61" w:rsidR="003418DA" w:rsidRDefault="003418DA" w:rsidP="003418DA">
      <w:pPr>
        <w:pStyle w:val="Heading3Appendix"/>
      </w:pPr>
      <w:r>
        <w:t>Practitioner population</w:t>
      </w:r>
    </w:p>
    <w:p w14:paraId="596D1771" w14:textId="642DE0CB" w:rsidR="007857CA" w:rsidRPr="00971259" w:rsidRDefault="003418DA" w:rsidP="00952046">
      <w:pPr>
        <w:pStyle w:val="AppendixParagraph"/>
        <w:numPr>
          <w:ilvl w:val="0"/>
          <w:numId w:val="29"/>
        </w:numPr>
        <w:rPr>
          <w:lang w:val="en-AU"/>
        </w:rPr>
      </w:pPr>
      <w:r w:rsidRPr="00971259">
        <w:rPr>
          <w:lang w:val="en-AU"/>
        </w:rPr>
        <w:t xml:space="preserve">As noted above, the analysis aims to project the expected future ROC indemnity payments for each medical practitioner who was practising as </w:t>
      </w:r>
      <w:proofErr w:type="gramStart"/>
      <w:r w:rsidRPr="00971259">
        <w:rPr>
          <w:lang w:val="en-AU"/>
        </w:rPr>
        <w:t>at</w:t>
      </w:r>
      <w:proofErr w:type="gramEnd"/>
      <w:r w:rsidRPr="00971259">
        <w:rPr>
          <w:lang w:val="en-AU"/>
        </w:rPr>
        <w:t xml:space="preserve"> 30 </w:t>
      </w:r>
      <w:r w:rsidR="00BA3A87" w:rsidRPr="00971259">
        <w:rPr>
          <w:lang w:val="en-AU"/>
        </w:rPr>
        <w:t>June 202</w:t>
      </w:r>
      <w:r w:rsidR="0083581A" w:rsidRPr="00971259">
        <w:rPr>
          <w:lang w:val="en-AU"/>
        </w:rPr>
        <w:t>4</w:t>
      </w:r>
      <w:r w:rsidRPr="00971259">
        <w:rPr>
          <w:lang w:val="en-AU"/>
        </w:rPr>
        <w:t>. This starts with the population of medical practitio</w:t>
      </w:r>
      <w:r w:rsidR="00BA3A87" w:rsidRPr="00971259">
        <w:rPr>
          <w:lang w:val="en-AU"/>
        </w:rPr>
        <w:t>ners who were practicing in 20</w:t>
      </w:r>
      <w:r w:rsidR="00654F3E" w:rsidRPr="00971259">
        <w:rPr>
          <w:lang w:val="en-AU"/>
        </w:rPr>
        <w:t>2</w:t>
      </w:r>
      <w:r w:rsidR="0083581A" w:rsidRPr="00971259">
        <w:rPr>
          <w:lang w:val="en-AU"/>
        </w:rPr>
        <w:t>3</w:t>
      </w:r>
      <w:r w:rsidR="009B0312" w:rsidRPr="00971259">
        <w:rPr>
          <w:lang w:val="en-AU"/>
        </w:rPr>
        <w:noBreakHyphen/>
      </w:r>
      <w:r w:rsidR="00BA3A87" w:rsidRPr="00971259">
        <w:rPr>
          <w:lang w:val="en-AU"/>
        </w:rPr>
        <w:t>2</w:t>
      </w:r>
      <w:r w:rsidR="0083581A" w:rsidRPr="00971259">
        <w:rPr>
          <w:lang w:val="en-AU"/>
        </w:rPr>
        <w:t>4</w:t>
      </w:r>
      <w:r w:rsidRPr="00971259">
        <w:rPr>
          <w:lang w:val="en-AU"/>
        </w:rPr>
        <w:t>. This data is provided by the MIIs and maintained by Services Australia.</w:t>
      </w:r>
    </w:p>
    <w:p w14:paraId="526F52F0" w14:textId="4A8B95C9" w:rsidR="007857CA" w:rsidRPr="009B6B05" w:rsidRDefault="003418DA" w:rsidP="00952046">
      <w:pPr>
        <w:pStyle w:val="AppendixParagraph"/>
        <w:numPr>
          <w:ilvl w:val="0"/>
          <w:numId w:val="29"/>
        </w:numPr>
        <w:spacing w:after="200" w:line="276" w:lineRule="auto"/>
      </w:pPr>
      <w:r w:rsidRPr="00971259">
        <w:rPr>
          <w:lang w:val="en-AU"/>
        </w:rPr>
        <w:t>Practitioners with total medical indemnity payments (including both medical indemnity premiums net of discounts and loadings plus membership fees) of less than $1,7</w:t>
      </w:r>
      <w:r w:rsidR="00BE5CC9" w:rsidRPr="00971259">
        <w:rPr>
          <w:lang w:val="en-AU"/>
        </w:rPr>
        <w:t>5</w:t>
      </w:r>
      <w:r w:rsidRPr="00971259" w:rsidDel="00BE5CC9">
        <w:rPr>
          <w:lang w:val="en-AU"/>
        </w:rPr>
        <w:t>0</w:t>
      </w:r>
      <w:r w:rsidRPr="00971259">
        <w:rPr>
          <w:lang w:val="en-AU"/>
        </w:rPr>
        <w:t xml:space="preserve"> were excluded from the analysis </w:t>
      </w:r>
      <w:proofErr w:type="gramStart"/>
      <w:r w:rsidRPr="00971259">
        <w:rPr>
          <w:lang w:val="en-AU"/>
        </w:rPr>
        <w:t>in order to</w:t>
      </w:r>
      <w:proofErr w:type="gramEnd"/>
      <w:r w:rsidRPr="00971259">
        <w:rPr>
          <w:lang w:val="en-AU"/>
        </w:rPr>
        <w:t xml:space="preserve"> ensure that only genuine </w:t>
      </w:r>
      <w:r w:rsidR="009B0312" w:rsidRPr="00971259">
        <w:rPr>
          <w:lang w:val="en-AU"/>
        </w:rPr>
        <w:t>‘</w:t>
      </w:r>
      <w:r w:rsidRPr="00971259">
        <w:rPr>
          <w:lang w:val="en-AU"/>
        </w:rPr>
        <w:t>at</w:t>
      </w:r>
      <w:r w:rsidR="009B0312" w:rsidRPr="00971259">
        <w:rPr>
          <w:lang w:val="en-AU"/>
        </w:rPr>
        <w:noBreakHyphen/>
      </w:r>
      <w:r w:rsidRPr="00971259">
        <w:rPr>
          <w:lang w:val="en-AU"/>
        </w:rPr>
        <w:t>risk</w:t>
      </w:r>
      <w:r w:rsidR="009B0312" w:rsidRPr="00971259">
        <w:rPr>
          <w:lang w:val="en-AU"/>
        </w:rPr>
        <w:t>’</w:t>
      </w:r>
      <w:r w:rsidRPr="00971259">
        <w:rPr>
          <w:lang w:val="en-AU"/>
        </w:rPr>
        <w:t xml:space="preserve"> medical practitioners were the focus of the investigation. The excluded group contained interns and trainees that</w:t>
      </w:r>
      <w:r w:rsidRPr="009B6B05">
        <w:rPr>
          <w:lang w:val="en-AU"/>
        </w:rPr>
        <w:t xml:space="preserve"> exist in some of the data provided by the MIIs. A total of</w:t>
      </w:r>
      <w:r w:rsidR="004A12E3" w:rsidRPr="009B6B05">
        <w:rPr>
          <w:lang w:val="en-AU"/>
        </w:rPr>
        <w:t xml:space="preserve"> around</w:t>
      </w:r>
      <w:r w:rsidRPr="009B6B05">
        <w:rPr>
          <w:lang w:val="en-AU"/>
        </w:rPr>
        <w:t xml:space="preserve"> </w:t>
      </w:r>
      <w:r w:rsidR="004A12E3" w:rsidRPr="00EC5147">
        <w:rPr>
          <w:lang w:val="en-AU"/>
        </w:rPr>
        <w:t>10</w:t>
      </w:r>
      <w:r w:rsidR="00743E5F" w:rsidRPr="00EC5147">
        <w:rPr>
          <w:lang w:val="en-AU"/>
        </w:rPr>
        <w:t>5</w:t>
      </w:r>
      <w:r w:rsidR="004A12E3" w:rsidRPr="00EC5147">
        <w:rPr>
          <w:lang w:val="en-AU"/>
        </w:rPr>
        <w:t>,000</w:t>
      </w:r>
      <w:r w:rsidRPr="00EC5147">
        <w:rPr>
          <w:lang w:val="en-AU"/>
        </w:rPr>
        <w:t xml:space="preserve"> practising medical practitioners have paid some </w:t>
      </w:r>
      <w:r w:rsidR="00F1390C" w:rsidRPr="00EC5147">
        <w:rPr>
          <w:lang w:val="en-AU"/>
        </w:rPr>
        <w:t>medical indemnity payments</w:t>
      </w:r>
      <w:r w:rsidRPr="00EC5147">
        <w:rPr>
          <w:lang w:val="en-AU"/>
        </w:rPr>
        <w:t xml:space="preserve"> during 20</w:t>
      </w:r>
      <w:r w:rsidR="00812FC5" w:rsidRPr="00EC5147">
        <w:rPr>
          <w:lang w:val="en-AU"/>
        </w:rPr>
        <w:t>2</w:t>
      </w:r>
      <w:r w:rsidR="00746EA9" w:rsidRPr="00EC5147">
        <w:rPr>
          <w:lang w:val="en-AU"/>
        </w:rPr>
        <w:t>3</w:t>
      </w:r>
      <w:r w:rsidR="009B0312" w:rsidRPr="00EC5147">
        <w:rPr>
          <w:lang w:val="en-AU"/>
        </w:rPr>
        <w:noBreakHyphen/>
      </w:r>
      <w:r w:rsidR="00E15378" w:rsidRPr="00EC5147">
        <w:rPr>
          <w:lang w:val="en-AU"/>
        </w:rPr>
        <w:t>2</w:t>
      </w:r>
      <w:r w:rsidR="00746EA9" w:rsidRPr="00EC5147">
        <w:rPr>
          <w:lang w:val="en-AU"/>
        </w:rPr>
        <w:t>4</w:t>
      </w:r>
      <w:r w:rsidRPr="00EC5147">
        <w:rPr>
          <w:lang w:val="en-AU"/>
        </w:rPr>
        <w:t xml:space="preserve">. After excluding those medical practitioners, we were left with </w:t>
      </w:r>
      <w:r w:rsidR="00BE5CC9" w:rsidRPr="00EC5147">
        <w:rPr>
          <w:lang w:val="en-AU"/>
        </w:rPr>
        <w:t>6</w:t>
      </w:r>
      <w:r w:rsidR="00E56046" w:rsidRPr="00EC5147">
        <w:rPr>
          <w:lang w:val="en-AU"/>
        </w:rPr>
        <w:t>3,642</w:t>
      </w:r>
      <w:r w:rsidRPr="00EC5147">
        <w:rPr>
          <w:lang w:val="en-AU"/>
        </w:rPr>
        <w:t xml:space="preserve"> </w:t>
      </w:r>
      <w:r w:rsidR="009B0312" w:rsidRPr="00EC5147">
        <w:rPr>
          <w:lang w:val="en-AU"/>
        </w:rPr>
        <w:t>‘</w:t>
      </w:r>
      <w:r w:rsidRPr="00EC5147">
        <w:rPr>
          <w:lang w:val="en-AU"/>
        </w:rPr>
        <w:t>at</w:t>
      </w:r>
      <w:r w:rsidR="009B0312" w:rsidRPr="00EC5147">
        <w:rPr>
          <w:lang w:val="en-AU"/>
        </w:rPr>
        <w:noBreakHyphen/>
      </w:r>
      <w:r w:rsidRPr="00EC5147">
        <w:rPr>
          <w:lang w:val="en-AU"/>
        </w:rPr>
        <w:t>risk</w:t>
      </w:r>
      <w:r w:rsidR="009B0312" w:rsidRPr="00EC5147">
        <w:rPr>
          <w:lang w:val="en-AU"/>
        </w:rPr>
        <w:t>’</w:t>
      </w:r>
      <w:r w:rsidRPr="00EC5147">
        <w:rPr>
          <w:lang w:val="en-AU"/>
        </w:rPr>
        <w:t xml:space="preserve"> medical</w:t>
      </w:r>
      <w:r w:rsidRPr="009B6B05">
        <w:rPr>
          <w:lang w:val="en-AU"/>
        </w:rPr>
        <w:t xml:space="preserve"> practitioners. This approach is unchanged from our previous reports.</w:t>
      </w:r>
      <w:bookmarkStart w:id="152" w:name="_Ref251330087"/>
      <w:r w:rsidR="00F1390C" w:rsidRPr="009B6B05">
        <w:rPr>
          <w:lang w:val="en-AU"/>
        </w:rPr>
        <w:t xml:space="preserve"> </w:t>
      </w:r>
      <w:r w:rsidR="00843B36">
        <w:rPr>
          <w:lang w:val="en-AU"/>
        </w:rPr>
        <w:t>However, t</w:t>
      </w:r>
      <w:r w:rsidR="00F1390C" w:rsidRPr="009B6B05">
        <w:rPr>
          <w:lang w:val="en-AU"/>
        </w:rPr>
        <w:t xml:space="preserve">he riskiness threshold has </w:t>
      </w:r>
      <w:r w:rsidR="00CA5156">
        <w:rPr>
          <w:lang w:val="en-AU"/>
        </w:rPr>
        <w:t xml:space="preserve">increased </w:t>
      </w:r>
      <w:r w:rsidR="00D101CB">
        <w:rPr>
          <w:lang w:val="en-AU"/>
        </w:rPr>
        <w:t>from $1,700</w:t>
      </w:r>
      <w:r w:rsidR="00F1390C" w:rsidRPr="009B6B05">
        <w:rPr>
          <w:lang w:val="en-AU"/>
        </w:rPr>
        <w:t xml:space="preserve"> </w:t>
      </w:r>
      <w:r w:rsidR="00F1390C" w:rsidRPr="00EC5147">
        <w:rPr>
          <w:lang w:val="en-AU"/>
        </w:rPr>
        <w:t xml:space="preserve">since </w:t>
      </w:r>
      <w:r w:rsidR="00E56046" w:rsidRPr="00EC5147">
        <w:rPr>
          <w:lang w:val="en-AU"/>
        </w:rPr>
        <w:t>2</w:t>
      </w:r>
      <w:r w:rsidR="0034655C" w:rsidRPr="00EC5147">
        <w:rPr>
          <w:lang w:val="en-AU"/>
        </w:rPr>
        <w:t>023</w:t>
      </w:r>
      <w:r w:rsidR="009B6B05" w:rsidRPr="00EC5147">
        <w:rPr>
          <w:lang w:val="en-AU"/>
        </w:rPr>
        <w:t xml:space="preserve"> </w:t>
      </w:r>
      <w:r w:rsidR="00AD1AC2" w:rsidRPr="00EC5147">
        <w:rPr>
          <w:lang w:val="en-AU"/>
        </w:rPr>
        <w:t>to</w:t>
      </w:r>
      <w:r w:rsidR="00AD1AC2">
        <w:rPr>
          <w:lang w:val="en-AU"/>
        </w:rPr>
        <w:t xml:space="preserve"> </w:t>
      </w:r>
      <w:r w:rsidR="000C5F27">
        <w:rPr>
          <w:lang w:val="en-AU"/>
        </w:rPr>
        <w:t>reflect the increase in premium</w:t>
      </w:r>
      <w:r w:rsidR="007B1E9D">
        <w:rPr>
          <w:lang w:val="en-AU"/>
        </w:rPr>
        <w:t xml:space="preserve">s and membership fees </w:t>
      </w:r>
      <w:r w:rsidR="00C613DA">
        <w:rPr>
          <w:lang w:val="en-AU"/>
        </w:rPr>
        <w:t>and to</w:t>
      </w:r>
      <w:r w:rsidR="007B1E9D">
        <w:rPr>
          <w:lang w:val="en-AU"/>
        </w:rPr>
        <w:t xml:space="preserve"> </w:t>
      </w:r>
      <w:r w:rsidR="004812A5">
        <w:rPr>
          <w:lang w:val="en-AU"/>
        </w:rPr>
        <w:t>maintain</w:t>
      </w:r>
      <w:r w:rsidR="00AD1AC2">
        <w:rPr>
          <w:lang w:val="en-AU"/>
        </w:rPr>
        <w:t xml:space="preserve"> the </w:t>
      </w:r>
      <w:r w:rsidR="008C5FDE">
        <w:rPr>
          <w:lang w:val="en-AU"/>
        </w:rPr>
        <w:t xml:space="preserve">same </w:t>
      </w:r>
      <w:r w:rsidR="00F01DDD" w:rsidRPr="009B6B05">
        <w:rPr>
          <w:lang w:val="en-AU"/>
        </w:rPr>
        <w:t>proportion of risky practitioners</w:t>
      </w:r>
      <w:r w:rsidR="00BA6E3F" w:rsidRPr="009B6B05">
        <w:rPr>
          <w:lang w:val="en-AU"/>
        </w:rPr>
        <w:t xml:space="preserve"> by age</w:t>
      </w:r>
      <w:r w:rsidR="00F1390C" w:rsidRPr="009B6B05">
        <w:rPr>
          <w:lang w:val="en-AU"/>
        </w:rPr>
        <w:t xml:space="preserve">. </w:t>
      </w:r>
    </w:p>
    <w:p w14:paraId="4AFB171E" w14:textId="0AADC7D6" w:rsidR="003418DA" w:rsidRPr="0030070D" w:rsidRDefault="003418DA" w:rsidP="00952046">
      <w:pPr>
        <w:pStyle w:val="ListParagraph"/>
        <w:numPr>
          <w:ilvl w:val="0"/>
          <w:numId w:val="29"/>
        </w:numPr>
        <w:spacing w:after="200" w:line="276" w:lineRule="auto"/>
      </w:pPr>
      <w:r w:rsidRPr="003B3F7A">
        <w:t>Table 1</w:t>
      </w:r>
      <w:r>
        <w:t>6</w:t>
      </w:r>
      <w:r w:rsidRPr="003B3F7A">
        <w:t xml:space="preserve"> summarises</w:t>
      </w:r>
      <w:r w:rsidRPr="0030070D">
        <w:t xml:space="preserve"> the age distribution of the cohort of </w:t>
      </w:r>
      <w:r w:rsidR="009B0312">
        <w:t>‘</w:t>
      </w:r>
      <w:r w:rsidRPr="0030070D">
        <w:t>at</w:t>
      </w:r>
      <w:r w:rsidR="009B0312">
        <w:noBreakHyphen/>
      </w:r>
      <w:r w:rsidRPr="0030070D">
        <w:t>risk</w:t>
      </w:r>
      <w:r w:rsidR="009B0312">
        <w:t>’</w:t>
      </w:r>
      <w:r w:rsidRPr="0030070D">
        <w:t xml:space="preserve"> practitioners, with the total </w:t>
      </w:r>
      <w:r w:rsidRPr="00F1390C">
        <w:rPr>
          <w:color w:val="auto"/>
        </w:rPr>
        <w:t xml:space="preserve">premium representing a proxy for </w:t>
      </w:r>
      <w:r w:rsidR="0032426B">
        <w:rPr>
          <w:color w:val="auto"/>
        </w:rPr>
        <w:t>risk</w:t>
      </w:r>
      <w:r w:rsidRPr="00F1390C">
        <w:rPr>
          <w:color w:val="auto"/>
        </w:rPr>
        <w:t xml:space="preserve"> of medical indemnity claims for each age group. Note that age and gender were not available for a small number of medical practitioners</w:t>
      </w:r>
      <w:r w:rsidR="00233FCA">
        <w:rPr>
          <w:color w:val="auto"/>
        </w:rPr>
        <w:t xml:space="preserve"> and were randomly allocated</w:t>
      </w:r>
      <w:r w:rsidRPr="00F1390C">
        <w:rPr>
          <w:color w:val="auto"/>
        </w:rPr>
        <w:t>.</w:t>
      </w:r>
      <w:bookmarkEnd w:id="152"/>
      <w:r w:rsidR="00F95DBC" w:rsidRPr="00F1390C">
        <w:rPr>
          <w:color w:val="auto"/>
        </w:rPr>
        <w:t xml:space="preserve"> </w:t>
      </w:r>
    </w:p>
    <w:p w14:paraId="1DB2C37A" w14:textId="6E0151BD" w:rsidR="003418DA" w:rsidRPr="00D6236F" w:rsidRDefault="003418DA" w:rsidP="0040224A">
      <w:pPr>
        <w:pStyle w:val="Caption"/>
      </w:pPr>
      <w:r w:rsidRPr="00EC5147">
        <w:t>Table 16:</w:t>
      </w:r>
      <w:r w:rsidRPr="00556F2D">
        <w:t xml:space="preserve"> Cohort of </w:t>
      </w:r>
      <w:r w:rsidR="009B0312" w:rsidRPr="00556F2D">
        <w:t>‘</w:t>
      </w:r>
      <w:r w:rsidRPr="00556F2D">
        <w:t>at</w:t>
      </w:r>
      <w:r w:rsidR="009B0312" w:rsidRPr="00556F2D">
        <w:noBreakHyphen/>
      </w:r>
      <w:r w:rsidRPr="00556F2D">
        <w:t>risk</w:t>
      </w:r>
      <w:r w:rsidR="009B0312" w:rsidRPr="00556F2D">
        <w:t>’</w:t>
      </w:r>
      <w:r w:rsidRPr="00556F2D">
        <w:t xml:space="preserve"> medical practitioners</w:t>
      </w:r>
    </w:p>
    <w:p w14:paraId="743903C2" w14:textId="1D293974" w:rsidR="00DB7231" w:rsidRDefault="001E04F8" w:rsidP="00E15378">
      <w:pPr>
        <w:pStyle w:val="ChartorTableNote"/>
        <w:ind w:left="0" w:firstLine="0"/>
        <w:rPr>
          <w:noProof/>
        </w:rPr>
      </w:pPr>
      <w:r w:rsidRPr="001E04F8">
        <w:rPr>
          <w:noProof/>
        </w:rPr>
        <w:drawing>
          <wp:inline distT="0" distB="0" distL="0" distR="0" wp14:anchorId="62E36779" wp14:editId="0E895D38">
            <wp:extent cx="4565650" cy="2298700"/>
            <wp:effectExtent l="0" t="0" r="6350" b="6350"/>
            <wp:docPr id="458482460" name="Picture 32" descr="There were 63,642 ‘at-risk’ doctors in 2024. The proportion of males was 59%. ‘At-risk’ doctors paid $568 million in premiums and membership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5650" cy="2298700"/>
                    </a:xfrm>
                    <a:prstGeom prst="rect">
                      <a:avLst/>
                    </a:prstGeom>
                    <a:noFill/>
                    <a:ln>
                      <a:noFill/>
                    </a:ln>
                  </pic:spPr>
                </pic:pic>
              </a:graphicData>
            </a:graphic>
          </wp:inline>
        </w:drawing>
      </w:r>
    </w:p>
    <w:p w14:paraId="569C124E" w14:textId="47E42B66" w:rsidR="003418DA" w:rsidRPr="0030070D" w:rsidRDefault="003418DA" w:rsidP="00E15378">
      <w:pPr>
        <w:pStyle w:val="ChartorTableNote"/>
        <w:ind w:left="0" w:firstLine="0"/>
      </w:pPr>
      <w:r w:rsidRPr="0030070D">
        <w:t>Note: Numbers may not add due to rounding. Total premium includes membership fees</w:t>
      </w:r>
      <w:r>
        <w:t xml:space="preserve"> from some insurers</w:t>
      </w:r>
      <w:r w:rsidRPr="0030070D">
        <w:t xml:space="preserve">. If membership fees are excluded, total premium </w:t>
      </w:r>
      <w:r w:rsidRPr="00A56CEC">
        <w:t>is approximately $</w:t>
      </w:r>
      <w:r w:rsidR="0087286A">
        <w:t>522</w:t>
      </w:r>
      <w:r w:rsidRPr="00622BC3">
        <w:t xml:space="preserve"> million</w:t>
      </w:r>
      <w:r w:rsidRPr="0030070D">
        <w:t>.</w:t>
      </w:r>
    </w:p>
    <w:p w14:paraId="3C7730F3" w14:textId="77777777" w:rsidR="003418DA" w:rsidRDefault="003418DA" w:rsidP="003418DA">
      <w:pPr>
        <w:pStyle w:val="SingleParagraph"/>
      </w:pPr>
    </w:p>
    <w:p w14:paraId="439DA25C" w14:textId="77777777" w:rsidR="003418DA" w:rsidRPr="0030070D" w:rsidRDefault="003418DA" w:rsidP="003418DA">
      <w:pPr>
        <w:pStyle w:val="Heading3Appendix"/>
        <w:spacing w:before="120"/>
      </w:pPr>
      <w:r w:rsidRPr="0030070D">
        <w:lastRenderedPageBreak/>
        <w:t xml:space="preserve">Demographic </w:t>
      </w:r>
      <w:r>
        <w:t>a</w:t>
      </w:r>
      <w:r w:rsidRPr="0030070D">
        <w:t>ssumptions</w:t>
      </w:r>
    </w:p>
    <w:p w14:paraId="116A7339" w14:textId="380457E0" w:rsidR="003418DA" w:rsidRPr="007857CA" w:rsidRDefault="003418DA" w:rsidP="00952046">
      <w:pPr>
        <w:pStyle w:val="ListParagraph"/>
        <w:numPr>
          <w:ilvl w:val="0"/>
          <w:numId w:val="29"/>
        </w:numPr>
        <w:spacing w:after="200" w:line="276" w:lineRule="auto"/>
      </w:pPr>
      <w:r w:rsidRPr="007857CA">
        <w:t xml:space="preserve">Demographic assumptions are required to project the number of eligible medical practitioners in future years from the current population of </w:t>
      </w:r>
      <w:r w:rsidR="009B0312">
        <w:t>‘</w:t>
      </w:r>
      <w:r w:rsidRPr="007857CA">
        <w:t>at risk</w:t>
      </w:r>
      <w:r w:rsidR="009B0312">
        <w:t>’</w:t>
      </w:r>
      <w:r w:rsidRPr="007857CA">
        <w:t xml:space="preserve"> medical practitioners</w:t>
      </w:r>
      <w:r w:rsidR="00466061">
        <w:t xml:space="preserve"> who are not yet eligible for the Scheme</w:t>
      </w:r>
      <w:r w:rsidRPr="007857CA">
        <w:t>.</w:t>
      </w:r>
    </w:p>
    <w:p w14:paraId="3BD31658" w14:textId="0A4C0D47" w:rsidR="003418DA" w:rsidRPr="007857CA" w:rsidRDefault="003418DA" w:rsidP="00952046">
      <w:pPr>
        <w:pStyle w:val="ListParagraph"/>
        <w:numPr>
          <w:ilvl w:val="0"/>
          <w:numId w:val="29"/>
        </w:numPr>
        <w:spacing w:after="200" w:line="276" w:lineRule="auto"/>
      </w:pPr>
      <w:proofErr w:type="gramStart"/>
      <w:r w:rsidRPr="007857CA">
        <w:t>In order to</w:t>
      </w:r>
      <w:proofErr w:type="gramEnd"/>
      <w:r w:rsidRPr="007857CA">
        <w:t xml:space="preserve"> assess the future rate at which liabilities will accrue, we project the expected number of new entrants in the categories that are expected to generate a future liability. Those events that are expected to generate a material liability under the scheme </w:t>
      </w:r>
      <w:proofErr w:type="gramStart"/>
      <w:r w:rsidRPr="007857CA">
        <w:t>are considered to be</w:t>
      </w:r>
      <w:proofErr w:type="gramEnd"/>
      <w:r w:rsidRPr="007857CA">
        <w:t xml:space="preserve"> retirement, resignation from private practice</w:t>
      </w:r>
      <w:r w:rsidRPr="00E15378">
        <w:rPr>
          <w:vertAlign w:val="superscript"/>
        </w:rPr>
        <w:footnoteReference w:id="15"/>
      </w:r>
      <w:r w:rsidRPr="007857CA">
        <w:t xml:space="preserve">, death, permanent disability and maternity leave. We have not projected new entrants in the </w:t>
      </w:r>
      <w:r w:rsidR="009B0312">
        <w:t>‘</w:t>
      </w:r>
      <w:r w:rsidRPr="007857CA">
        <w:t>other</w:t>
      </w:r>
      <w:r w:rsidR="009B0312">
        <w:t>’</w:t>
      </w:r>
      <w:r w:rsidRPr="007857CA">
        <w:t xml:space="preserve"> category. Historically, practitioners in this category have paid very low premiums. Accordingly, we have assumed that medical negligence claims against them are likely to make an immaterial contribution to the Scheme costs.</w:t>
      </w:r>
    </w:p>
    <w:p w14:paraId="2C0CF022" w14:textId="30228DB2" w:rsidR="003418DA" w:rsidRPr="008E05DC" w:rsidRDefault="003418DA" w:rsidP="00952046">
      <w:pPr>
        <w:pStyle w:val="ListParagraph"/>
        <w:numPr>
          <w:ilvl w:val="0"/>
          <w:numId w:val="29"/>
        </w:numPr>
        <w:spacing w:after="200" w:line="276" w:lineRule="auto"/>
      </w:pPr>
      <w:r w:rsidRPr="008E05DC">
        <w:t>The probabilities of death and disablement are assumed to be an increasing multiple of the probabilities of death in the Australian Life Tables 20</w:t>
      </w:r>
      <w:r w:rsidR="00B73649" w:rsidRPr="008E05DC">
        <w:t>20</w:t>
      </w:r>
      <w:r w:rsidR="009B0312" w:rsidRPr="008E05DC">
        <w:noBreakHyphen/>
      </w:r>
      <w:r w:rsidR="00B73649" w:rsidRPr="008E05DC">
        <w:t>22</w:t>
      </w:r>
      <w:r w:rsidRPr="008E05DC">
        <w:rPr>
          <w:color w:val="auto"/>
        </w:rPr>
        <w:t xml:space="preserve"> </w:t>
      </w:r>
      <w:r w:rsidRPr="008E05DC">
        <w:t>(ALT 20</w:t>
      </w:r>
      <w:r w:rsidR="00B73649" w:rsidRPr="008E05DC">
        <w:t>20</w:t>
      </w:r>
      <w:r w:rsidR="009B0312" w:rsidRPr="008E05DC">
        <w:noBreakHyphen/>
      </w:r>
      <w:r w:rsidR="00B73649" w:rsidRPr="008E05DC">
        <w:t>22</w:t>
      </w:r>
      <w:r w:rsidRPr="008E05DC">
        <w:t>). The probabilities of death are assumed to be 28 per cent of ALT 20</w:t>
      </w:r>
      <w:r w:rsidR="00CB24AE">
        <w:t>20</w:t>
      </w:r>
      <w:r w:rsidR="009B0312" w:rsidRPr="008E05DC">
        <w:noBreakHyphen/>
      </w:r>
      <w:r w:rsidR="00CB24AE">
        <w:t>22</w:t>
      </w:r>
      <w:r w:rsidRPr="008E05DC">
        <w:t xml:space="preserve"> until age 64, 40 per cent from age 65 to 69, and 48 per cent of ALT 20</w:t>
      </w:r>
      <w:r w:rsidR="00865022" w:rsidRPr="008E05DC">
        <w:t>20</w:t>
      </w:r>
      <w:r w:rsidR="009B0312" w:rsidRPr="008E05DC">
        <w:noBreakHyphen/>
      </w:r>
      <w:r w:rsidR="00865022" w:rsidRPr="008E05DC">
        <w:t>22</w:t>
      </w:r>
      <w:r w:rsidRPr="008E05DC">
        <w:t xml:space="preserve"> thereafter. The probabilities of permanent disability are assumed to be 12 per cent of ALT 20</w:t>
      </w:r>
      <w:r w:rsidR="00947EA2" w:rsidRPr="008E05DC">
        <w:t>20</w:t>
      </w:r>
      <w:r w:rsidR="009B0312" w:rsidRPr="008E05DC">
        <w:noBreakHyphen/>
      </w:r>
      <w:r w:rsidR="00947EA2" w:rsidRPr="008E05DC">
        <w:t>22</w:t>
      </w:r>
      <w:r w:rsidRPr="008E05DC">
        <w:t xml:space="preserve"> up to age 24, an increasing multiple of ALT 2</w:t>
      </w:r>
      <w:r w:rsidR="00947EA2" w:rsidRPr="008E05DC">
        <w:t>020-22</w:t>
      </w:r>
      <w:r w:rsidRPr="008E05DC">
        <w:t xml:space="preserve"> from 12.3 to 24 per cent from age 25 to 64, and 0 from 65 onwards.</w:t>
      </w:r>
    </w:p>
    <w:p w14:paraId="07650ABE" w14:textId="7A71815F" w:rsidR="003418DA" w:rsidRPr="008E05DC" w:rsidRDefault="003418DA" w:rsidP="00952046">
      <w:pPr>
        <w:pStyle w:val="ListParagraph"/>
        <w:numPr>
          <w:ilvl w:val="0"/>
          <w:numId w:val="29"/>
        </w:numPr>
        <w:spacing w:after="200" w:line="276" w:lineRule="auto"/>
      </w:pPr>
      <w:r w:rsidRPr="008E05DC">
        <w:t>Probabilities of maternity leave were assumed for ages between 27 and 44</w:t>
      </w:r>
      <w:r w:rsidR="00947EA2" w:rsidRPr="008E05DC">
        <w:t xml:space="preserve"> (inclusive)</w:t>
      </w:r>
      <w:r w:rsidRPr="008E05DC">
        <w:t xml:space="preserve">. Each medical practitioner was assumed to take one year of maternity leave for each child. </w:t>
      </w:r>
    </w:p>
    <w:p w14:paraId="4A59CBF4" w14:textId="5BD5AC31" w:rsidR="003418DA" w:rsidRPr="00C42BE9" w:rsidRDefault="003418DA" w:rsidP="00952046">
      <w:pPr>
        <w:pStyle w:val="ListParagraph"/>
        <w:numPr>
          <w:ilvl w:val="0"/>
          <w:numId w:val="29"/>
        </w:numPr>
        <w:spacing w:after="200" w:line="276" w:lineRule="auto"/>
        <w:rPr>
          <w:color w:val="auto"/>
        </w:rPr>
      </w:pPr>
      <w:r w:rsidRPr="00C42BE9">
        <w:rPr>
          <w:color w:val="auto"/>
        </w:rPr>
        <w:t xml:space="preserve">Probabilities of resignation were assumed for ages between 29 and 64. It was assumed that the probability decreases with age before increasing again from age </w:t>
      </w:r>
      <w:r w:rsidR="003D12B0" w:rsidRPr="00C42BE9">
        <w:rPr>
          <w:color w:val="auto"/>
        </w:rPr>
        <w:t>5</w:t>
      </w:r>
      <w:r w:rsidRPr="00C42BE9">
        <w:rPr>
          <w:color w:val="auto"/>
        </w:rPr>
        <w:t xml:space="preserve">0. </w:t>
      </w:r>
    </w:p>
    <w:p w14:paraId="71F21A91" w14:textId="38A2BF21" w:rsidR="003418DA" w:rsidRPr="008B67AC" w:rsidRDefault="003418DA" w:rsidP="00952046">
      <w:pPr>
        <w:pStyle w:val="ListParagraph"/>
        <w:numPr>
          <w:ilvl w:val="0"/>
          <w:numId w:val="29"/>
        </w:numPr>
        <w:spacing w:after="200" w:line="276" w:lineRule="auto"/>
      </w:pPr>
      <w:r>
        <w:t>P</w:t>
      </w:r>
      <w:r w:rsidRPr="002B1141">
        <w:t xml:space="preserve">robabilities of </w:t>
      </w:r>
      <w:r>
        <w:t>retirement</w:t>
      </w:r>
      <w:r w:rsidRPr="002B1141">
        <w:t xml:space="preserve"> were assumed for ages between </w:t>
      </w:r>
      <w:r>
        <w:t>65</w:t>
      </w:r>
      <w:r w:rsidRPr="002B1141">
        <w:t> </w:t>
      </w:r>
      <w:r>
        <w:t>and 89</w:t>
      </w:r>
      <w:r w:rsidRPr="002B1141">
        <w:t>.</w:t>
      </w:r>
      <w:r>
        <w:t xml:space="preserve"> We have assumed that all medical practitioners will retire before age </w:t>
      </w:r>
      <w:r w:rsidR="00156096">
        <w:t>90</w:t>
      </w:r>
      <w:r>
        <w:t>. We have allowed</w:t>
      </w:r>
      <w:r w:rsidRPr="008B67AC">
        <w:t xml:space="preserve"> </w:t>
      </w:r>
      <w:r>
        <w:t>slight differences between</w:t>
      </w:r>
      <w:r w:rsidRPr="008B67AC">
        <w:t xml:space="preserve"> males and females</w:t>
      </w:r>
      <w:r>
        <w:t xml:space="preserve"> based on historical experience</w:t>
      </w:r>
      <w:r w:rsidRPr="008B67AC">
        <w:t xml:space="preserve">. </w:t>
      </w:r>
    </w:p>
    <w:p w14:paraId="6FF21F17" w14:textId="77777777" w:rsidR="003418DA" w:rsidRPr="0030070D" w:rsidRDefault="003418DA" w:rsidP="00952046">
      <w:pPr>
        <w:pStyle w:val="ListParagraph"/>
        <w:numPr>
          <w:ilvl w:val="0"/>
          <w:numId w:val="29"/>
        </w:numPr>
        <w:spacing w:after="200" w:line="276" w:lineRule="auto"/>
      </w:pPr>
      <w:r w:rsidRPr="0030070D">
        <w:t xml:space="preserve">It is instructive to </w:t>
      </w:r>
      <w:r>
        <w:t xml:space="preserve">combine the above assumptions and </w:t>
      </w:r>
      <w:r w:rsidRPr="0030070D">
        <w:t xml:space="preserve">present the probabilities that a practising male </w:t>
      </w:r>
      <w:r>
        <w:t>medical practitioner</w:t>
      </w:r>
      <w:r w:rsidRPr="0030070D">
        <w:t xml:space="preserve"> will be eligible for the Scheme in future years. The decrement assumptions are summarised in Table 1</w:t>
      </w:r>
      <w:r>
        <w:t>7</w:t>
      </w:r>
      <w:r w:rsidRPr="0030070D">
        <w:t xml:space="preserve"> in the form of </w:t>
      </w:r>
      <w:r w:rsidRPr="0030070D">
        <w:lastRenderedPageBreak/>
        <w:t>assumed probabilities of being eligible for the Scheme at the end of each of the next 10</w:t>
      </w:r>
      <w:r>
        <w:t> financial years for males.</w:t>
      </w:r>
    </w:p>
    <w:p w14:paraId="369F9D48" w14:textId="7F97E392" w:rsidR="003418DA" w:rsidRPr="00D6236F" w:rsidRDefault="003418DA" w:rsidP="0040224A">
      <w:pPr>
        <w:pStyle w:val="Caption"/>
      </w:pPr>
      <w:r w:rsidRPr="008E05DC">
        <w:t>Table 17</w:t>
      </w:r>
      <w:r w:rsidRPr="00F64F2D">
        <w:t>: Assumed probabilities of eligibility for the Run</w:t>
      </w:r>
      <w:r w:rsidR="009B0312" w:rsidRPr="00F64F2D">
        <w:noBreakHyphen/>
      </w:r>
      <w:r w:rsidRPr="00F64F2D">
        <w:t>Off Cover Scheme over the next 10 financial years for male medical practitioners</w:t>
      </w:r>
    </w:p>
    <w:p w14:paraId="2461AA99" w14:textId="708C8DEE" w:rsidR="003418DA" w:rsidRPr="0030070D" w:rsidRDefault="001E04F8" w:rsidP="006D32C8">
      <w:pPr>
        <w:pStyle w:val="TableGraphic"/>
        <w:jc w:val="center"/>
      </w:pPr>
      <w:r w:rsidRPr="001E04F8">
        <w:rPr>
          <w:noProof/>
        </w:rPr>
        <w:drawing>
          <wp:inline distT="0" distB="0" distL="0" distR="0" wp14:anchorId="6BD0859D" wp14:editId="4AC4E6D2">
            <wp:extent cx="4533900" cy="1727200"/>
            <wp:effectExtent l="0" t="0" r="0" b="6350"/>
            <wp:docPr id="1147944265" name="Picture 33" descr="The probability of eligibility increases with age. For a male doctor aged 80 at 30 June 2024, the probability that he will be eligible for ROCS in 2025 is 27.1%, compared with 0.02% for a male doctor aged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727200"/>
                    </a:xfrm>
                    <a:prstGeom prst="rect">
                      <a:avLst/>
                    </a:prstGeom>
                    <a:noFill/>
                    <a:ln>
                      <a:noFill/>
                    </a:ln>
                  </pic:spPr>
                </pic:pic>
              </a:graphicData>
            </a:graphic>
          </wp:inline>
        </w:drawing>
      </w:r>
    </w:p>
    <w:p w14:paraId="51DA8872" w14:textId="77777777" w:rsidR="003418DA" w:rsidRPr="0030070D" w:rsidRDefault="003418DA" w:rsidP="003418DA">
      <w:pPr>
        <w:pStyle w:val="SingleParagraph"/>
      </w:pPr>
    </w:p>
    <w:p w14:paraId="47B16796" w14:textId="78436F00" w:rsidR="003418DA" w:rsidRPr="00214F4E" w:rsidRDefault="003418DA" w:rsidP="00952046">
      <w:pPr>
        <w:pStyle w:val="ListParagraph"/>
        <w:numPr>
          <w:ilvl w:val="0"/>
          <w:numId w:val="29"/>
        </w:numPr>
        <w:spacing w:after="200" w:line="276" w:lineRule="auto"/>
        <w:jc w:val="left"/>
      </w:pPr>
      <w:r w:rsidRPr="008E05DC">
        <w:t>The resulting number of practitioners who are expected to become eligible in 20</w:t>
      </w:r>
      <w:r w:rsidR="00E15378" w:rsidRPr="008E05DC">
        <w:t>2</w:t>
      </w:r>
      <w:r w:rsidR="00F64F2D" w:rsidRPr="008E05DC">
        <w:t>4</w:t>
      </w:r>
      <w:r w:rsidR="009B0312" w:rsidRPr="008E05DC">
        <w:noBreakHyphen/>
      </w:r>
      <w:r w:rsidRPr="008E05DC">
        <w:t>2</w:t>
      </w:r>
      <w:r w:rsidR="00F64F2D" w:rsidRPr="008E05DC">
        <w:t>5</w:t>
      </w:r>
      <w:r w:rsidRPr="008E05DC">
        <w:t xml:space="preserve"> is set</w:t>
      </w:r>
      <w:r w:rsidRPr="00214F4E">
        <w:t xml:space="preserve"> out in </w:t>
      </w:r>
      <w:r>
        <w:t xml:space="preserve">Table 20. </w:t>
      </w:r>
    </w:p>
    <w:p w14:paraId="53F23813" w14:textId="09AD8D5C" w:rsidR="003418DA" w:rsidRPr="0030070D" w:rsidRDefault="003418DA" w:rsidP="003418DA">
      <w:pPr>
        <w:pStyle w:val="Heading3Appendix"/>
      </w:pPr>
      <w:r>
        <w:t>Population average c</w:t>
      </w:r>
      <w:r w:rsidRPr="0030070D">
        <w:t xml:space="preserve">laim </w:t>
      </w:r>
      <w:r>
        <w:t>frequency</w:t>
      </w:r>
    </w:p>
    <w:p w14:paraId="0E5E0427" w14:textId="112F0B5F" w:rsidR="003418DA" w:rsidRDefault="003418DA" w:rsidP="00952046">
      <w:pPr>
        <w:pStyle w:val="ListParagraph"/>
        <w:numPr>
          <w:ilvl w:val="0"/>
          <w:numId w:val="29"/>
        </w:numPr>
        <w:spacing w:after="200" w:line="276" w:lineRule="auto"/>
      </w:pPr>
      <w:bookmarkStart w:id="153" w:name="_Ref287014206"/>
      <w:r w:rsidRPr="0030070D">
        <w:t xml:space="preserve">The overall claim frequency </w:t>
      </w:r>
      <w:r>
        <w:t xml:space="preserve">for the </w:t>
      </w:r>
      <w:r w:rsidR="009B0312">
        <w:t>‘</w:t>
      </w:r>
      <w:r>
        <w:t>at</w:t>
      </w:r>
      <w:r w:rsidR="009B0312">
        <w:noBreakHyphen/>
      </w:r>
      <w:r>
        <w:t>risk</w:t>
      </w:r>
      <w:r w:rsidR="009B0312">
        <w:t>’</w:t>
      </w:r>
      <w:r>
        <w:t xml:space="preserve"> population </w:t>
      </w:r>
      <w:r w:rsidRPr="0030070D">
        <w:t xml:space="preserve">was assumed to be </w:t>
      </w:r>
      <w:r w:rsidR="003245F3">
        <w:t>5</w:t>
      </w:r>
      <w:r w:rsidR="00343F80">
        <w:t> </w:t>
      </w:r>
      <w:r w:rsidRPr="0030070D">
        <w:t>per</w:t>
      </w:r>
      <w:r w:rsidR="00343F80">
        <w:t> </w:t>
      </w:r>
      <w:r w:rsidRPr="0030070D">
        <w:t xml:space="preserve">cent. That is, on average each </w:t>
      </w:r>
      <w:r w:rsidR="009B0312">
        <w:t>‘</w:t>
      </w:r>
      <w:r w:rsidRPr="0030070D">
        <w:t>at</w:t>
      </w:r>
      <w:r w:rsidR="009B0312">
        <w:noBreakHyphen/>
      </w:r>
      <w:r w:rsidRPr="0030070D">
        <w:t>risk</w:t>
      </w:r>
      <w:r w:rsidR="009B0312">
        <w:t>’</w:t>
      </w:r>
      <w:r w:rsidRPr="0030070D">
        <w:t xml:space="preserve"> </w:t>
      </w:r>
      <w:r>
        <w:t>medical practitioner</w:t>
      </w:r>
      <w:r w:rsidRPr="0030070D">
        <w:t xml:space="preserve"> was assumed to have a </w:t>
      </w:r>
      <w:r w:rsidR="003245F3">
        <w:t>5</w:t>
      </w:r>
      <w:r>
        <w:t> </w:t>
      </w:r>
      <w:r w:rsidRPr="0030070D">
        <w:t xml:space="preserve">per cent chance of being involved in a medical incident in the next year which will result in a future medical indemnity claim. </w:t>
      </w:r>
    </w:p>
    <w:bookmarkEnd w:id="153"/>
    <w:p w14:paraId="47D1F813" w14:textId="6F90D6CB" w:rsidR="003418DA" w:rsidRPr="003E2EE8" w:rsidRDefault="00BF6B70" w:rsidP="00952046">
      <w:pPr>
        <w:pStyle w:val="ListParagraph"/>
        <w:numPr>
          <w:ilvl w:val="0"/>
          <w:numId w:val="29"/>
        </w:numPr>
        <w:spacing w:after="200" w:line="276" w:lineRule="auto"/>
      </w:pPr>
      <w:r>
        <w:t>Finally, i</w:t>
      </w:r>
      <w:r w:rsidR="003418DA" w:rsidRPr="0030070D">
        <w:t>ndividual claim frequencies were then adjusted based on premium as discussed below. This approach has not been changed from our pre</w:t>
      </w:r>
      <w:r w:rsidR="003418DA">
        <w:t>vious reports.</w:t>
      </w:r>
    </w:p>
    <w:p w14:paraId="5D26DBAC" w14:textId="77777777" w:rsidR="003418DA" w:rsidRPr="0030070D" w:rsidRDefault="003418DA" w:rsidP="003418DA">
      <w:pPr>
        <w:pStyle w:val="Heading3Appendix"/>
      </w:pPr>
      <w:r>
        <w:t>I</w:t>
      </w:r>
      <w:r w:rsidRPr="0030070D">
        <w:t xml:space="preserve">ndividual </w:t>
      </w:r>
      <w:r>
        <w:t>c</w:t>
      </w:r>
      <w:r w:rsidRPr="0030070D">
        <w:t xml:space="preserve">laim </w:t>
      </w:r>
      <w:r>
        <w:t>f</w:t>
      </w:r>
      <w:r w:rsidRPr="0030070D">
        <w:t>requencies based on premium</w:t>
      </w:r>
    </w:p>
    <w:p w14:paraId="36C64F78" w14:textId="6371ABE0" w:rsidR="003418DA" w:rsidRPr="0030070D" w:rsidRDefault="003418DA" w:rsidP="00952046">
      <w:pPr>
        <w:pStyle w:val="ListParagraph"/>
        <w:numPr>
          <w:ilvl w:val="0"/>
          <w:numId w:val="29"/>
        </w:numPr>
        <w:spacing w:after="200" w:line="276" w:lineRule="auto"/>
      </w:pPr>
      <w:r w:rsidRPr="0030070D">
        <w:t xml:space="preserve">The likelihood of future notifications of ROC claims was projected according to the assumed </w:t>
      </w:r>
      <w:r w:rsidR="009B0312">
        <w:t>‘</w:t>
      </w:r>
      <w:r w:rsidRPr="0030070D">
        <w:t>riskiness</w:t>
      </w:r>
      <w:r w:rsidR="009B0312">
        <w:t>’</w:t>
      </w:r>
      <w:r w:rsidRPr="0030070D">
        <w:t xml:space="preserve"> of each individual practitioner. The risk of medical indemnity claims posed by each practitioner was determined based on risk categorisation. Practitioners were categorised according to specialisation, age, gender and MII.</w:t>
      </w:r>
    </w:p>
    <w:p w14:paraId="70E37D57" w14:textId="3A13CC1E" w:rsidR="003418DA" w:rsidRPr="0030070D" w:rsidRDefault="003418DA" w:rsidP="00952046">
      <w:pPr>
        <w:pStyle w:val="ListParagraph"/>
        <w:numPr>
          <w:ilvl w:val="0"/>
          <w:numId w:val="29"/>
        </w:numPr>
        <w:spacing w:after="200" w:line="276" w:lineRule="auto"/>
      </w:pPr>
      <w:r w:rsidRPr="0030070D">
        <w:t xml:space="preserve">The average premium for each risk group was used as a proxy for the risk of medical indemnity claims. The claim frequency for each group was multiplied by the ratio of the premium for the group to the premium of the entire cohort of </w:t>
      </w:r>
      <w:r w:rsidR="009B0312">
        <w:t>‘</w:t>
      </w:r>
      <w:r w:rsidRPr="0030070D">
        <w:t>at</w:t>
      </w:r>
      <w:r w:rsidR="009B0312">
        <w:noBreakHyphen/>
      </w:r>
      <w:r w:rsidRPr="0030070D">
        <w:t>risk</w:t>
      </w:r>
      <w:r w:rsidR="009B0312">
        <w:t>’</w:t>
      </w:r>
      <w:r w:rsidRPr="0030070D">
        <w:t xml:space="preserve"> </w:t>
      </w:r>
      <w:r>
        <w:t>medical practitioners</w:t>
      </w:r>
      <w:r w:rsidRPr="0030070D">
        <w:t>.</w:t>
      </w:r>
    </w:p>
    <w:p w14:paraId="624C6F22" w14:textId="71232963" w:rsidR="003418DA" w:rsidRPr="0030070D" w:rsidRDefault="003418DA" w:rsidP="00952046">
      <w:pPr>
        <w:pStyle w:val="ListParagraph"/>
        <w:numPr>
          <w:ilvl w:val="0"/>
          <w:numId w:val="29"/>
        </w:numPr>
        <w:spacing w:after="200" w:line="276" w:lineRule="auto"/>
      </w:pPr>
      <w:r w:rsidRPr="0030070D">
        <w:t xml:space="preserve">Although insurance premiums are broadly determined in line with claim risk, the premium of a group is at best an imprecise proxy for risk. For example, market and financial considerations affect premiums charged. However, given the data </w:t>
      </w:r>
      <w:r w:rsidR="0064150F">
        <w:lastRenderedPageBreak/>
        <w:t>limitations</w:t>
      </w:r>
      <w:r w:rsidRPr="0030070D">
        <w:t>, relative premiums have been assumed to be a reasonable means of categorising practitioners according to their risk of medical indemnity claims for the purposes of this model.</w:t>
      </w:r>
    </w:p>
    <w:p w14:paraId="2950675C" w14:textId="121568DD" w:rsidR="003418DA" w:rsidRPr="0030070D" w:rsidRDefault="003418DA" w:rsidP="00952046">
      <w:pPr>
        <w:pStyle w:val="ListParagraph"/>
        <w:numPr>
          <w:ilvl w:val="0"/>
          <w:numId w:val="29"/>
        </w:numPr>
        <w:spacing w:after="200" w:line="276" w:lineRule="auto"/>
      </w:pPr>
      <w:r w:rsidRPr="0030070D">
        <w:t xml:space="preserve">Insurance premiums tend to diminish for practitioners towards retirement age. This supports the suggestion that </w:t>
      </w:r>
      <w:r>
        <w:t>medical practitioners</w:t>
      </w:r>
      <w:r w:rsidRPr="0030070D">
        <w:t xml:space="preserve"> tend to wind down their practice hours and possibly perform fewer risky medical procedures (for</w:t>
      </w:r>
      <w:r>
        <w:t> </w:t>
      </w:r>
      <w:r w:rsidRPr="0030070D">
        <w:t xml:space="preserve">example, surgery) as they approach retirement. The possible reduction in risk towards retirement is </w:t>
      </w:r>
      <w:r>
        <w:t xml:space="preserve">somewhat </w:t>
      </w:r>
      <w:r w:rsidRPr="0030070D">
        <w:t xml:space="preserve">apparent from the pattern of relative premiums for </w:t>
      </w:r>
      <w:r w:rsidR="009B0312">
        <w:t>‘</w:t>
      </w:r>
      <w:r w:rsidRPr="0030070D">
        <w:t>at</w:t>
      </w:r>
      <w:r w:rsidR="009B0312">
        <w:noBreakHyphen/>
      </w:r>
      <w:r w:rsidRPr="0030070D">
        <w:t>risk</w:t>
      </w:r>
      <w:r w:rsidR="009B0312">
        <w:t>’</w:t>
      </w:r>
      <w:r w:rsidRPr="0030070D">
        <w:t xml:space="preserve"> </w:t>
      </w:r>
      <w:r>
        <w:t>medical practitioners shown in Figure 5</w:t>
      </w:r>
      <w:r w:rsidRPr="0030070D">
        <w:t xml:space="preserve">. Note that age and gender were not available for </w:t>
      </w:r>
      <w:r>
        <w:t>a small number of</w:t>
      </w:r>
      <w:r w:rsidRPr="0030070D">
        <w:t xml:space="preserve"> </w:t>
      </w:r>
      <w:r>
        <w:t>medical practitioners</w:t>
      </w:r>
      <w:r w:rsidR="0064150F">
        <w:t xml:space="preserve"> and were randomly allocated</w:t>
      </w:r>
      <w:r w:rsidRPr="0030070D">
        <w:t>.</w:t>
      </w:r>
    </w:p>
    <w:p w14:paraId="0C99FF81" w14:textId="115D5C81" w:rsidR="003418DA" w:rsidRPr="0030070D" w:rsidRDefault="003418DA" w:rsidP="0040224A">
      <w:pPr>
        <w:pStyle w:val="Caption"/>
      </w:pPr>
      <w:r w:rsidRPr="00B334F0">
        <w:t>Figure 5: Relative</w:t>
      </w:r>
      <w:r w:rsidRPr="0030070D">
        <w:t xml:space="preserve"> </w:t>
      </w:r>
      <w:r w:rsidRPr="00A5004D">
        <w:t>premiums</w:t>
      </w:r>
      <w:r w:rsidRPr="0030070D">
        <w:t xml:space="preserve"> by age for </w:t>
      </w:r>
      <w:r w:rsidR="009B0312">
        <w:t>‘</w:t>
      </w:r>
      <w:r w:rsidRPr="0030070D">
        <w:t>at</w:t>
      </w:r>
      <w:r w:rsidR="009B0312">
        <w:noBreakHyphen/>
      </w:r>
      <w:r w:rsidRPr="0030070D">
        <w:t>risk</w:t>
      </w:r>
      <w:r w:rsidR="009B0312">
        <w:t>’</w:t>
      </w:r>
      <w:r w:rsidRPr="0030070D">
        <w:t xml:space="preserve"> </w:t>
      </w:r>
      <w:r>
        <w:t>medical practitioners</w:t>
      </w:r>
    </w:p>
    <w:p w14:paraId="0AEBAB7E" w14:textId="068FF008" w:rsidR="003418DA" w:rsidRPr="0030070D" w:rsidRDefault="00775931" w:rsidP="003418DA">
      <w:pPr>
        <w:pStyle w:val="ChartGraphic"/>
      </w:pPr>
      <w:r w:rsidRPr="00775931">
        <w:rPr>
          <w:noProof/>
        </w:rPr>
        <w:drawing>
          <wp:inline distT="0" distB="0" distL="0" distR="0" wp14:anchorId="5D1715F9" wp14:editId="47C519CD">
            <wp:extent cx="4429760" cy="2874010"/>
            <wp:effectExtent l="0" t="0" r="8890" b="2540"/>
            <wp:docPr id="890860556" name="Picture 1" descr="This chart shows that the proportion of premiums paid is greater than the proportion of ‘at-risk’ practitioners aged between 45 and 65.  The proportions are slightly lower for doctors aged above 65.  For all other ages, the proportion of premiums paid is a lot lower than the proportion of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9760" cy="2874010"/>
                    </a:xfrm>
                    <a:prstGeom prst="rect">
                      <a:avLst/>
                    </a:prstGeom>
                    <a:noFill/>
                    <a:ln>
                      <a:noFill/>
                    </a:ln>
                  </pic:spPr>
                </pic:pic>
              </a:graphicData>
            </a:graphic>
          </wp:inline>
        </w:drawing>
      </w:r>
    </w:p>
    <w:p w14:paraId="0E1EBA06" w14:textId="1633091C" w:rsidR="003418DA" w:rsidRDefault="003418DA" w:rsidP="004E19B0">
      <w:pPr>
        <w:pStyle w:val="ChartorTableNote"/>
        <w:tabs>
          <w:tab w:val="clear" w:pos="284"/>
        </w:tabs>
        <w:ind w:left="0" w:firstLine="0"/>
        <w:rPr>
          <w:rFonts w:cs="Arial"/>
        </w:rPr>
      </w:pPr>
      <w:r w:rsidRPr="0030070D">
        <w:rPr>
          <w:rFonts w:cs="Arial"/>
        </w:rPr>
        <w:t xml:space="preserve">Note: The graph includes all practitioners with total payments (including membership fees) of at </w:t>
      </w:r>
      <w:r w:rsidRPr="00DC0365">
        <w:rPr>
          <w:rFonts w:cs="Arial"/>
        </w:rPr>
        <w:t>least $1,7</w:t>
      </w:r>
      <w:r w:rsidR="00407499">
        <w:rPr>
          <w:rFonts w:cs="Arial"/>
        </w:rPr>
        <w:t>5</w:t>
      </w:r>
      <w:r w:rsidRPr="00DC0365" w:rsidDel="00407499">
        <w:rPr>
          <w:rFonts w:cs="Arial"/>
        </w:rPr>
        <w:t>0</w:t>
      </w:r>
      <w:r w:rsidRPr="00DC0365">
        <w:rPr>
          <w:rFonts w:cs="Arial"/>
        </w:rPr>
        <w:t> from</w:t>
      </w:r>
      <w:r w:rsidRPr="0030070D">
        <w:rPr>
          <w:rFonts w:cs="Arial"/>
        </w:rPr>
        <w:t xml:space="preserve"> all MIIs.</w:t>
      </w:r>
    </w:p>
    <w:p w14:paraId="4BD322F7" w14:textId="77777777" w:rsidR="003418DA" w:rsidRPr="00CE1ADD" w:rsidRDefault="003418DA" w:rsidP="003418DA">
      <w:pPr>
        <w:pStyle w:val="SingleParagraph"/>
      </w:pPr>
    </w:p>
    <w:p w14:paraId="7DF12CB4" w14:textId="77777777" w:rsidR="003418DA" w:rsidRPr="0030070D" w:rsidRDefault="003418DA" w:rsidP="00D705EC">
      <w:pPr>
        <w:pStyle w:val="Heading3Appendix"/>
        <w:spacing w:before="180"/>
        <w:ind w:left="0" w:firstLine="0"/>
      </w:pPr>
      <w:r>
        <w:t>I</w:t>
      </w:r>
      <w:r w:rsidRPr="0030070D">
        <w:t>ndividual claim frequencies based on assumed wind</w:t>
      </w:r>
      <w:r>
        <w:t xml:space="preserve"> </w:t>
      </w:r>
      <w:r w:rsidRPr="0030070D">
        <w:t>down of risky practice</w:t>
      </w:r>
    </w:p>
    <w:p w14:paraId="284CE077" w14:textId="024C9516" w:rsidR="003418DA" w:rsidRPr="0030070D" w:rsidRDefault="003418DA" w:rsidP="00952046">
      <w:pPr>
        <w:pStyle w:val="ListParagraph"/>
        <w:numPr>
          <w:ilvl w:val="0"/>
          <w:numId w:val="29"/>
        </w:numPr>
        <w:spacing w:after="200" w:line="276" w:lineRule="auto"/>
      </w:pPr>
      <w:r w:rsidRPr="0030070D">
        <w:t xml:space="preserve">The relative premiums of older </w:t>
      </w:r>
      <w:r>
        <w:t>medical practitioners</w:t>
      </w:r>
      <w:r w:rsidRPr="0030070D">
        <w:t xml:space="preserve"> appear to indicate a reduction in risky practice as </w:t>
      </w:r>
      <w:r>
        <w:t>medical practitioners</w:t>
      </w:r>
      <w:r w:rsidRPr="0030070D">
        <w:t xml:space="preserve"> approach retirement. </w:t>
      </w:r>
      <w:r>
        <w:t>Consistent with this, industry a</w:t>
      </w:r>
      <w:r w:rsidRPr="0030070D">
        <w:t xml:space="preserve">ctuaries have also suggested that </w:t>
      </w:r>
      <w:r>
        <w:t>medical practitioners</w:t>
      </w:r>
      <w:r w:rsidRPr="0030070D">
        <w:t xml:space="preserve"> </w:t>
      </w:r>
      <w:r>
        <w:t xml:space="preserve">tend to </w:t>
      </w:r>
      <w:r w:rsidRPr="0030070D">
        <w:t>wind</w:t>
      </w:r>
      <w:r>
        <w:t xml:space="preserve"> </w:t>
      </w:r>
      <w:r w:rsidRPr="0030070D">
        <w:t xml:space="preserve">down </w:t>
      </w:r>
      <w:r>
        <w:t xml:space="preserve">riskier elements of their </w:t>
      </w:r>
      <w:r w:rsidRPr="0030070D">
        <w:t>practice</w:t>
      </w:r>
      <w:r>
        <w:t xml:space="preserve"> as they</w:t>
      </w:r>
      <w:r w:rsidRPr="0030070D">
        <w:t xml:space="preserve"> approach retirement. However, relative premiums may not capture the full extent of the reduction, since premiums are calculated on a claim</w:t>
      </w:r>
      <w:r w:rsidR="006A674E">
        <w:t>s</w:t>
      </w:r>
      <w:r w:rsidR="009B0312">
        <w:noBreakHyphen/>
      </w:r>
      <w:r w:rsidRPr="0030070D">
        <w:t>made rather than claim</w:t>
      </w:r>
      <w:r w:rsidR="006A674E">
        <w:t>s</w:t>
      </w:r>
      <w:r w:rsidR="009B0312">
        <w:noBreakHyphen/>
      </w:r>
      <w:r w:rsidRPr="0030070D">
        <w:t>occurring basis.</w:t>
      </w:r>
    </w:p>
    <w:p w14:paraId="284BFE70" w14:textId="531FA4E9" w:rsidR="003418DA" w:rsidRPr="0030070D" w:rsidRDefault="003418DA" w:rsidP="00952046">
      <w:pPr>
        <w:pStyle w:val="ListParagraph"/>
        <w:numPr>
          <w:ilvl w:val="0"/>
          <w:numId w:val="29"/>
        </w:numPr>
        <w:spacing w:after="200" w:line="276" w:lineRule="auto"/>
      </w:pPr>
      <w:r>
        <w:lastRenderedPageBreak/>
        <w:t>We have continued the practice of assuming that medical practitioners</w:t>
      </w:r>
      <w:r w:rsidRPr="0030070D">
        <w:t xml:space="preserve"> wind</w:t>
      </w:r>
      <w:r>
        <w:t xml:space="preserve"> </w:t>
      </w:r>
      <w:r w:rsidRPr="0030070D">
        <w:t xml:space="preserve">down their risk exposure from age 60, at a rate that </w:t>
      </w:r>
      <w:r>
        <w:t xml:space="preserve">is </w:t>
      </w:r>
      <w:r w:rsidRPr="0030070D">
        <w:t>reflected in the premiums</w:t>
      </w:r>
      <w:r>
        <w:t xml:space="preserve"> shown above</w:t>
      </w:r>
      <w:r w:rsidRPr="0030070D">
        <w:t>. Premium relativities are augmented with a wind</w:t>
      </w:r>
      <w:r>
        <w:t xml:space="preserve"> </w:t>
      </w:r>
      <w:r w:rsidRPr="0030070D">
        <w:t xml:space="preserve">down from age 60 according to the </w:t>
      </w:r>
      <w:r>
        <w:t xml:space="preserve">exponential </w:t>
      </w:r>
      <w:r w:rsidRPr="0030070D">
        <w:t xml:space="preserve">formula </w:t>
      </w:r>
      <w:r>
        <w:t>0.8</w:t>
      </w:r>
      <w:r w:rsidRPr="0057143C">
        <w:rPr>
          <w:vertAlign w:val="superscript"/>
        </w:rPr>
        <w:t>(age</w:t>
      </w:r>
      <w:r w:rsidR="009B0312" w:rsidRPr="0057143C">
        <w:rPr>
          <w:vertAlign w:val="superscript"/>
        </w:rPr>
        <w:noBreakHyphen/>
      </w:r>
      <w:r w:rsidRPr="0057143C">
        <w:rPr>
          <w:vertAlign w:val="superscript"/>
        </w:rPr>
        <w:t>59)</w:t>
      </w:r>
      <w:r w:rsidRPr="0030070D">
        <w:t>.</w:t>
      </w:r>
      <w:r>
        <w:t xml:space="preserve"> This is unchanged from last year.</w:t>
      </w:r>
    </w:p>
    <w:p w14:paraId="066CD3ED" w14:textId="73AB42CD" w:rsidR="003418DA" w:rsidRPr="00931359" w:rsidRDefault="003418DA" w:rsidP="00952046">
      <w:pPr>
        <w:pStyle w:val="ListParagraph"/>
        <w:numPr>
          <w:ilvl w:val="0"/>
          <w:numId w:val="29"/>
        </w:numPr>
        <w:spacing w:after="200" w:line="276" w:lineRule="auto"/>
      </w:pPr>
      <w:r w:rsidRPr="00367382">
        <w:t xml:space="preserve">This assumption is very subjective and is not amenable to objective validation. Nonetheless, it does not appear unreasonable </w:t>
      </w:r>
      <w:r w:rsidR="006E3383" w:rsidRPr="00367382">
        <w:t>considering</w:t>
      </w:r>
      <w:r w:rsidRPr="00367382">
        <w:t xml:space="preserve"> observed claim experience.</w:t>
      </w:r>
    </w:p>
    <w:p w14:paraId="180AD848" w14:textId="77777777" w:rsidR="003418DA" w:rsidRPr="0030070D" w:rsidRDefault="003418DA" w:rsidP="003418DA">
      <w:pPr>
        <w:pStyle w:val="Heading3Appendix"/>
      </w:pPr>
      <w:r w:rsidRPr="0030070D">
        <w:t xml:space="preserve">Claim </w:t>
      </w:r>
      <w:r>
        <w:t>size</w:t>
      </w:r>
    </w:p>
    <w:p w14:paraId="731809EF" w14:textId="77777777" w:rsidR="003418DA" w:rsidRPr="001B089E" w:rsidRDefault="003418DA" w:rsidP="00952046">
      <w:pPr>
        <w:pStyle w:val="ListParagraph"/>
        <w:numPr>
          <w:ilvl w:val="0"/>
          <w:numId w:val="29"/>
        </w:numPr>
        <w:spacing w:after="200" w:line="276" w:lineRule="auto"/>
      </w:pPr>
      <w:r w:rsidRPr="0030070D">
        <w:t xml:space="preserve">Claim sizes </w:t>
      </w:r>
      <w:r>
        <w:t xml:space="preserve">are </w:t>
      </w:r>
      <w:r w:rsidRPr="0030070D">
        <w:t>assumed to increase</w:t>
      </w:r>
      <w:r>
        <w:t xml:space="preserve">, the longer the </w:t>
      </w:r>
      <w:r w:rsidRPr="0030070D">
        <w:t xml:space="preserve">delay </w:t>
      </w:r>
      <w:r>
        <w:t xml:space="preserve">from the incident occurring until it is notified to the insurer. This is </w:t>
      </w:r>
      <w:r w:rsidRPr="0030070D">
        <w:t>on the basis that claims which take longer to report tend to be bigger on average</w:t>
      </w:r>
      <w:r>
        <w:t xml:space="preserve">. One </w:t>
      </w:r>
      <w:r w:rsidRPr="0030070D">
        <w:t>example</w:t>
      </w:r>
      <w:r>
        <w:t xml:space="preserve"> is </w:t>
      </w:r>
      <w:r w:rsidRPr="0030070D">
        <w:t xml:space="preserve">cerebral </w:t>
      </w:r>
      <w:r w:rsidRPr="001B089E">
        <w:t>palsy cases.</w:t>
      </w:r>
    </w:p>
    <w:p w14:paraId="0E651B84" w14:textId="77777777" w:rsidR="003418DA" w:rsidRPr="0030070D" w:rsidRDefault="003418DA" w:rsidP="00952046">
      <w:pPr>
        <w:pStyle w:val="ListParagraph"/>
        <w:numPr>
          <w:ilvl w:val="0"/>
          <w:numId w:val="29"/>
        </w:numPr>
        <w:spacing w:after="200" w:line="276" w:lineRule="auto"/>
      </w:pPr>
      <w:r w:rsidRPr="0030070D">
        <w:t>The assume</w:t>
      </w:r>
      <w:r>
        <w:t>d claim reporting pattern is</w:t>
      </w:r>
      <w:r w:rsidRPr="0030070D">
        <w:t xml:space="preserve"> shown in </w:t>
      </w:r>
      <w:r w:rsidRPr="00103BE7">
        <w:t>Table 1</w:t>
      </w:r>
      <w:r>
        <w:t>8</w:t>
      </w:r>
      <w:r w:rsidRPr="00103BE7">
        <w:t xml:space="preserve"> below.</w:t>
      </w:r>
      <w:r w:rsidRPr="0030070D">
        <w:t xml:space="preserve"> Assumed claim sizes presented in the table do not include allowance for infla</w:t>
      </w:r>
      <w:r>
        <w:t>tion or superimposed inflation.</w:t>
      </w:r>
    </w:p>
    <w:p w14:paraId="57DD5EA9" w14:textId="77777777" w:rsidR="003418DA" w:rsidRPr="00D6236F" w:rsidRDefault="003418DA" w:rsidP="0040224A">
      <w:pPr>
        <w:pStyle w:val="Caption"/>
      </w:pPr>
      <w:r w:rsidRPr="00FF3061">
        <w:t>Table 18:</w:t>
      </w:r>
      <w:r w:rsidRPr="00F1565B">
        <w:t xml:space="preserve"> Claim reporting and size pattern</w:t>
      </w:r>
    </w:p>
    <w:p w14:paraId="0B5DB78B" w14:textId="4F50A712" w:rsidR="00DE241D" w:rsidRDefault="008F7D87" w:rsidP="00DE241D">
      <w:pPr>
        <w:pStyle w:val="ChartandTableFootnoteAlpha"/>
        <w:ind w:firstLine="0"/>
      </w:pPr>
      <w:r w:rsidRPr="008F7D87">
        <w:rPr>
          <w:noProof/>
        </w:rPr>
        <w:drawing>
          <wp:inline distT="0" distB="0" distL="0" distR="0" wp14:anchorId="78C7ADBC" wp14:editId="13D50C88">
            <wp:extent cx="4895848" cy="3194685"/>
            <wp:effectExtent l="0" t="0" r="0" b="0"/>
            <wp:docPr id="556052975" name="Picture 13" descr="We assumed that 58% of the claims will be reported within the first two years, though the delay may be as long as 20 years, and that average claim sizes increase with the delay in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48" cy="3194685"/>
                    </a:xfrm>
                    <a:prstGeom prst="rect">
                      <a:avLst/>
                    </a:prstGeom>
                    <a:noFill/>
                    <a:ln>
                      <a:noFill/>
                    </a:ln>
                  </pic:spPr>
                </pic:pic>
              </a:graphicData>
            </a:graphic>
          </wp:inline>
        </w:drawing>
      </w:r>
    </w:p>
    <w:p w14:paraId="2EDCE1B9" w14:textId="31BA43D7" w:rsidR="003418DA" w:rsidRPr="0030070D" w:rsidRDefault="003418DA" w:rsidP="00952046">
      <w:pPr>
        <w:pStyle w:val="ChartandTableFootnoteAlpha"/>
        <w:numPr>
          <w:ilvl w:val="0"/>
          <w:numId w:val="53"/>
        </w:numPr>
        <w:ind w:left="720"/>
      </w:pPr>
      <w:r w:rsidRPr="0030070D">
        <w:t>Gross average claim sizes presented in the</w:t>
      </w:r>
      <w:r w:rsidR="00EB03EC">
        <w:t xml:space="preserve"> table are intended to </w:t>
      </w:r>
      <w:r w:rsidR="00EB03EC" w:rsidRPr="00FB54DA">
        <w:t>be in 202</w:t>
      </w:r>
      <w:r w:rsidR="008F7D87">
        <w:t>4</w:t>
      </w:r>
      <w:r w:rsidRPr="00FB54DA">
        <w:t xml:space="preserve"> dollars</w:t>
      </w:r>
      <w:r w:rsidRPr="0030070D">
        <w:t xml:space="preserve"> and do not include allowance for inflation and superimposed inflation.</w:t>
      </w:r>
    </w:p>
    <w:p w14:paraId="6ACC367E" w14:textId="77777777" w:rsidR="003418DA" w:rsidRPr="00F26E5D" w:rsidRDefault="003418DA" w:rsidP="003418DA">
      <w:pPr>
        <w:pStyle w:val="SingleParagraph"/>
      </w:pPr>
    </w:p>
    <w:p w14:paraId="37537A22" w14:textId="6B5F512E" w:rsidR="003418DA" w:rsidRPr="00CE3AEB" w:rsidRDefault="003418DA" w:rsidP="00952046">
      <w:pPr>
        <w:pStyle w:val="ListParagraph"/>
        <w:numPr>
          <w:ilvl w:val="0"/>
          <w:numId w:val="29"/>
        </w:numPr>
        <w:spacing w:after="200" w:line="276" w:lineRule="auto"/>
      </w:pPr>
      <w:r w:rsidRPr="0030070D">
        <w:t xml:space="preserve">The projected ROC claims cost is sensitive to the proportion of claims which are assumed to be reported late. The longer the delay between the incident and the </w:t>
      </w:r>
      <w:r w:rsidRPr="0030070D">
        <w:lastRenderedPageBreak/>
        <w:t xml:space="preserve">claim, the greater the likelihood that a practitioner will be eligible for the Scheme at the time the claim is notified. Thus, </w:t>
      </w:r>
      <w:r w:rsidR="00A70D82">
        <w:t xml:space="preserve">the </w:t>
      </w:r>
      <w:r w:rsidRPr="0030070D">
        <w:t>Scheme</w:t>
      </w:r>
      <w:r w:rsidR="009B0312">
        <w:t>’</w:t>
      </w:r>
      <w:r w:rsidR="00A70D82">
        <w:t>s</w:t>
      </w:r>
      <w:r w:rsidRPr="0030070D">
        <w:t xml:space="preserve"> cost</w:t>
      </w:r>
      <w:r w:rsidR="00A70D82">
        <w:t>s</w:t>
      </w:r>
      <w:r w:rsidRPr="0030070D">
        <w:t xml:space="preserve"> </w:t>
      </w:r>
      <w:r w:rsidR="00A70D82">
        <w:t>are dominated by</w:t>
      </w:r>
      <w:r w:rsidRPr="0030070D">
        <w:t xml:space="preserve"> the </w:t>
      </w:r>
      <w:r w:rsidRPr="00CE3AEB">
        <w:t>small proportion of claims which are notified very late.</w:t>
      </w:r>
    </w:p>
    <w:p w14:paraId="2DCE0697" w14:textId="28906F54" w:rsidR="00A70D82" w:rsidRPr="00CE3AEB" w:rsidRDefault="00A70D82" w:rsidP="00A70D82">
      <w:pPr>
        <w:pStyle w:val="ListParagraph"/>
        <w:numPr>
          <w:ilvl w:val="0"/>
          <w:numId w:val="29"/>
        </w:numPr>
        <w:spacing w:after="200" w:line="276" w:lineRule="auto"/>
      </w:pPr>
      <w:bookmarkStart w:id="154" w:name="_Hlk132969319"/>
      <w:r w:rsidRPr="00CE3AEB">
        <w:t>The average claim size was assumed to be around $14</w:t>
      </w:r>
      <w:r w:rsidR="004822DA" w:rsidRPr="00CE3AEB">
        <w:t>8</w:t>
      </w:r>
      <w:r w:rsidRPr="00CE3AEB">
        <w:t xml:space="preserve">,000. This </w:t>
      </w:r>
      <w:r w:rsidR="004822DA" w:rsidRPr="00CE3AEB">
        <w:t>has increased</w:t>
      </w:r>
      <w:r w:rsidRPr="00CE3AEB">
        <w:t xml:space="preserve"> from last year</w:t>
      </w:r>
      <w:r w:rsidR="00CE3AEB" w:rsidRPr="00CE3AEB">
        <w:t xml:space="preserve">’s $140,000 due to </w:t>
      </w:r>
      <w:r w:rsidRPr="00CE3AEB">
        <w:t>the</w:t>
      </w:r>
      <w:r w:rsidR="004822DA" w:rsidRPr="00CE3AEB">
        <w:t xml:space="preserve"> general increase in the claim size assumption as advised by the industry actuaries</w:t>
      </w:r>
      <w:r w:rsidRPr="00CE3AEB">
        <w:t>.</w:t>
      </w:r>
      <w:r w:rsidR="00423746" w:rsidRPr="00CE3AEB">
        <w:t xml:space="preserve"> </w:t>
      </w:r>
      <w:r w:rsidR="00CE3AEB">
        <w:t>Th</w:t>
      </w:r>
      <w:r w:rsidR="005C2239">
        <w:t>is</w:t>
      </w:r>
      <w:r w:rsidR="00CE3AEB">
        <w:t xml:space="preserve"> increase appears in line with the </w:t>
      </w:r>
      <w:r w:rsidR="005C2239">
        <w:t xml:space="preserve">premium increases in recent years. </w:t>
      </w:r>
    </w:p>
    <w:bookmarkEnd w:id="154"/>
    <w:p w14:paraId="1A14DF7A" w14:textId="067C5891" w:rsidR="00A70D82" w:rsidRPr="0030070D" w:rsidRDefault="00A70D82" w:rsidP="00A70D82">
      <w:pPr>
        <w:pStyle w:val="ListParagraph"/>
        <w:numPr>
          <w:ilvl w:val="0"/>
          <w:numId w:val="29"/>
        </w:numPr>
        <w:spacing w:after="200" w:line="276" w:lineRule="auto"/>
      </w:pPr>
      <w:r>
        <w:t>Each year, we also sense check our model</w:t>
      </w:r>
      <w:r w:rsidR="009B0312">
        <w:t>’</w:t>
      </w:r>
      <w:r>
        <w:t>s new accrual estimate against the industry</w:t>
      </w:r>
      <w:r w:rsidR="009B0312">
        <w:t>’</w:t>
      </w:r>
      <w:r>
        <w:t>s estimate</w:t>
      </w:r>
      <w:r w:rsidR="00CF0BC6">
        <w:t>, although the latter is not always consistent with</w:t>
      </w:r>
      <w:r w:rsidR="001148B2">
        <w:t xml:space="preserve"> past claims experience</w:t>
      </w:r>
      <w:r w:rsidR="00B9768B">
        <w:t xml:space="preserve"> and the risky doctor population</w:t>
      </w:r>
      <w:r w:rsidR="009B0312">
        <w:t xml:space="preserve">. </w:t>
      </w:r>
      <w:r>
        <w:t xml:space="preserve"> </w:t>
      </w:r>
    </w:p>
    <w:p w14:paraId="188135A8" w14:textId="77777777" w:rsidR="003418DA" w:rsidRDefault="003418DA" w:rsidP="003418DA">
      <w:pPr>
        <w:pStyle w:val="Heading3Appendix"/>
      </w:pPr>
      <w:r>
        <w:t xml:space="preserve">Impact of the </w:t>
      </w:r>
      <w:proofErr w:type="gramStart"/>
      <w:r>
        <w:t>High Cost</w:t>
      </w:r>
      <w:proofErr w:type="gramEnd"/>
      <w:r>
        <w:t xml:space="preserve"> Claim Indemnity on claim size</w:t>
      </w:r>
    </w:p>
    <w:p w14:paraId="2FF43690" w14:textId="77777777" w:rsidR="003418DA" w:rsidRPr="0030070D" w:rsidRDefault="003418DA" w:rsidP="00952046">
      <w:pPr>
        <w:pStyle w:val="ListParagraph"/>
        <w:numPr>
          <w:ilvl w:val="0"/>
          <w:numId w:val="29"/>
        </w:numPr>
        <w:spacing w:after="200" w:line="276" w:lineRule="auto"/>
      </w:pPr>
      <w:r>
        <w:t>The c</w:t>
      </w:r>
      <w:r w:rsidRPr="0030070D">
        <w:t xml:space="preserve">laims cost net of </w:t>
      </w:r>
      <w:r>
        <w:t xml:space="preserve">the HCCS </w:t>
      </w:r>
      <w:r w:rsidRPr="0030070D">
        <w:t>indemnities is calculated assuming that the HCCS threshold will change such that a constant proportion of the gross average claim size will be met by the HCCS. Thus, for simplicity, the HCCS threshold is assumed to increase in line with claims inflation over time.</w:t>
      </w:r>
    </w:p>
    <w:p w14:paraId="46DE058F" w14:textId="2D9CD006" w:rsidR="003418DA" w:rsidRDefault="003418DA" w:rsidP="00952046">
      <w:pPr>
        <w:pStyle w:val="ListParagraph"/>
        <w:numPr>
          <w:ilvl w:val="0"/>
          <w:numId w:val="29"/>
        </w:numPr>
        <w:spacing w:after="200" w:line="276" w:lineRule="auto"/>
      </w:pPr>
      <w:r w:rsidRPr="0030070D">
        <w:t xml:space="preserve">The model effectively assumes that </w:t>
      </w:r>
      <w:r w:rsidR="008A10EF">
        <w:t xml:space="preserve">around </w:t>
      </w:r>
      <w:r>
        <w:t>1</w:t>
      </w:r>
      <w:r w:rsidR="000759F7">
        <w:t>6</w:t>
      </w:r>
      <w:r w:rsidRPr="0030070D">
        <w:t> per cent of the ROC discounted claims cost will be met by the HCCS. This is explai</w:t>
      </w:r>
      <w:r>
        <w:t>ned in more detail in Appendix</w:t>
      </w:r>
      <w:r w:rsidR="00815054">
        <w:t> </w:t>
      </w:r>
      <w:r>
        <w:t>6.</w:t>
      </w:r>
    </w:p>
    <w:p w14:paraId="4E881138" w14:textId="2368377B" w:rsidR="003418DA" w:rsidRPr="0030070D" w:rsidRDefault="003418DA" w:rsidP="003418DA">
      <w:pPr>
        <w:pStyle w:val="Heading3Appendix"/>
      </w:pPr>
      <w:r>
        <w:t>Payment patterns</w:t>
      </w:r>
      <w:r w:rsidR="009B0312">
        <w:t xml:space="preserve"> – </w:t>
      </w:r>
      <w:r>
        <w:t>notification to settlement</w:t>
      </w:r>
    </w:p>
    <w:p w14:paraId="55097C1E" w14:textId="7A795A39" w:rsidR="003418DA" w:rsidRPr="008171EE" w:rsidRDefault="003418DA" w:rsidP="00952046">
      <w:pPr>
        <w:pStyle w:val="ListParagraph"/>
        <w:numPr>
          <w:ilvl w:val="0"/>
          <w:numId w:val="29"/>
        </w:numPr>
        <w:spacing w:after="200" w:line="276" w:lineRule="auto"/>
      </w:pPr>
      <w:r w:rsidRPr="008171EE">
        <w:t>ROC indemnity payments in relation to medic</w:t>
      </w:r>
      <w:r>
        <w:t>al incidents occurring after 30 </w:t>
      </w:r>
      <w:r w:rsidRPr="00FF3061">
        <w:t>June 20</w:t>
      </w:r>
      <w:r w:rsidR="00CD7251" w:rsidRPr="00FF3061">
        <w:t>2</w:t>
      </w:r>
      <w:r w:rsidR="007C3582" w:rsidRPr="00FF3061">
        <w:t>4</w:t>
      </w:r>
      <w:r w:rsidRPr="008171EE">
        <w:t xml:space="preserve"> were projected assuming the payment patterns from the point of notification to the point of settlement, as set out in Table 1</w:t>
      </w:r>
      <w:r>
        <w:t>9</w:t>
      </w:r>
      <w:r w:rsidRPr="008171EE">
        <w:t xml:space="preserve"> below.</w:t>
      </w:r>
      <w:r>
        <w:t xml:space="preserve"> </w:t>
      </w:r>
      <w:r w:rsidRPr="008171EE">
        <w:t xml:space="preserve">This payment pattern </w:t>
      </w:r>
      <w:r>
        <w:t>was</w:t>
      </w:r>
      <w:r w:rsidRPr="008171EE">
        <w:t xml:space="preserve"> unchanged from last year.</w:t>
      </w:r>
    </w:p>
    <w:p w14:paraId="67EB5E84" w14:textId="77777777" w:rsidR="003418DA" w:rsidRPr="00D6236F" w:rsidRDefault="003418DA" w:rsidP="0040224A">
      <w:pPr>
        <w:pStyle w:val="Caption"/>
      </w:pPr>
      <w:r w:rsidRPr="00FF3061">
        <w:lastRenderedPageBreak/>
        <w:t>Table 19:</w:t>
      </w:r>
      <w:r w:rsidRPr="007C3582">
        <w:t xml:space="preserve"> Payment pattern assumed</w:t>
      </w:r>
    </w:p>
    <w:p w14:paraId="4B95E311" w14:textId="27C8C0CE" w:rsidR="003418DA" w:rsidRPr="0030070D" w:rsidRDefault="0042730F" w:rsidP="003418DA">
      <w:pPr>
        <w:pStyle w:val="TableGraphic"/>
      </w:pPr>
      <w:r w:rsidRPr="0042730F">
        <w:rPr>
          <w:noProof/>
        </w:rPr>
        <w:drawing>
          <wp:inline distT="0" distB="0" distL="0" distR="0" wp14:anchorId="0B0B992D" wp14:editId="02446D38">
            <wp:extent cx="4603748" cy="3155950"/>
            <wp:effectExtent l="0" t="0" r="6350" b="6350"/>
            <wp:docPr id="307923634" name="Picture 36" descr="We assumed that 46% of claim costs will be paid within first three years of notification, though the delay may be as long as 2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3748" cy="3155950"/>
                    </a:xfrm>
                    <a:prstGeom prst="rect">
                      <a:avLst/>
                    </a:prstGeom>
                    <a:noFill/>
                    <a:ln>
                      <a:noFill/>
                    </a:ln>
                  </pic:spPr>
                </pic:pic>
              </a:graphicData>
            </a:graphic>
          </wp:inline>
        </w:drawing>
      </w:r>
    </w:p>
    <w:p w14:paraId="1682DA77" w14:textId="77777777" w:rsidR="003418DA" w:rsidRPr="00175187" w:rsidRDefault="003418DA" w:rsidP="003418DA">
      <w:pPr>
        <w:pStyle w:val="Heading2Appendix"/>
        <w:rPr>
          <w:sz w:val="26"/>
          <w:szCs w:val="22"/>
        </w:rPr>
      </w:pPr>
      <w:r w:rsidRPr="00175187">
        <w:rPr>
          <w:sz w:val="26"/>
          <w:szCs w:val="22"/>
        </w:rPr>
        <w:t>Projection Results</w:t>
      </w:r>
    </w:p>
    <w:p w14:paraId="3503C45F" w14:textId="4E8C4815" w:rsidR="003418DA" w:rsidRPr="00175187" w:rsidRDefault="003418DA" w:rsidP="003418DA">
      <w:pPr>
        <w:pStyle w:val="Heading3Appendix"/>
        <w:rPr>
          <w:sz w:val="24"/>
          <w:szCs w:val="24"/>
        </w:rPr>
      </w:pPr>
      <w:r w:rsidRPr="00175187">
        <w:rPr>
          <w:sz w:val="24"/>
          <w:szCs w:val="24"/>
        </w:rPr>
        <w:t xml:space="preserve">Projection of </w:t>
      </w:r>
      <w:r w:rsidR="001F76B6">
        <w:rPr>
          <w:sz w:val="24"/>
          <w:szCs w:val="24"/>
        </w:rPr>
        <w:t>new entrants</w:t>
      </w:r>
    </w:p>
    <w:p w14:paraId="50FCABB5" w14:textId="5EA86A07" w:rsidR="00E57770" w:rsidRDefault="003418DA" w:rsidP="002C694F">
      <w:pPr>
        <w:pStyle w:val="ListParagraph"/>
        <w:numPr>
          <w:ilvl w:val="0"/>
          <w:numId w:val="29"/>
        </w:numPr>
        <w:spacing w:after="200" w:line="276" w:lineRule="auto"/>
      </w:pPr>
      <w:r>
        <w:t xml:space="preserve">We have applied the demographic assumptions to the </w:t>
      </w:r>
      <w:r w:rsidR="009B0312">
        <w:t>‘</w:t>
      </w:r>
      <w:r>
        <w:t>at</w:t>
      </w:r>
      <w:r w:rsidR="009B0312">
        <w:noBreakHyphen/>
      </w:r>
      <w:r>
        <w:t>risk</w:t>
      </w:r>
      <w:r w:rsidR="009B0312">
        <w:t>’</w:t>
      </w:r>
      <w:r>
        <w:t xml:space="preserve"> population to project the new </w:t>
      </w:r>
      <w:r w:rsidR="009B0312">
        <w:t>‘</w:t>
      </w:r>
      <w:r>
        <w:t>at</w:t>
      </w:r>
      <w:r w:rsidR="009B0312">
        <w:noBreakHyphen/>
      </w:r>
      <w:r>
        <w:t>risk</w:t>
      </w:r>
      <w:r w:rsidR="009B0312">
        <w:t>’</w:t>
      </w:r>
      <w:r>
        <w:t xml:space="preserve"> medical practitioners expected to join the scheme in future years.</w:t>
      </w:r>
      <w:r w:rsidR="00E57770">
        <w:t xml:space="preserve"> </w:t>
      </w:r>
      <w:r w:rsidR="00E57770" w:rsidRPr="0030070D">
        <w:t xml:space="preserve">Where the date of birth or gender was not available for a practitioner, these were assigned randomly according to the age and gender distribution of </w:t>
      </w:r>
      <w:r w:rsidR="009B0312">
        <w:t>‘</w:t>
      </w:r>
      <w:r w:rsidR="00E57770" w:rsidRPr="0030070D">
        <w:t>at</w:t>
      </w:r>
      <w:r w:rsidR="009B0312">
        <w:noBreakHyphen/>
      </w:r>
      <w:r w:rsidR="00E57770" w:rsidRPr="0030070D">
        <w:t>risk</w:t>
      </w:r>
      <w:r w:rsidR="009B0312">
        <w:t>’</w:t>
      </w:r>
      <w:r w:rsidR="00E57770">
        <w:t xml:space="preserve"> medical practitioners.</w:t>
      </w:r>
    </w:p>
    <w:p w14:paraId="1E2021E3" w14:textId="6318D83D" w:rsidR="003418DA" w:rsidRPr="0030070D" w:rsidRDefault="003418DA" w:rsidP="002C694F">
      <w:pPr>
        <w:pStyle w:val="ListParagraph"/>
        <w:numPr>
          <w:ilvl w:val="0"/>
          <w:numId w:val="29"/>
        </w:numPr>
        <w:spacing w:after="200" w:line="276" w:lineRule="auto"/>
      </w:pPr>
      <w:r w:rsidRPr="0030070D">
        <w:t xml:space="preserve">Figure 6 depicts the number of </w:t>
      </w:r>
      <w:r w:rsidR="009B0312">
        <w:t>‘</w:t>
      </w:r>
      <w:r w:rsidRPr="0030070D">
        <w:t>at</w:t>
      </w:r>
      <w:r w:rsidR="009B0312">
        <w:noBreakHyphen/>
      </w:r>
      <w:r w:rsidRPr="0030070D">
        <w:t>risk</w:t>
      </w:r>
      <w:r w:rsidR="009B0312">
        <w:t>’</w:t>
      </w:r>
      <w:r w:rsidRPr="0030070D">
        <w:t xml:space="preserve"> practitioners projected to become eligible for the Scheme by </w:t>
      </w:r>
      <w:r w:rsidRPr="00237EF2">
        <w:t xml:space="preserve">various means during </w:t>
      </w:r>
      <w:r w:rsidRPr="00FF3061">
        <w:t>the 20</w:t>
      </w:r>
      <w:r w:rsidR="00CD7251" w:rsidRPr="00FF3061">
        <w:t>2</w:t>
      </w:r>
      <w:r w:rsidR="001F51EC" w:rsidRPr="00FF3061">
        <w:t>4</w:t>
      </w:r>
      <w:r w:rsidR="009B0312" w:rsidRPr="00FF3061">
        <w:noBreakHyphen/>
      </w:r>
      <w:r w:rsidRPr="00FF3061">
        <w:t>2</w:t>
      </w:r>
      <w:r w:rsidR="001F51EC" w:rsidRPr="00FF3061">
        <w:t>5</w:t>
      </w:r>
      <w:r w:rsidRPr="00FF3061">
        <w:t xml:space="preserve"> financial</w:t>
      </w:r>
      <w:r w:rsidRPr="00237EF2">
        <w:t xml:space="preserve"> year</w:t>
      </w:r>
      <w:r w:rsidR="009B0312">
        <w:t xml:space="preserve">. </w:t>
      </w:r>
    </w:p>
    <w:p w14:paraId="51C0B371" w14:textId="26EB43B9" w:rsidR="003418DA" w:rsidRPr="0030070D" w:rsidRDefault="003418DA" w:rsidP="0040224A">
      <w:pPr>
        <w:pStyle w:val="Caption"/>
      </w:pPr>
      <w:r w:rsidRPr="00B334F0">
        <w:lastRenderedPageBreak/>
        <w:t>Figure 6</w:t>
      </w:r>
      <w:r w:rsidRPr="001F51EC">
        <w:t xml:space="preserve">: Projected entries of </w:t>
      </w:r>
      <w:r w:rsidR="009B0312" w:rsidRPr="001F51EC">
        <w:t>‘</w:t>
      </w:r>
      <w:r w:rsidRPr="001F51EC">
        <w:t>at</w:t>
      </w:r>
      <w:r w:rsidR="009B0312" w:rsidRPr="001F51EC">
        <w:noBreakHyphen/>
      </w:r>
      <w:r w:rsidRPr="001F51EC">
        <w:t>risk</w:t>
      </w:r>
      <w:r w:rsidR="009B0312" w:rsidRPr="001F51EC">
        <w:t>’</w:t>
      </w:r>
      <w:r w:rsidRPr="001F51EC">
        <w:t xml:space="preserve"> practitioners to the Run</w:t>
      </w:r>
      <w:r w:rsidR="009B0312" w:rsidRPr="001F51EC">
        <w:noBreakHyphen/>
      </w:r>
      <w:r w:rsidRPr="001F51EC">
        <w:t>Off Cover Scheme based on decrement assumptions</w:t>
      </w:r>
    </w:p>
    <w:p w14:paraId="68B0D5CF" w14:textId="6799558C" w:rsidR="003418DA" w:rsidRDefault="007277D1" w:rsidP="003418DA">
      <w:pPr>
        <w:pStyle w:val="ChartGraphic"/>
      </w:pPr>
      <w:r w:rsidRPr="007277D1">
        <w:rPr>
          <w:noProof/>
        </w:rPr>
        <w:drawing>
          <wp:inline distT="0" distB="0" distL="0" distR="0" wp14:anchorId="4BBE75AF" wp14:editId="77A7489B">
            <wp:extent cx="4495800" cy="2748915"/>
            <wp:effectExtent l="0" t="0" r="0" b="0"/>
            <wp:docPr id="1415397225" name="Picture 2" descr="This chart shows the projected numbers of new entrants during 2024-25 to the ROC Scheme based on decrement assumptions. They are also shown in Table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95800" cy="2748915"/>
                    </a:xfrm>
                    <a:prstGeom prst="rect">
                      <a:avLst/>
                    </a:prstGeom>
                    <a:noFill/>
                    <a:ln>
                      <a:noFill/>
                    </a:ln>
                  </pic:spPr>
                </pic:pic>
              </a:graphicData>
            </a:graphic>
          </wp:inline>
        </w:drawing>
      </w:r>
    </w:p>
    <w:p w14:paraId="63074548" w14:textId="77777777" w:rsidR="003418DA" w:rsidRPr="008A76B2" w:rsidRDefault="003418DA" w:rsidP="003418DA">
      <w:pPr>
        <w:pStyle w:val="SingleParagraph"/>
      </w:pPr>
    </w:p>
    <w:p w14:paraId="28F9C841" w14:textId="77777777" w:rsidR="003418DA" w:rsidRPr="00CE1EA9" w:rsidRDefault="003418DA" w:rsidP="002C694F">
      <w:pPr>
        <w:pStyle w:val="ListParagraph"/>
        <w:numPr>
          <w:ilvl w:val="0"/>
          <w:numId w:val="29"/>
        </w:numPr>
        <w:spacing w:after="200" w:line="276" w:lineRule="auto"/>
      </w:pPr>
      <w:r>
        <w:t>In addition to the above eligibility categories, m</w:t>
      </w:r>
      <w:r w:rsidRPr="0021441A">
        <w:t xml:space="preserve">edical practitioners from overseas who have worked in Australia under an appropriate visa </w:t>
      </w:r>
      <w:r>
        <w:t xml:space="preserve">also </w:t>
      </w:r>
      <w:r w:rsidRPr="0021441A">
        <w:t>become eligible for the Scheme when they have permanently ceased medical practice in Australia an</w:t>
      </w:r>
      <w:r>
        <w:t xml:space="preserve">d ceased to reside in Australia. We have not projected the number of new entrants from this category because we were advised at the start of the Scheme that these </w:t>
      </w:r>
      <w:r w:rsidRPr="007857CA">
        <w:t xml:space="preserve">practitioners had historically paid very low premiums. Accordingly, we have assumed that medical negligence claims against them are likely to make an immaterial contribution to the Scheme costs. We have not been able to review this assumption as these practitioners cannot be identified in the data provided to us. </w:t>
      </w:r>
    </w:p>
    <w:p w14:paraId="167539FE" w14:textId="606A4C30" w:rsidR="003418DA" w:rsidRPr="009E03FA" w:rsidRDefault="003418DA" w:rsidP="002C694F">
      <w:pPr>
        <w:pStyle w:val="ListParagraph"/>
        <w:numPr>
          <w:ilvl w:val="0"/>
          <w:numId w:val="29"/>
        </w:numPr>
        <w:spacing w:after="200" w:line="276" w:lineRule="auto"/>
      </w:pPr>
      <w:r w:rsidRPr="002E20F7">
        <w:t xml:space="preserve">The </w:t>
      </w:r>
      <w:r w:rsidR="002E20F7" w:rsidRPr="002E20F7">
        <w:t xml:space="preserve">total </w:t>
      </w:r>
      <w:r w:rsidRPr="002E20F7">
        <w:t xml:space="preserve">numbers of practitioners projected to enter the Scheme are </w:t>
      </w:r>
      <w:r w:rsidR="00472EC3" w:rsidRPr="002E20F7">
        <w:t xml:space="preserve">broadly </w:t>
      </w:r>
      <w:r w:rsidRPr="002E20F7">
        <w:t>in line with the long</w:t>
      </w:r>
      <w:r w:rsidR="009B0312" w:rsidRPr="002E20F7">
        <w:noBreakHyphen/>
      </w:r>
      <w:r w:rsidRPr="002E20F7">
        <w:t xml:space="preserve">term historical numbers (excluding </w:t>
      </w:r>
      <w:r w:rsidR="009B0312" w:rsidRPr="002E20F7">
        <w:t>‘</w:t>
      </w:r>
      <w:r w:rsidRPr="002E20F7">
        <w:t>Other</w:t>
      </w:r>
      <w:r w:rsidR="009B0312" w:rsidRPr="002E20F7">
        <w:t>’</w:t>
      </w:r>
      <w:r w:rsidRPr="002E20F7">
        <w:t xml:space="preserve">) provided by the insurers as </w:t>
      </w:r>
      <w:r w:rsidRPr="002E20F7">
        <w:rPr>
          <w:color w:val="auto"/>
        </w:rPr>
        <w:t>shown in Table 20</w:t>
      </w:r>
      <w:r w:rsidR="00DE1CCC" w:rsidRPr="002E20F7">
        <w:rPr>
          <w:color w:val="auto"/>
        </w:rPr>
        <w:t>, noting the one-off jump</w:t>
      </w:r>
      <w:r w:rsidR="00DE1CCC" w:rsidRPr="00C42BE9">
        <w:rPr>
          <w:color w:val="auto"/>
        </w:rPr>
        <w:t xml:space="preserve"> in resignations in 2020-21 due to the waiver of the three-year waiting period and possible temporary distortions caused </w:t>
      </w:r>
      <w:r w:rsidR="00DE1CCC" w:rsidRPr="002E20F7">
        <w:rPr>
          <w:color w:val="auto"/>
        </w:rPr>
        <w:t>by COVID-19 since January 2020</w:t>
      </w:r>
      <w:r w:rsidRPr="002E20F7">
        <w:rPr>
          <w:color w:val="auto"/>
        </w:rPr>
        <w:t xml:space="preserve">. </w:t>
      </w:r>
      <w:r w:rsidR="00BF1332" w:rsidRPr="002E20F7">
        <w:rPr>
          <w:color w:val="auto"/>
        </w:rPr>
        <w:t>The experience of the current year is understated due to the delay in reporting.</w:t>
      </w:r>
      <w:r w:rsidR="00BF1332">
        <w:rPr>
          <w:color w:val="auto"/>
        </w:rPr>
        <w:t xml:space="preserve"> The projection</w:t>
      </w:r>
      <w:r w:rsidR="000A006D" w:rsidRPr="00C42BE9">
        <w:rPr>
          <w:color w:val="auto"/>
        </w:rPr>
        <w:t xml:space="preserve"> allows </w:t>
      </w:r>
      <w:r w:rsidR="00F332F2">
        <w:rPr>
          <w:color w:val="auto"/>
        </w:rPr>
        <w:t>repeat</w:t>
      </w:r>
      <w:r w:rsidR="00477D07">
        <w:rPr>
          <w:color w:val="auto"/>
        </w:rPr>
        <w:t>ed</w:t>
      </w:r>
      <w:r w:rsidR="000A006D" w:rsidRPr="00C42BE9">
        <w:rPr>
          <w:color w:val="auto"/>
        </w:rPr>
        <w:t xml:space="preserve"> entries by counting practitioners who regained eligibility after cessation.</w:t>
      </w:r>
      <w:r w:rsidRPr="00C42BE9">
        <w:rPr>
          <w:color w:val="auto"/>
        </w:rPr>
        <w:t xml:space="preserve"> </w:t>
      </w:r>
    </w:p>
    <w:p w14:paraId="2A3E80B1" w14:textId="6CCF782A" w:rsidR="003418DA" w:rsidRPr="00D6236F" w:rsidRDefault="003418DA" w:rsidP="0040224A">
      <w:pPr>
        <w:pStyle w:val="Caption"/>
      </w:pPr>
      <w:r w:rsidRPr="00397065">
        <w:lastRenderedPageBreak/>
        <w:t>Table 20:</w:t>
      </w:r>
      <w:r w:rsidRPr="00172F4D">
        <w:t xml:space="preserve"> Run</w:t>
      </w:r>
      <w:r w:rsidR="009B0312" w:rsidRPr="00172F4D">
        <w:noBreakHyphen/>
      </w:r>
      <w:r w:rsidRPr="00172F4D">
        <w:t>Off Cover Scheme historical and projected new entrants by reason of eligibility</w:t>
      </w:r>
    </w:p>
    <w:p w14:paraId="026FD9D1" w14:textId="527C4B93" w:rsidR="00441F6B" w:rsidRDefault="00A8548E" w:rsidP="003418DA">
      <w:pPr>
        <w:pStyle w:val="ChartorTableNote"/>
      </w:pPr>
      <w:r w:rsidRPr="00A8548E">
        <w:rPr>
          <w:noProof/>
        </w:rPr>
        <w:drawing>
          <wp:inline distT="0" distB="0" distL="0" distR="0" wp14:anchorId="31EC6C5E" wp14:editId="76C08385">
            <wp:extent cx="4895848" cy="1327150"/>
            <wp:effectExtent l="0" t="0" r="0" b="6350"/>
            <wp:docPr id="60495617" name="Picture 38" descr="There were 2,166 reported new entrants (excluding “Other”) in 2022-23. The number of reported new entrants since 2014-15 has been significantly higher than previous years. We projected 2,237 new entrants (excluding “Other”)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5848" cy="1327150"/>
                    </a:xfrm>
                    <a:prstGeom prst="rect">
                      <a:avLst/>
                    </a:prstGeom>
                    <a:noFill/>
                    <a:ln>
                      <a:noFill/>
                    </a:ln>
                  </pic:spPr>
                </pic:pic>
              </a:graphicData>
            </a:graphic>
          </wp:inline>
        </w:drawing>
      </w:r>
    </w:p>
    <w:p w14:paraId="206EF409" w14:textId="21E8FE48" w:rsidR="003418DA" w:rsidRDefault="00441F6B" w:rsidP="00441F6B">
      <w:pPr>
        <w:pStyle w:val="ChartorTableNote"/>
        <w:ind w:left="0" w:firstLine="0"/>
      </w:pPr>
      <w:r>
        <w:t xml:space="preserve">(a) </w:t>
      </w:r>
      <w:r w:rsidR="003418DA" w:rsidRPr="00374E2F">
        <w:t>Overseas trained medical practitioners who had permanently ceased practice in Australia under an appropriate visa</w:t>
      </w:r>
      <w:r w:rsidR="003418DA" w:rsidRPr="00030581">
        <w:t>.</w:t>
      </w:r>
    </w:p>
    <w:p w14:paraId="5B94CCD8" w14:textId="77777777" w:rsidR="003418DA" w:rsidRDefault="003418DA" w:rsidP="003418DA">
      <w:pPr>
        <w:pStyle w:val="SingleParagraph"/>
      </w:pPr>
    </w:p>
    <w:p w14:paraId="5FCF854E" w14:textId="051E1A9A" w:rsidR="001B5E54" w:rsidRDefault="001B5E54" w:rsidP="002C694F">
      <w:pPr>
        <w:pStyle w:val="ListParagraph"/>
        <w:numPr>
          <w:ilvl w:val="0"/>
          <w:numId w:val="29"/>
        </w:numPr>
        <w:spacing w:after="200" w:line="276" w:lineRule="auto"/>
      </w:pPr>
      <w:r>
        <w:t>Notwithstanding, temporary movements in new entrants have an immaterial impact on next year</w:t>
      </w:r>
      <w:r w:rsidR="009B0312">
        <w:t>’</w:t>
      </w:r>
      <w:r>
        <w:t xml:space="preserve">s new accrual estimate. For the new accrual estimate, it is the ROCS eligibility status of the </w:t>
      </w:r>
      <w:r w:rsidR="00D9593E">
        <w:t>practitioner</w:t>
      </w:r>
      <w:r>
        <w:t xml:space="preserve"> at the time of the claim</w:t>
      </w:r>
      <w:r w:rsidR="009B0312">
        <w:t>’</w:t>
      </w:r>
      <w:r>
        <w:t xml:space="preserve">s notification that is </w:t>
      </w:r>
      <w:r w:rsidR="005F00E4">
        <w:t>crucial</w:t>
      </w:r>
      <w:r>
        <w:t xml:space="preserve">. Given the frequent long delays in the notification of medical indemnity claims, the cumulative ROCS eligibility probabilities </w:t>
      </w:r>
      <w:r w:rsidR="005F00E4">
        <w:t xml:space="preserve">over the long term </w:t>
      </w:r>
      <w:r>
        <w:t xml:space="preserve">have a far greater relevance than </w:t>
      </w:r>
      <w:r w:rsidR="005F00E4">
        <w:t>each year</w:t>
      </w:r>
      <w:r w:rsidR="009B0312">
        <w:t>’</w:t>
      </w:r>
      <w:r w:rsidR="005F00E4">
        <w:t>s</w:t>
      </w:r>
      <w:r>
        <w:t xml:space="preserve"> eligibility probabilities.</w:t>
      </w:r>
    </w:p>
    <w:p w14:paraId="791DC642" w14:textId="7A313C4F" w:rsidR="00E57770" w:rsidRDefault="000A006D" w:rsidP="002C694F">
      <w:pPr>
        <w:pStyle w:val="ListParagraph"/>
        <w:numPr>
          <w:ilvl w:val="0"/>
          <w:numId w:val="29"/>
        </w:numPr>
        <w:spacing w:after="200" w:line="276" w:lineRule="auto"/>
      </w:pPr>
      <w:r w:rsidRPr="009E03FA">
        <w:t>The eligibility assumptions are subject to review each year, and we tend to update the assumptions when there is sufficient evidence to support a fundamental shift in experience</w:t>
      </w:r>
      <w:r w:rsidR="008426BF">
        <w:t>.</w:t>
      </w:r>
      <w:r w:rsidR="00507E54">
        <w:t xml:space="preserve"> </w:t>
      </w:r>
    </w:p>
    <w:p w14:paraId="26B672D7" w14:textId="4777D4C0" w:rsidR="003418DA" w:rsidRPr="0030070D" w:rsidRDefault="003418DA" w:rsidP="00E10738">
      <w:pPr>
        <w:pStyle w:val="Heading3"/>
      </w:pPr>
      <w:bookmarkStart w:id="155" w:name="_Toc425348060"/>
      <w:r w:rsidRPr="0030070D">
        <w:t>Projection of future Run</w:t>
      </w:r>
      <w:r w:rsidR="009B0312">
        <w:noBreakHyphen/>
      </w:r>
      <w:r w:rsidRPr="0030070D">
        <w:t>Off Cover Scheme costs</w:t>
      </w:r>
      <w:bookmarkEnd w:id="155"/>
    </w:p>
    <w:p w14:paraId="116E0F7E" w14:textId="77777777" w:rsidR="00E10738" w:rsidRDefault="00E10738" w:rsidP="002C694F">
      <w:pPr>
        <w:pStyle w:val="AppendixParagraph"/>
        <w:numPr>
          <w:ilvl w:val="0"/>
          <w:numId w:val="29"/>
        </w:numPr>
      </w:pPr>
      <w:r w:rsidRPr="00527F3A">
        <w:t>We rely heavily on industry projections of future cash flows to determine the value of outstanding notified claims as well as future IBNR claims.</w:t>
      </w:r>
      <w:r>
        <w:t xml:space="preserve"> Each insurer prepares a projection of cash flows associated with notified claims and a projection of their expected future cash flows for claims expected to be notified over the next five years.</w:t>
      </w:r>
    </w:p>
    <w:p w14:paraId="465506AD" w14:textId="4E927750" w:rsidR="00E10738" w:rsidRPr="000600D1" w:rsidRDefault="00E10738" w:rsidP="002C694F">
      <w:pPr>
        <w:pStyle w:val="AppendixParagraph"/>
        <w:numPr>
          <w:ilvl w:val="0"/>
          <w:numId w:val="29"/>
        </w:numPr>
        <w:rPr>
          <w:lang w:val="en-AU"/>
        </w:rPr>
      </w:pPr>
      <w:r>
        <w:t xml:space="preserve">There is limited opportunity to independently review the industry projections </w:t>
      </w:r>
      <w:r w:rsidRPr="003F0602">
        <w:t>noted above. This year</w:t>
      </w:r>
      <w:r w:rsidR="00627D0F" w:rsidRPr="003F0602">
        <w:t>,</w:t>
      </w:r>
      <w:r w:rsidRPr="003F0602">
        <w:t xml:space="preserve"> we reviewed the historical actual payments data up to 31</w:t>
      </w:r>
      <w:r w:rsidR="00457A49" w:rsidRPr="003F0602">
        <w:t> </w:t>
      </w:r>
      <w:r w:rsidRPr="003F0602">
        <w:t>December 202</w:t>
      </w:r>
      <w:r w:rsidR="003F0602" w:rsidRPr="003F0602">
        <w:t>4</w:t>
      </w:r>
      <w:r w:rsidRPr="003F0602">
        <w:t xml:space="preserve"> provided by Services Australia and compared this to the industry projections.</w:t>
      </w:r>
      <w:r w:rsidR="00D84058" w:rsidRPr="003F0602">
        <w:t xml:space="preserve"> </w:t>
      </w:r>
      <w:r w:rsidR="001A1C81">
        <w:t xml:space="preserve">Certain issues were identified, which led to </w:t>
      </w:r>
      <w:r w:rsidR="00F00DCE">
        <w:t xml:space="preserve">some data </w:t>
      </w:r>
      <w:r w:rsidR="0068466C">
        <w:t xml:space="preserve">being </w:t>
      </w:r>
      <w:r w:rsidR="001A1C81">
        <w:t>resubmi</w:t>
      </w:r>
      <w:r w:rsidR="0068466C">
        <w:t>tted</w:t>
      </w:r>
      <w:r w:rsidR="001A1C81">
        <w:t xml:space="preserve">. </w:t>
      </w:r>
      <w:r w:rsidR="0061255F">
        <w:t>No</w:t>
      </w:r>
      <w:r w:rsidR="00D84058" w:rsidRPr="003F0602">
        <w:t xml:space="preserve"> adjustments </w:t>
      </w:r>
      <w:r w:rsidR="00F00DCE">
        <w:t xml:space="preserve">to the resubmitted data </w:t>
      </w:r>
      <w:r w:rsidR="00D84058" w:rsidRPr="003F0602">
        <w:t xml:space="preserve">were </w:t>
      </w:r>
      <w:r w:rsidR="001A1C81">
        <w:t xml:space="preserve">deemed necessary. </w:t>
      </w:r>
    </w:p>
    <w:p w14:paraId="4060635E" w14:textId="794E96DC" w:rsidR="003418DA" w:rsidRPr="00E10738" w:rsidRDefault="003418DA" w:rsidP="002C694F">
      <w:pPr>
        <w:pStyle w:val="ListParagraph"/>
        <w:numPr>
          <w:ilvl w:val="0"/>
          <w:numId w:val="29"/>
        </w:numPr>
        <w:spacing w:after="200" w:line="276" w:lineRule="auto"/>
        <w:jc w:val="left"/>
      </w:pPr>
      <w:r w:rsidRPr="00E10738">
        <w:t>Table 21 summarises the next 10 years</w:t>
      </w:r>
      <w:r w:rsidR="009B0312">
        <w:t>’</w:t>
      </w:r>
      <w:r w:rsidRPr="00E10738">
        <w:t xml:space="preserve"> ROC indemnity payments</w:t>
      </w:r>
      <w:r w:rsidR="00D74731">
        <w:t xml:space="preserve">, </w:t>
      </w:r>
      <w:r w:rsidRPr="00E10738">
        <w:t>which were aggregated to derive the projected Scheme costs in future years.</w:t>
      </w:r>
    </w:p>
    <w:p w14:paraId="4CD0EF01" w14:textId="36EB962F" w:rsidR="003418DA" w:rsidRPr="00D6236F" w:rsidRDefault="003418DA" w:rsidP="0040224A">
      <w:pPr>
        <w:pStyle w:val="Caption"/>
      </w:pPr>
      <w:r w:rsidRPr="00822BA3">
        <w:lastRenderedPageBreak/>
        <w:t>Table 21</w:t>
      </w:r>
      <w:r w:rsidRPr="009E17CA">
        <w:t>: Calculation of projected Run</w:t>
      </w:r>
      <w:r w:rsidR="009B0312">
        <w:noBreakHyphen/>
      </w:r>
      <w:r w:rsidRPr="009E17CA">
        <w:t>Off Cover indemnity payments</w:t>
      </w:r>
    </w:p>
    <w:p w14:paraId="1511A5FE" w14:textId="09BE273A" w:rsidR="00441F6B" w:rsidRDefault="55B5648E" w:rsidP="003418DA">
      <w:pPr>
        <w:pStyle w:val="ChartorTableNote"/>
      </w:pPr>
      <w:r w:rsidRPr="00354D94">
        <w:t xml:space="preserve"> </w:t>
      </w:r>
      <w:r w:rsidR="00FF6EDB" w:rsidRPr="00FF6EDB">
        <w:rPr>
          <w:noProof/>
        </w:rPr>
        <w:drawing>
          <wp:inline distT="0" distB="0" distL="0" distR="0" wp14:anchorId="6C5349AC" wp14:editId="18CCF420">
            <wp:extent cx="4779011" cy="2165985"/>
            <wp:effectExtent l="0" t="0" r="2540" b="0"/>
            <wp:docPr id="1355176420" name="Picture 12" descr="The projected indemnity payments for future years relate to incidents occurred before and after 1 July 2024. The proportion of payments related to incidents post 1 July 2024 increases gradually to more than 50% of the total projected payments by 2034. For incidents occurred before 1 July 2024, payments related to IBNR claims steadily increase till 2031 after which they decrease again, while payments related to notified but not yet report claims diminishe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9011" cy="2165985"/>
                    </a:xfrm>
                    <a:prstGeom prst="rect">
                      <a:avLst/>
                    </a:prstGeom>
                    <a:noFill/>
                    <a:ln>
                      <a:noFill/>
                    </a:ln>
                  </pic:spPr>
                </pic:pic>
              </a:graphicData>
            </a:graphic>
          </wp:inline>
        </w:drawing>
      </w:r>
    </w:p>
    <w:p w14:paraId="3F93F4D2" w14:textId="3D7A3A0C" w:rsidR="003418DA" w:rsidRPr="00F5212B" w:rsidRDefault="003418DA" w:rsidP="003418DA">
      <w:pPr>
        <w:pStyle w:val="ChartorTableNote"/>
      </w:pPr>
      <w:r w:rsidRPr="00F5212B">
        <w:t>Note: numbers may not add up due to rounding.</w:t>
      </w:r>
    </w:p>
    <w:p w14:paraId="16CC4FB2" w14:textId="77777777" w:rsidR="003418DA" w:rsidRDefault="003418DA" w:rsidP="00843E43">
      <w:pPr>
        <w:spacing w:after="0"/>
      </w:pPr>
      <w:bookmarkStart w:id="156" w:name="_Toc425348061"/>
    </w:p>
    <w:p w14:paraId="2A23EC3D" w14:textId="405A56E0" w:rsidR="003418DA" w:rsidRPr="0030070D" w:rsidRDefault="003418DA" w:rsidP="00D705EC">
      <w:pPr>
        <w:pStyle w:val="Heading3"/>
      </w:pPr>
      <w:r w:rsidRPr="0030070D">
        <w:t>Uncertainty in relation to liability projections</w:t>
      </w:r>
      <w:bookmarkEnd w:id="156"/>
    </w:p>
    <w:p w14:paraId="3F2AB2BB" w14:textId="77777777" w:rsidR="003418DA" w:rsidRPr="0030070D" w:rsidRDefault="003418DA" w:rsidP="002C694F">
      <w:pPr>
        <w:pStyle w:val="ListParagraph"/>
        <w:numPr>
          <w:ilvl w:val="0"/>
          <w:numId w:val="29"/>
        </w:numPr>
        <w:spacing w:after="200" w:line="276" w:lineRule="auto"/>
        <w:jc w:val="left"/>
      </w:pPr>
      <w:r w:rsidRPr="0030070D">
        <w:t>The projected ROC indemnity</w:t>
      </w:r>
      <w:r>
        <w:t xml:space="preserve"> payments summarised in Table 20</w:t>
      </w:r>
      <w:r w:rsidRPr="0030070D">
        <w:t xml:space="preserve"> are subject to uncertainty which relates to:</w:t>
      </w:r>
    </w:p>
    <w:p w14:paraId="64179037" w14:textId="51516061" w:rsidR="003418DA" w:rsidRPr="0030070D" w:rsidRDefault="003418DA" w:rsidP="00952046">
      <w:pPr>
        <w:pStyle w:val="Bullet"/>
        <w:numPr>
          <w:ilvl w:val="0"/>
          <w:numId w:val="34"/>
        </w:numPr>
        <w:spacing w:after="240"/>
        <w:ind w:left="1134" w:hanging="425"/>
      </w:pPr>
      <w:r w:rsidRPr="0030070D">
        <w:t>the claiming behaviour of eligible practitioners</w:t>
      </w:r>
    </w:p>
    <w:p w14:paraId="7704777A" w14:textId="39EB39C9" w:rsidR="003418DA" w:rsidRPr="0030070D" w:rsidRDefault="003418DA" w:rsidP="00952046">
      <w:pPr>
        <w:pStyle w:val="Bullet"/>
        <w:numPr>
          <w:ilvl w:val="0"/>
          <w:numId w:val="34"/>
        </w:numPr>
        <w:spacing w:after="240"/>
        <w:ind w:left="1134" w:hanging="425"/>
      </w:pPr>
      <w:r w:rsidRPr="0030070D">
        <w:t>substantial random variation associated with medical incidents and the notification of claims from year to year</w:t>
      </w:r>
    </w:p>
    <w:p w14:paraId="016879F0" w14:textId="1014B7FA" w:rsidR="003418DA" w:rsidRPr="0030070D" w:rsidRDefault="003418DA" w:rsidP="00952046">
      <w:pPr>
        <w:pStyle w:val="Bullet"/>
        <w:numPr>
          <w:ilvl w:val="0"/>
          <w:numId w:val="34"/>
        </w:numPr>
        <w:spacing w:after="240"/>
        <w:ind w:left="1134" w:hanging="425"/>
      </w:pPr>
      <w:r w:rsidRPr="0030070D">
        <w:t>calibration of the model claim size and claim frequency assumptions to the underlying claim process (medical indemnity liabilities are characterised by few claims associated with large random variation such that a wide range of results can be obtained with equal statistical validity)</w:t>
      </w:r>
    </w:p>
    <w:p w14:paraId="201A8DFC" w14:textId="05E2B123" w:rsidR="003418DA" w:rsidRPr="0030070D" w:rsidRDefault="003418DA" w:rsidP="00952046">
      <w:pPr>
        <w:pStyle w:val="Bullet"/>
        <w:numPr>
          <w:ilvl w:val="0"/>
          <w:numId w:val="34"/>
        </w:numPr>
        <w:spacing w:after="240"/>
        <w:ind w:left="1134" w:hanging="425"/>
      </w:pPr>
      <w:r w:rsidRPr="0030070D">
        <w:t xml:space="preserve">the extent to which </w:t>
      </w:r>
      <w:r>
        <w:t>medical practitioners</w:t>
      </w:r>
      <w:r w:rsidRPr="0030070D">
        <w:t xml:space="preserve"> approaching retirement might cut down on their practice hours and possibly engage in less </w:t>
      </w:r>
      <w:r w:rsidR="009B0312">
        <w:t>‘</w:t>
      </w:r>
      <w:r w:rsidRPr="0030070D">
        <w:t>risky</w:t>
      </w:r>
      <w:r w:rsidR="009B0312">
        <w:t>’</w:t>
      </w:r>
      <w:r w:rsidRPr="0030070D">
        <w:t xml:space="preserve"> practice (for</w:t>
      </w:r>
      <w:r>
        <w:t> </w:t>
      </w:r>
      <w:r w:rsidRPr="0030070D">
        <w:t>example, less surgery)</w:t>
      </w:r>
    </w:p>
    <w:p w14:paraId="35C5ACF4" w14:textId="64B251D9" w:rsidR="003418DA" w:rsidRPr="0030070D" w:rsidRDefault="003418DA" w:rsidP="00952046">
      <w:pPr>
        <w:pStyle w:val="Bullet"/>
        <w:numPr>
          <w:ilvl w:val="0"/>
          <w:numId w:val="34"/>
        </w:numPr>
        <w:spacing w:after="240"/>
        <w:ind w:left="1134" w:hanging="425"/>
      </w:pPr>
      <w:r w:rsidRPr="0030070D">
        <w:t>sensitivity of the model to the proportion of late</w:t>
      </w:r>
      <w:r w:rsidR="009B0312">
        <w:noBreakHyphen/>
      </w:r>
      <w:r w:rsidRPr="0030070D">
        <w:t>reported claims</w:t>
      </w:r>
    </w:p>
    <w:p w14:paraId="7B88D8A7" w14:textId="27FACC46" w:rsidR="003418DA" w:rsidRPr="0030070D" w:rsidRDefault="003418DA" w:rsidP="00952046">
      <w:pPr>
        <w:pStyle w:val="Bullet"/>
        <w:numPr>
          <w:ilvl w:val="0"/>
          <w:numId w:val="34"/>
        </w:numPr>
        <w:spacing w:after="240"/>
        <w:ind w:left="1134" w:hanging="425"/>
      </w:pPr>
      <w:r w:rsidRPr="0030070D">
        <w:t xml:space="preserve">sensitivity of the model to the </w:t>
      </w:r>
      <w:r>
        <w:t>eligibility</w:t>
      </w:r>
      <w:r w:rsidRPr="0030070D">
        <w:t xml:space="preserve"> assumptions</w:t>
      </w:r>
    </w:p>
    <w:p w14:paraId="4BEC7641" w14:textId="05E03773" w:rsidR="003418DA" w:rsidRPr="0030070D" w:rsidRDefault="003418DA" w:rsidP="00952046">
      <w:pPr>
        <w:pStyle w:val="Bullet"/>
        <w:numPr>
          <w:ilvl w:val="0"/>
          <w:numId w:val="34"/>
        </w:numPr>
        <w:spacing w:after="240"/>
        <w:ind w:left="1134" w:hanging="425"/>
      </w:pPr>
      <w:r w:rsidRPr="0030070D">
        <w:t xml:space="preserve">the possibility that not all </w:t>
      </w:r>
      <w:r w:rsidR="008C3AC7">
        <w:t xml:space="preserve">notified </w:t>
      </w:r>
      <w:r w:rsidRPr="0030070D">
        <w:t xml:space="preserve">Scheme eligible claims have been identified </w:t>
      </w:r>
      <w:r w:rsidR="008C3AC7">
        <w:t xml:space="preserve">by insurers </w:t>
      </w:r>
      <w:r w:rsidRPr="0030070D">
        <w:t>and that recoveries will be more diligently pursued later in the claim process</w:t>
      </w:r>
    </w:p>
    <w:p w14:paraId="4981718E" w14:textId="31383542" w:rsidR="003418DA" w:rsidRPr="0030070D" w:rsidRDefault="003418DA" w:rsidP="00952046">
      <w:pPr>
        <w:pStyle w:val="Bullet"/>
        <w:numPr>
          <w:ilvl w:val="0"/>
          <w:numId w:val="34"/>
        </w:numPr>
        <w:spacing w:after="240"/>
        <w:ind w:left="1134" w:hanging="425"/>
      </w:pPr>
      <w:r w:rsidRPr="0030070D">
        <w:t xml:space="preserve">tort reforms in </w:t>
      </w:r>
      <w:r w:rsidR="00E10F61" w:rsidRPr="0030070D">
        <w:t>several</w:t>
      </w:r>
      <w:r w:rsidRPr="0030070D">
        <w:t xml:space="preserve"> jurisdictions with the possible effect of </w:t>
      </w:r>
      <w:r w:rsidR="009B0312">
        <w:t>‘</w:t>
      </w:r>
      <w:r w:rsidRPr="0030070D">
        <w:t>bringing forwar</w:t>
      </w:r>
      <w:r>
        <w:t>d</w:t>
      </w:r>
      <w:r w:rsidR="009B0312">
        <w:t>’</w:t>
      </w:r>
      <w:r>
        <w:t xml:space="preserve"> claims and distorting </w:t>
      </w:r>
      <w:r w:rsidRPr="0030070D">
        <w:t>claim experience.</w:t>
      </w:r>
    </w:p>
    <w:p w14:paraId="71943049" w14:textId="77777777" w:rsidR="00DD35AC" w:rsidRPr="002E44DE" w:rsidRDefault="00DD35AC" w:rsidP="002C694F">
      <w:pPr>
        <w:pStyle w:val="ListParagraph"/>
        <w:numPr>
          <w:ilvl w:val="0"/>
          <w:numId w:val="29"/>
        </w:numPr>
        <w:spacing w:after="200" w:line="276" w:lineRule="auto"/>
      </w:pPr>
      <w:r w:rsidRPr="0030070D">
        <w:lastRenderedPageBreak/>
        <w:t>The information provided by the actuaries of the MIIs and MDOs relied on broadly similar valuation models. The range of assumptions adopted by industry actuaries reflects the substantial uncertainty involved in estimating liabilities of the Scheme.</w:t>
      </w:r>
      <w:r>
        <w:t xml:space="preserve"> </w:t>
      </w:r>
      <w:r w:rsidRPr="0030070D">
        <w:t xml:space="preserve">It must be emphasised that different results can be obtained from different yet equally plausible models and assumptions. Again, this is a common issue with </w:t>
      </w:r>
      <w:r w:rsidRPr="002E44DE">
        <w:t>liabilities of this nature.</w:t>
      </w:r>
    </w:p>
    <w:p w14:paraId="7B61A019" w14:textId="54C7CA7E" w:rsidR="007F09E7" w:rsidRDefault="007F09E7" w:rsidP="002C694F">
      <w:pPr>
        <w:pStyle w:val="ListParagraph"/>
        <w:numPr>
          <w:ilvl w:val="0"/>
          <w:numId w:val="29"/>
        </w:numPr>
        <w:spacing w:after="200" w:line="276" w:lineRule="auto"/>
      </w:pPr>
      <w:r>
        <w:t xml:space="preserve">The </w:t>
      </w:r>
      <w:r w:rsidR="008C3AC7">
        <w:t xml:space="preserve">uncertainty is heightened </w:t>
      </w:r>
      <w:r w:rsidR="00443AAF">
        <w:t>in recent years</w:t>
      </w:r>
      <w:r w:rsidR="008C3AC7">
        <w:t xml:space="preserve"> from the impact of COVID</w:t>
      </w:r>
      <w:r w:rsidR="009B0312">
        <w:noBreakHyphen/>
      </w:r>
      <w:r w:rsidR="008C3AC7">
        <w:t xml:space="preserve">19 on the </w:t>
      </w:r>
      <w:r w:rsidR="008058E2">
        <w:t>nature</w:t>
      </w:r>
      <w:r w:rsidR="00F103F2">
        <w:t xml:space="preserve"> </w:t>
      </w:r>
      <w:r w:rsidR="008C3AC7">
        <w:t xml:space="preserve">of </w:t>
      </w:r>
      <w:r w:rsidR="00196925">
        <w:t xml:space="preserve">medical </w:t>
      </w:r>
      <w:r w:rsidR="008C3AC7">
        <w:t>practitioner</w:t>
      </w:r>
      <w:r w:rsidR="009B0312">
        <w:t>’</w:t>
      </w:r>
      <w:r w:rsidR="008C3AC7">
        <w:t>s work</w:t>
      </w:r>
      <w:r w:rsidR="00F103F2">
        <w:t xml:space="preserve"> </w:t>
      </w:r>
      <w:r w:rsidR="008C3AC7">
        <w:t xml:space="preserve">and the </w:t>
      </w:r>
      <w:r w:rsidR="00F103F2">
        <w:t xml:space="preserve">impact of the </w:t>
      </w:r>
      <w:r w:rsidR="008C3AC7">
        <w:t>corresponding legislative responses</w:t>
      </w:r>
      <w:r w:rsidR="00F103F2">
        <w:t xml:space="preserve"> on potential claims costs</w:t>
      </w:r>
      <w:r w:rsidR="0052453C">
        <w:t xml:space="preserve">. </w:t>
      </w:r>
      <w:r w:rsidR="008058E2">
        <w:t>For example, telehealth has taken on a greater importance and carries its own unique and less</w:t>
      </w:r>
      <w:r w:rsidR="009B0312">
        <w:noBreakHyphen/>
      </w:r>
      <w:r w:rsidR="008058E2">
        <w:t xml:space="preserve">understood claims risks. </w:t>
      </w:r>
      <w:r w:rsidR="0052453C">
        <w:t>The legislative responses include the temporary exemption for returned practitioners as well as the</w:t>
      </w:r>
      <w:r w:rsidR="008C3AC7">
        <w:t xml:space="preserve"> </w:t>
      </w:r>
      <w:r w:rsidR="00F103F2">
        <w:t>newly established COVID</w:t>
      </w:r>
      <w:r w:rsidR="009B0312">
        <w:noBreakHyphen/>
      </w:r>
      <w:r w:rsidR="00F103F2">
        <w:t xml:space="preserve">19 Vaccine Claims Scheme. </w:t>
      </w:r>
      <w:r w:rsidR="008C3AC7">
        <w:t>Th</w:t>
      </w:r>
      <w:r w:rsidR="00F103F2">
        <w:t xml:space="preserve">ese factors </w:t>
      </w:r>
      <w:r w:rsidR="008C3AC7">
        <w:t>coincide</w:t>
      </w:r>
      <w:r w:rsidR="00196925">
        <w:t xml:space="preserve"> with</w:t>
      </w:r>
      <w:r w:rsidR="008C3AC7">
        <w:t xml:space="preserve"> the waiver of the three</w:t>
      </w:r>
      <w:r w:rsidR="009B0312">
        <w:noBreakHyphen/>
      </w:r>
      <w:r w:rsidR="008C3AC7">
        <w:t>year waiting period</w:t>
      </w:r>
      <w:r w:rsidR="008058E2">
        <w:t xml:space="preserve"> for eligibility through resignation</w:t>
      </w:r>
      <w:r w:rsidR="008C3AC7">
        <w:t xml:space="preserve">, </w:t>
      </w:r>
      <w:r w:rsidR="0052453C">
        <w:t>thus</w:t>
      </w:r>
      <w:r w:rsidR="008C3AC7">
        <w:t xml:space="preserve"> </w:t>
      </w:r>
      <w:r w:rsidR="00E72AFE">
        <w:t xml:space="preserve">could have </w:t>
      </w:r>
      <w:r w:rsidR="008C3AC7">
        <w:t>mask</w:t>
      </w:r>
      <w:r w:rsidR="00E72AFE">
        <w:t>ed</w:t>
      </w:r>
      <w:r w:rsidR="008C3AC7">
        <w:t xml:space="preserve"> the impact of this </w:t>
      </w:r>
      <w:r w:rsidR="00F103F2">
        <w:t xml:space="preserve">permanent </w:t>
      </w:r>
      <w:r w:rsidR="008C3AC7">
        <w:t>change.</w:t>
      </w:r>
      <w:r w:rsidR="00196925">
        <w:t xml:space="preserve"> </w:t>
      </w:r>
      <w:r w:rsidR="003B4A8C">
        <w:t>In addition, insurers may not have fully recognised the impact of the legislative changes in reporting the eligible practitioners to Services Australia</w:t>
      </w:r>
      <w:r w:rsidR="001D53F7">
        <w:t xml:space="preserve"> and in identifying all notified Scheme eligible claims</w:t>
      </w:r>
      <w:r w:rsidR="003B4A8C">
        <w:t xml:space="preserve">. </w:t>
      </w:r>
      <w:r w:rsidR="001D53F7">
        <w:t>For the above reasons, t</w:t>
      </w:r>
      <w:r w:rsidR="0052453C">
        <w:t>he</w:t>
      </w:r>
      <w:r w:rsidR="00196925">
        <w:t xml:space="preserve"> new normal level of claims costs </w:t>
      </w:r>
      <w:r w:rsidR="00E552E7">
        <w:t xml:space="preserve">and new entrants </w:t>
      </w:r>
      <w:r w:rsidR="00196925">
        <w:t xml:space="preserve">will not become apparent </w:t>
      </w:r>
      <w:r w:rsidR="00651FE4">
        <w:t>until the temporary factors associated with COVID</w:t>
      </w:r>
      <w:r w:rsidR="009B0312">
        <w:noBreakHyphen/>
      </w:r>
      <w:r w:rsidR="00651FE4">
        <w:t xml:space="preserve">19 have </w:t>
      </w:r>
      <w:r w:rsidR="00DD35AC">
        <w:t xml:space="preserve">completely </w:t>
      </w:r>
      <w:r w:rsidR="000D2D21">
        <w:t>subsided</w:t>
      </w:r>
      <w:r w:rsidR="00651FE4">
        <w:t xml:space="preserve"> and the insurers have </w:t>
      </w:r>
      <w:r w:rsidR="00332F72">
        <w:t xml:space="preserve">fully </w:t>
      </w:r>
      <w:r w:rsidR="00651FE4">
        <w:t>adjusted to the new environment</w:t>
      </w:r>
      <w:r w:rsidR="009B0312">
        <w:t xml:space="preserve">. </w:t>
      </w:r>
      <w:r w:rsidR="008C3AC7">
        <w:t xml:space="preserve"> </w:t>
      </w:r>
    </w:p>
    <w:p w14:paraId="64679B7F" w14:textId="5B51AD54" w:rsidR="009C4A2D" w:rsidRDefault="009C4A2D">
      <w:pPr>
        <w:spacing w:after="200" w:line="276" w:lineRule="auto"/>
        <w:jc w:val="left"/>
      </w:pPr>
      <w:r>
        <w:br w:type="page"/>
      </w:r>
    </w:p>
    <w:p w14:paraId="2FA50DFC" w14:textId="241A1B71" w:rsidR="009C4A2D" w:rsidRPr="006B6113" w:rsidRDefault="009C4A2D" w:rsidP="009C4A2D">
      <w:pPr>
        <w:pStyle w:val="Heading1"/>
        <w:numPr>
          <w:ilvl w:val="0"/>
          <w:numId w:val="0"/>
        </w:numPr>
        <w:ind w:left="567" w:hanging="567"/>
      </w:pPr>
      <w:bookmarkStart w:id="157" w:name="_Toc425348062"/>
      <w:bookmarkStart w:id="158" w:name="_Toc35502578"/>
      <w:bookmarkStart w:id="159" w:name="_Toc192773722"/>
      <w:r w:rsidRPr="006B6113">
        <w:lastRenderedPageBreak/>
        <w:t xml:space="preserve">APPENDIX 6: </w:t>
      </w:r>
      <w:proofErr w:type="gramStart"/>
      <w:r w:rsidRPr="006B6113">
        <w:t>HIGH COST</w:t>
      </w:r>
      <w:proofErr w:type="gramEnd"/>
      <w:r w:rsidRPr="006B6113">
        <w:t xml:space="preserve"> CLAIMS</w:t>
      </w:r>
      <w:bookmarkEnd w:id="157"/>
      <w:bookmarkEnd w:id="158"/>
      <w:bookmarkEnd w:id="159"/>
    </w:p>
    <w:p w14:paraId="6A16417B" w14:textId="08BBFA1F" w:rsidR="009C4A2D" w:rsidRPr="0030070D" w:rsidRDefault="009C4A2D" w:rsidP="00D705EC">
      <w:pPr>
        <w:pStyle w:val="Heading3"/>
      </w:pPr>
      <w:bookmarkStart w:id="160" w:name="_Toc425348063"/>
      <w:r w:rsidRPr="0030070D">
        <w:t>The High Cost Claims Scheme</w:t>
      </w:r>
      <w:bookmarkEnd w:id="160"/>
    </w:p>
    <w:p w14:paraId="72DAE9B7" w14:textId="764011C7" w:rsidR="009C4A2D" w:rsidRPr="0030070D" w:rsidRDefault="009C4A2D" w:rsidP="00952046">
      <w:pPr>
        <w:pStyle w:val="ListParagraph"/>
        <w:numPr>
          <w:ilvl w:val="0"/>
          <w:numId w:val="30"/>
        </w:numPr>
        <w:spacing w:after="200" w:line="276" w:lineRule="auto"/>
      </w:pPr>
      <w:r w:rsidRPr="0030070D">
        <w:t>The HCCS is part of the broader package of Australian Government measures announced on 23 October 2002 that were designed to address problems with the medical indemnity insurance industry.</w:t>
      </w:r>
    </w:p>
    <w:p w14:paraId="5345101C" w14:textId="5D6F48DB" w:rsidR="009C4A2D" w:rsidRPr="0030070D" w:rsidRDefault="009C4A2D" w:rsidP="00952046">
      <w:pPr>
        <w:pStyle w:val="ListParagraph"/>
        <w:numPr>
          <w:ilvl w:val="0"/>
          <w:numId w:val="30"/>
        </w:numPr>
        <w:spacing w:after="200" w:line="276" w:lineRule="auto"/>
      </w:pPr>
      <w:r w:rsidRPr="0030070D">
        <w:t xml:space="preserve">The HCCS is governed by Division 2 of Part 2 of the </w:t>
      </w:r>
      <w:r w:rsidRPr="00112308">
        <w:t>Medical Indemnity Ac</w:t>
      </w:r>
      <w:r w:rsidR="00112308">
        <w:t>t</w:t>
      </w:r>
      <w:r w:rsidRPr="0030070D">
        <w:t>. Under the HCCS, MIIs and MDOs are reimbursed for part of the costs of large claims notified to them on or after 1 January 2003.</w:t>
      </w:r>
    </w:p>
    <w:p w14:paraId="1B87DB1D" w14:textId="77777777" w:rsidR="009C4A2D" w:rsidRPr="0030070D" w:rsidRDefault="009C4A2D" w:rsidP="00952046">
      <w:pPr>
        <w:pStyle w:val="ListParagraph"/>
        <w:numPr>
          <w:ilvl w:val="0"/>
          <w:numId w:val="30"/>
        </w:numPr>
        <w:spacing w:after="200" w:line="276" w:lineRule="auto"/>
      </w:pPr>
      <w:r w:rsidRPr="0030070D">
        <w:t>The HCCS meets 50 per cent of the excess a</w:t>
      </w:r>
      <w:r>
        <w:t>bove the threshold (currently $5</w:t>
      </w:r>
      <w:r w:rsidRPr="0030070D">
        <w:t>00,000) of the cost of individual large claims, before the operation of the Scheme.</w:t>
      </w:r>
    </w:p>
    <w:p w14:paraId="45EDB250" w14:textId="77777777" w:rsidR="009C4A2D" w:rsidRPr="0030070D" w:rsidRDefault="009C4A2D" w:rsidP="00952046">
      <w:pPr>
        <w:pStyle w:val="ListParagraph"/>
        <w:numPr>
          <w:ilvl w:val="0"/>
          <w:numId w:val="30"/>
        </w:numPr>
        <w:spacing w:after="200" w:line="276" w:lineRule="auto"/>
      </w:pPr>
      <w:r w:rsidRPr="0030070D">
        <w:t>The HCCS threshold and the percentage used to calculate the amount of indemnity can be changed by way of regulation. The HCCS threshold has been changed by way of regulation as follows:</w:t>
      </w:r>
    </w:p>
    <w:p w14:paraId="4ADE8B8A" w14:textId="40DA5DFA" w:rsidR="009C4A2D" w:rsidRPr="004C1C3D" w:rsidRDefault="009C4A2D" w:rsidP="00952046">
      <w:pPr>
        <w:pStyle w:val="Bullet"/>
        <w:numPr>
          <w:ilvl w:val="0"/>
          <w:numId w:val="34"/>
        </w:numPr>
        <w:spacing w:after="240"/>
        <w:ind w:left="851" w:hanging="284"/>
      </w:pPr>
      <w:r w:rsidRPr="004C1C3D">
        <w:t>$2 million for claims notified between 1 January 2003 and 21 October 2003</w:t>
      </w:r>
    </w:p>
    <w:p w14:paraId="569C1D39" w14:textId="145409DA" w:rsidR="009C4A2D" w:rsidRPr="004C1C3D" w:rsidRDefault="009C4A2D" w:rsidP="00952046">
      <w:pPr>
        <w:pStyle w:val="Bullet"/>
        <w:numPr>
          <w:ilvl w:val="0"/>
          <w:numId w:val="34"/>
        </w:numPr>
        <w:spacing w:after="240"/>
        <w:ind w:left="851" w:hanging="284"/>
      </w:pPr>
      <w:r w:rsidRPr="004C1C3D">
        <w:t>$0.5 million for claims notified between 22 October 2003 and 31 December 2003</w:t>
      </w:r>
    </w:p>
    <w:p w14:paraId="3E1A09B8" w14:textId="70DC30A2" w:rsidR="009C4A2D" w:rsidRPr="004C1C3D" w:rsidRDefault="009C4A2D" w:rsidP="00952046">
      <w:pPr>
        <w:pStyle w:val="Bullet"/>
        <w:numPr>
          <w:ilvl w:val="0"/>
          <w:numId w:val="34"/>
        </w:numPr>
        <w:spacing w:after="240"/>
        <w:ind w:left="851" w:hanging="284"/>
      </w:pPr>
      <w:r w:rsidRPr="004C1C3D">
        <w:t>$0.3 million for claims notified between 1 January 2004 and 30 June 2018</w:t>
      </w:r>
      <w:r w:rsidR="003611CE">
        <w:t>,</w:t>
      </w:r>
      <w:r w:rsidRPr="004C1C3D">
        <w:t xml:space="preserve"> and</w:t>
      </w:r>
    </w:p>
    <w:p w14:paraId="07F3B4E9" w14:textId="77777777" w:rsidR="009C4A2D" w:rsidRPr="004C1C3D" w:rsidRDefault="009C4A2D" w:rsidP="00952046">
      <w:pPr>
        <w:pStyle w:val="Bullet"/>
        <w:numPr>
          <w:ilvl w:val="0"/>
          <w:numId w:val="34"/>
        </w:numPr>
        <w:spacing w:after="240"/>
        <w:ind w:left="851" w:hanging="284"/>
      </w:pPr>
      <w:r w:rsidRPr="004C1C3D">
        <w:t>$0.5 million for claims notified from 1 July 2018.</w:t>
      </w:r>
    </w:p>
    <w:p w14:paraId="2B6FF2B0" w14:textId="77777777" w:rsidR="009C4A2D" w:rsidRPr="0030070D" w:rsidRDefault="009C4A2D" w:rsidP="00952046">
      <w:pPr>
        <w:pStyle w:val="ListParagraph"/>
        <w:numPr>
          <w:ilvl w:val="0"/>
          <w:numId w:val="30"/>
        </w:numPr>
        <w:spacing w:after="200" w:line="276" w:lineRule="auto"/>
        <w:jc w:val="left"/>
      </w:pPr>
      <w:r w:rsidRPr="0030070D">
        <w:t>For example, for a claim which costs $1 million notified on 1 April 2012, the HCCS will pick up:</w:t>
      </w:r>
    </w:p>
    <w:p w14:paraId="00BE0B94" w14:textId="5C4C6F03" w:rsidR="009C4A2D" w:rsidRPr="00B5502F" w:rsidRDefault="009C4A2D" w:rsidP="009C4A2D">
      <w:pPr>
        <w:pStyle w:val="NormalIndent"/>
        <w:tabs>
          <w:tab w:val="clear" w:pos="1134"/>
        </w:tabs>
        <w:ind w:left="0" w:hanging="709"/>
        <w:jc w:val="center"/>
        <w:rPr>
          <w:rStyle w:val="Italic"/>
        </w:rPr>
      </w:pPr>
      <w:r w:rsidRPr="00B5502F">
        <w:rPr>
          <w:rStyle w:val="Italic"/>
        </w:rPr>
        <w:t>50 per cent × ($1,000,000</w:t>
      </w:r>
      <w:r w:rsidR="009B0312">
        <w:rPr>
          <w:rStyle w:val="Italic"/>
        </w:rPr>
        <w:t xml:space="preserve"> – </w:t>
      </w:r>
      <w:r w:rsidRPr="00B5502F">
        <w:rPr>
          <w:rStyle w:val="Italic"/>
        </w:rPr>
        <w:t>$300,000) = $350,000</w:t>
      </w:r>
    </w:p>
    <w:p w14:paraId="15CEE4BD" w14:textId="4812E17C" w:rsidR="009C4A2D" w:rsidRPr="0030070D" w:rsidRDefault="009C4A2D" w:rsidP="00D705EC">
      <w:pPr>
        <w:pStyle w:val="Heading3"/>
      </w:pPr>
      <w:bookmarkStart w:id="161" w:name="_Toc425348064"/>
      <w:r w:rsidRPr="0030070D">
        <w:t>Data collection</w:t>
      </w:r>
      <w:bookmarkEnd w:id="161"/>
    </w:p>
    <w:p w14:paraId="3D29F470" w14:textId="26E24794" w:rsidR="009C4A2D" w:rsidRPr="0030070D" w:rsidRDefault="00E10F61" w:rsidP="00952046">
      <w:pPr>
        <w:pStyle w:val="ListParagraph"/>
        <w:numPr>
          <w:ilvl w:val="0"/>
          <w:numId w:val="30"/>
        </w:numPr>
        <w:spacing w:after="200" w:line="276" w:lineRule="auto"/>
      </w:pPr>
      <w:r>
        <w:t>Services Australia</w:t>
      </w:r>
      <w:r w:rsidR="009C4A2D" w:rsidRPr="0030070D">
        <w:t xml:space="preserve"> collects data in relation to the HCCS, in</w:t>
      </w:r>
      <w:r w:rsidR="009C4A2D">
        <w:t> </w:t>
      </w:r>
      <w:r w:rsidR="009C4A2D" w:rsidRPr="0030070D">
        <w:t>addition to the Scheme data described in section 3.</w:t>
      </w:r>
      <w:r w:rsidR="009C4A2D">
        <w:t xml:space="preserve"> They </w:t>
      </w:r>
      <w:r w:rsidR="009C4A2D" w:rsidRPr="0030070D">
        <w:t>provide some insight into the likely profile of large medical indemnity claims.</w:t>
      </w:r>
    </w:p>
    <w:p w14:paraId="651E1529" w14:textId="77777777" w:rsidR="009C4A2D" w:rsidRPr="0030070D" w:rsidRDefault="009C4A2D" w:rsidP="00952046">
      <w:pPr>
        <w:pStyle w:val="ListParagraph"/>
        <w:numPr>
          <w:ilvl w:val="0"/>
          <w:numId w:val="30"/>
        </w:numPr>
        <w:spacing w:after="200" w:line="276" w:lineRule="auto"/>
        <w:jc w:val="left"/>
      </w:pPr>
      <w:r w:rsidRPr="0030070D">
        <w:t>Data collected in relation to the HCCS include:</w:t>
      </w:r>
    </w:p>
    <w:p w14:paraId="4E1EBB9B" w14:textId="1334067D" w:rsidR="009C4A2D" w:rsidRPr="0030070D" w:rsidRDefault="009C4A2D" w:rsidP="00952046">
      <w:pPr>
        <w:pStyle w:val="Bullet"/>
        <w:numPr>
          <w:ilvl w:val="0"/>
          <w:numId w:val="34"/>
        </w:numPr>
        <w:spacing w:after="240"/>
        <w:ind w:left="851" w:hanging="284"/>
      </w:pPr>
      <w:r w:rsidRPr="0030070D">
        <w:t xml:space="preserve">details of claims/incidents notified to MIIs and MDOs by 30 </w:t>
      </w:r>
      <w:r w:rsidRPr="00281C0A">
        <w:t>June 20</w:t>
      </w:r>
      <w:r w:rsidR="00E10F61" w:rsidRPr="00281C0A">
        <w:t>2</w:t>
      </w:r>
      <w:r w:rsidR="00FF5D12" w:rsidRPr="00281C0A">
        <w:t>4</w:t>
      </w:r>
      <w:r w:rsidRPr="00281C0A">
        <w:t xml:space="preserve"> which might lead to recoveries under the HCCS</w:t>
      </w:r>
    </w:p>
    <w:p w14:paraId="0C1010DD" w14:textId="59515E6C" w:rsidR="009C4A2D" w:rsidRPr="00281C0A" w:rsidRDefault="009C4A2D" w:rsidP="00952046">
      <w:pPr>
        <w:pStyle w:val="Bullet"/>
        <w:numPr>
          <w:ilvl w:val="0"/>
          <w:numId w:val="34"/>
        </w:numPr>
        <w:spacing w:after="240"/>
        <w:ind w:left="851" w:hanging="284"/>
      </w:pPr>
      <w:r w:rsidRPr="0030070D">
        <w:lastRenderedPageBreak/>
        <w:t xml:space="preserve">actuarial </w:t>
      </w:r>
      <w:r w:rsidRPr="00281C0A">
        <w:t>estimates of that part of the cost of claims relating to incidents which occurred before 30 June 20</w:t>
      </w:r>
      <w:r w:rsidR="00E10F61" w:rsidRPr="00281C0A">
        <w:t>2</w:t>
      </w:r>
      <w:r w:rsidR="00F63ED3" w:rsidRPr="00281C0A">
        <w:t>4</w:t>
      </w:r>
      <w:r w:rsidRPr="00281C0A">
        <w:t xml:space="preserve"> and are expected to be recoverable under the HCCS</w:t>
      </w:r>
    </w:p>
    <w:p w14:paraId="5F63A2CF" w14:textId="35F794E4" w:rsidR="009C4A2D" w:rsidRPr="00281C0A" w:rsidRDefault="009C4A2D" w:rsidP="00952046">
      <w:pPr>
        <w:pStyle w:val="Bullet"/>
        <w:numPr>
          <w:ilvl w:val="0"/>
          <w:numId w:val="34"/>
        </w:numPr>
        <w:spacing w:after="240"/>
        <w:ind w:left="851" w:hanging="284"/>
      </w:pPr>
      <w:r w:rsidRPr="00281C0A">
        <w:t>an estimate of that part of the future claims cost of medical incidents notified during the 20</w:t>
      </w:r>
      <w:r w:rsidR="00E10F61" w:rsidRPr="00281C0A">
        <w:t>2</w:t>
      </w:r>
      <w:r w:rsidR="00F63ED3" w:rsidRPr="00281C0A">
        <w:t>4</w:t>
      </w:r>
      <w:r w:rsidR="009B0312" w:rsidRPr="00281C0A">
        <w:noBreakHyphen/>
      </w:r>
      <w:r w:rsidRPr="00281C0A">
        <w:t>2</w:t>
      </w:r>
      <w:r w:rsidR="00F63ED3" w:rsidRPr="00281C0A">
        <w:t>5</w:t>
      </w:r>
      <w:r w:rsidRPr="00281C0A">
        <w:t xml:space="preserve"> to 202</w:t>
      </w:r>
      <w:r w:rsidR="00F63ED3" w:rsidRPr="00281C0A">
        <w:t>8</w:t>
      </w:r>
      <w:r w:rsidR="009B0312" w:rsidRPr="00281C0A">
        <w:noBreakHyphen/>
      </w:r>
      <w:r w:rsidRPr="00281C0A">
        <w:t>2</w:t>
      </w:r>
      <w:r w:rsidR="00F63ED3" w:rsidRPr="00281C0A">
        <w:t>9</w:t>
      </w:r>
      <w:r w:rsidRPr="00281C0A">
        <w:t xml:space="preserve"> financial years which is expected to be recoverable under the HCCS.</w:t>
      </w:r>
    </w:p>
    <w:p w14:paraId="0C69C5B4" w14:textId="6A901026" w:rsidR="009C4A2D" w:rsidRPr="0030070D" w:rsidRDefault="009C4A2D" w:rsidP="00D705EC">
      <w:pPr>
        <w:pStyle w:val="Heading3"/>
      </w:pPr>
      <w:bookmarkStart w:id="162" w:name="_Toc425348066"/>
      <w:r w:rsidRPr="0030070D">
        <w:t>Analysis of large claims</w:t>
      </w:r>
      <w:bookmarkStart w:id="163" w:name="_Toc425348065"/>
      <w:bookmarkEnd w:id="162"/>
    </w:p>
    <w:p w14:paraId="50D25073" w14:textId="6E07DD8D" w:rsidR="009C4A2D" w:rsidRPr="0030070D" w:rsidRDefault="009C4A2D" w:rsidP="00952046">
      <w:pPr>
        <w:pStyle w:val="ListParagraph"/>
        <w:numPr>
          <w:ilvl w:val="0"/>
          <w:numId w:val="30"/>
        </w:numPr>
        <w:spacing w:after="200" w:line="276" w:lineRule="auto"/>
      </w:pPr>
      <w:r w:rsidRPr="0030070D">
        <w:t>A small proportion of medical ind</w:t>
      </w:r>
      <w:r>
        <w:t>emnity claims are larger than $5</w:t>
      </w:r>
      <w:r w:rsidRPr="0030070D">
        <w:t>00,000. These high</w:t>
      </w:r>
      <w:r w:rsidR="009B0312">
        <w:noBreakHyphen/>
      </w:r>
      <w:r w:rsidRPr="0030070D">
        <w:t>cost claims have a noticeable influence on the total cost of medical indemnity each year.</w:t>
      </w:r>
    </w:p>
    <w:p w14:paraId="2F651F40" w14:textId="5C31D2DE" w:rsidR="009C4A2D" w:rsidRPr="009C5698" w:rsidRDefault="009C4A2D" w:rsidP="00952046">
      <w:pPr>
        <w:pStyle w:val="ListParagraph"/>
        <w:numPr>
          <w:ilvl w:val="0"/>
          <w:numId w:val="30"/>
        </w:numPr>
        <w:spacing w:after="200" w:line="276" w:lineRule="auto"/>
      </w:pPr>
      <w:r w:rsidRPr="0030070D">
        <w:t xml:space="preserve">According to the data </w:t>
      </w:r>
      <w:r w:rsidRPr="009C5698">
        <w:t xml:space="preserve">collected, as </w:t>
      </w:r>
      <w:proofErr w:type="gramStart"/>
      <w:r w:rsidRPr="009C5698">
        <w:t>at</w:t>
      </w:r>
      <w:proofErr w:type="gramEnd"/>
      <w:r w:rsidRPr="009C5698">
        <w:t xml:space="preserve"> 30 June 20</w:t>
      </w:r>
      <w:r w:rsidR="00E10F61" w:rsidRPr="009C5698">
        <w:t>2</w:t>
      </w:r>
      <w:r w:rsidR="00B86AD2" w:rsidRPr="009C5698">
        <w:t>4</w:t>
      </w:r>
      <w:r w:rsidRPr="009C5698">
        <w:t xml:space="preserve">, </w:t>
      </w:r>
      <w:r w:rsidR="0090061E" w:rsidRPr="009C5698">
        <w:t>3,</w:t>
      </w:r>
      <w:r w:rsidR="005226A8" w:rsidRPr="009C5698">
        <w:t>375</w:t>
      </w:r>
      <w:r w:rsidRPr="009C5698">
        <w:t xml:space="preserve"> claims/incidents had been notified to MIIs and MDOs which were expected to be covered by the HCCS. They all have either a case estimate or an amount reimbursed attached to them. </w:t>
      </w:r>
    </w:p>
    <w:p w14:paraId="556C9B10" w14:textId="435D7C5B" w:rsidR="009C4A2D" w:rsidRPr="00D85D90" w:rsidRDefault="009C4A2D" w:rsidP="00952046">
      <w:pPr>
        <w:pStyle w:val="ListParagraph"/>
        <w:numPr>
          <w:ilvl w:val="0"/>
          <w:numId w:val="30"/>
        </w:numPr>
        <w:spacing w:after="200" w:line="276" w:lineRule="auto"/>
      </w:pPr>
      <w:r w:rsidRPr="00D85D90">
        <w:t xml:space="preserve">The cost estimates available for HCCS claims/incidents represent total case estimates, including amounts already paid as </w:t>
      </w:r>
      <w:proofErr w:type="gramStart"/>
      <w:r w:rsidRPr="00D85D90">
        <w:t>at</w:t>
      </w:r>
      <w:proofErr w:type="gramEnd"/>
      <w:r w:rsidRPr="00D85D90">
        <w:t xml:space="preserve"> 30 </w:t>
      </w:r>
      <w:r w:rsidRPr="00F43B52">
        <w:t>June 20</w:t>
      </w:r>
      <w:r w:rsidR="00E10F61" w:rsidRPr="00F43B52">
        <w:t>2</w:t>
      </w:r>
      <w:r w:rsidR="005226A8" w:rsidRPr="00F43B52">
        <w:t>4</w:t>
      </w:r>
      <w:r w:rsidRPr="00F43B52">
        <w:t>.</w:t>
      </w:r>
      <w:r w:rsidRPr="00D85D90">
        <w:t xml:space="preserve"> This figure is </w:t>
      </w:r>
      <w:r w:rsidRPr="00641591">
        <w:t xml:space="preserve">around </w:t>
      </w:r>
      <w:r w:rsidR="00DA13D6" w:rsidRPr="00641591">
        <w:t>$</w:t>
      </w:r>
      <w:r w:rsidR="00DD152C" w:rsidRPr="00641591">
        <w:t>3,04</w:t>
      </w:r>
      <w:r w:rsidR="00641591" w:rsidRPr="00641591">
        <w:t>5</w:t>
      </w:r>
      <w:r w:rsidR="00DA13D6" w:rsidRPr="00641591">
        <w:t xml:space="preserve"> million</w:t>
      </w:r>
      <w:r w:rsidR="00DA13D6" w:rsidRPr="00B42BB2">
        <w:t xml:space="preserve">. Of this, around </w:t>
      </w:r>
      <w:r w:rsidR="00DA13D6" w:rsidRPr="002802A7">
        <w:t>$</w:t>
      </w:r>
      <w:r w:rsidR="00E56BA4" w:rsidRPr="002802A7">
        <w:t>90</w:t>
      </w:r>
      <w:r w:rsidR="002802A7" w:rsidRPr="002802A7">
        <w:t>6</w:t>
      </w:r>
      <w:r w:rsidRPr="00B42BB2">
        <w:t xml:space="preserve"> million is estimated</w:t>
      </w:r>
      <w:r w:rsidRPr="00D85D90">
        <w:t xml:space="preserve"> to be recoverable from the HCCS</w:t>
      </w:r>
      <w:r w:rsidR="00060AD9" w:rsidRPr="00D85D90">
        <w:t xml:space="preserve"> (including past recoveries)</w:t>
      </w:r>
      <w:r w:rsidRPr="00D85D90">
        <w:t xml:space="preserve">. </w:t>
      </w:r>
      <w:r w:rsidR="00060AD9" w:rsidRPr="00D85D90">
        <w:t xml:space="preserve">These estimates should be viewed with caution given </w:t>
      </w:r>
      <w:r w:rsidR="00F80EB5" w:rsidRPr="00D85D90">
        <w:t>a range of data issues apparent with the industry data</w:t>
      </w:r>
      <w:r w:rsidR="00060AD9" w:rsidRPr="00D85D90">
        <w:t xml:space="preserve">. </w:t>
      </w:r>
      <w:r w:rsidRPr="00D85D90">
        <w:t xml:space="preserve">Services Australia </w:t>
      </w:r>
      <w:r w:rsidRPr="00053DD0">
        <w:t xml:space="preserve">data </w:t>
      </w:r>
      <w:r w:rsidRPr="00C2752D">
        <w:t>shows that $</w:t>
      </w:r>
      <w:r w:rsidR="00103252" w:rsidRPr="00C2752D">
        <w:t>750</w:t>
      </w:r>
      <w:r w:rsidRPr="00C2752D">
        <w:t xml:space="preserve"> million has been paid by 30 June 20</w:t>
      </w:r>
      <w:r w:rsidR="00E10F61" w:rsidRPr="00C2752D">
        <w:t>2</w:t>
      </w:r>
      <w:r w:rsidR="00103252" w:rsidRPr="00C2752D">
        <w:t>4</w:t>
      </w:r>
      <w:r w:rsidR="00F80EB5" w:rsidRPr="00C2752D">
        <w:t>, compared to $</w:t>
      </w:r>
      <w:r w:rsidR="00816220" w:rsidRPr="00C2752D">
        <w:t>723</w:t>
      </w:r>
      <w:r w:rsidR="00F80EB5" w:rsidRPr="00C2752D">
        <w:t xml:space="preserve"> million as shown in</w:t>
      </w:r>
      <w:r w:rsidR="00F80EB5" w:rsidRPr="00687230">
        <w:t xml:space="preserve"> the industry data</w:t>
      </w:r>
      <w:r w:rsidR="009B0312" w:rsidRPr="00687230">
        <w:t>.</w:t>
      </w:r>
      <w:r w:rsidR="009B0312" w:rsidRPr="00D85D90">
        <w:t xml:space="preserve"> </w:t>
      </w:r>
    </w:p>
    <w:p w14:paraId="42859339" w14:textId="77777777" w:rsidR="009C4A2D" w:rsidRPr="0030070D" w:rsidRDefault="009C4A2D" w:rsidP="00952046">
      <w:pPr>
        <w:pStyle w:val="ListParagraph"/>
        <w:numPr>
          <w:ilvl w:val="0"/>
          <w:numId w:val="30"/>
        </w:numPr>
        <w:spacing w:after="200" w:line="276" w:lineRule="auto"/>
      </w:pPr>
      <w:r w:rsidRPr="0030070D">
        <w:t>The HCCS data provides a reasonable</w:t>
      </w:r>
      <w:r>
        <w:t>,</w:t>
      </w:r>
      <w:r w:rsidRPr="0030070D">
        <w:t xml:space="preserve"> but imprecise</w:t>
      </w:r>
      <w:r>
        <w:t>,</w:t>
      </w:r>
      <w:r w:rsidRPr="0030070D">
        <w:t xml:space="preserve"> measure of the likely profile of large medical indemnity claims.</w:t>
      </w:r>
    </w:p>
    <w:p w14:paraId="196DC674" w14:textId="1A162E3E" w:rsidR="009C4A2D" w:rsidRPr="00986901" w:rsidRDefault="009C4A2D" w:rsidP="00952046">
      <w:pPr>
        <w:pStyle w:val="ListParagraph"/>
        <w:numPr>
          <w:ilvl w:val="0"/>
          <w:numId w:val="30"/>
        </w:numPr>
        <w:spacing w:after="200" w:line="276" w:lineRule="auto"/>
      </w:pPr>
      <w:r w:rsidRPr="0030070D">
        <w:t xml:space="preserve">The distribution of </w:t>
      </w:r>
      <w:r w:rsidRPr="00F36258">
        <w:t>estimated costs of</w:t>
      </w:r>
      <w:r w:rsidRPr="0030070D">
        <w:t xml:space="preserve"> HCCS</w:t>
      </w:r>
      <w:r w:rsidR="009B0312">
        <w:noBreakHyphen/>
      </w:r>
      <w:r w:rsidRPr="0030070D">
        <w:t xml:space="preserve">eligible claims notified between 1 January 2004 and 30 </w:t>
      </w:r>
      <w:r w:rsidRPr="00F36258">
        <w:t>June 20</w:t>
      </w:r>
      <w:r w:rsidR="008179F5" w:rsidRPr="00F36258">
        <w:t>2</w:t>
      </w:r>
      <w:r w:rsidR="001C5DD3" w:rsidRPr="00F36258">
        <w:t>4</w:t>
      </w:r>
      <w:r w:rsidRPr="00F36258">
        <w:t xml:space="preserve"> is shown</w:t>
      </w:r>
      <w:r w:rsidRPr="0030070D">
        <w:t xml:space="preserve"> in </w:t>
      </w:r>
      <w:r w:rsidRPr="003A77DC">
        <w:t xml:space="preserve">Table </w:t>
      </w:r>
      <w:r>
        <w:t>22</w:t>
      </w:r>
      <w:r w:rsidRPr="003A77DC">
        <w:t>. The</w:t>
      </w:r>
      <w:r w:rsidRPr="0030070D">
        <w:t xml:space="preserve"> distribution is presented in terms of the proportion of total estimated claim cost attributable to each claim size band</w:t>
      </w:r>
      <w:r w:rsidR="00F80EB5">
        <w:t xml:space="preserve"> and tends to be relatively stable</w:t>
      </w:r>
      <w:r w:rsidRPr="0030070D">
        <w:t xml:space="preserve">. For </w:t>
      </w:r>
      <w:r w:rsidRPr="00276F9B">
        <w:t xml:space="preserve">example, about </w:t>
      </w:r>
      <w:r w:rsidR="00F80EB5">
        <w:t>29</w:t>
      </w:r>
      <w:r w:rsidR="00C157CF">
        <w:t> </w:t>
      </w:r>
      <w:r w:rsidRPr="00276F9B">
        <w:t>per</w:t>
      </w:r>
      <w:r w:rsidR="00C157CF">
        <w:t> </w:t>
      </w:r>
      <w:r w:rsidRPr="00276F9B">
        <w:t>cent of</w:t>
      </w:r>
      <w:r w:rsidRPr="00771BAD">
        <w:t xml:space="preserve"> the total estimated</w:t>
      </w:r>
      <w:r w:rsidRPr="0030070D">
        <w:t xml:space="preserve"> cost of HCCS</w:t>
      </w:r>
      <w:r w:rsidR="009B0312">
        <w:noBreakHyphen/>
      </w:r>
      <w:r w:rsidRPr="0030070D">
        <w:t xml:space="preserve">eligible claims was attributable to claims expected to cost </w:t>
      </w:r>
      <w:r>
        <w:t>above $2.0 </w:t>
      </w:r>
      <w:r w:rsidRPr="0030070D">
        <w:t>million</w:t>
      </w:r>
      <w:r w:rsidR="00F80EB5">
        <w:t xml:space="preserve">, </w:t>
      </w:r>
      <w:r w:rsidR="00FE4B24">
        <w:t>which is unchanged from</w:t>
      </w:r>
      <w:r w:rsidR="00F80EB5">
        <w:t xml:space="preserve"> last year</w:t>
      </w:r>
      <w:r w:rsidR="00284DFC">
        <w:t>.</w:t>
      </w:r>
    </w:p>
    <w:p w14:paraId="23631454" w14:textId="103639BD" w:rsidR="009C4A2D" w:rsidRPr="00D6236F" w:rsidRDefault="009C4A2D" w:rsidP="0040224A">
      <w:pPr>
        <w:pStyle w:val="Caption"/>
      </w:pPr>
      <w:r w:rsidRPr="00F36258">
        <w:t>Table 22:</w:t>
      </w:r>
      <w:r w:rsidRPr="00172F4D">
        <w:t xml:space="preserve"> Distribution of High Cost Claims Scheme</w:t>
      </w:r>
      <w:r w:rsidR="009B0312" w:rsidRPr="00172F4D">
        <w:noBreakHyphen/>
      </w:r>
      <w:r w:rsidRPr="00172F4D">
        <w:t>eligible claims</w:t>
      </w:r>
    </w:p>
    <w:p w14:paraId="2B0F993B" w14:textId="47113432" w:rsidR="009C4A2D" w:rsidRPr="0030070D" w:rsidRDefault="005C593D" w:rsidP="009C4A2D">
      <w:pPr>
        <w:pStyle w:val="TableGraphic"/>
      </w:pPr>
      <w:r w:rsidRPr="005C593D">
        <w:rPr>
          <w:noProof/>
        </w:rPr>
        <w:drawing>
          <wp:inline distT="0" distB="0" distL="0" distR="0" wp14:anchorId="3A03367C" wp14:editId="0426218B">
            <wp:extent cx="4572000" cy="723900"/>
            <wp:effectExtent l="0" t="0" r="0" b="0"/>
            <wp:docPr id="68098330" name="Picture 39" descr="More than half of total claim cost is in claim sizes between $0.5 million and $2 million. Almost 30% is attributable to claims that are larger than $2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CC622BF" w14:textId="77777777" w:rsidR="00441F6B" w:rsidRDefault="00441F6B" w:rsidP="00441F6B"/>
    <w:p w14:paraId="1076478D" w14:textId="592623A7" w:rsidR="009C4A2D" w:rsidRDefault="009C4A2D" w:rsidP="00D705EC">
      <w:pPr>
        <w:pStyle w:val="Heading3"/>
        <w:ind w:left="0" w:firstLine="0"/>
      </w:pPr>
      <w:r w:rsidRPr="0030070D">
        <w:lastRenderedPageBreak/>
        <w:t>Relevance of High Cost Claims Scheme data to</w:t>
      </w:r>
      <w:r>
        <w:t xml:space="preserve"> </w:t>
      </w:r>
      <w:r w:rsidRPr="0030070D">
        <w:t>the Run</w:t>
      </w:r>
      <w:r w:rsidR="009B0312">
        <w:noBreakHyphen/>
      </w:r>
      <w:r w:rsidRPr="0030070D">
        <w:t>Off Cover Scheme</w:t>
      </w:r>
      <w:bookmarkEnd w:id="163"/>
    </w:p>
    <w:p w14:paraId="24A39AE8" w14:textId="450F5581" w:rsidR="009C4A2D" w:rsidRPr="00F36258" w:rsidRDefault="009C4A2D" w:rsidP="00952046">
      <w:pPr>
        <w:pStyle w:val="ListParagraph"/>
        <w:numPr>
          <w:ilvl w:val="0"/>
          <w:numId w:val="30"/>
        </w:numPr>
        <w:spacing w:after="200" w:line="276" w:lineRule="auto"/>
      </w:pPr>
      <w:r>
        <w:t xml:space="preserve">The </w:t>
      </w:r>
      <w:r w:rsidRPr="0030070D">
        <w:t xml:space="preserve">HCCS data illustrates the pattern of delay between a relevant negligent medical incident and the date that a large claim/incident is notified to the MII or MDO. The claim reporting pattern (based on claim numbers) observed in relation to HCCS claims is compared in Figure 7 to the general medical indemnity claim reporting patterns </w:t>
      </w:r>
      <w:r w:rsidRPr="00F36258">
        <w:t>assumed for the purpose of undertaking the Scheme cost analysis. Note that the HCCS eligible claims included were notified between 1 January </w:t>
      </w:r>
      <w:r w:rsidR="00BA3A87" w:rsidRPr="00F36258">
        <w:t>2004 and 30 June 202</w:t>
      </w:r>
      <w:r w:rsidR="00D35FEA" w:rsidRPr="00F36258">
        <w:t>4</w:t>
      </w:r>
      <w:r w:rsidRPr="00F36258">
        <w:t>, with an applicable threshold of $0.3 million prior to 1 July 2018 and $0.5 million thereafter.</w:t>
      </w:r>
    </w:p>
    <w:p w14:paraId="337A6FFA" w14:textId="77777777" w:rsidR="009C4A2D" w:rsidRPr="00D6236F" w:rsidRDefault="009C4A2D" w:rsidP="0040224A">
      <w:pPr>
        <w:pStyle w:val="Caption"/>
      </w:pPr>
      <w:r w:rsidRPr="00F36258">
        <w:t>Figure 7: High Cost Claims Scheme claim reporting pattern</w:t>
      </w:r>
    </w:p>
    <w:p w14:paraId="7B269E69" w14:textId="426C83C7" w:rsidR="009C4A2D" w:rsidRDefault="005C593D" w:rsidP="009C4A2D">
      <w:pPr>
        <w:pStyle w:val="ChartGraphic"/>
      </w:pPr>
      <w:r w:rsidRPr="005C593D">
        <w:rPr>
          <w:noProof/>
        </w:rPr>
        <w:drawing>
          <wp:inline distT="0" distB="0" distL="0" distR="0" wp14:anchorId="72286EDB" wp14:editId="0644139E">
            <wp:extent cx="4432300" cy="3257550"/>
            <wp:effectExtent l="0" t="0" r="6350" b="0"/>
            <wp:docPr id="929067282" name="Picture 40" descr="This chart compares the observed HCCS claim reporting pattern with the assumed claim reporting for all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2300" cy="3257550"/>
                    </a:xfrm>
                    <a:prstGeom prst="rect">
                      <a:avLst/>
                    </a:prstGeom>
                    <a:noFill/>
                    <a:ln>
                      <a:noFill/>
                    </a:ln>
                  </pic:spPr>
                </pic:pic>
              </a:graphicData>
            </a:graphic>
          </wp:inline>
        </w:drawing>
      </w:r>
    </w:p>
    <w:p w14:paraId="1398251F" w14:textId="77777777" w:rsidR="009C4A2D" w:rsidRPr="00DA0419" w:rsidRDefault="009C4A2D" w:rsidP="009C4A2D">
      <w:pPr>
        <w:pStyle w:val="SingleParagraph"/>
      </w:pPr>
    </w:p>
    <w:p w14:paraId="4ED4DD38" w14:textId="57CBE765" w:rsidR="009C4A2D" w:rsidRPr="0030070D" w:rsidRDefault="009C4A2D" w:rsidP="00952046">
      <w:pPr>
        <w:pStyle w:val="ListParagraph"/>
        <w:numPr>
          <w:ilvl w:val="0"/>
          <w:numId w:val="30"/>
        </w:numPr>
        <w:spacing w:after="200" w:line="276" w:lineRule="auto"/>
      </w:pPr>
      <w:r w:rsidRPr="0030070D">
        <w:t xml:space="preserve">Claims which take longer to report tend to be bigger on average. In addition, the longer the delay involved in notifying a claim, the more likely the claim will be notified at a time when the practitioner is eligible for the </w:t>
      </w:r>
      <w:r>
        <w:t>Run</w:t>
      </w:r>
      <w:r w:rsidR="009B0312">
        <w:noBreakHyphen/>
      </w:r>
      <w:r>
        <w:t xml:space="preserve">Off Cover </w:t>
      </w:r>
      <w:r w:rsidRPr="0030070D">
        <w:t>Scheme.</w:t>
      </w:r>
    </w:p>
    <w:p w14:paraId="573787B5" w14:textId="77777777" w:rsidR="009C4A2D" w:rsidRPr="0030070D" w:rsidRDefault="009C4A2D" w:rsidP="00952046">
      <w:pPr>
        <w:pStyle w:val="ListParagraph"/>
        <w:numPr>
          <w:ilvl w:val="0"/>
          <w:numId w:val="30"/>
        </w:numPr>
        <w:spacing w:after="200" w:line="276" w:lineRule="auto"/>
      </w:pPr>
      <w:r w:rsidRPr="0030070D">
        <w:t xml:space="preserve">Thus, the small proportion of large claims made </w:t>
      </w:r>
      <w:r>
        <w:t>against</w:t>
      </w:r>
      <w:r w:rsidRPr="0030070D">
        <w:t xml:space="preserve"> retired practitioners will have a marked impact on the total cost of the Scheme.</w:t>
      </w:r>
    </w:p>
    <w:p w14:paraId="1A394903" w14:textId="560C494F" w:rsidR="009C4A2D" w:rsidRDefault="009C4A2D" w:rsidP="00952046">
      <w:pPr>
        <w:pStyle w:val="ListParagraph"/>
        <w:numPr>
          <w:ilvl w:val="0"/>
          <w:numId w:val="30"/>
        </w:numPr>
        <w:spacing w:after="200" w:line="276" w:lineRule="auto"/>
      </w:pPr>
      <w:r w:rsidRPr="0030070D">
        <w:t>T</w:t>
      </w:r>
      <w:r>
        <w:t>he proportion of HCCS</w:t>
      </w:r>
      <w:r w:rsidRPr="0030070D">
        <w:t xml:space="preserve"> recoverable for ROC</w:t>
      </w:r>
      <w:r w:rsidR="00EA18F8">
        <w:t>S</w:t>
      </w:r>
      <w:r w:rsidRPr="0030070D">
        <w:t xml:space="preserve"> claims will increase with the delay in reporting, and the assumed proportions</w:t>
      </w:r>
      <w:r>
        <w:t xml:space="preserve"> are listed in Table 23. These have </w:t>
      </w:r>
      <w:r w:rsidR="00A2212E">
        <w:t>not been changed</w:t>
      </w:r>
      <w:r>
        <w:t xml:space="preserve"> since </w:t>
      </w:r>
      <w:r w:rsidR="00A2212E">
        <w:t xml:space="preserve">the </w:t>
      </w:r>
      <w:r>
        <w:t>last review.</w:t>
      </w:r>
    </w:p>
    <w:p w14:paraId="22B2C8F1" w14:textId="77777777" w:rsidR="009C4A2D" w:rsidRPr="00D6236F" w:rsidRDefault="009C4A2D" w:rsidP="0040224A">
      <w:pPr>
        <w:pStyle w:val="Caption"/>
      </w:pPr>
      <w:r w:rsidRPr="00F36258">
        <w:lastRenderedPageBreak/>
        <w:t>Table 23: Proportion</w:t>
      </w:r>
      <w:r w:rsidRPr="00172F4D">
        <w:t xml:space="preserve"> of </w:t>
      </w:r>
      <w:proofErr w:type="gramStart"/>
      <w:r w:rsidRPr="00172F4D">
        <w:t>High Cost</w:t>
      </w:r>
      <w:proofErr w:type="gramEnd"/>
      <w:r w:rsidRPr="00172F4D">
        <w:t xml:space="preserve"> Cover Scheme recoverable</w:t>
      </w:r>
    </w:p>
    <w:p w14:paraId="3FD378A7" w14:textId="58083A70" w:rsidR="009C4A2D" w:rsidRPr="0030070D" w:rsidRDefault="00CC5FE0" w:rsidP="009C4A2D">
      <w:pPr>
        <w:pStyle w:val="TableGraphic"/>
      </w:pPr>
      <w:r w:rsidRPr="00CC5FE0">
        <w:rPr>
          <w:noProof/>
        </w:rPr>
        <w:drawing>
          <wp:inline distT="0" distB="0" distL="0" distR="0" wp14:anchorId="38BE1F10" wp14:editId="1CBB2550">
            <wp:extent cx="4622800" cy="3009900"/>
            <wp:effectExtent l="0" t="0" r="6350" b="0"/>
            <wp:docPr id="2116586039" name="Picture 41" descr="We assumed a 20 year maximum delay in reporting for all claims. Since claim sizes increase with the delay in reporting, and that larger claims attract higher HCCS recoverable, we assumed that the proportion of HCCS recoverable will steadily increase to 20% by duration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0" cy="3009900"/>
                    </a:xfrm>
                    <a:prstGeom prst="rect">
                      <a:avLst/>
                    </a:prstGeom>
                    <a:noFill/>
                    <a:ln>
                      <a:noFill/>
                    </a:ln>
                  </pic:spPr>
                </pic:pic>
              </a:graphicData>
            </a:graphic>
          </wp:inline>
        </w:drawing>
      </w:r>
    </w:p>
    <w:p w14:paraId="2EC873DD" w14:textId="77777777" w:rsidR="009C4A2D" w:rsidRPr="00DD18CC" w:rsidRDefault="009C4A2D" w:rsidP="009C4A2D"/>
    <w:sectPr w:rsidR="009C4A2D" w:rsidRPr="00DD18CC" w:rsidSect="00914A3B">
      <w:headerReference w:type="even" r:id="rId55"/>
      <w:headerReference w:type="default" r:id="rId56"/>
      <w:footerReference w:type="even" r:id="rId57"/>
      <w:headerReference w:type="first" r:id="rId58"/>
      <w:footerReference w:type="first" r:id="rId59"/>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317E" w14:textId="77777777" w:rsidR="0062154D" w:rsidRDefault="0062154D" w:rsidP="008F7491">
      <w:pPr>
        <w:spacing w:after="0" w:line="240" w:lineRule="auto"/>
      </w:pPr>
      <w:r>
        <w:separator/>
      </w:r>
    </w:p>
    <w:p w14:paraId="0A92A8E9" w14:textId="77777777" w:rsidR="0062154D" w:rsidRDefault="0062154D"/>
  </w:endnote>
  <w:endnote w:type="continuationSeparator" w:id="0">
    <w:p w14:paraId="7872BFC2" w14:textId="77777777" w:rsidR="0062154D" w:rsidRDefault="0062154D" w:rsidP="008F7491">
      <w:pPr>
        <w:spacing w:after="0" w:line="240" w:lineRule="auto"/>
      </w:pPr>
      <w:r>
        <w:continuationSeparator/>
      </w:r>
    </w:p>
    <w:p w14:paraId="653369D7" w14:textId="77777777" w:rsidR="0062154D" w:rsidRDefault="0062154D"/>
  </w:endnote>
  <w:endnote w:type="continuationNotice" w:id="1">
    <w:p w14:paraId="6C7CEDA2" w14:textId="77777777" w:rsidR="0062154D" w:rsidRDefault="0062154D">
      <w:pPr>
        <w:spacing w:after="0" w:line="240" w:lineRule="auto"/>
      </w:pPr>
    </w:p>
    <w:p w14:paraId="0FB561DB" w14:textId="77777777" w:rsidR="0062154D" w:rsidRDefault="00621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038870"/>
      <w:docPartObj>
        <w:docPartGallery w:val="Page Numbers (Bottom of Page)"/>
        <w:docPartUnique/>
      </w:docPartObj>
    </w:sdtPr>
    <w:sdtEndPr/>
    <w:sdtContent>
      <w:sdt>
        <w:sdtPr>
          <w:id w:val="-1365443234"/>
          <w:docPartObj>
            <w:docPartGallery w:val="Page Numbers (Top of Page)"/>
            <w:docPartUnique/>
          </w:docPartObj>
        </w:sdtPr>
        <w:sdtEndPr/>
        <w:sdtContent>
          <w:p w14:paraId="069B4965" w14:textId="30552098" w:rsidR="008B2868" w:rsidRDefault="008B2868" w:rsidP="00F07449">
            <w:pPr>
              <w:pStyle w:val="Footer"/>
            </w:pPr>
            <w:r w:rsidRPr="0098347F">
              <w:rPr>
                <w:color w:val="auto"/>
              </w:rPr>
              <w:t xml:space="preserve">Page </w:t>
            </w:r>
            <w:r w:rsidRPr="0098347F">
              <w:rPr>
                <w:b/>
                <w:bCs/>
                <w:color w:val="auto"/>
              </w:rPr>
              <w:fldChar w:fldCharType="begin"/>
            </w:r>
            <w:r w:rsidRPr="0098347F">
              <w:rPr>
                <w:b/>
                <w:bCs/>
                <w:color w:val="auto"/>
              </w:rPr>
              <w:instrText xml:space="preserve"> PAGE  \* Arabic  \* MERGEFORMAT </w:instrText>
            </w:r>
            <w:r w:rsidRPr="0098347F">
              <w:rPr>
                <w:b/>
                <w:bCs/>
                <w:color w:val="auto"/>
              </w:rPr>
              <w:fldChar w:fldCharType="separate"/>
            </w:r>
            <w:r w:rsidRPr="0098347F">
              <w:rPr>
                <w:b/>
                <w:bCs/>
                <w:noProof/>
                <w:color w:val="auto"/>
              </w:rPr>
              <w:t>1</w:t>
            </w:r>
            <w:r w:rsidRPr="0098347F">
              <w:rPr>
                <w:b/>
                <w:bCs/>
                <w:color w:val="auto"/>
              </w:rPr>
              <w:fldChar w:fldCharType="end"/>
            </w:r>
            <w:r w:rsidRPr="0098347F">
              <w:rPr>
                <w:color w:val="auto"/>
              </w:rPr>
              <w:t xml:space="preserve"> of </w:t>
            </w:r>
            <w:r w:rsidRPr="0098347F">
              <w:rPr>
                <w:b/>
                <w:bCs/>
                <w:color w:val="auto"/>
              </w:rPr>
              <w:fldChar w:fldCharType="begin"/>
            </w:r>
            <w:r w:rsidRPr="0098347F">
              <w:rPr>
                <w:b/>
                <w:bCs/>
                <w:color w:val="auto"/>
              </w:rPr>
              <w:instrText xml:space="preserve"> NUMPAGES  \* Arabic  \* MERGEFORMAT </w:instrText>
            </w:r>
            <w:r w:rsidRPr="0098347F">
              <w:rPr>
                <w:b/>
                <w:bCs/>
                <w:color w:val="auto"/>
              </w:rPr>
              <w:fldChar w:fldCharType="separate"/>
            </w:r>
            <w:r w:rsidRPr="0098347F">
              <w:rPr>
                <w:b/>
                <w:bCs/>
                <w:noProof/>
                <w:color w:val="auto"/>
              </w:rPr>
              <w:t>2</w:t>
            </w:r>
            <w:r w:rsidRPr="0098347F">
              <w:rPr>
                <w:b/>
                <w:bCs/>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129812"/>
      <w:docPartObj>
        <w:docPartGallery w:val="Page Numbers (Bottom of Page)"/>
        <w:docPartUnique/>
      </w:docPartObj>
    </w:sdtPr>
    <w:sdtEndPr>
      <w:rPr>
        <w:color w:val="auto"/>
      </w:rPr>
    </w:sdtEndPr>
    <w:sdtContent>
      <w:sdt>
        <w:sdtPr>
          <w:rPr>
            <w:color w:val="auto"/>
          </w:rPr>
          <w:id w:val="-1769616900"/>
          <w:docPartObj>
            <w:docPartGallery w:val="Page Numbers (Top of Page)"/>
            <w:docPartUnique/>
          </w:docPartObj>
        </w:sdtPr>
        <w:sdtEndPr/>
        <w:sdtContent>
          <w:p w14:paraId="61BF928D" w14:textId="57EA2799" w:rsidR="008B2868" w:rsidRPr="006B08DA" w:rsidRDefault="008B2868">
            <w:pPr>
              <w:pStyle w:val="Footer"/>
              <w:jc w:val="right"/>
              <w:rPr>
                <w:color w:val="auto"/>
              </w:rPr>
            </w:pPr>
            <w:r w:rsidRPr="006B08DA">
              <w:rPr>
                <w:color w:val="auto"/>
              </w:rPr>
              <w:t xml:space="preserve">Page </w:t>
            </w:r>
            <w:r w:rsidRPr="006B08DA">
              <w:rPr>
                <w:bCs/>
                <w:color w:val="auto"/>
                <w:sz w:val="24"/>
                <w:szCs w:val="24"/>
              </w:rPr>
              <w:fldChar w:fldCharType="begin"/>
            </w:r>
            <w:r w:rsidRPr="006B08DA">
              <w:rPr>
                <w:bCs/>
                <w:color w:val="auto"/>
              </w:rPr>
              <w:instrText xml:space="preserve"> PAGE </w:instrText>
            </w:r>
            <w:r w:rsidRPr="006B08DA">
              <w:rPr>
                <w:bCs/>
                <w:color w:val="auto"/>
                <w:sz w:val="24"/>
                <w:szCs w:val="24"/>
              </w:rPr>
              <w:fldChar w:fldCharType="separate"/>
            </w:r>
            <w:r>
              <w:rPr>
                <w:bCs/>
                <w:noProof/>
                <w:color w:val="auto"/>
              </w:rPr>
              <w:t>19</w:t>
            </w:r>
            <w:r w:rsidRPr="006B08DA">
              <w:rPr>
                <w:bCs/>
                <w:color w:val="auto"/>
                <w:sz w:val="24"/>
                <w:szCs w:val="24"/>
              </w:rPr>
              <w:fldChar w:fldCharType="end"/>
            </w:r>
            <w:r w:rsidRPr="006B08DA">
              <w:rPr>
                <w:color w:val="auto"/>
              </w:rPr>
              <w:t xml:space="preserve"> </w:t>
            </w:r>
          </w:p>
        </w:sdtContent>
      </w:sdt>
    </w:sdtContent>
  </w:sdt>
  <w:p w14:paraId="0D660CDC" w14:textId="77777777" w:rsidR="008B2868" w:rsidRDefault="008B2868" w:rsidP="008E6BEA">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65C7" w14:textId="77777777" w:rsidR="008B2868" w:rsidRDefault="008B2868" w:rsidP="008E6BEA">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22584952"/>
      <w:docPartObj>
        <w:docPartGallery w:val="Page Numbers (Bottom of Page)"/>
        <w:docPartUnique/>
      </w:docPartObj>
    </w:sdtPr>
    <w:sdtEndPr>
      <w:rPr>
        <w:noProof/>
      </w:rPr>
    </w:sdtEndPr>
    <w:sdtContent>
      <w:p w14:paraId="418105BD" w14:textId="1ABFE724" w:rsidR="008B2868" w:rsidRPr="00A70F15" w:rsidRDefault="008B2868" w:rsidP="00A70F15">
        <w:pPr>
          <w:pStyle w:val="Footer"/>
          <w:rPr>
            <w:color w:val="auto"/>
          </w:rPr>
        </w:pPr>
        <w:r w:rsidRPr="006B08DA">
          <w:rPr>
            <w:color w:val="auto"/>
          </w:rPr>
          <w:t xml:space="preserve">Page </w:t>
        </w:r>
        <w:r w:rsidRPr="006B08DA">
          <w:rPr>
            <w:bCs/>
            <w:color w:val="auto"/>
          </w:rPr>
          <w:fldChar w:fldCharType="begin"/>
        </w:r>
        <w:r w:rsidRPr="006B08DA">
          <w:rPr>
            <w:bCs/>
            <w:color w:val="auto"/>
          </w:rPr>
          <w:instrText xml:space="preserve"> PAGE  \* Arabic  \* MERGEFORMAT </w:instrText>
        </w:r>
        <w:r w:rsidRPr="006B08DA">
          <w:rPr>
            <w:bCs/>
            <w:color w:val="auto"/>
          </w:rPr>
          <w:fldChar w:fldCharType="separate"/>
        </w:r>
        <w:r>
          <w:rPr>
            <w:bCs/>
            <w:noProof/>
            <w:color w:val="auto"/>
          </w:rPr>
          <w:t>20</w:t>
        </w:r>
        <w:r w:rsidRPr="006B08DA">
          <w:rPr>
            <w:bCs/>
            <w:color w:val="aut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199708"/>
      <w:docPartObj>
        <w:docPartGallery w:val="Page Numbers (Bottom of Page)"/>
        <w:docPartUnique/>
      </w:docPartObj>
    </w:sdtPr>
    <w:sdtEndPr/>
    <w:sdtContent>
      <w:sdt>
        <w:sdtPr>
          <w:id w:val="-1705238520"/>
          <w:docPartObj>
            <w:docPartGallery w:val="Page Numbers (Top of Page)"/>
            <w:docPartUnique/>
          </w:docPartObj>
        </w:sdtPr>
        <w:sdtEndPr/>
        <w:sdtContent>
          <w:p w14:paraId="7EAE8AB2" w14:textId="7F81DDD0" w:rsidR="008B2868" w:rsidRDefault="008B2868" w:rsidP="00914A3B">
            <w:pPr>
              <w:pStyle w:val="Footer"/>
              <w:jc w:val="right"/>
            </w:pPr>
            <w:r w:rsidRPr="006B08DA">
              <w:rPr>
                <w:color w:val="auto"/>
              </w:rPr>
              <w:t xml:space="preserve">Page </w:t>
            </w:r>
            <w:r w:rsidRPr="006B08DA">
              <w:rPr>
                <w:bCs/>
                <w:color w:val="auto"/>
                <w:sz w:val="24"/>
                <w:szCs w:val="24"/>
              </w:rPr>
              <w:fldChar w:fldCharType="begin"/>
            </w:r>
            <w:r w:rsidRPr="006B08DA">
              <w:rPr>
                <w:bCs/>
                <w:color w:val="auto"/>
              </w:rPr>
              <w:instrText xml:space="preserve"> PAGE </w:instrText>
            </w:r>
            <w:r w:rsidRPr="006B08DA">
              <w:rPr>
                <w:bCs/>
                <w:color w:val="auto"/>
                <w:sz w:val="24"/>
                <w:szCs w:val="24"/>
              </w:rPr>
              <w:fldChar w:fldCharType="separate"/>
            </w:r>
            <w:r>
              <w:rPr>
                <w:bCs/>
                <w:noProof/>
                <w:color w:val="auto"/>
              </w:rPr>
              <w:t>3</w:t>
            </w:r>
            <w:r w:rsidRPr="006B08DA">
              <w:rPr>
                <w:bCs/>
                <w:color w:val="auto"/>
                <w:sz w:val="24"/>
                <w:szCs w:val="24"/>
              </w:rPr>
              <w:fldChar w:fldCharType="end"/>
            </w:r>
            <w:r w:rsidRPr="006B08DA">
              <w:rPr>
                <w:color w:val="auto"/>
              </w:rPr>
              <w:t xml:space="preserve"> </w:t>
            </w:r>
          </w:p>
        </w:sdtContent>
      </w:sdt>
    </w:sdtContent>
  </w:sdt>
  <w:p w14:paraId="090BBB8A" w14:textId="77777777" w:rsidR="008B2868" w:rsidRDefault="008B2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AF119" w14:textId="77777777" w:rsidR="0062154D" w:rsidRDefault="0062154D" w:rsidP="008F7491">
      <w:pPr>
        <w:spacing w:after="0" w:line="240" w:lineRule="auto"/>
      </w:pPr>
      <w:r>
        <w:separator/>
      </w:r>
    </w:p>
    <w:p w14:paraId="58503295" w14:textId="77777777" w:rsidR="0062154D" w:rsidRDefault="0062154D"/>
  </w:footnote>
  <w:footnote w:type="continuationSeparator" w:id="0">
    <w:p w14:paraId="0C5176B2" w14:textId="77777777" w:rsidR="0062154D" w:rsidRDefault="0062154D" w:rsidP="008F7491">
      <w:pPr>
        <w:spacing w:after="0" w:line="240" w:lineRule="auto"/>
      </w:pPr>
      <w:r>
        <w:continuationSeparator/>
      </w:r>
    </w:p>
    <w:p w14:paraId="2C434B7B" w14:textId="77777777" w:rsidR="0062154D" w:rsidRDefault="0062154D"/>
  </w:footnote>
  <w:footnote w:type="continuationNotice" w:id="1">
    <w:p w14:paraId="79528BAD" w14:textId="77777777" w:rsidR="0062154D" w:rsidRDefault="0062154D">
      <w:pPr>
        <w:spacing w:after="0" w:line="240" w:lineRule="auto"/>
      </w:pPr>
    </w:p>
    <w:p w14:paraId="6EC55665" w14:textId="77777777" w:rsidR="0062154D" w:rsidRDefault="0062154D"/>
  </w:footnote>
  <w:footnote w:id="2">
    <w:p w14:paraId="3BD52AC5" w14:textId="0FBE8A57" w:rsidR="00690757" w:rsidRDefault="009B0312">
      <w:pPr>
        <w:pStyle w:val="FootnoteText"/>
      </w:pPr>
      <w:r w:rsidRPr="009B0312">
        <w:rPr>
          <w:rStyle w:val="FootnoteReference"/>
          <w:vertAlign w:val="baseline"/>
        </w:rPr>
        <w:footnoteRef/>
      </w:r>
      <w:r w:rsidR="00690757">
        <w:t xml:space="preserve"> </w:t>
      </w:r>
      <w:hyperlink r:id="rId1" w:history="1">
        <w:r w:rsidR="00690757" w:rsidRPr="00690757">
          <w:rPr>
            <w:rStyle w:val="Hyperlink"/>
            <w:b w:val="0"/>
          </w:rPr>
          <w:t>www.aga.gov.au/publications/insurance</w:t>
        </w:r>
      </w:hyperlink>
    </w:p>
  </w:footnote>
  <w:footnote w:id="3">
    <w:p w14:paraId="2809A2B5" w14:textId="37C6E04D" w:rsidR="008B2868" w:rsidRPr="003F6D30" w:rsidRDefault="009B0312" w:rsidP="003F6D30">
      <w:pPr>
        <w:pStyle w:val="FootnoteText"/>
        <w:tabs>
          <w:tab w:val="left" w:pos="284"/>
        </w:tabs>
        <w:spacing w:before="0" w:after="0" w:line="240" w:lineRule="auto"/>
        <w:ind w:left="284" w:hanging="284"/>
        <w:rPr>
          <w:color w:val="000000"/>
          <w:sz w:val="17"/>
          <w:lang w:eastAsia="en-AU"/>
        </w:rPr>
      </w:pPr>
      <w:r w:rsidRPr="009B0312">
        <w:rPr>
          <w:color w:val="000000"/>
          <w:sz w:val="17"/>
          <w:lang w:eastAsia="en-AU"/>
        </w:rPr>
        <w:footnoteRef/>
      </w:r>
      <w:r w:rsidR="008B2868" w:rsidRPr="008D6B56">
        <w:rPr>
          <w:color w:val="000000"/>
          <w:sz w:val="17"/>
          <w:vertAlign w:val="superscript"/>
          <w:lang w:eastAsia="en-AU"/>
        </w:rPr>
        <w:t xml:space="preserve"> </w:t>
      </w:r>
      <w:r w:rsidR="008B2868" w:rsidRPr="003F6D30">
        <w:rPr>
          <w:color w:val="000000"/>
          <w:sz w:val="17"/>
          <w:lang w:eastAsia="en-AU"/>
        </w:rPr>
        <w:tab/>
        <w:t>Medical indemnity insurance can also cover other costs such as those associated with appearing at coronial inquiries.</w:t>
      </w:r>
    </w:p>
  </w:footnote>
  <w:footnote w:id="4">
    <w:p w14:paraId="14B3C044" w14:textId="7AE2765D" w:rsidR="008B2868" w:rsidRPr="00620E8A" w:rsidRDefault="009B0312" w:rsidP="003F6D30">
      <w:pPr>
        <w:pStyle w:val="FootnoteText"/>
        <w:tabs>
          <w:tab w:val="left" w:pos="284"/>
        </w:tabs>
        <w:spacing w:before="0" w:after="0" w:line="240" w:lineRule="auto"/>
        <w:ind w:left="284" w:hanging="284"/>
      </w:pPr>
      <w:r w:rsidRPr="009B0312">
        <w:rPr>
          <w:color w:val="000000"/>
          <w:sz w:val="17"/>
          <w:lang w:eastAsia="en-AU"/>
        </w:rPr>
        <w:footnoteRef/>
      </w:r>
      <w:r w:rsidR="008B2868" w:rsidRPr="003F6D30">
        <w:rPr>
          <w:color w:val="000000"/>
          <w:sz w:val="17"/>
          <w:lang w:eastAsia="en-AU"/>
        </w:rPr>
        <w:tab/>
        <w:t>On the other hand, many employed practitioners such as medical practitioners practising solely in a hospital will be indemnified by their employer against negligence.</w:t>
      </w:r>
    </w:p>
  </w:footnote>
  <w:footnote w:id="5">
    <w:p w14:paraId="7DEA0CF7" w14:textId="256A8270" w:rsidR="008B2868" w:rsidRDefault="009B0312" w:rsidP="00943D3B">
      <w:pPr>
        <w:pStyle w:val="FootnoteText"/>
        <w:tabs>
          <w:tab w:val="left" w:pos="284"/>
        </w:tabs>
        <w:spacing w:before="0" w:after="0" w:line="240" w:lineRule="auto"/>
        <w:ind w:left="284" w:hanging="284"/>
      </w:pPr>
      <w:r w:rsidRPr="009B0312">
        <w:rPr>
          <w:rStyle w:val="FootnoteReference"/>
          <w:color w:val="000000"/>
          <w:sz w:val="17"/>
          <w:vertAlign w:val="baseline"/>
          <w:lang w:eastAsia="en-AU"/>
        </w:rPr>
        <w:footnoteRef/>
      </w:r>
      <w:r w:rsidR="008B2868" w:rsidRPr="00943D3B">
        <w:rPr>
          <w:rStyle w:val="FootnoteReference"/>
          <w:color w:val="000000"/>
          <w:sz w:val="17"/>
          <w:vertAlign w:val="baseline"/>
          <w:lang w:eastAsia="en-AU"/>
        </w:rPr>
        <w:tab/>
      </w:r>
      <w:r w:rsidR="008B2868" w:rsidRPr="000D6534">
        <w:rPr>
          <w:rStyle w:val="FootnoteReference"/>
          <w:color w:val="000000"/>
          <w:sz w:val="17"/>
          <w:szCs w:val="17"/>
          <w:vertAlign w:val="baseline"/>
          <w:lang w:eastAsia="en-AU"/>
        </w:rPr>
        <w:t>The premium for the run</w:t>
      </w:r>
      <w:r w:rsidRPr="000D6534">
        <w:rPr>
          <w:rStyle w:val="FootnoteReference"/>
          <w:color w:val="000000"/>
          <w:sz w:val="17"/>
          <w:szCs w:val="17"/>
          <w:vertAlign w:val="baseline"/>
          <w:lang w:eastAsia="en-AU"/>
        </w:rPr>
        <w:noBreakHyphen/>
      </w:r>
      <w:r w:rsidR="008B2868" w:rsidRPr="000D6534">
        <w:rPr>
          <w:rStyle w:val="FootnoteReference"/>
          <w:color w:val="000000"/>
          <w:sz w:val="17"/>
          <w:szCs w:val="17"/>
          <w:vertAlign w:val="baseline"/>
          <w:lang w:eastAsia="en-AU"/>
        </w:rPr>
        <w:t>off cover is zero for medical practitioners who have ceased private</w:t>
      </w:r>
      <w:r w:rsidR="008B2868" w:rsidRPr="00297512">
        <w:rPr>
          <w:rStyle w:val="FootnoteReference"/>
          <w:sz w:val="17"/>
          <w:szCs w:val="17"/>
          <w:vertAlign w:val="baseline"/>
          <w:lang w:eastAsia="en-AU"/>
        </w:rPr>
        <w:t xml:space="preserve"> practice. However, they pay a levy on their premiums during the period of private practice.</w:t>
      </w:r>
    </w:p>
  </w:footnote>
  <w:footnote w:id="6">
    <w:p w14:paraId="6B4A445D" w14:textId="799A49D4" w:rsidR="008B2868" w:rsidRPr="00620E8A" w:rsidRDefault="009B0312" w:rsidP="00943D3B">
      <w:pPr>
        <w:pStyle w:val="FootnoteText"/>
      </w:pPr>
      <w:r w:rsidRPr="009B0312">
        <w:rPr>
          <w:color w:val="000000"/>
          <w:sz w:val="17"/>
          <w:lang w:eastAsia="en-AU"/>
        </w:rPr>
        <w:footnoteRef/>
      </w:r>
      <w:r w:rsidR="008B2868" w:rsidRPr="00943D3B">
        <w:rPr>
          <w:color w:val="000000"/>
          <w:sz w:val="17"/>
          <w:lang w:eastAsia="en-AU"/>
        </w:rPr>
        <w:tab/>
        <w:t>A database of ROC support payments is maintained by Services Australia.</w:t>
      </w:r>
    </w:p>
  </w:footnote>
  <w:footnote w:id="7">
    <w:p w14:paraId="66D6B86F" w14:textId="3979B18A" w:rsidR="008B2868" w:rsidRDefault="009B0312" w:rsidP="003B1947">
      <w:pPr>
        <w:pStyle w:val="FootnoteText"/>
        <w:spacing w:line="240" w:lineRule="auto"/>
        <w:ind w:left="284" w:hanging="284"/>
      </w:pPr>
      <w:r w:rsidRPr="009B0312">
        <w:rPr>
          <w:rStyle w:val="FootnoteReference"/>
          <w:vertAlign w:val="baseline"/>
        </w:rPr>
        <w:footnoteRef/>
      </w:r>
      <w:r w:rsidR="008B2868" w:rsidRPr="008D6B56">
        <w:rPr>
          <w:vertAlign w:val="superscript"/>
        </w:rPr>
        <w:t xml:space="preserve"> </w:t>
      </w:r>
      <w:r w:rsidR="008B2868">
        <w:tab/>
      </w:r>
      <w:r w:rsidR="00CE2ADC" w:rsidRPr="00297512">
        <w:rPr>
          <w:sz w:val="17"/>
          <w:szCs w:val="17"/>
        </w:rPr>
        <w:t>There used to be a three</w:t>
      </w:r>
      <w:r w:rsidRPr="00297512">
        <w:rPr>
          <w:sz w:val="17"/>
          <w:szCs w:val="17"/>
        </w:rPr>
        <w:noBreakHyphen/>
      </w:r>
      <w:r w:rsidR="00CE2ADC" w:rsidRPr="00297512">
        <w:rPr>
          <w:sz w:val="17"/>
          <w:szCs w:val="17"/>
        </w:rPr>
        <w:t xml:space="preserve">year waiting period for practitioners who retired under age 65. </w:t>
      </w:r>
      <w:r w:rsidR="008432AC" w:rsidRPr="00297512">
        <w:rPr>
          <w:sz w:val="17"/>
          <w:szCs w:val="17"/>
        </w:rPr>
        <w:t>This has</w:t>
      </w:r>
      <w:r w:rsidR="00CE2ADC" w:rsidRPr="00297512">
        <w:rPr>
          <w:sz w:val="17"/>
          <w:szCs w:val="17"/>
        </w:rPr>
        <w:t xml:space="preserve"> been waived from 1 July 2020 as legislated in the </w:t>
      </w:r>
      <w:r w:rsidR="00CE2ADC" w:rsidRPr="00297512">
        <w:rPr>
          <w:i/>
          <w:sz w:val="17"/>
          <w:szCs w:val="17"/>
        </w:rPr>
        <w:t>Medical and Midwife Indemnity Legislation Amendment Act 2019</w:t>
      </w:r>
      <w:r w:rsidR="00CE2ADC" w:rsidRPr="00297512">
        <w:rPr>
          <w:sz w:val="17"/>
          <w:szCs w:val="17"/>
        </w:rPr>
        <w:t xml:space="preserve"> (Amendment Act).</w:t>
      </w:r>
    </w:p>
  </w:footnote>
  <w:footnote w:id="8">
    <w:p w14:paraId="034824FA" w14:textId="0984E8D1" w:rsidR="00DF3418" w:rsidRDefault="009B0312" w:rsidP="003B1947">
      <w:pPr>
        <w:pStyle w:val="FootnoteText"/>
        <w:spacing w:line="240" w:lineRule="auto"/>
        <w:ind w:left="284" w:hanging="284"/>
      </w:pPr>
      <w:r w:rsidRPr="009B0312">
        <w:rPr>
          <w:rStyle w:val="FootnoteReference"/>
          <w:vertAlign w:val="baseline"/>
        </w:rPr>
        <w:footnoteRef/>
      </w:r>
      <w:r w:rsidR="00DF3418" w:rsidRPr="008D6B56">
        <w:rPr>
          <w:vertAlign w:val="superscript"/>
        </w:rPr>
        <w:t xml:space="preserve"> </w:t>
      </w:r>
      <w:r w:rsidR="00DF3418">
        <w:t xml:space="preserve">   </w:t>
      </w:r>
      <w:r w:rsidR="00621ED0">
        <w:rPr>
          <w:sz w:val="17"/>
          <w:szCs w:val="17"/>
        </w:rPr>
        <w:t>T</w:t>
      </w:r>
      <w:r w:rsidR="00DF3418" w:rsidRPr="00297512">
        <w:rPr>
          <w:sz w:val="17"/>
          <w:szCs w:val="17"/>
        </w:rPr>
        <w:t xml:space="preserve">he </w:t>
      </w:r>
      <w:r w:rsidR="00DF3418" w:rsidRPr="00297512">
        <w:rPr>
          <w:i/>
          <w:iCs/>
          <w:sz w:val="17"/>
          <w:szCs w:val="17"/>
        </w:rPr>
        <w:t>Medical</w:t>
      </w:r>
      <w:r w:rsidR="002D46D5" w:rsidRPr="00297512">
        <w:rPr>
          <w:i/>
          <w:iCs/>
          <w:sz w:val="17"/>
          <w:szCs w:val="17"/>
        </w:rPr>
        <w:t xml:space="preserve"> </w:t>
      </w:r>
      <w:r w:rsidR="00067609">
        <w:rPr>
          <w:i/>
          <w:iCs/>
          <w:sz w:val="17"/>
          <w:szCs w:val="17"/>
        </w:rPr>
        <w:t>Indemnity Rules 2020</w:t>
      </w:r>
      <w:r w:rsidR="00DF3418" w:rsidRPr="00297512">
        <w:rPr>
          <w:sz w:val="17"/>
          <w:szCs w:val="17"/>
        </w:rPr>
        <w:t xml:space="preserve"> stipulates a temporary exemption</w:t>
      </w:r>
      <w:r w:rsidR="00E64DFF">
        <w:rPr>
          <w:sz w:val="17"/>
          <w:szCs w:val="17"/>
        </w:rPr>
        <w:t xml:space="preserve"> from 1 April 2020</w:t>
      </w:r>
      <w:r w:rsidR="00DF3418" w:rsidRPr="00297512">
        <w:rPr>
          <w:sz w:val="17"/>
          <w:szCs w:val="17"/>
        </w:rPr>
        <w:t xml:space="preserve">, which allows ROCS eligible </w:t>
      </w:r>
      <w:r w:rsidR="00A73A9F" w:rsidRPr="00297512">
        <w:rPr>
          <w:sz w:val="17"/>
          <w:szCs w:val="17"/>
        </w:rPr>
        <w:t>practitioner</w:t>
      </w:r>
      <w:r w:rsidR="00DF3418" w:rsidRPr="00297512">
        <w:rPr>
          <w:sz w:val="17"/>
          <w:szCs w:val="17"/>
        </w:rPr>
        <w:t>s to return to private practice in order to provide treatment during the COVID</w:t>
      </w:r>
      <w:r w:rsidRPr="00297512">
        <w:rPr>
          <w:sz w:val="17"/>
          <w:szCs w:val="17"/>
        </w:rPr>
        <w:noBreakHyphen/>
      </w:r>
      <w:r w:rsidR="00DF3418" w:rsidRPr="00297512">
        <w:rPr>
          <w:sz w:val="17"/>
          <w:szCs w:val="17"/>
        </w:rPr>
        <w:t xml:space="preserve">19 pandemic without the practitioner losing their eligibility under the ROCS. </w:t>
      </w:r>
      <w:r w:rsidR="007261C8" w:rsidRPr="00297512">
        <w:rPr>
          <w:sz w:val="17"/>
          <w:szCs w:val="17"/>
        </w:rPr>
        <w:t>This</w:t>
      </w:r>
      <w:r w:rsidR="00125B22" w:rsidRPr="00297512">
        <w:rPr>
          <w:sz w:val="17"/>
          <w:szCs w:val="17"/>
        </w:rPr>
        <w:t xml:space="preserve"> exemption </w:t>
      </w:r>
      <w:r w:rsidR="007261C8" w:rsidRPr="00297512">
        <w:rPr>
          <w:sz w:val="17"/>
          <w:szCs w:val="17"/>
        </w:rPr>
        <w:t>end</w:t>
      </w:r>
      <w:r w:rsidR="00621ED0">
        <w:rPr>
          <w:sz w:val="17"/>
          <w:szCs w:val="17"/>
        </w:rPr>
        <w:t>ed</w:t>
      </w:r>
      <w:r w:rsidR="007261C8" w:rsidRPr="00297512">
        <w:rPr>
          <w:sz w:val="17"/>
          <w:szCs w:val="17"/>
        </w:rPr>
        <w:t xml:space="preserve"> on </w:t>
      </w:r>
      <w:r w:rsidR="002D46D5" w:rsidRPr="00297512">
        <w:rPr>
          <w:sz w:val="17"/>
          <w:szCs w:val="17"/>
        </w:rPr>
        <w:t xml:space="preserve">21 September </w:t>
      </w:r>
      <w:r w:rsidR="007261C8" w:rsidRPr="00297512">
        <w:rPr>
          <w:sz w:val="17"/>
          <w:szCs w:val="17"/>
        </w:rPr>
        <w:t>2023</w:t>
      </w:r>
      <w:r w:rsidR="00E90351">
        <w:rPr>
          <w:sz w:val="17"/>
          <w:szCs w:val="17"/>
        </w:rPr>
        <w:t xml:space="preserve">. </w:t>
      </w:r>
    </w:p>
  </w:footnote>
  <w:footnote w:id="9">
    <w:p w14:paraId="42D0E763" w14:textId="43FDD35B"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B42356">
        <w:rPr>
          <w:rStyle w:val="FootnoteReference"/>
          <w:color w:val="000000"/>
          <w:sz w:val="17"/>
          <w:vertAlign w:val="baseline"/>
          <w:lang w:eastAsia="en-AU"/>
        </w:rPr>
        <w:t>Refer Appendix 1.</w:t>
      </w:r>
    </w:p>
  </w:footnote>
  <w:footnote w:id="10">
    <w:p w14:paraId="3922400E" w14:textId="25456441"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B42356">
        <w:rPr>
          <w:rStyle w:val="FootnoteReference"/>
          <w:color w:val="000000"/>
          <w:sz w:val="17"/>
          <w:vertAlign w:val="baseline"/>
          <w:lang w:eastAsia="en-AU"/>
        </w:rPr>
        <w:t>Refer Appendix 2.</w:t>
      </w:r>
    </w:p>
  </w:footnote>
  <w:footnote w:id="11">
    <w:p w14:paraId="48EB8609" w14:textId="06EFD7F4"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F13646">
        <w:rPr>
          <w:sz w:val="17"/>
          <w:szCs w:val="17"/>
        </w:rPr>
        <w:t>Estimate of likely cost to the insurer</w:t>
      </w:r>
      <w:r w:rsidR="007B5E39">
        <w:rPr>
          <w:sz w:val="17"/>
          <w:szCs w:val="17"/>
        </w:rPr>
        <w:t>.</w:t>
      </w:r>
    </w:p>
  </w:footnote>
  <w:footnote w:id="12">
    <w:p w14:paraId="6E0ACF68" w14:textId="4D080B18" w:rsidR="008B2868" w:rsidRDefault="009B0312" w:rsidP="000C4927">
      <w:pPr>
        <w:pStyle w:val="FootnoteText"/>
        <w:tabs>
          <w:tab w:val="left" w:pos="284"/>
        </w:tabs>
        <w:spacing w:before="0" w:after="0" w:line="240" w:lineRule="auto"/>
        <w:ind w:left="284" w:hanging="284"/>
      </w:pPr>
      <w:r w:rsidRPr="009B0312">
        <w:rPr>
          <w:rStyle w:val="FootnoteReference"/>
          <w:color w:val="000000"/>
          <w:sz w:val="17"/>
          <w:vertAlign w:val="baseline"/>
          <w:lang w:eastAsia="en-AU"/>
        </w:rPr>
        <w:footnoteRef/>
      </w:r>
      <w:r w:rsidR="008B2868" w:rsidRPr="000C4927">
        <w:rPr>
          <w:rStyle w:val="FootnoteReference"/>
          <w:color w:val="000000"/>
          <w:sz w:val="17"/>
          <w:vertAlign w:val="baseline"/>
          <w:lang w:eastAsia="en-AU"/>
        </w:rPr>
        <w:t xml:space="preserve"> </w:t>
      </w:r>
      <w:r w:rsidR="008B2868" w:rsidRPr="000C4927">
        <w:rPr>
          <w:rStyle w:val="FootnoteReference"/>
          <w:color w:val="000000"/>
          <w:sz w:val="17"/>
          <w:vertAlign w:val="baseline"/>
          <w:lang w:eastAsia="en-AU"/>
        </w:rPr>
        <w:tab/>
      </w:r>
      <w:r w:rsidR="007C0BBE">
        <w:rPr>
          <w:rStyle w:val="FootnoteReference"/>
          <w:color w:val="000000"/>
          <w:sz w:val="17"/>
          <w:vertAlign w:val="baseline"/>
          <w:lang w:eastAsia="en-AU"/>
        </w:rPr>
        <w:t>T</w:t>
      </w:r>
      <w:r w:rsidR="007C0BBE">
        <w:rPr>
          <w:color w:val="000000"/>
          <w:sz w:val="17"/>
          <w:lang w:eastAsia="en-AU"/>
        </w:rPr>
        <w:t>he</w:t>
      </w:r>
      <w:r w:rsidR="008B2868" w:rsidRPr="000C4927">
        <w:rPr>
          <w:rStyle w:val="FootnoteReference"/>
          <w:color w:val="000000"/>
          <w:sz w:val="17"/>
          <w:vertAlign w:val="baseline"/>
          <w:lang w:eastAsia="en-AU"/>
        </w:rPr>
        <w:t xml:space="preserve"> High Cost Claim </w:t>
      </w:r>
      <w:r w:rsidR="000826C7">
        <w:rPr>
          <w:color w:val="000000"/>
          <w:sz w:val="17"/>
          <w:lang w:eastAsia="en-AU"/>
        </w:rPr>
        <w:t xml:space="preserve">Scheme </w:t>
      </w:r>
      <w:r w:rsidR="008B2868" w:rsidRPr="000C4927">
        <w:rPr>
          <w:rStyle w:val="FootnoteReference"/>
          <w:color w:val="000000"/>
          <w:sz w:val="17"/>
          <w:vertAlign w:val="baseline"/>
          <w:lang w:eastAsia="en-AU"/>
        </w:rPr>
        <w:t xml:space="preserve">Threshold has </w:t>
      </w:r>
      <w:r w:rsidR="007C0BBE">
        <w:rPr>
          <w:rStyle w:val="FootnoteReference"/>
          <w:color w:val="000000"/>
          <w:sz w:val="17"/>
          <w:vertAlign w:val="baseline"/>
          <w:lang w:eastAsia="en-AU"/>
        </w:rPr>
        <w:t>c</w:t>
      </w:r>
      <w:r w:rsidR="007C0BBE">
        <w:rPr>
          <w:color w:val="000000"/>
          <w:sz w:val="17"/>
          <w:lang w:eastAsia="en-AU"/>
        </w:rPr>
        <w:t>hanged over time</w:t>
      </w:r>
      <w:r w:rsidR="008B2868" w:rsidRPr="000C4927">
        <w:rPr>
          <w:rStyle w:val="FootnoteReference"/>
          <w:color w:val="000000"/>
          <w:sz w:val="17"/>
          <w:vertAlign w:val="baseline"/>
          <w:lang w:eastAsia="en-AU"/>
        </w:rPr>
        <w:t>.</w:t>
      </w:r>
      <w:r w:rsidR="007C0BBE">
        <w:rPr>
          <w:rStyle w:val="FootnoteReference"/>
          <w:color w:val="000000"/>
          <w:sz w:val="17"/>
          <w:vertAlign w:val="baseline"/>
          <w:lang w:eastAsia="en-AU"/>
        </w:rPr>
        <w:t xml:space="preserve"> </w:t>
      </w:r>
      <w:r w:rsidR="007C0BBE">
        <w:rPr>
          <w:color w:val="000000"/>
          <w:sz w:val="17"/>
          <w:lang w:eastAsia="en-AU"/>
        </w:rPr>
        <w:t>Details are provided in Appendix 6.</w:t>
      </w:r>
    </w:p>
  </w:footnote>
  <w:footnote w:id="13">
    <w:p w14:paraId="7ACDDD45" w14:textId="67A8DAD5" w:rsidR="00A57591" w:rsidRDefault="009B0312" w:rsidP="00A57591">
      <w:pPr>
        <w:pStyle w:val="FootnoteText"/>
        <w:tabs>
          <w:tab w:val="left" w:pos="284"/>
        </w:tabs>
        <w:spacing w:before="0" w:after="0" w:line="240" w:lineRule="auto"/>
        <w:ind w:left="284" w:hanging="284"/>
      </w:pPr>
      <w:r w:rsidRPr="009B0312">
        <w:rPr>
          <w:rStyle w:val="FootnoteReference"/>
          <w:vertAlign w:val="baseline"/>
        </w:rPr>
        <w:footnoteRef/>
      </w:r>
      <w:r w:rsidR="00A57591" w:rsidRPr="007B00D0">
        <w:t xml:space="preserve"> </w:t>
      </w:r>
      <w:r w:rsidR="00A57591" w:rsidRPr="007B00D0">
        <w:tab/>
      </w:r>
      <w:r w:rsidR="00A57591">
        <w:t>The</w:t>
      </w:r>
      <w:r w:rsidR="00CE2ADC">
        <w:t>re used to be a</w:t>
      </w:r>
      <w:r w:rsidR="00A57591">
        <w:t xml:space="preserve"> three</w:t>
      </w:r>
      <w:r>
        <w:noBreakHyphen/>
      </w:r>
      <w:r w:rsidR="00A57591">
        <w:t>year waiting period for practitioners</w:t>
      </w:r>
      <w:r w:rsidR="00CE2ADC">
        <w:t xml:space="preserve"> who retired under age 65. This </w:t>
      </w:r>
      <w:r w:rsidR="00A57591">
        <w:t xml:space="preserve">has been waived from 1 July 2020 as legislated in the </w:t>
      </w:r>
      <w:r w:rsidR="00A57591" w:rsidRPr="0059355C">
        <w:rPr>
          <w:i/>
        </w:rPr>
        <w:t>Medical and Midwife Indemnity Legislation Amendment Act 2019</w:t>
      </w:r>
      <w:r w:rsidR="00A57591" w:rsidRPr="007C2561">
        <w:t xml:space="preserve"> </w:t>
      </w:r>
      <w:r w:rsidR="00A57591">
        <w:t>(Amendment Act).</w:t>
      </w:r>
    </w:p>
  </w:footnote>
  <w:footnote w:id="14">
    <w:p w14:paraId="25E4401D" w14:textId="2229039B" w:rsidR="008B2868" w:rsidRDefault="009B0312" w:rsidP="003418DA">
      <w:pPr>
        <w:pStyle w:val="FootnoteText"/>
      </w:pPr>
      <w:r w:rsidRPr="009B0312">
        <w:rPr>
          <w:rStyle w:val="FootnoteReference"/>
          <w:color w:val="000000"/>
          <w:sz w:val="17"/>
          <w:vertAlign w:val="baseline"/>
          <w:lang w:eastAsia="en-AU"/>
        </w:rPr>
        <w:footnoteRef/>
      </w:r>
      <w:r w:rsidR="008B2868" w:rsidRPr="003418DA">
        <w:rPr>
          <w:rStyle w:val="FootnoteReference"/>
          <w:color w:val="000000"/>
          <w:sz w:val="17"/>
          <w:vertAlign w:val="baseline"/>
          <w:lang w:eastAsia="en-AU"/>
        </w:rPr>
        <w:t xml:space="preserve"> </w:t>
      </w:r>
      <w:r w:rsidR="008B2868" w:rsidRPr="003418DA">
        <w:rPr>
          <w:rStyle w:val="FootnoteReference"/>
          <w:color w:val="000000"/>
          <w:sz w:val="17"/>
          <w:vertAlign w:val="baseline"/>
          <w:lang w:eastAsia="en-AU"/>
        </w:rPr>
        <w:tab/>
        <w:t>The estimates have been updated with the latest data, experience and assumptions.</w:t>
      </w:r>
    </w:p>
  </w:footnote>
  <w:footnote w:id="15">
    <w:p w14:paraId="291B1F37" w14:textId="3F86F1B5" w:rsidR="008B2868" w:rsidRDefault="009B0312" w:rsidP="003418DA">
      <w:pPr>
        <w:pStyle w:val="FootnoteText"/>
        <w:tabs>
          <w:tab w:val="left" w:pos="284"/>
        </w:tabs>
        <w:spacing w:before="0" w:after="0" w:line="240" w:lineRule="auto"/>
        <w:ind w:left="284" w:hanging="284"/>
      </w:pPr>
      <w:r w:rsidRPr="009B0312">
        <w:rPr>
          <w:rStyle w:val="FootnoteReference"/>
          <w:vertAlign w:val="baseline"/>
        </w:rPr>
        <w:footnoteRef/>
      </w:r>
      <w:r w:rsidR="008B2868" w:rsidRPr="007B00D0">
        <w:t xml:space="preserve"> </w:t>
      </w:r>
      <w:r w:rsidR="008B2868">
        <w:tab/>
        <w:t>The three</w:t>
      </w:r>
      <w:r>
        <w:noBreakHyphen/>
      </w:r>
      <w:r w:rsidR="008B2868">
        <w:t xml:space="preserve">year waiting period has been waived from 1 July 2020 as legislated in the </w:t>
      </w:r>
      <w:r w:rsidR="008B2868" w:rsidRPr="00D47379">
        <w:rPr>
          <w:i/>
        </w:rPr>
        <w:t>Medical and Midwife Indemnity Legislation Amendment Act 2019</w:t>
      </w:r>
      <w:r w:rsidR="008B2868" w:rsidRPr="007C2561">
        <w:t xml:space="preserve"> </w:t>
      </w:r>
      <w:r w:rsidR="008B2868">
        <w:t xml:space="preserve">(Amendment Act). This has been allowed for in our model.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2E00" w14:textId="5F0F370C" w:rsidR="008B2868" w:rsidRDefault="008B2868" w:rsidP="008E6BEA">
    <w:pPr>
      <w:pStyle w:val="HeaderEven"/>
    </w:pPr>
    <w:r>
      <w:t>Second report on the costs of the Australian Government</w:t>
    </w:r>
    <w:r w:rsidR="009B0312">
      <w:t>’</w:t>
    </w:r>
    <w:r>
      <w:t>s Run</w:t>
    </w:r>
    <w:r w:rsidR="009B0312">
      <w:noBreakHyphen/>
    </w:r>
    <w:r>
      <w:t>Off Cover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560F" w14:textId="65BFAD7C" w:rsidR="008B2868" w:rsidRPr="0052425B" w:rsidRDefault="008B2868" w:rsidP="008E6BEA">
    <w:pPr>
      <w:pStyle w:val="HeaderOdd"/>
      <w:jc w:val="left"/>
    </w:pPr>
    <w:r>
      <w:t xml:space="preserve">Second </w:t>
    </w:r>
    <w:r w:rsidRPr="0052425B">
      <w:t>Report on the costs of the Australian Government</w:t>
    </w:r>
    <w:r w:rsidR="009B0312">
      <w:t>’</w:t>
    </w:r>
    <w:r w:rsidRPr="0052425B">
      <w:t xml:space="preserve">s </w:t>
    </w:r>
    <w:r w:rsidRPr="00FC6F97">
      <w:rPr>
        <w:lang w:val="en-US"/>
      </w:rPr>
      <w:t>Run</w:t>
    </w:r>
    <w:r w:rsidR="009B0312">
      <w:rPr>
        <w:lang w:val="en-US"/>
      </w:rPr>
      <w:noBreakHyphen/>
    </w:r>
    <w:r w:rsidRPr="00FC6F97">
      <w:rPr>
        <w:lang w:val="en-US"/>
      </w:rPr>
      <w:t>Off Cover Scheme</w:t>
    </w:r>
    <w:r w:rsidRPr="0052425B">
      <w:t xml:space="preserve"> for Medical Indemnity Insurers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5B12" w14:textId="468DC986" w:rsidR="008B2868" w:rsidRPr="0052425B" w:rsidRDefault="008B2868" w:rsidP="008E6BEA">
    <w:pPr>
      <w:pStyle w:val="Header"/>
      <w:jc w:val="center"/>
    </w:pPr>
    <w:r>
      <w:rPr>
        <w:noProof/>
      </w:rPr>
      <w:drawing>
        <wp:anchor distT="0" distB="0" distL="114300" distR="114300" simplePos="0" relativeHeight="251657216" behindDoc="1" locked="0" layoutInCell="1" allowOverlap="1" wp14:anchorId="415D4B83" wp14:editId="43A784FF">
          <wp:simplePos x="0" y="0"/>
          <wp:positionH relativeFrom="page">
            <wp:align>right</wp:align>
          </wp:positionH>
          <wp:positionV relativeFrom="paragraph">
            <wp:posOffset>-1534795</wp:posOffset>
          </wp:positionV>
          <wp:extent cx="7533317" cy="10656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5F22" w14:textId="1C759AFD" w:rsidR="008B2868" w:rsidRPr="00620E54" w:rsidRDefault="008B2868" w:rsidP="003F6D30">
    <w:pPr>
      <w:pStyle w:val="HeaderOdd"/>
      <w:jc w:val="both"/>
      <w:rPr>
        <w:b/>
      </w:rPr>
    </w:pPr>
    <w:r>
      <w:t>Sixt</w:t>
    </w:r>
    <w:r w:rsidRPr="00906887">
      <w:t>eenth report on the costs of the Australian Government</w:t>
    </w:r>
    <w:r w:rsidR="009B0312">
      <w:t>’</w:t>
    </w:r>
    <w:r w:rsidRPr="00906887">
      <w:t>s ROCS for medical indemnity insurers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7334" w14:textId="66C79AD9" w:rsidR="008B2868" w:rsidRPr="00620E54" w:rsidRDefault="008B2868" w:rsidP="008B4D6B">
    <w:pPr>
      <w:pStyle w:val="HeaderOdd"/>
      <w:jc w:val="both"/>
      <w:rPr>
        <w:b/>
      </w:rPr>
    </w:pPr>
    <w:r>
      <w:t>Six</w:t>
    </w:r>
    <w:r w:rsidRPr="00906887">
      <w:t>teenth report on the costs of the Australian Government</w:t>
    </w:r>
    <w:r w:rsidR="009B0312">
      <w:t>’</w:t>
    </w:r>
    <w:r w:rsidRPr="00906887">
      <w:t>s ROCS for medical indemnity insurers</w:t>
    </w:r>
  </w:p>
  <w:p w14:paraId="40A49706" w14:textId="2D8F47E2" w:rsidR="008B2868" w:rsidRPr="008B4D6B" w:rsidRDefault="008B2868" w:rsidP="008B4D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23E" w14:textId="056F5DFE" w:rsidR="008B2868" w:rsidRPr="0052425B" w:rsidRDefault="008B2868" w:rsidP="008E6BE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E085" w14:textId="2F5281E1" w:rsidR="008B2868" w:rsidRDefault="008B28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7115" w14:textId="0B4D4F8F" w:rsidR="008B2868" w:rsidRDefault="008B28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ED5F" w14:textId="128C66DA" w:rsidR="008B2868" w:rsidRPr="0098347F" w:rsidRDefault="008B2868" w:rsidP="00983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7214D9"/>
    <w:multiLevelType w:val="multilevel"/>
    <w:tmpl w:val="9F8A1940"/>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7032" w:hanging="360"/>
      </w:pPr>
    </w:lvl>
    <w:lvl w:ilvl="4">
      <w:start w:val="1"/>
      <w:numFmt w:val="lowerLetter"/>
      <w:lvlText w:val="(%5)"/>
      <w:lvlJc w:val="left"/>
      <w:pPr>
        <w:ind w:left="7392" w:hanging="360"/>
      </w:pPr>
    </w:lvl>
    <w:lvl w:ilvl="5">
      <w:start w:val="1"/>
      <w:numFmt w:val="lowerRoman"/>
      <w:lvlText w:val="(%6)"/>
      <w:lvlJc w:val="left"/>
      <w:pPr>
        <w:ind w:left="7752" w:hanging="360"/>
      </w:pPr>
    </w:lvl>
    <w:lvl w:ilvl="6">
      <w:start w:val="1"/>
      <w:numFmt w:val="decimal"/>
      <w:lvlText w:val="%7."/>
      <w:lvlJc w:val="left"/>
      <w:pPr>
        <w:ind w:left="8112" w:hanging="360"/>
      </w:pPr>
    </w:lvl>
    <w:lvl w:ilvl="7">
      <w:start w:val="1"/>
      <w:numFmt w:val="lowerLetter"/>
      <w:lvlText w:val="%8."/>
      <w:lvlJc w:val="left"/>
      <w:pPr>
        <w:ind w:left="8472" w:hanging="360"/>
      </w:pPr>
    </w:lvl>
    <w:lvl w:ilvl="8">
      <w:start w:val="1"/>
      <w:numFmt w:val="lowerRoman"/>
      <w:lvlText w:val="%9."/>
      <w:lvlJc w:val="left"/>
      <w:pPr>
        <w:ind w:left="8832" w:hanging="360"/>
      </w:pPr>
    </w:lvl>
  </w:abstractNum>
  <w:abstractNum w:abstractNumId="2"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3" w15:restartNumberingAfterBreak="0">
    <w:nsid w:val="1042678E"/>
    <w:multiLevelType w:val="hybridMultilevel"/>
    <w:tmpl w:val="B91CD93A"/>
    <w:lvl w:ilvl="0" w:tplc="3ECEC588">
      <w:start w:val="1"/>
      <w:numFmt w:val="decimal"/>
      <w:lvlText w:val="A.1.%1"/>
      <w:lvlJc w:val="right"/>
      <w:pPr>
        <w:ind w:left="709" w:hanging="153"/>
      </w:pPr>
      <w:rPr>
        <w:rFonts w:hint="default"/>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4" w15:restartNumberingAfterBreak="0">
    <w:nsid w:val="12BA1656"/>
    <w:multiLevelType w:val="hybridMultilevel"/>
    <w:tmpl w:val="7A3E0040"/>
    <w:name w:val="StandardNumberedList222"/>
    <w:lvl w:ilvl="0" w:tplc="08866274">
      <w:start w:val="1"/>
      <w:numFmt w:val="decimal"/>
      <w:pStyle w:val="OutlineNumbered45"/>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5E044BF0">
      <w:start w:val="1"/>
      <w:numFmt w:val="decimal"/>
      <w:lvlText w:val="A.1.%4"/>
      <w:lvlJc w:val="righ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991811"/>
    <w:multiLevelType w:val="multilevel"/>
    <w:tmpl w:val="CFA8F280"/>
    <w:styleLink w:val="Style3"/>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Restart w:val="2"/>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3A97156"/>
    <w:multiLevelType w:val="hybridMultilevel"/>
    <w:tmpl w:val="19182B1E"/>
    <w:lvl w:ilvl="0" w:tplc="B6AC72E4">
      <w:start w:val="1"/>
      <w:numFmt w:val="decimal"/>
      <w:lvlText w:val="3.1.%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660349"/>
    <w:multiLevelType w:val="hybridMultilevel"/>
    <w:tmpl w:val="6952DA2E"/>
    <w:lvl w:ilvl="0" w:tplc="EFB0DAD8">
      <w:start w:val="1"/>
      <w:numFmt w:val="decimal"/>
      <w:lvlText w:val="2.3.%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01097"/>
    <w:multiLevelType w:val="hybridMultilevel"/>
    <w:tmpl w:val="EEF86728"/>
    <w:lvl w:ilvl="0" w:tplc="AF54A6AC">
      <w:start w:val="1"/>
      <w:numFmt w:val="decimal"/>
      <w:lvlText w:val="A.4.1%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AA784F"/>
    <w:multiLevelType w:val="hybridMultilevel"/>
    <w:tmpl w:val="E300F88A"/>
    <w:lvl w:ilvl="0" w:tplc="526C8398">
      <w:start w:val="20"/>
      <w:numFmt w:val="decimal"/>
      <w:lvlText w:val="A.4.%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F2DBE"/>
    <w:multiLevelType w:val="hybridMultilevel"/>
    <w:tmpl w:val="75560884"/>
    <w:lvl w:ilvl="0" w:tplc="9B00B506">
      <w:start w:val="1"/>
      <w:numFmt w:val="decimal"/>
      <w:lvlText w:val="A.5.%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15:restartNumberingAfterBreak="0">
    <w:nsid w:val="1CCE390A"/>
    <w:multiLevelType w:val="hybridMultilevel"/>
    <w:tmpl w:val="C3F2C994"/>
    <w:lvl w:ilvl="0" w:tplc="69A09C26">
      <w:start w:val="1"/>
      <w:numFmt w:val="decimal"/>
      <w:lvlText w:val="3.4.%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F0362CA"/>
    <w:multiLevelType w:val="hybridMultilevel"/>
    <w:tmpl w:val="47B686B0"/>
    <w:name w:val="StandardNumberedList2222"/>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15" w15:restartNumberingAfterBreak="0">
    <w:nsid w:val="20370CCB"/>
    <w:multiLevelType w:val="hybridMultilevel"/>
    <w:tmpl w:val="913635DE"/>
    <w:lvl w:ilvl="0" w:tplc="13BA2C4E">
      <w:start w:val="1"/>
      <w:numFmt w:val="decimal"/>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D5A49F46">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5E044BF0">
      <w:start w:val="1"/>
      <w:numFmt w:val="decimal"/>
      <w:lvlText w:val="A.1.%4"/>
      <w:lvlJc w:val="righ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24901AEC">
      <w:start w:val="1"/>
      <w:numFmt w:val="decimal"/>
      <w:lvlText w:val="A.3.%7"/>
      <w:lvlJc w:val="righ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FD316A"/>
    <w:multiLevelType w:val="singleLevel"/>
    <w:tmpl w:val="47B08EB8"/>
    <w:lvl w:ilvl="0">
      <w:start w:val="1"/>
      <w:numFmt w:val="lowerLetter"/>
      <w:lvlText w:val="(%1)"/>
      <w:lvlJc w:val="left"/>
      <w:pPr>
        <w:ind w:left="360" w:hanging="360"/>
      </w:pPr>
      <w:rPr>
        <w:rFonts w:hint="default"/>
        <w:b w:val="0"/>
        <w:i w:val="0"/>
        <w:sz w:val="16"/>
      </w:rPr>
    </w:lvl>
  </w:abstractNum>
  <w:abstractNum w:abstractNumId="17" w15:restartNumberingAfterBreak="0">
    <w:nsid w:val="22263EC9"/>
    <w:multiLevelType w:val="hybridMultilevel"/>
    <w:tmpl w:val="EDE62C08"/>
    <w:lvl w:ilvl="0" w:tplc="BE2C27CC">
      <w:start w:val="1"/>
      <w:numFmt w:val="decimal"/>
      <w:lvlText w:val="A.6.%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9" w15:restartNumberingAfterBreak="0">
    <w:nsid w:val="246E54FE"/>
    <w:multiLevelType w:val="hybridMultilevel"/>
    <w:tmpl w:val="C798C378"/>
    <w:lvl w:ilvl="0" w:tplc="6A8E3DD4">
      <w:start w:val="1"/>
      <w:numFmt w:val="decimal"/>
      <w:lvlText w:val="4.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440C8B"/>
    <w:multiLevelType w:val="multilevel"/>
    <w:tmpl w:val="00F28B38"/>
    <w:name w:val="StandardBulletedList_"/>
    <w:lvl w:ilvl="0">
      <w:start w:val="1"/>
      <w:numFmt w:val="bullet"/>
      <w:lvlRestart w:val="0"/>
      <w:lvlText w:val="•"/>
      <w:lvlJc w:val="left"/>
      <w:pPr>
        <w:tabs>
          <w:tab w:val="num" w:pos="1014"/>
        </w:tabs>
        <w:ind w:left="816" w:hanging="85"/>
      </w:pPr>
      <w:rPr>
        <w:rFonts w:ascii="Times New Roman" w:hAnsi="Times New Roman" w:cs="Times New Roman" w:hint="default"/>
        <w:b w:val="0"/>
        <w:i w:val="0"/>
      </w:rPr>
    </w:lvl>
    <w:lvl w:ilvl="1">
      <w:start w:val="1"/>
      <w:numFmt w:val="bullet"/>
      <w:lvlText w:val="–"/>
      <w:lvlJc w:val="left"/>
      <w:pPr>
        <w:tabs>
          <w:tab w:val="num" w:pos="1298"/>
        </w:tabs>
        <w:ind w:left="1298" w:hanging="284"/>
      </w:pPr>
      <w:rPr>
        <w:rFonts w:ascii="Times New Roman" w:hAnsi="Times New Roman" w:cs="Times New Roman" w:hint="default"/>
        <w:b w:val="0"/>
        <w:i w:val="0"/>
      </w:rPr>
    </w:lvl>
    <w:lvl w:ilvl="2">
      <w:start w:val="1"/>
      <w:numFmt w:val="bullet"/>
      <w:lvlText w:val=":"/>
      <w:lvlJc w:val="left"/>
      <w:pPr>
        <w:tabs>
          <w:tab w:val="num" w:pos="1581"/>
        </w:tabs>
        <w:ind w:left="1581" w:hanging="283"/>
      </w:pPr>
      <w:rPr>
        <w:rFonts w:ascii="Times New Roman" w:hAnsi="Times New Roman" w:cs="Times New Roman" w:hint="default"/>
        <w:b w:val="0"/>
        <w:i w:val="0"/>
      </w:rPr>
    </w:lvl>
    <w:lvl w:ilvl="3">
      <w:start w:val="1"/>
      <w:numFmt w:val="decimal"/>
      <w:lvlText w:val="(%4)"/>
      <w:lvlJc w:val="left"/>
      <w:pPr>
        <w:tabs>
          <w:tab w:val="num" w:pos="1462"/>
        </w:tabs>
        <w:ind w:left="1462" w:hanging="360"/>
      </w:pPr>
      <w:rPr>
        <w:rFonts w:hint="default"/>
        <w:b w:val="0"/>
        <w:i w:val="0"/>
      </w:rPr>
    </w:lvl>
    <w:lvl w:ilvl="4">
      <w:start w:val="1"/>
      <w:numFmt w:val="lowerLetter"/>
      <w:lvlText w:val="(%5)"/>
      <w:lvlJc w:val="left"/>
      <w:pPr>
        <w:tabs>
          <w:tab w:val="num" w:pos="1822"/>
        </w:tabs>
        <w:ind w:left="1822" w:hanging="360"/>
      </w:pPr>
      <w:rPr>
        <w:rFonts w:hint="default"/>
        <w:b w:val="0"/>
        <w:i w:val="0"/>
      </w:rPr>
    </w:lvl>
    <w:lvl w:ilvl="5">
      <w:start w:val="1"/>
      <w:numFmt w:val="lowerRoman"/>
      <w:lvlText w:val="(%6)"/>
      <w:lvlJc w:val="left"/>
      <w:pPr>
        <w:tabs>
          <w:tab w:val="num" w:pos="2182"/>
        </w:tabs>
        <w:ind w:left="2182" w:hanging="360"/>
      </w:pPr>
      <w:rPr>
        <w:rFonts w:hint="default"/>
        <w:b w:val="0"/>
        <w:i w:val="0"/>
      </w:rPr>
    </w:lvl>
    <w:lvl w:ilvl="6">
      <w:start w:val="1"/>
      <w:numFmt w:val="decimal"/>
      <w:lvlText w:val="%7."/>
      <w:lvlJc w:val="left"/>
      <w:pPr>
        <w:tabs>
          <w:tab w:val="num" w:pos="2542"/>
        </w:tabs>
        <w:ind w:left="2542" w:hanging="360"/>
      </w:pPr>
      <w:rPr>
        <w:rFonts w:hint="default"/>
        <w:b w:val="0"/>
        <w:i w:val="0"/>
      </w:rPr>
    </w:lvl>
    <w:lvl w:ilvl="7">
      <w:start w:val="1"/>
      <w:numFmt w:val="lowerLetter"/>
      <w:lvlText w:val="%8."/>
      <w:lvlJc w:val="left"/>
      <w:pPr>
        <w:tabs>
          <w:tab w:val="num" w:pos="2902"/>
        </w:tabs>
        <w:ind w:left="2902" w:hanging="360"/>
      </w:pPr>
      <w:rPr>
        <w:rFonts w:hint="default"/>
        <w:b w:val="0"/>
        <w:i w:val="0"/>
      </w:rPr>
    </w:lvl>
    <w:lvl w:ilvl="8">
      <w:start w:val="1"/>
      <w:numFmt w:val="lowerRoman"/>
      <w:lvlText w:val="%9."/>
      <w:lvlJc w:val="left"/>
      <w:pPr>
        <w:tabs>
          <w:tab w:val="num" w:pos="3262"/>
        </w:tabs>
        <w:ind w:left="3262" w:hanging="360"/>
      </w:pPr>
      <w:rPr>
        <w:rFonts w:hint="default"/>
        <w:b w:val="0"/>
        <w:i w:val="0"/>
      </w:rPr>
    </w:lvl>
  </w:abstractNum>
  <w:abstractNum w:abstractNumId="21" w15:restartNumberingAfterBreak="0">
    <w:nsid w:val="28853756"/>
    <w:multiLevelType w:val="singleLevel"/>
    <w:tmpl w:val="47B08EB8"/>
    <w:lvl w:ilvl="0">
      <w:start w:val="1"/>
      <w:numFmt w:val="lowerLetter"/>
      <w:lvlText w:val="(%1)"/>
      <w:lvlJc w:val="left"/>
      <w:pPr>
        <w:ind w:left="360" w:hanging="360"/>
      </w:pPr>
      <w:rPr>
        <w:rFonts w:hint="default"/>
        <w:b w:val="0"/>
        <w:i w:val="0"/>
        <w:sz w:val="16"/>
      </w:rPr>
    </w:lvl>
  </w:abstractNum>
  <w:abstractNum w:abstractNumId="22" w15:restartNumberingAfterBreak="0">
    <w:nsid w:val="28905B46"/>
    <w:multiLevelType w:val="hybridMultilevel"/>
    <w:tmpl w:val="0124124C"/>
    <w:name w:val="StandardNumberedList2223"/>
    <w:lvl w:ilvl="0" w:tplc="05364600">
      <w:start w:val="1"/>
      <w:numFmt w:val="decimal"/>
      <w:lvlText w:val="2.%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BBD1E40"/>
    <w:multiLevelType w:val="multilevel"/>
    <w:tmpl w:val="F9C8F2DE"/>
    <w:name w:val="AppendixNumberedParagraphList"/>
    <w:lvl w:ilvl="0">
      <w:start w:val="1"/>
      <w:numFmt w:val="decimal"/>
      <w:lvlRestart w:val="0"/>
      <w:pStyle w:val="AppendixHeading"/>
      <w:lvlText w:val=""/>
      <w:lvlJc w:val="left"/>
      <w:pPr>
        <w:tabs>
          <w:tab w:val="num" w:pos="0"/>
        </w:tabs>
        <w:ind w:left="0" w:firstLine="0"/>
      </w:pPr>
      <w:rPr>
        <w:rFonts w:hint="default"/>
        <w:b w:val="0"/>
        <w:i w:val="0"/>
        <w:color w:val="000000"/>
      </w:rPr>
    </w:lvl>
    <w:lvl w:ilvl="1">
      <w:start w:val="1"/>
      <w:numFmt w:val="none"/>
      <w:lvlText w:val="A.4.7"/>
      <w:lvlJc w:val="left"/>
      <w:pPr>
        <w:tabs>
          <w:tab w:val="num" w:pos="993"/>
        </w:tabs>
        <w:ind w:left="284" w:firstLine="0"/>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4" w15:restartNumberingAfterBreak="0">
    <w:nsid w:val="2BEA70BD"/>
    <w:multiLevelType w:val="hybridMultilevel"/>
    <w:tmpl w:val="881C086A"/>
    <w:lvl w:ilvl="0" w:tplc="DC101574">
      <w:start w:val="1"/>
      <w:numFmt w:val="decimal"/>
      <w:lvlText w:val="4.4.%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26" w15:restartNumberingAfterBreak="0">
    <w:nsid w:val="31EE32C2"/>
    <w:multiLevelType w:val="hybridMultilevel"/>
    <w:tmpl w:val="21A62D4C"/>
    <w:lvl w:ilvl="0" w:tplc="FFFFFFFF">
      <w:start w:val="1"/>
      <w:numFmt w:val="decimal"/>
      <w:lvlText w:val="4.2.%1"/>
      <w:lvlJc w:val="righ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0C28B1"/>
    <w:multiLevelType w:val="multilevel"/>
    <w:tmpl w:val="D1EE12A0"/>
    <w:styleLink w:val="Style1"/>
    <w:lvl w:ilvl="0">
      <w:start w:val="1"/>
      <w:numFmt w:val="decimal"/>
      <w:lvlText w:val="%1"/>
      <w:lvlJc w:val="left"/>
      <w:pPr>
        <w:tabs>
          <w:tab w:val="num" w:pos="850"/>
        </w:tabs>
        <w:ind w:left="850" w:hanging="850"/>
      </w:pPr>
      <w:rPr>
        <w:rFonts w:ascii="Arial" w:hAnsi="Arial" w:hint="default"/>
        <w:b/>
        <w:i w:val="0"/>
        <w:sz w:val="28"/>
        <w:szCs w:val="28"/>
      </w:rPr>
    </w:lvl>
    <w:lvl w:ilvl="1">
      <w:start w:val="1"/>
      <w:numFmt w:val="decimal"/>
      <w:lvlText w:val="%1.%2"/>
      <w:lvlJc w:val="left"/>
      <w:pPr>
        <w:tabs>
          <w:tab w:val="num" w:pos="850"/>
        </w:tabs>
        <w:ind w:left="850" w:hanging="850"/>
      </w:pPr>
      <w:rPr>
        <w:rFonts w:ascii="Univers 55" w:hAnsi="Univers 55"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Univers 55" w:hAnsi="Univers 55" w:hint="default"/>
        <w:b w:val="0"/>
        <w:i w:val="0"/>
        <w:sz w:val="22"/>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5315816"/>
    <w:multiLevelType w:val="hybridMultilevel"/>
    <w:tmpl w:val="431E64F2"/>
    <w:lvl w:ilvl="0" w:tplc="69A09C26">
      <w:start w:val="1"/>
      <w:numFmt w:val="decimal"/>
      <w:lvlText w:val="3.4.%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D77956"/>
    <w:multiLevelType w:val="hybridMultilevel"/>
    <w:tmpl w:val="7570CA46"/>
    <w:name w:val="StandardNumberedList22232"/>
    <w:lvl w:ilvl="0" w:tplc="B12A3650">
      <w:start w:val="1"/>
      <w:numFmt w:val="decimal"/>
      <w:lvlText w:val="1.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E040F0"/>
    <w:multiLevelType w:val="hybridMultilevel"/>
    <w:tmpl w:val="E300F88A"/>
    <w:lvl w:ilvl="0" w:tplc="526C8398">
      <w:start w:val="20"/>
      <w:numFmt w:val="decimal"/>
      <w:lvlText w:val="A.4.%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A83350"/>
    <w:multiLevelType w:val="multilevel"/>
    <w:tmpl w:val="8A321880"/>
    <w:name w:val="AGALettterBulletedList"/>
    <w:lvl w:ilvl="0">
      <w:start w:val="1"/>
      <w:numFmt w:val="bullet"/>
      <w:lvlText w:val="•"/>
      <w:lvlJc w:val="left"/>
      <w:pPr>
        <w:tabs>
          <w:tab w:val="num" w:pos="567"/>
        </w:tabs>
        <w:ind w:left="567" w:hanging="567"/>
      </w:pPr>
      <w:rPr>
        <w:rFonts w:ascii="Times New Roman" w:hAnsi="Times New Roman" w:cs="Times New Roman" w:hint="default"/>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FF26E6B"/>
    <w:multiLevelType w:val="hybridMultilevel"/>
    <w:tmpl w:val="8E6EAA94"/>
    <w:lvl w:ilvl="0" w:tplc="AF54A6AC">
      <w:start w:val="1"/>
      <w:numFmt w:val="decimal"/>
      <w:lvlText w:val="A.4.1%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05000E9"/>
    <w:multiLevelType w:val="hybridMultilevel"/>
    <w:tmpl w:val="E496F24E"/>
    <w:lvl w:ilvl="0" w:tplc="D4462A2C">
      <w:start w:val="1"/>
      <w:numFmt w:val="decimal"/>
      <w:lvlText w:val="4.2.%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014943"/>
    <w:multiLevelType w:val="hybridMultilevel"/>
    <w:tmpl w:val="FE5CB91A"/>
    <w:lvl w:ilvl="0" w:tplc="14B235E4">
      <w:start w:val="1"/>
      <w:numFmt w:val="decimal"/>
      <w:lvlText w:val="3.2.%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8" w15:restartNumberingAfterBreak="0">
    <w:nsid w:val="4AAB5470"/>
    <w:multiLevelType w:val="multilevel"/>
    <w:tmpl w:val="70E46C8A"/>
    <w:lvl w:ilvl="0">
      <w:start w:val="1"/>
      <w:numFmt w:val="bullet"/>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cs="Times New Roman"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lvl>
    <w:lvl w:ilvl="6">
      <w:start w:val="1"/>
      <w:numFmt w:val="decimal"/>
      <w:lvlText w:val="%7"/>
      <w:lvlJc w:val="left"/>
      <w:pPr>
        <w:tabs>
          <w:tab w:val="num" w:pos="1985"/>
        </w:tabs>
        <w:ind w:left="1985" w:hanging="964"/>
      </w:pPr>
    </w:lvl>
    <w:lvl w:ilvl="7">
      <w:start w:val="1"/>
      <w:numFmt w:val="lowerLetter"/>
      <w:lvlText w:val="%8"/>
      <w:lvlJc w:val="left"/>
      <w:pPr>
        <w:tabs>
          <w:tab w:val="num" w:pos="2268"/>
        </w:tabs>
        <w:ind w:left="2211" w:hanging="226"/>
      </w:pPr>
    </w:lvl>
    <w:lvl w:ilvl="8">
      <w:start w:val="1"/>
      <w:numFmt w:val="lowerRoman"/>
      <w:lvlText w:val="%9"/>
      <w:lvlJc w:val="left"/>
      <w:pPr>
        <w:tabs>
          <w:tab w:val="num" w:pos="2552"/>
        </w:tabs>
        <w:ind w:left="2552" w:hanging="284"/>
      </w:pPr>
    </w:lvl>
  </w:abstractNum>
  <w:abstractNum w:abstractNumId="39" w15:restartNumberingAfterBreak="0">
    <w:nsid w:val="4AAF5363"/>
    <w:multiLevelType w:val="hybridMultilevel"/>
    <w:tmpl w:val="A35807BA"/>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41" w15:restartNumberingAfterBreak="0">
    <w:nsid w:val="504C3E6C"/>
    <w:multiLevelType w:val="multilevel"/>
    <w:tmpl w:val="9078E2FE"/>
    <w:lvl w:ilvl="0">
      <w:start w:val="1"/>
      <w:numFmt w:val="decimal"/>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42" w15:restartNumberingAfterBreak="0">
    <w:nsid w:val="504D7167"/>
    <w:multiLevelType w:val="multilevel"/>
    <w:tmpl w:val="21622140"/>
    <w:name w:val="AGAReportBulletedList"/>
    <w:lvl w:ilvl="0">
      <w:start w:val="1"/>
      <w:numFmt w:val="bullet"/>
      <w:lvlText w:val="•"/>
      <w:lvlJc w:val="left"/>
      <w:pPr>
        <w:tabs>
          <w:tab w:val="num" w:pos="11"/>
        </w:tabs>
        <w:ind w:left="11" w:hanging="567"/>
      </w:pPr>
      <w:rPr>
        <w:rFonts w:hint="default"/>
      </w:rPr>
    </w:lvl>
    <w:lvl w:ilvl="1">
      <w:start w:val="1"/>
      <w:numFmt w:val="bullet"/>
      <w:lvlText w:val="–"/>
      <w:lvlJc w:val="left"/>
      <w:pPr>
        <w:tabs>
          <w:tab w:val="num" w:pos="578"/>
        </w:tabs>
        <w:ind w:left="578" w:hanging="567"/>
      </w:pPr>
      <w:rPr>
        <w:rFonts w:hint="default"/>
      </w:rPr>
    </w:lvl>
    <w:lvl w:ilvl="2">
      <w:start w:val="1"/>
      <w:numFmt w:val="bullet"/>
      <w:lvlText w:val=":"/>
      <w:lvlJc w:val="left"/>
      <w:pPr>
        <w:tabs>
          <w:tab w:val="num" w:pos="1145"/>
        </w:tabs>
        <w:ind w:left="1145" w:hanging="567"/>
      </w:pPr>
      <w:rPr>
        <w:rFonts w:hint="default"/>
      </w:rPr>
    </w:lvl>
    <w:lvl w:ilvl="3">
      <w:start w:val="1"/>
      <w:numFmt w:val="lowerRoman"/>
      <w:lvlText w:val="(%4)"/>
      <w:lvlJc w:val="right"/>
      <w:pPr>
        <w:tabs>
          <w:tab w:val="num" w:pos="-543"/>
        </w:tabs>
        <w:ind w:left="-543" w:hanging="144"/>
      </w:pPr>
      <w:rPr>
        <w:rFonts w:hint="default"/>
      </w:rPr>
    </w:lvl>
    <w:lvl w:ilvl="4">
      <w:start w:val="1"/>
      <w:numFmt w:val="decimal"/>
      <w:lvlText w:val="%5)"/>
      <w:lvlJc w:val="left"/>
      <w:pPr>
        <w:tabs>
          <w:tab w:val="num" w:pos="-399"/>
        </w:tabs>
        <w:ind w:left="-399" w:hanging="432"/>
      </w:pPr>
      <w:rPr>
        <w:rFonts w:hint="default"/>
      </w:rPr>
    </w:lvl>
    <w:lvl w:ilvl="5">
      <w:start w:val="1"/>
      <w:numFmt w:val="lowerLetter"/>
      <w:lvlText w:val="%6)"/>
      <w:lvlJc w:val="left"/>
      <w:pPr>
        <w:tabs>
          <w:tab w:val="num" w:pos="-255"/>
        </w:tabs>
        <w:ind w:left="-255" w:hanging="432"/>
      </w:pPr>
      <w:rPr>
        <w:rFonts w:hint="default"/>
      </w:rPr>
    </w:lvl>
    <w:lvl w:ilvl="6">
      <w:start w:val="1"/>
      <w:numFmt w:val="lowerRoman"/>
      <w:lvlText w:val="%7)"/>
      <w:lvlJc w:val="right"/>
      <w:pPr>
        <w:tabs>
          <w:tab w:val="num" w:pos="-111"/>
        </w:tabs>
        <w:ind w:left="-111" w:hanging="288"/>
      </w:pPr>
      <w:rPr>
        <w:rFonts w:hint="default"/>
      </w:rPr>
    </w:lvl>
    <w:lvl w:ilvl="7">
      <w:start w:val="1"/>
      <w:numFmt w:val="lowerLetter"/>
      <w:lvlText w:val="%8."/>
      <w:lvlJc w:val="left"/>
      <w:pPr>
        <w:tabs>
          <w:tab w:val="num" w:pos="33"/>
        </w:tabs>
        <w:ind w:left="33" w:hanging="432"/>
      </w:pPr>
      <w:rPr>
        <w:rFonts w:hint="default"/>
      </w:rPr>
    </w:lvl>
    <w:lvl w:ilvl="8">
      <w:start w:val="1"/>
      <w:numFmt w:val="lowerRoman"/>
      <w:lvlText w:val="%9."/>
      <w:lvlJc w:val="right"/>
      <w:pPr>
        <w:tabs>
          <w:tab w:val="num" w:pos="177"/>
        </w:tabs>
        <w:ind w:left="177" w:hanging="144"/>
      </w:pPr>
      <w:rPr>
        <w:rFonts w:hint="default"/>
      </w:rPr>
    </w:lvl>
  </w:abstractNum>
  <w:abstractNum w:abstractNumId="43" w15:restartNumberingAfterBreak="0">
    <w:nsid w:val="51295207"/>
    <w:multiLevelType w:val="multilevel"/>
    <w:tmpl w:val="F6C46E2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OutlineNumbered1"/>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44" w15:restartNumberingAfterBreak="0">
    <w:nsid w:val="52BD522B"/>
    <w:multiLevelType w:val="singleLevel"/>
    <w:tmpl w:val="47B08EB8"/>
    <w:lvl w:ilvl="0">
      <w:start w:val="1"/>
      <w:numFmt w:val="lowerLetter"/>
      <w:lvlText w:val="(%1)"/>
      <w:lvlJc w:val="left"/>
      <w:pPr>
        <w:ind w:left="360" w:hanging="360"/>
      </w:pPr>
      <w:rPr>
        <w:rFonts w:hint="default"/>
        <w:b w:val="0"/>
        <w:i w:val="0"/>
        <w:sz w:val="16"/>
      </w:rPr>
    </w:lvl>
  </w:abstractNum>
  <w:abstractNum w:abstractNumId="45" w15:restartNumberingAfterBreak="0">
    <w:nsid w:val="54197A5C"/>
    <w:multiLevelType w:val="hybridMultilevel"/>
    <w:tmpl w:val="891EEED0"/>
    <w:lvl w:ilvl="0" w:tplc="053C4940">
      <w:start w:val="1"/>
      <w:numFmt w:val="decimal"/>
      <w:lvlText w:val="3.5.%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6374BEB"/>
    <w:multiLevelType w:val="multilevel"/>
    <w:tmpl w:val="C2A4B002"/>
    <w:styleLink w:val="Style2"/>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9" w15:restartNumberingAfterBreak="0">
    <w:nsid w:val="5D571FA7"/>
    <w:multiLevelType w:val="hybridMultilevel"/>
    <w:tmpl w:val="FFE6E9FA"/>
    <w:lvl w:ilvl="0" w:tplc="35F6856A">
      <w:start w:val="1"/>
      <w:numFmt w:val="decimal"/>
      <w:lvlText w:val="4.6.%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1" w15:restartNumberingAfterBreak="0">
    <w:nsid w:val="63452A83"/>
    <w:multiLevelType w:val="hybridMultilevel"/>
    <w:tmpl w:val="97F624A6"/>
    <w:lvl w:ilvl="0" w:tplc="AE9AE0F0">
      <w:start w:val="1"/>
      <w:numFmt w:val="decimal"/>
      <w:lvlText w:val="2.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917BB9"/>
    <w:multiLevelType w:val="multilevel"/>
    <w:tmpl w:val="D286DFA4"/>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53" w15:restartNumberingAfterBreak="0">
    <w:nsid w:val="66035C24"/>
    <w:multiLevelType w:val="hybridMultilevel"/>
    <w:tmpl w:val="21306F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6367BF3"/>
    <w:multiLevelType w:val="hybridMultilevel"/>
    <w:tmpl w:val="B366F218"/>
    <w:lvl w:ilvl="0" w:tplc="9B00B506">
      <w:start w:val="1"/>
      <w:numFmt w:val="decimal"/>
      <w:lvlText w:val="A.5.%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6EB09AF"/>
    <w:multiLevelType w:val="multilevel"/>
    <w:tmpl w:val="ED62758E"/>
    <w:name w:val="StandardNumberedList"/>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67E21FD4"/>
    <w:multiLevelType w:val="hybridMultilevel"/>
    <w:tmpl w:val="CDBC423A"/>
    <w:lvl w:ilvl="0" w:tplc="C7DE0F6A">
      <w:start w:val="1"/>
      <w:numFmt w:val="decimal"/>
      <w:lvlText w:val="4.3.%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506F11"/>
    <w:multiLevelType w:val="multilevel"/>
    <w:tmpl w:val="469094EA"/>
    <w:lvl w:ilvl="0">
      <w:start w:val="1"/>
      <w:numFmt w:val="decimal"/>
      <w:lvlRestart w:val="0"/>
      <w:lvlText w:val=""/>
      <w:lvlJc w:val="left"/>
      <w:pPr>
        <w:tabs>
          <w:tab w:val="num" w:pos="0"/>
        </w:tabs>
        <w:ind w:left="0" w:firstLine="0"/>
      </w:pPr>
      <w:rPr>
        <w:rFonts w:hint="default"/>
        <w:b w:val="0"/>
        <w:i w:val="0"/>
        <w:color w:val="000000"/>
      </w:rPr>
    </w:lvl>
    <w:lvl w:ilvl="1">
      <w:start w:val="1"/>
      <w:numFmt w:val="decimal"/>
      <w:lvlText w:val="A.4.%2"/>
      <w:lvlJc w:val="right"/>
      <w:pPr>
        <w:tabs>
          <w:tab w:val="num" w:pos="993"/>
        </w:tabs>
        <w:ind w:left="284" w:firstLine="0"/>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58" w15:restartNumberingAfterBreak="0">
    <w:nsid w:val="6B1E25C3"/>
    <w:multiLevelType w:val="multilevel"/>
    <w:tmpl w:val="B142E2DC"/>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Numbered2"/>
      <w:lvlText w:val="%1.%2."/>
      <w:lvlJc w:val="left"/>
      <w:pPr>
        <w:tabs>
          <w:tab w:val="num" w:pos="3875"/>
        </w:tabs>
        <w:ind w:left="3875" w:hanging="472"/>
      </w:pPr>
      <w:rPr>
        <w:rFonts w:hint="default"/>
        <w:i w:val="0"/>
      </w:rPr>
    </w:lvl>
    <w:lvl w:ilvl="2">
      <w:start w:val="1"/>
      <w:numFmt w:val="decimal"/>
      <w:pStyle w:val="OutlineNumbered3"/>
      <w:lvlText w:val="%1.%2.%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6B78260A"/>
    <w:multiLevelType w:val="hybridMultilevel"/>
    <w:tmpl w:val="8EC24D58"/>
    <w:lvl w:ilvl="0" w:tplc="918E7C1A">
      <w:start w:val="1"/>
      <w:numFmt w:val="decimal"/>
      <w:lvlText w:val="3.3.%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6CCA3F74"/>
    <w:multiLevelType w:val="hybridMultilevel"/>
    <w:tmpl w:val="BEBCABE6"/>
    <w:lvl w:ilvl="0" w:tplc="65B8A1A4">
      <w:start w:val="1"/>
      <w:numFmt w:val="decimal"/>
      <w:lvlText w:val="2.2.%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07518CF"/>
    <w:multiLevelType w:val="multilevel"/>
    <w:tmpl w:val="A0E0581C"/>
    <w:name w:val="Bullets2"/>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63" w15:restartNumberingAfterBreak="0">
    <w:nsid w:val="77682945"/>
    <w:multiLevelType w:val="hybridMultilevel"/>
    <w:tmpl w:val="7D9C531A"/>
    <w:lvl w:ilvl="0" w:tplc="33407B4C">
      <w:start w:val="1"/>
      <w:numFmt w:val="decimal"/>
      <w:lvlText w:val="3.6.%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C813EB4"/>
    <w:multiLevelType w:val="singleLevel"/>
    <w:tmpl w:val="47B08EB8"/>
    <w:lvl w:ilvl="0">
      <w:start w:val="1"/>
      <w:numFmt w:val="lowerLetter"/>
      <w:lvlText w:val="(%1)"/>
      <w:lvlJc w:val="left"/>
      <w:pPr>
        <w:ind w:left="360" w:hanging="360"/>
      </w:pPr>
      <w:rPr>
        <w:rFonts w:hint="default"/>
        <w:b w:val="0"/>
        <w:i w:val="0"/>
        <w:sz w:val="16"/>
      </w:rPr>
    </w:lvl>
  </w:abstractNum>
  <w:num w:numId="1" w16cid:durableId="791561629">
    <w:abstractNumId w:val="48"/>
  </w:num>
  <w:num w:numId="2" w16cid:durableId="1820730423">
    <w:abstractNumId w:val="50"/>
  </w:num>
  <w:num w:numId="3" w16cid:durableId="1269778463">
    <w:abstractNumId w:val="23"/>
  </w:num>
  <w:num w:numId="4" w16cid:durableId="2017075727">
    <w:abstractNumId w:val="58"/>
  </w:num>
  <w:num w:numId="5" w16cid:durableId="1963346812">
    <w:abstractNumId w:val="37"/>
  </w:num>
  <w:num w:numId="6" w16cid:durableId="1459571111">
    <w:abstractNumId w:val="60"/>
  </w:num>
  <w:num w:numId="7" w16cid:durableId="1444955903">
    <w:abstractNumId w:val="46"/>
  </w:num>
  <w:num w:numId="8" w16cid:durableId="11421129">
    <w:abstractNumId w:val="18"/>
  </w:num>
  <w:num w:numId="9" w16cid:durableId="740756846">
    <w:abstractNumId w:val="29"/>
  </w:num>
  <w:num w:numId="10" w16cid:durableId="1770932812">
    <w:abstractNumId w:val="30"/>
  </w:num>
  <w:num w:numId="11" w16cid:durableId="975064716">
    <w:abstractNumId w:val="4"/>
  </w:num>
  <w:num w:numId="12" w16cid:durableId="659623223">
    <w:abstractNumId w:val="13"/>
  </w:num>
  <w:num w:numId="13" w16cid:durableId="1049455661">
    <w:abstractNumId w:val="2"/>
  </w:num>
  <w:num w:numId="14" w16cid:durableId="1750539796">
    <w:abstractNumId w:val="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16cid:durableId="13683338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9286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8140663">
    <w:abstractNumId w:val="0"/>
  </w:num>
  <w:num w:numId="18" w16cid:durableId="1926723752">
    <w:abstractNumId w:val="43"/>
  </w:num>
  <w:num w:numId="19" w16cid:durableId="1185635877">
    <w:abstractNumId w:val="5"/>
  </w:num>
  <w:num w:numId="20" w16cid:durableId="714504588">
    <w:abstractNumId w:val="27"/>
  </w:num>
  <w:num w:numId="21" w16cid:durableId="1153988715">
    <w:abstractNumId w:val="47"/>
  </w:num>
  <w:num w:numId="22" w16cid:durableId="1778477848">
    <w:abstractNumId w:val="1"/>
  </w:num>
  <w:num w:numId="23" w16cid:durableId="412360573">
    <w:abstractNumId w:val="20"/>
  </w:num>
  <w:num w:numId="24" w16cid:durableId="1090348148">
    <w:abstractNumId w:val="43"/>
    <w:lvlOverride w:ilvl="0">
      <w:startOverride w:val="4"/>
    </w:lvlOverride>
    <w:lvlOverride w:ilvl="1">
      <w:startOverride w:val="2"/>
    </w:lvlOverride>
  </w:num>
  <w:num w:numId="25" w16cid:durableId="1613584380">
    <w:abstractNumId w:val="15"/>
  </w:num>
  <w:num w:numId="26" w16cid:durableId="1631858755">
    <w:abstractNumId w:val="57"/>
  </w:num>
  <w:num w:numId="27" w16cid:durableId="130908083">
    <w:abstractNumId w:val="8"/>
  </w:num>
  <w:num w:numId="28" w16cid:durableId="245195140">
    <w:abstractNumId w:val="32"/>
  </w:num>
  <w:num w:numId="29" w16cid:durableId="1276449143">
    <w:abstractNumId w:val="10"/>
  </w:num>
  <w:num w:numId="30" w16cid:durableId="1976061964">
    <w:abstractNumId w:val="17"/>
  </w:num>
  <w:num w:numId="31" w16cid:durableId="1538472663">
    <w:abstractNumId w:val="31"/>
  </w:num>
  <w:num w:numId="32" w16cid:durableId="933053391">
    <w:abstractNumId w:val="51"/>
  </w:num>
  <w:num w:numId="33" w16cid:durableId="2068915775">
    <w:abstractNumId w:val="6"/>
  </w:num>
  <w:num w:numId="34" w16cid:durableId="725838747">
    <w:abstractNumId w:val="39"/>
  </w:num>
  <w:num w:numId="35" w16cid:durableId="1308238443">
    <w:abstractNumId w:val="3"/>
  </w:num>
  <w:num w:numId="36" w16cid:durableId="1837957839">
    <w:abstractNumId w:val="53"/>
  </w:num>
  <w:num w:numId="37" w16cid:durableId="921913766">
    <w:abstractNumId w:val="43"/>
    <w:lvlOverride w:ilvl="0">
      <w:startOverride w:val="4"/>
    </w:lvlOverride>
    <w:lvlOverride w:ilvl="1">
      <w:startOverride w:val="6"/>
    </w:lvlOverride>
  </w:num>
  <w:num w:numId="38" w16cid:durableId="1282954528">
    <w:abstractNumId w:val="61"/>
  </w:num>
  <w:num w:numId="39" w16cid:durableId="890775579">
    <w:abstractNumId w:val="7"/>
  </w:num>
  <w:num w:numId="40" w16cid:durableId="149446397">
    <w:abstractNumId w:val="36"/>
  </w:num>
  <w:num w:numId="41" w16cid:durableId="1556700641">
    <w:abstractNumId w:val="59"/>
  </w:num>
  <w:num w:numId="42" w16cid:durableId="159932447">
    <w:abstractNumId w:val="28"/>
  </w:num>
  <w:num w:numId="43" w16cid:durableId="802816762">
    <w:abstractNumId w:val="45"/>
  </w:num>
  <w:num w:numId="44" w16cid:durableId="1734423378">
    <w:abstractNumId w:val="63"/>
  </w:num>
  <w:num w:numId="45" w16cid:durableId="230777531">
    <w:abstractNumId w:val="19"/>
  </w:num>
  <w:num w:numId="46" w16cid:durableId="1647514329">
    <w:abstractNumId w:val="35"/>
  </w:num>
  <w:num w:numId="47" w16cid:durableId="656762214">
    <w:abstractNumId w:val="56"/>
  </w:num>
  <w:num w:numId="48" w16cid:durableId="1988585190">
    <w:abstractNumId w:val="24"/>
  </w:num>
  <w:num w:numId="49" w16cid:durableId="1136025578">
    <w:abstractNumId w:val="49"/>
  </w:num>
  <w:num w:numId="50" w16cid:durableId="711150559">
    <w:abstractNumId w:val="44"/>
  </w:num>
  <w:num w:numId="51" w16cid:durableId="1949387561">
    <w:abstractNumId w:val="64"/>
  </w:num>
  <w:num w:numId="52" w16cid:durableId="46538094">
    <w:abstractNumId w:val="16"/>
  </w:num>
  <w:num w:numId="53" w16cid:durableId="88015191">
    <w:abstractNumId w:val="21"/>
  </w:num>
  <w:num w:numId="54" w16cid:durableId="965040975">
    <w:abstractNumId w:val="9"/>
  </w:num>
  <w:num w:numId="55" w16cid:durableId="1765297235">
    <w:abstractNumId w:val="34"/>
  </w:num>
  <w:num w:numId="56" w16cid:durableId="867185105">
    <w:abstractNumId w:val="54"/>
  </w:num>
  <w:num w:numId="57" w16cid:durableId="417752528">
    <w:abstractNumId w:val="12"/>
  </w:num>
  <w:num w:numId="58" w16cid:durableId="461117520">
    <w:abstractNumId w:val="33"/>
  </w:num>
  <w:num w:numId="59" w16cid:durableId="1830630623">
    <w:abstractNumId w:val="26"/>
  </w:num>
  <w:num w:numId="60" w16cid:durableId="309137216">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1"/>
    <w:rsid w:val="00000015"/>
    <w:rsid w:val="0000034F"/>
    <w:rsid w:val="000003C1"/>
    <w:rsid w:val="00000646"/>
    <w:rsid w:val="00000A9C"/>
    <w:rsid w:val="00000E7C"/>
    <w:rsid w:val="000019D9"/>
    <w:rsid w:val="00003096"/>
    <w:rsid w:val="000030F1"/>
    <w:rsid w:val="00003CC6"/>
    <w:rsid w:val="00004A96"/>
    <w:rsid w:val="00004FCC"/>
    <w:rsid w:val="00005896"/>
    <w:rsid w:val="00005EDF"/>
    <w:rsid w:val="00006B5F"/>
    <w:rsid w:val="000070A4"/>
    <w:rsid w:val="00007772"/>
    <w:rsid w:val="000100AE"/>
    <w:rsid w:val="0001051E"/>
    <w:rsid w:val="00010C37"/>
    <w:rsid w:val="00010C5D"/>
    <w:rsid w:val="00010FB9"/>
    <w:rsid w:val="000117F2"/>
    <w:rsid w:val="00011EE6"/>
    <w:rsid w:val="00012FC3"/>
    <w:rsid w:val="000134DD"/>
    <w:rsid w:val="00013567"/>
    <w:rsid w:val="00014DA9"/>
    <w:rsid w:val="00014EF2"/>
    <w:rsid w:val="00014F3F"/>
    <w:rsid w:val="00015175"/>
    <w:rsid w:val="00015639"/>
    <w:rsid w:val="000160B5"/>
    <w:rsid w:val="00016287"/>
    <w:rsid w:val="0001644E"/>
    <w:rsid w:val="00016475"/>
    <w:rsid w:val="000168AF"/>
    <w:rsid w:val="000175C0"/>
    <w:rsid w:val="00017BE0"/>
    <w:rsid w:val="00017E7B"/>
    <w:rsid w:val="00020188"/>
    <w:rsid w:val="000202B4"/>
    <w:rsid w:val="000207C8"/>
    <w:rsid w:val="00020983"/>
    <w:rsid w:val="0002181C"/>
    <w:rsid w:val="000220FB"/>
    <w:rsid w:val="00022CDE"/>
    <w:rsid w:val="00022EF2"/>
    <w:rsid w:val="000235DC"/>
    <w:rsid w:val="000238BC"/>
    <w:rsid w:val="00023BCC"/>
    <w:rsid w:val="00023C88"/>
    <w:rsid w:val="00023DD9"/>
    <w:rsid w:val="00024392"/>
    <w:rsid w:val="000243C9"/>
    <w:rsid w:val="000246BE"/>
    <w:rsid w:val="00024EE1"/>
    <w:rsid w:val="000256FA"/>
    <w:rsid w:val="000258E4"/>
    <w:rsid w:val="00025A49"/>
    <w:rsid w:val="00025A51"/>
    <w:rsid w:val="00026115"/>
    <w:rsid w:val="00026369"/>
    <w:rsid w:val="00026517"/>
    <w:rsid w:val="00026748"/>
    <w:rsid w:val="000269E9"/>
    <w:rsid w:val="0002710F"/>
    <w:rsid w:val="0002767B"/>
    <w:rsid w:val="000276DC"/>
    <w:rsid w:val="00030832"/>
    <w:rsid w:val="0003093D"/>
    <w:rsid w:val="00030989"/>
    <w:rsid w:val="0003115D"/>
    <w:rsid w:val="00031649"/>
    <w:rsid w:val="00031826"/>
    <w:rsid w:val="00031F4E"/>
    <w:rsid w:val="00032359"/>
    <w:rsid w:val="00032C6D"/>
    <w:rsid w:val="00033873"/>
    <w:rsid w:val="0003393F"/>
    <w:rsid w:val="0003492C"/>
    <w:rsid w:val="000354E1"/>
    <w:rsid w:val="00035D2E"/>
    <w:rsid w:val="00035E01"/>
    <w:rsid w:val="00036856"/>
    <w:rsid w:val="00036921"/>
    <w:rsid w:val="00036CA1"/>
    <w:rsid w:val="00037047"/>
    <w:rsid w:val="000373F6"/>
    <w:rsid w:val="000378F5"/>
    <w:rsid w:val="000379C0"/>
    <w:rsid w:val="00037BD4"/>
    <w:rsid w:val="00037DDC"/>
    <w:rsid w:val="00040237"/>
    <w:rsid w:val="00040300"/>
    <w:rsid w:val="000404D0"/>
    <w:rsid w:val="00040CE4"/>
    <w:rsid w:val="00040ECE"/>
    <w:rsid w:val="0004136D"/>
    <w:rsid w:val="00041860"/>
    <w:rsid w:val="00041A98"/>
    <w:rsid w:val="00041E4B"/>
    <w:rsid w:val="000426E9"/>
    <w:rsid w:val="0004294A"/>
    <w:rsid w:val="000429B6"/>
    <w:rsid w:val="00042D58"/>
    <w:rsid w:val="00042FFF"/>
    <w:rsid w:val="00043038"/>
    <w:rsid w:val="0004305B"/>
    <w:rsid w:val="000430BC"/>
    <w:rsid w:val="00043989"/>
    <w:rsid w:val="00043BF8"/>
    <w:rsid w:val="00043C5F"/>
    <w:rsid w:val="00043D81"/>
    <w:rsid w:val="00043E2D"/>
    <w:rsid w:val="00044289"/>
    <w:rsid w:val="0004482C"/>
    <w:rsid w:val="00044BB0"/>
    <w:rsid w:val="000453C4"/>
    <w:rsid w:val="000453E5"/>
    <w:rsid w:val="00045470"/>
    <w:rsid w:val="00045489"/>
    <w:rsid w:val="00045B08"/>
    <w:rsid w:val="0004602C"/>
    <w:rsid w:val="000474E0"/>
    <w:rsid w:val="000476EA"/>
    <w:rsid w:val="00047B75"/>
    <w:rsid w:val="000500F6"/>
    <w:rsid w:val="00050175"/>
    <w:rsid w:val="000503AA"/>
    <w:rsid w:val="000504D6"/>
    <w:rsid w:val="00050A9C"/>
    <w:rsid w:val="00050E1E"/>
    <w:rsid w:val="00050E6F"/>
    <w:rsid w:val="00051361"/>
    <w:rsid w:val="00051472"/>
    <w:rsid w:val="00051920"/>
    <w:rsid w:val="00051B5E"/>
    <w:rsid w:val="000524D5"/>
    <w:rsid w:val="00052584"/>
    <w:rsid w:val="000531B4"/>
    <w:rsid w:val="00053494"/>
    <w:rsid w:val="00053DD0"/>
    <w:rsid w:val="00053F53"/>
    <w:rsid w:val="0005424A"/>
    <w:rsid w:val="000543FA"/>
    <w:rsid w:val="0005583E"/>
    <w:rsid w:val="000560EA"/>
    <w:rsid w:val="0005628A"/>
    <w:rsid w:val="00056686"/>
    <w:rsid w:val="00056906"/>
    <w:rsid w:val="00056D34"/>
    <w:rsid w:val="0005731E"/>
    <w:rsid w:val="000573BE"/>
    <w:rsid w:val="00057712"/>
    <w:rsid w:val="00057809"/>
    <w:rsid w:val="000600D1"/>
    <w:rsid w:val="0006056F"/>
    <w:rsid w:val="00060AD9"/>
    <w:rsid w:val="00060F9D"/>
    <w:rsid w:val="00061D72"/>
    <w:rsid w:val="00062197"/>
    <w:rsid w:val="00062812"/>
    <w:rsid w:val="0006289A"/>
    <w:rsid w:val="00062B16"/>
    <w:rsid w:val="0006328D"/>
    <w:rsid w:val="0006339E"/>
    <w:rsid w:val="00064035"/>
    <w:rsid w:val="00064B1D"/>
    <w:rsid w:val="0006504A"/>
    <w:rsid w:val="00065A9D"/>
    <w:rsid w:val="00065AEC"/>
    <w:rsid w:val="00066352"/>
    <w:rsid w:val="00066468"/>
    <w:rsid w:val="000675CC"/>
    <w:rsid w:val="00067609"/>
    <w:rsid w:val="0006789D"/>
    <w:rsid w:val="00067B3A"/>
    <w:rsid w:val="00067ECF"/>
    <w:rsid w:val="00067F66"/>
    <w:rsid w:val="00067F7C"/>
    <w:rsid w:val="0007032D"/>
    <w:rsid w:val="0007042A"/>
    <w:rsid w:val="00070F2A"/>
    <w:rsid w:val="00071676"/>
    <w:rsid w:val="00071C6D"/>
    <w:rsid w:val="00071DD7"/>
    <w:rsid w:val="00072160"/>
    <w:rsid w:val="000726A8"/>
    <w:rsid w:val="00072991"/>
    <w:rsid w:val="000730B5"/>
    <w:rsid w:val="0007322F"/>
    <w:rsid w:val="00073860"/>
    <w:rsid w:val="00073D5B"/>
    <w:rsid w:val="00073D60"/>
    <w:rsid w:val="0007491C"/>
    <w:rsid w:val="000759F7"/>
    <w:rsid w:val="00075AC0"/>
    <w:rsid w:val="00075B3E"/>
    <w:rsid w:val="0007610C"/>
    <w:rsid w:val="00076414"/>
    <w:rsid w:val="0007655C"/>
    <w:rsid w:val="00076FA3"/>
    <w:rsid w:val="00077E94"/>
    <w:rsid w:val="00077F64"/>
    <w:rsid w:val="000801EB"/>
    <w:rsid w:val="000807B6"/>
    <w:rsid w:val="00080B0C"/>
    <w:rsid w:val="00080BB6"/>
    <w:rsid w:val="00080E69"/>
    <w:rsid w:val="00080EB4"/>
    <w:rsid w:val="00081138"/>
    <w:rsid w:val="0008161D"/>
    <w:rsid w:val="000826C7"/>
    <w:rsid w:val="000830D6"/>
    <w:rsid w:val="00083277"/>
    <w:rsid w:val="0008360F"/>
    <w:rsid w:val="00083AA8"/>
    <w:rsid w:val="00083D92"/>
    <w:rsid w:val="00084450"/>
    <w:rsid w:val="00084480"/>
    <w:rsid w:val="000846C8"/>
    <w:rsid w:val="00084766"/>
    <w:rsid w:val="00084ADB"/>
    <w:rsid w:val="00084FC0"/>
    <w:rsid w:val="00085278"/>
    <w:rsid w:val="0008650D"/>
    <w:rsid w:val="00086656"/>
    <w:rsid w:val="000869B2"/>
    <w:rsid w:val="00086A80"/>
    <w:rsid w:val="00087631"/>
    <w:rsid w:val="000876C8"/>
    <w:rsid w:val="000877C7"/>
    <w:rsid w:val="000878EA"/>
    <w:rsid w:val="00087E5F"/>
    <w:rsid w:val="00090733"/>
    <w:rsid w:val="00090BA6"/>
    <w:rsid w:val="00090F9D"/>
    <w:rsid w:val="00091168"/>
    <w:rsid w:val="00091204"/>
    <w:rsid w:val="00091898"/>
    <w:rsid w:val="00091BB4"/>
    <w:rsid w:val="00093C1D"/>
    <w:rsid w:val="00093FE3"/>
    <w:rsid w:val="00094308"/>
    <w:rsid w:val="0009434B"/>
    <w:rsid w:val="00094794"/>
    <w:rsid w:val="0009561D"/>
    <w:rsid w:val="00095648"/>
    <w:rsid w:val="00095D4B"/>
    <w:rsid w:val="00095E04"/>
    <w:rsid w:val="000962FF"/>
    <w:rsid w:val="00096886"/>
    <w:rsid w:val="00096B7A"/>
    <w:rsid w:val="00096BA0"/>
    <w:rsid w:val="000975D4"/>
    <w:rsid w:val="00097C34"/>
    <w:rsid w:val="000A003C"/>
    <w:rsid w:val="000A006D"/>
    <w:rsid w:val="000A007C"/>
    <w:rsid w:val="000A0276"/>
    <w:rsid w:val="000A0388"/>
    <w:rsid w:val="000A0ADB"/>
    <w:rsid w:val="000A1657"/>
    <w:rsid w:val="000A1970"/>
    <w:rsid w:val="000A1AE7"/>
    <w:rsid w:val="000A2AEF"/>
    <w:rsid w:val="000A3950"/>
    <w:rsid w:val="000A3BC3"/>
    <w:rsid w:val="000A3BE7"/>
    <w:rsid w:val="000A3F92"/>
    <w:rsid w:val="000A43FE"/>
    <w:rsid w:val="000A46D6"/>
    <w:rsid w:val="000A4A7F"/>
    <w:rsid w:val="000A5BB9"/>
    <w:rsid w:val="000A687D"/>
    <w:rsid w:val="000A6EBF"/>
    <w:rsid w:val="000A7988"/>
    <w:rsid w:val="000A7B1A"/>
    <w:rsid w:val="000A7CA8"/>
    <w:rsid w:val="000B064D"/>
    <w:rsid w:val="000B079E"/>
    <w:rsid w:val="000B0FEC"/>
    <w:rsid w:val="000B162C"/>
    <w:rsid w:val="000B16F2"/>
    <w:rsid w:val="000B1806"/>
    <w:rsid w:val="000B1CDE"/>
    <w:rsid w:val="000B1FF2"/>
    <w:rsid w:val="000B20F2"/>
    <w:rsid w:val="000B2786"/>
    <w:rsid w:val="000B2794"/>
    <w:rsid w:val="000B2B21"/>
    <w:rsid w:val="000B2BE0"/>
    <w:rsid w:val="000B2D97"/>
    <w:rsid w:val="000B3B13"/>
    <w:rsid w:val="000B4C40"/>
    <w:rsid w:val="000B4E08"/>
    <w:rsid w:val="000B52BA"/>
    <w:rsid w:val="000B5319"/>
    <w:rsid w:val="000B5503"/>
    <w:rsid w:val="000B5B00"/>
    <w:rsid w:val="000B615E"/>
    <w:rsid w:val="000B639A"/>
    <w:rsid w:val="000B6B38"/>
    <w:rsid w:val="000B6EC0"/>
    <w:rsid w:val="000B6F6B"/>
    <w:rsid w:val="000B7836"/>
    <w:rsid w:val="000B786D"/>
    <w:rsid w:val="000B7A58"/>
    <w:rsid w:val="000B7F3F"/>
    <w:rsid w:val="000C00D1"/>
    <w:rsid w:val="000C059F"/>
    <w:rsid w:val="000C0ED2"/>
    <w:rsid w:val="000C101D"/>
    <w:rsid w:val="000C1313"/>
    <w:rsid w:val="000C1B51"/>
    <w:rsid w:val="000C1BA7"/>
    <w:rsid w:val="000C1C80"/>
    <w:rsid w:val="000C2CC2"/>
    <w:rsid w:val="000C2F64"/>
    <w:rsid w:val="000C3361"/>
    <w:rsid w:val="000C347C"/>
    <w:rsid w:val="000C34E9"/>
    <w:rsid w:val="000C358F"/>
    <w:rsid w:val="000C386C"/>
    <w:rsid w:val="000C3B4F"/>
    <w:rsid w:val="000C3CB4"/>
    <w:rsid w:val="000C3CDF"/>
    <w:rsid w:val="000C4140"/>
    <w:rsid w:val="000C43BA"/>
    <w:rsid w:val="000C4927"/>
    <w:rsid w:val="000C52DC"/>
    <w:rsid w:val="000C5366"/>
    <w:rsid w:val="000C58CB"/>
    <w:rsid w:val="000C5954"/>
    <w:rsid w:val="000C5A16"/>
    <w:rsid w:val="000C5D83"/>
    <w:rsid w:val="000C5F27"/>
    <w:rsid w:val="000C609D"/>
    <w:rsid w:val="000C6460"/>
    <w:rsid w:val="000C667C"/>
    <w:rsid w:val="000C686B"/>
    <w:rsid w:val="000C686F"/>
    <w:rsid w:val="000C6DB8"/>
    <w:rsid w:val="000C6F1D"/>
    <w:rsid w:val="000C74D8"/>
    <w:rsid w:val="000C7C46"/>
    <w:rsid w:val="000C7EF6"/>
    <w:rsid w:val="000D01A9"/>
    <w:rsid w:val="000D0D8E"/>
    <w:rsid w:val="000D0F5C"/>
    <w:rsid w:val="000D1095"/>
    <w:rsid w:val="000D1ADA"/>
    <w:rsid w:val="000D1D60"/>
    <w:rsid w:val="000D1ECE"/>
    <w:rsid w:val="000D1FBF"/>
    <w:rsid w:val="000D1FE4"/>
    <w:rsid w:val="000D2D21"/>
    <w:rsid w:val="000D2D72"/>
    <w:rsid w:val="000D30ED"/>
    <w:rsid w:val="000D31A8"/>
    <w:rsid w:val="000D33B7"/>
    <w:rsid w:val="000D36C8"/>
    <w:rsid w:val="000D379B"/>
    <w:rsid w:val="000D39D0"/>
    <w:rsid w:val="000D3FCF"/>
    <w:rsid w:val="000D402B"/>
    <w:rsid w:val="000D43AE"/>
    <w:rsid w:val="000D5803"/>
    <w:rsid w:val="000D5C62"/>
    <w:rsid w:val="000D5C79"/>
    <w:rsid w:val="000D5E6F"/>
    <w:rsid w:val="000D5E71"/>
    <w:rsid w:val="000D6534"/>
    <w:rsid w:val="000E0606"/>
    <w:rsid w:val="000E0768"/>
    <w:rsid w:val="000E0BCF"/>
    <w:rsid w:val="000E1030"/>
    <w:rsid w:val="000E108A"/>
    <w:rsid w:val="000E1226"/>
    <w:rsid w:val="000E1634"/>
    <w:rsid w:val="000E1CC7"/>
    <w:rsid w:val="000E2272"/>
    <w:rsid w:val="000E23D4"/>
    <w:rsid w:val="000E246D"/>
    <w:rsid w:val="000E2D13"/>
    <w:rsid w:val="000E3979"/>
    <w:rsid w:val="000E4312"/>
    <w:rsid w:val="000E4C8C"/>
    <w:rsid w:val="000E4C8F"/>
    <w:rsid w:val="000E4FEE"/>
    <w:rsid w:val="000E50B5"/>
    <w:rsid w:val="000E5256"/>
    <w:rsid w:val="000E55A4"/>
    <w:rsid w:val="000E5633"/>
    <w:rsid w:val="000E596F"/>
    <w:rsid w:val="000E5DC4"/>
    <w:rsid w:val="000E619F"/>
    <w:rsid w:val="000E6B28"/>
    <w:rsid w:val="000E6C15"/>
    <w:rsid w:val="000E75FC"/>
    <w:rsid w:val="000E78A0"/>
    <w:rsid w:val="000E7E95"/>
    <w:rsid w:val="000F00CF"/>
    <w:rsid w:val="000F024C"/>
    <w:rsid w:val="000F03A9"/>
    <w:rsid w:val="000F0480"/>
    <w:rsid w:val="000F09DE"/>
    <w:rsid w:val="000F0A98"/>
    <w:rsid w:val="000F133C"/>
    <w:rsid w:val="000F1755"/>
    <w:rsid w:val="000F19A7"/>
    <w:rsid w:val="000F2D5E"/>
    <w:rsid w:val="000F40E8"/>
    <w:rsid w:val="000F4920"/>
    <w:rsid w:val="000F4AED"/>
    <w:rsid w:val="000F4E5A"/>
    <w:rsid w:val="000F4E75"/>
    <w:rsid w:val="000F5410"/>
    <w:rsid w:val="000F60A8"/>
    <w:rsid w:val="000F69B5"/>
    <w:rsid w:val="000F6CAE"/>
    <w:rsid w:val="000F6E45"/>
    <w:rsid w:val="000F71FA"/>
    <w:rsid w:val="000F77DF"/>
    <w:rsid w:val="001004C1"/>
    <w:rsid w:val="0010072D"/>
    <w:rsid w:val="00101BBB"/>
    <w:rsid w:val="00101E94"/>
    <w:rsid w:val="00102046"/>
    <w:rsid w:val="0010262F"/>
    <w:rsid w:val="00102890"/>
    <w:rsid w:val="00102A0C"/>
    <w:rsid w:val="00102DE7"/>
    <w:rsid w:val="00103252"/>
    <w:rsid w:val="00103331"/>
    <w:rsid w:val="00103D6B"/>
    <w:rsid w:val="00103EC5"/>
    <w:rsid w:val="001043B3"/>
    <w:rsid w:val="0010446C"/>
    <w:rsid w:val="00104847"/>
    <w:rsid w:val="00104A15"/>
    <w:rsid w:val="00105608"/>
    <w:rsid w:val="00105C55"/>
    <w:rsid w:val="00106105"/>
    <w:rsid w:val="0010659C"/>
    <w:rsid w:val="00107096"/>
    <w:rsid w:val="001073BA"/>
    <w:rsid w:val="00107425"/>
    <w:rsid w:val="001078D0"/>
    <w:rsid w:val="00107A53"/>
    <w:rsid w:val="00107D91"/>
    <w:rsid w:val="001101D7"/>
    <w:rsid w:val="00110294"/>
    <w:rsid w:val="0011080B"/>
    <w:rsid w:val="00110C9C"/>
    <w:rsid w:val="00111426"/>
    <w:rsid w:val="001117CA"/>
    <w:rsid w:val="001117CF"/>
    <w:rsid w:val="00111F8F"/>
    <w:rsid w:val="00112254"/>
    <w:rsid w:val="00112308"/>
    <w:rsid w:val="0011258D"/>
    <w:rsid w:val="00112651"/>
    <w:rsid w:val="00112737"/>
    <w:rsid w:val="00112E88"/>
    <w:rsid w:val="00113EC5"/>
    <w:rsid w:val="0011417D"/>
    <w:rsid w:val="00114186"/>
    <w:rsid w:val="00114454"/>
    <w:rsid w:val="001148B2"/>
    <w:rsid w:val="00114BCF"/>
    <w:rsid w:val="001152D7"/>
    <w:rsid w:val="00115CD2"/>
    <w:rsid w:val="00116016"/>
    <w:rsid w:val="00116B5B"/>
    <w:rsid w:val="0011742F"/>
    <w:rsid w:val="001178F0"/>
    <w:rsid w:val="00120543"/>
    <w:rsid w:val="0012062A"/>
    <w:rsid w:val="0012092F"/>
    <w:rsid w:val="00120955"/>
    <w:rsid w:val="00120B8E"/>
    <w:rsid w:val="00120BFF"/>
    <w:rsid w:val="001213F0"/>
    <w:rsid w:val="00121431"/>
    <w:rsid w:val="00121468"/>
    <w:rsid w:val="00122D32"/>
    <w:rsid w:val="0012324F"/>
    <w:rsid w:val="00123572"/>
    <w:rsid w:val="00123A4B"/>
    <w:rsid w:val="00123F2F"/>
    <w:rsid w:val="00124301"/>
    <w:rsid w:val="00124320"/>
    <w:rsid w:val="0012467D"/>
    <w:rsid w:val="00124EBB"/>
    <w:rsid w:val="00125B22"/>
    <w:rsid w:val="00126358"/>
    <w:rsid w:val="00126D15"/>
    <w:rsid w:val="00126E7E"/>
    <w:rsid w:val="001276E6"/>
    <w:rsid w:val="0012775F"/>
    <w:rsid w:val="00127B4D"/>
    <w:rsid w:val="0013086C"/>
    <w:rsid w:val="00130B7F"/>
    <w:rsid w:val="00130C8B"/>
    <w:rsid w:val="001312D6"/>
    <w:rsid w:val="001316F9"/>
    <w:rsid w:val="00131FCE"/>
    <w:rsid w:val="0013268F"/>
    <w:rsid w:val="00132819"/>
    <w:rsid w:val="00132E8E"/>
    <w:rsid w:val="001332F8"/>
    <w:rsid w:val="00133561"/>
    <w:rsid w:val="0013372E"/>
    <w:rsid w:val="00133A5C"/>
    <w:rsid w:val="00133D97"/>
    <w:rsid w:val="00134385"/>
    <w:rsid w:val="00134609"/>
    <w:rsid w:val="0013492B"/>
    <w:rsid w:val="00134956"/>
    <w:rsid w:val="00134D6B"/>
    <w:rsid w:val="00135069"/>
    <w:rsid w:val="00135D83"/>
    <w:rsid w:val="00136876"/>
    <w:rsid w:val="00136A14"/>
    <w:rsid w:val="001374CF"/>
    <w:rsid w:val="001379E9"/>
    <w:rsid w:val="00140679"/>
    <w:rsid w:val="001409D8"/>
    <w:rsid w:val="00140CCE"/>
    <w:rsid w:val="00141B74"/>
    <w:rsid w:val="001421D6"/>
    <w:rsid w:val="001428B3"/>
    <w:rsid w:val="001429FC"/>
    <w:rsid w:val="00143FE4"/>
    <w:rsid w:val="0014436C"/>
    <w:rsid w:val="00144D19"/>
    <w:rsid w:val="0014512C"/>
    <w:rsid w:val="001458C8"/>
    <w:rsid w:val="001459D2"/>
    <w:rsid w:val="00145B6F"/>
    <w:rsid w:val="0014638D"/>
    <w:rsid w:val="00146538"/>
    <w:rsid w:val="0014656F"/>
    <w:rsid w:val="00146CB5"/>
    <w:rsid w:val="00146CD9"/>
    <w:rsid w:val="00147049"/>
    <w:rsid w:val="00147106"/>
    <w:rsid w:val="001473BD"/>
    <w:rsid w:val="00150E07"/>
    <w:rsid w:val="00150E0C"/>
    <w:rsid w:val="001510EE"/>
    <w:rsid w:val="0015136C"/>
    <w:rsid w:val="001516C0"/>
    <w:rsid w:val="00151899"/>
    <w:rsid w:val="001519ED"/>
    <w:rsid w:val="00152243"/>
    <w:rsid w:val="00152AD1"/>
    <w:rsid w:val="00152BAE"/>
    <w:rsid w:val="00152BCE"/>
    <w:rsid w:val="00152C4B"/>
    <w:rsid w:val="00152E8E"/>
    <w:rsid w:val="001531A4"/>
    <w:rsid w:val="0015381F"/>
    <w:rsid w:val="00153C8E"/>
    <w:rsid w:val="00153E4B"/>
    <w:rsid w:val="001543DF"/>
    <w:rsid w:val="0015464E"/>
    <w:rsid w:val="00154BA0"/>
    <w:rsid w:val="00154CF7"/>
    <w:rsid w:val="00155CE5"/>
    <w:rsid w:val="00156096"/>
    <w:rsid w:val="00156296"/>
    <w:rsid w:val="00156B7A"/>
    <w:rsid w:val="00157054"/>
    <w:rsid w:val="00157A87"/>
    <w:rsid w:val="00157BA0"/>
    <w:rsid w:val="001602B5"/>
    <w:rsid w:val="00160988"/>
    <w:rsid w:val="00160D4A"/>
    <w:rsid w:val="0016117E"/>
    <w:rsid w:val="00161700"/>
    <w:rsid w:val="00161C24"/>
    <w:rsid w:val="001621BB"/>
    <w:rsid w:val="001622EC"/>
    <w:rsid w:val="00162665"/>
    <w:rsid w:val="0016286B"/>
    <w:rsid w:val="00162A7F"/>
    <w:rsid w:val="00162B1F"/>
    <w:rsid w:val="00163944"/>
    <w:rsid w:val="001639EC"/>
    <w:rsid w:val="00164159"/>
    <w:rsid w:val="00164626"/>
    <w:rsid w:val="00164C15"/>
    <w:rsid w:val="00164C5E"/>
    <w:rsid w:val="00164FA9"/>
    <w:rsid w:val="0016508C"/>
    <w:rsid w:val="001657B0"/>
    <w:rsid w:val="00165D1B"/>
    <w:rsid w:val="001676AA"/>
    <w:rsid w:val="0017080B"/>
    <w:rsid w:val="001708DC"/>
    <w:rsid w:val="001709CC"/>
    <w:rsid w:val="00170D93"/>
    <w:rsid w:val="00171A0B"/>
    <w:rsid w:val="00171D73"/>
    <w:rsid w:val="001721A0"/>
    <w:rsid w:val="001722E8"/>
    <w:rsid w:val="00172AF3"/>
    <w:rsid w:val="00172F4D"/>
    <w:rsid w:val="0017310F"/>
    <w:rsid w:val="0017371E"/>
    <w:rsid w:val="0017384D"/>
    <w:rsid w:val="00173965"/>
    <w:rsid w:val="00173E09"/>
    <w:rsid w:val="00174302"/>
    <w:rsid w:val="0017441B"/>
    <w:rsid w:val="00174595"/>
    <w:rsid w:val="0017495E"/>
    <w:rsid w:val="00174A9B"/>
    <w:rsid w:val="00174C6D"/>
    <w:rsid w:val="0017515E"/>
    <w:rsid w:val="00175187"/>
    <w:rsid w:val="00175F64"/>
    <w:rsid w:val="00176530"/>
    <w:rsid w:val="001767A2"/>
    <w:rsid w:val="00176B79"/>
    <w:rsid w:val="00176C2C"/>
    <w:rsid w:val="00176C40"/>
    <w:rsid w:val="00176C47"/>
    <w:rsid w:val="00177074"/>
    <w:rsid w:val="00177090"/>
    <w:rsid w:val="00177108"/>
    <w:rsid w:val="0017792E"/>
    <w:rsid w:val="001779A3"/>
    <w:rsid w:val="00180217"/>
    <w:rsid w:val="001802D2"/>
    <w:rsid w:val="00180B1E"/>
    <w:rsid w:val="00181C82"/>
    <w:rsid w:val="00181E9D"/>
    <w:rsid w:val="00181FD6"/>
    <w:rsid w:val="00182122"/>
    <w:rsid w:val="00182413"/>
    <w:rsid w:val="001827A0"/>
    <w:rsid w:val="00182A21"/>
    <w:rsid w:val="00183124"/>
    <w:rsid w:val="00183172"/>
    <w:rsid w:val="0018346C"/>
    <w:rsid w:val="00183492"/>
    <w:rsid w:val="0018358B"/>
    <w:rsid w:val="00183788"/>
    <w:rsid w:val="00183A00"/>
    <w:rsid w:val="00184064"/>
    <w:rsid w:val="0018494E"/>
    <w:rsid w:val="00184B47"/>
    <w:rsid w:val="00185026"/>
    <w:rsid w:val="0018511A"/>
    <w:rsid w:val="00185BD9"/>
    <w:rsid w:val="00185BE5"/>
    <w:rsid w:val="00185E7B"/>
    <w:rsid w:val="001861DD"/>
    <w:rsid w:val="001865AD"/>
    <w:rsid w:val="00186914"/>
    <w:rsid w:val="00186D7F"/>
    <w:rsid w:val="00186FBB"/>
    <w:rsid w:val="00187072"/>
    <w:rsid w:val="001873F3"/>
    <w:rsid w:val="00187599"/>
    <w:rsid w:val="00187AC0"/>
    <w:rsid w:val="001905F4"/>
    <w:rsid w:val="001907EC"/>
    <w:rsid w:val="00190AEC"/>
    <w:rsid w:val="00191427"/>
    <w:rsid w:val="0019162C"/>
    <w:rsid w:val="00191CD9"/>
    <w:rsid w:val="00192173"/>
    <w:rsid w:val="0019260E"/>
    <w:rsid w:val="00192710"/>
    <w:rsid w:val="00192BC8"/>
    <w:rsid w:val="00192E26"/>
    <w:rsid w:val="00192EAB"/>
    <w:rsid w:val="0019322A"/>
    <w:rsid w:val="001932B3"/>
    <w:rsid w:val="001932EA"/>
    <w:rsid w:val="00193428"/>
    <w:rsid w:val="001934F5"/>
    <w:rsid w:val="00193A1E"/>
    <w:rsid w:val="00193D83"/>
    <w:rsid w:val="00193FDB"/>
    <w:rsid w:val="00194623"/>
    <w:rsid w:val="00194988"/>
    <w:rsid w:val="00194C00"/>
    <w:rsid w:val="00194CA7"/>
    <w:rsid w:val="00195740"/>
    <w:rsid w:val="00196916"/>
    <w:rsid w:val="00196925"/>
    <w:rsid w:val="00196C6E"/>
    <w:rsid w:val="001973E3"/>
    <w:rsid w:val="001978D0"/>
    <w:rsid w:val="001A0153"/>
    <w:rsid w:val="001A034C"/>
    <w:rsid w:val="001A074C"/>
    <w:rsid w:val="001A0964"/>
    <w:rsid w:val="001A0BC1"/>
    <w:rsid w:val="001A1212"/>
    <w:rsid w:val="001A17D5"/>
    <w:rsid w:val="001A195A"/>
    <w:rsid w:val="001A1C81"/>
    <w:rsid w:val="001A21A4"/>
    <w:rsid w:val="001A2488"/>
    <w:rsid w:val="001A25AD"/>
    <w:rsid w:val="001A2C93"/>
    <w:rsid w:val="001A3B27"/>
    <w:rsid w:val="001A3E23"/>
    <w:rsid w:val="001A3FF8"/>
    <w:rsid w:val="001A4474"/>
    <w:rsid w:val="001A4C12"/>
    <w:rsid w:val="001A5817"/>
    <w:rsid w:val="001A5934"/>
    <w:rsid w:val="001A6A5A"/>
    <w:rsid w:val="001A6C53"/>
    <w:rsid w:val="001A6E38"/>
    <w:rsid w:val="001A7084"/>
    <w:rsid w:val="001A763B"/>
    <w:rsid w:val="001B0B93"/>
    <w:rsid w:val="001B0D93"/>
    <w:rsid w:val="001B0E4F"/>
    <w:rsid w:val="001B11A5"/>
    <w:rsid w:val="001B16AD"/>
    <w:rsid w:val="001B1958"/>
    <w:rsid w:val="001B20C2"/>
    <w:rsid w:val="001B28DB"/>
    <w:rsid w:val="001B2B92"/>
    <w:rsid w:val="001B2E6F"/>
    <w:rsid w:val="001B3566"/>
    <w:rsid w:val="001B35DA"/>
    <w:rsid w:val="001B376E"/>
    <w:rsid w:val="001B3A60"/>
    <w:rsid w:val="001B3EF1"/>
    <w:rsid w:val="001B433A"/>
    <w:rsid w:val="001B43D4"/>
    <w:rsid w:val="001B4AAB"/>
    <w:rsid w:val="001B4AB9"/>
    <w:rsid w:val="001B5233"/>
    <w:rsid w:val="001B54EB"/>
    <w:rsid w:val="001B598D"/>
    <w:rsid w:val="001B5E54"/>
    <w:rsid w:val="001B617B"/>
    <w:rsid w:val="001B68C8"/>
    <w:rsid w:val="001B695C"/>
    <w:rsid w:val="001B7170"/>
    <w:rsid w:val="001B75FC"/>
    <w:rsid w:val="001B7697"/>
    <w:rsid w:val="001B7C8B"/>
    <w:rsid w:val="001C02B4"/>
    <w:rsid w:val="001C0B06"/>
    <w:rsid w:val="001C0C0E"/>
    <w:rsid w:val="001C0C9A"/>
    <w:rsid w:val="001C1141"/>
    <w:rsid w:val="001C1447"/>
    <w:rsid w:val="001C199D"/>
    <w:rsid w:val="001C1BE7"/>
    <w:rsid w:val="001C1ECF"/>
    <w:rsid w:val="001C2895"/>
    <w:rsid w:val="001C2955"/>
    <w:rsid w:val="001C2997"/>
    <w:rsid w:val="001C29BC"/>
    <w:rsid w:val="001C30E3"/>
    <w:rsid w:val="001C39F1"/>
    <w:rsid w:val="001C3A12"/>
    <w:rsid w:val="001C3BB8"/>
    <w:rsid w:val="001C3F15"/>
    <w:rsid w:val="001C4DEE"/>
    <w:rsid w:val="001C5737"/>
    <w:rsid w:val="001C58E4"/>
    <w:rsid w:val="001C59A6"/>
    <w:rsid w:val="001C5C4E"/>
    <w:rsid w:val="001C5DD3"/>
    <w:rsid w:val="001C5E9B"/>
    <w:rsid w:val="001C6D37"/>
    <w:rsid w:val="001C6E9D"/>
    <w:rsid w:val="001C76C1"/>
    <w:rsid w:val="001C78AE"/>
    <w:rsid w:val="001D00A0"/>
    <w:rsid w:val="001D0262"/>
    <w:rsid w:val="001D15A3"/>
    <w:rsid w:val="001D16D5"/>
    <w:rsid w:val="001D1B31"/>
    <w:rsid w:val="001D1B99"/>
    <w:rsid w:val="001D1EFA"/>
    <w:rsid w:val="001D1F30"/>
    <w:rsid w:val="001D221B"/>
    <w:rsid w:val="001D3391"/>
    <w:rsid w:val="001D451F"/>
    <w:rsid w:val="001D4829"/>
    <w:rsid w:val="001D482E"/>
    <w:rsid w:val="001D4B5F"/>
    <w:rsid w:val="001D4B6F"/>
    <w:rsid w:val="001D4C95"/>
    <w:rsid w:val="001D4D12"/>
    <w:rsid w:val="001D4D38"/>
    <w:rsid w:val="001D51A6"/>
    <w:rsid w:val="001D520F"/>
    <w:rsid w:val="001D53F7"/>
    <w:rsid w:val="001D56D1"/>
    <w:rsid w:val="001D5714"/>
    <w:rsid w:val="001D619C"/>
    <w:rsid w:val="001D6A25"/>
    <w:rsid w:val="001D7599"/>
    <w:rsid w:val="001D76D7"/>
    <w:rsid w:val="001D7998"/>
    <w:rsid w:val="001E009A"/>
    <w:rsid w:val="001E01EC"/>
    <w:rsid w:val="001E04F8"/>
    <w:rsid w:val="001E06D9"/>
    <w:rsid w:val="001E0BE5"/>
    <w:rsid w:val="001E0C1D"/>
    <w:rsid w:val="001E0D87"/>
    <w:rsid w:val="001E0F7C"/>
    <w:rsid w:val="001E21CD"/>
    <w:rsid w:val="001E24B8"/>
    <w:rsid w:val="001E3EA7"/>
    <w:rsid w:val="001E448E"/>
    <w:rsid w:val="001E48B7"/>
    <w:rsid w:val="001E48D0"/>
    <w:rsid w:val="001E4AF1"/>
    <w:rsid w:val="001E587B"/>
    <w:rsid w:val="001E5AAB"/>
    <w:rsid w:val="001E63FA"/>
    <w:rsid w:val="001E63FD"/>
    <w:rsid w:val="001E6A50"/>
    <w:rsid w:val="001E6C7B"/>
    <w:rsid w:val="001E784F"/>
    <w:rsid w:val="001E7D00"/>
    <w:rsid w:val="001F00CE"/>
    <w:rsid w:val="001F073D"/>
    <w:rsid w:val="001F0FCC"/>
    <w:rsid w:val="001F102A"/>
    <w:rsid w:val="001F127A"/>
    <w:rsid w:val="001F14FC"/>
    <w:rsid w:val="001F1A13"/>
    <w:rsid w:val="001F1E55"/>
    <w:rsid w:val="001F2438"/>
    <w:rsid w:val="001F284B"/>
    <w:rsid w:val="001F38AE"/>
    <w:rsid w:val="001F3984"/>
    <w:rsid w:val="001F3E3B"/>
    <w:rsid w:val="001F403C"/>
    <w:rsid w:val="001F4333"/>
    <w:rsid w:val="001F435A"/>
    <w:rsid w:val="001F47F6"/>
    <w:rsid w:val="001F47FD"/>
    <w:rsid w:val="001F4C08"/>
    <w:rsid w:val="001F51EC"/>
    <w:rsid w:val="001F5860"/>
    <w:rsid w:val="001F5A21"/>
    <w:rsid w:val="001F5AB3"/>
    <w:rsid w:val="001F5DC4"/>
    <w:rsid w:val="001F73EA"/>
    <w:rsid w:val="001F76B6"/>
    <w:rsid w:val="00200193"/>
    <w:rsid w:val="002003F1"/>
    <w:rsid w:val="00200837"/>
    <w:rsid w:val="00200A45"/>
    <w:rsid w:val="00200DC1"/>
    <w:rsid w:val="00200F62"/>
    <w:rsid w:val="0020107F"/>
    <w:rsid w:val="00201B7E"/>
    <w:rsid w:val="00202953"/>
    <w:rsid w:val="00202BE6"/>
    <w:rsid w:val="00202D06"/>
    <w:rsid w:val="002030D8"/>
    <w:rsid w:val="00203165"/>
    <w:rsid w:val="00203CEE"/>
    <w:rsid w:val="00203DDF"/>
    <w:rsid w:val="00203E28"/>
    <w:rsid w:val="00204056"/>
    <w:rsid w:val="002044E7"/>
    <w:rsid w:val="00204FDB"/>
    <w:rsid w:val="0020517D"/>
    <w:rsid w:val="00205311"/>
    <w:rsid w:val="00205CF9"/>
    <w:rsid w:val="00205EA9"/>
    <w:rsid w:val="0020616A"/>
    <w:rsid w:val="00206DF7"/>
    <w:rsid w:val="00206E57"/>
    <w:rsid w:val="002071F9"/>
    <w:rsid w:val="002100AC"/>
    <w:rsid w:val="002107A2"/>
    <w:rsid w:val="00210A11"/>
    <w:rsid w:val="00210B3E"/>
    <w:rsid w:val="002110CE"/>
    <w:rsid w:val="00212634"/>
    <w:rsid w:val="00212880"/>
    <w:rsid w:val="00212ABD"/>
    <w:rsid w:val="00212B0F"/>
    <w:rsid w:val="00212F13"/>
    <w:rsid w:val="00213321"/>
    <w:rsid w:val="00213415"/>
    <w:rsid w:val="00213635"/>
    <w:rsid w:val="0021419D"/>
    <w:rsid w:val="002141A7"/>
    <w:rsid w:val="002149F4"/>
    <w:rsid w:val="00214B2E"/>
    <w:rsid w:val="00214B98"/>
    <w:rsid w:val="00214CAE"/>
    <w:rsid w:val="00214F4E"/>
    <w:rsid w:val="002158D1"/>
    <w:rsid w:val="00215F0E"/>
    <w:rsid w:val="0021686E"/>
    <w:rsid w:val="00216EFE"/>
    <w:rsid w:val="00217065"/>
    <w:rsid w:val="002173B1"/>
    <w:rsid w:val="002176BD"/>
    <w:rsid w:val="00217D02"/>
    <w:rsid w:val="00217D8A"/>
    <w:rsid w:val="00220126"/>
    <w:rsid w:val="002202EF"/>
    <w:rsid w:val="002202FD"/>
    <w:rsid w:val="0022058E"/>
    <w:rsid w:val="0022070B"/>
    <w:rsid w:val="00221AAC"/>
    <w:rsid w:val="00221C23"/>
    <w:rsid w:val="00221CEB"/>
    <w:rsid w:val="0022205E"/>
    <w:rsid w:val="002221AB"/>
    <w:rsid w:val="00222AE3"/>
    <w:rsid w:val="00222E4E"/>
    <w:rsid w:val="00223502"/>
    <w:rsid w:val="002236DA"/>
    <w:rsid w:val="002237D1"/>
    <w:rsid w:val="002237FA"/>
    <w:rsid w:val="002241F5"/>
    <w:rsid w:val="00224413"/>
    <w:rsid w:val="002244B2"/>
    <w:rsid w:val="0022475E"/>
    <w:rsid w:val="00224B40"/>
    <w:rsid w:val="002252D0"/>
    <w:rsid w:val="00225483"/>
    <w:rsid w:val="002255F1"/>
    <w:rsid w:val="00225EFA"/>
    <w:rsid w:val="0022617B"/>
    <w:rsid w:val="002261A9"/>
    <w:rsid w:val="00226435"/>
    <w:rsid w:val="0022651E"/>
    <w:rsid w:val="00226D30"/>
    <w:rsid w:val="0022704F"/>
    <w:rsid w:val="0022788F"/>
    <w:rsid w:val="002278A8"/>
    <w:rsid w:val="00227BAC"/>
    <w:rsid w:val="00227C50"/>
    <w:rsid w:val="00227EC1"/>
    <w:rsid w:val="002302E4"/>
    <w:rsid w:val="0023031F"/>
    <w:rsid w:val="00230876"/>
    <w:rsid w:val="0023099F"/>
    <w:rsid w:val="00230AE1"/>
    <w:rsid w:val="00230E3B"/>
    <w:rsid w:val="00231516"/>
    <w:rsid w:val="00231F35"/>
    <w:rsid w:val="0023215E"/>
    <w:rsid w:val="002327F8"/>
    <w:rsid w:val="00233193"/>
    <w:rsid w:val="0023330D"/>
    <w:rsid w:val="00233406"/>
    <w:rsid w:val="00233959"/>
    <w:rsid w:val="00233FCA"/>
    <w:rsid w:val="00233FF6"/>
    <w:rsid w:val="00235337"/>
    <w:rsid w:val="00235568"/>
    <w:rsid w:val="00235744"/>
    <w:rsid w:val="0023575C"/>
    <w:rsid w:val="00235C94"/>
    <w:rsid w:val="0023606C"/>
    <w:rsid w:val="00236211"/>
    <w:rsid w:val="002366B3"/>
    <w:rsid w:val="00236942"/>
    <w:rsid w:val="0023694A"/>
    <w:rsid w:val="002369B8"/>
    <w:rsid w:val="00236E7E"/>
    <w:rsid w:val="00237B17"/>
    <w:rsid w:val="00240004"/>
    <w:rsid w:val="00240117"/>
    <w:rsid w:val="00240AA3"/>
    <w:rsid w:val="002412C7"/>
    <w:rsid w:val="00241373"/>
    <w:rsid w:val="00241585"/>
    <w:rsid w:val="00241634"/>
    <w:rsid w:val="00241647"/>
    <w:rsid w:val="00241931"/>
    <w:rsid w:val="002421DC"/>
    <w:rsid w:val="002423BE"/>
    <w:rsid w:val="002429BD"/>
    <w:rsid w:val="00242DB1"/>
    <w:rsid w:val="00242EE4"/>
    <w:rsid w:val="00242F3F"/>
    <w:rsid w:val="00243432"/>
    <w:rsid w:val="00243776"/>
    <w:rsid w:val="002437F5"/>
    <w:rsid w:val="0024436C"/>
    <w:rsid w:val="002445EC"/>
    <w:rsid w:val="00244E3D"/>
    <w:rsid w:val="002454E7"/>
    <w:rsid w:val="00245CF7"/>
    <w:rsid w:val="002461A6"/>
    <w:rsid w:val="002461BA"/>
    <w:rsid w:val="00246383"/>
    <w:rsid w:val="0024671D"/>
    <w:rsid w:val="00247677"/>
    <w:rsid w:val="00247678"/>
    <w:rsid w:val="002476B5"/>
    <w:rsid w:val="00247721"/>
    <w:rsid w:val="00247D26"/>
    <w:rsid w:val="002506B5"/>
    <w:rsid w:val="002506E0"/>
    <w:rsid w:val="00250A52"/>
    <w:rsid w:val="00250AE3"/>
    <w:rsid w:val="0025125D"/>
    <w:rsid w:val="002523D9"/>
    <w:rsid w:val="00252D0B"/>
    <w:rsid w:val="00252E3C"/>
    <w:rsid w:val="00253979"/>
    <w:rsid w:val="00253BBD"/>
    <w:rsid w:val="00253DE0"/>
    <w:rsid w:val="00254019"/>
    <w:rsid w:val="00255230"/>
    <w:rsid w:val="002557BB"/>
    <w:rsid w:val="00255DFA"/>
    <w:rsid w:val="002560E2"/>
    <w:rsid w:val="00256CBA"/>
    <w:rsid w:val="00256CC2"/>
    <w:rsid w:val="00256E25"/>
    <w:rsid w:val="00257469"/>
    <w:rsid w:val="0025749E"/>
    <w:rsid w:val="002574BD"/>
    <w:rsid w:val="0025763F"/>
    <w:rsid w:val="00257798"/>
    <w:rsid w:val="00257902"/>
    <w:rsid w:val="00257BFF"/>
    <w:rsid w:val="00260335"/>
    <w:rsid w:val="00260380"/>
    <w:rsid w:val="0026105A"/>
    <w:rsid w:val="00261290"/>
    <w:rsid w:val="0026140C"/>
    <w:rsid w:val="00261657"/>
    <w:rsid w:val="0026165B"/>
    <w:rsid w:val="00261CB0"/>
    <w:rsid w:val="0026202A"/>
    <w:rsid w:val="00262083"/>
    <w:rsid w:val="00262211"/>
    <w:rsid w:val="00262254"/>
    <w:rsid w:val="00262A8A"/>
    <w:rsid w:val="002632D9"/>
    <w:rsid w:val="002633B8"/>
    <w:rsid w:val="00263985"/>
    <w:rsid w:val="00263B69"/>
    <w:rsid w:val="00263DD5"/>
    <w:rsid w:val="00263E2D"/>
    <w:rsid w:val="002645C7"/>
    <w:rsid w:val="00264982"/>
    <w:rsid w:val="00264E26"/>
    <w:rsid w:val="00264FF2"/>
    <w:rsid w:val="00264FFD"/>
    <w:rsid w:val="00265B36"/>
    <w:rsid w:val="00266312"/>
    <w:rsid w:val="002664C9"/>
    <w:rsid w:val="002671CE"/>
    <w:rsid w:val="00267233"/>
    <w:rsid w:val="002673A8"/>
    <w:rsid w:val="00267AE4"/>
    <w:rsid w:val="002703FC"/>
    <w:rsid w:val="00270A06"/>
    <w:rsid w:val="00270C8E"/>
    <w:rsid w:val="00271B65"/>
    <w:rsid w:val="00271D2F"/>
    <w:rsid w:val="00271ED8"/>
    <w:rsid w:val="00272AD8"/>
    <w:rsid w:val="0027349A"/>
    <w:rsid w:val="002735ED"/>
    <w:rsid w:val="0027429F"/>
    <w:rsid w:val="002749F5"/>
    <w:rsid w:val="00274F36"/>
    <w:rsid w:val="002752F7"/>
    <w:rsid w:val="0027534E"/>
    <w:rsid w:val="00276898"/>
    <w:rsid w:val="00276AE7"/>
    <w:rsid w:val="00276CF8"/>
    <w:rsid w:val="00277556"/>
    <w:rsid w:val="00277CB1"/>
    <w:rsid w:val="00277E25"/>
    <w:rsid w:val="00277F5F"/>
    <w:rsid w:val="00280140"/>
    <w:rsid w:val="002802A7"/>
    <w:rsid w:val="00280551"/>
    <w:rsid w:val="00280574"/>
    <w:rsid w:val="00280918"/>
    <w:rsid w:val="00281287"/>
    <w:rsid w:val="00281795"/>
    <w:rsid w:val="002818C2"/>
    <w:rsid w:val="00281B1B"/>
    <w:rsid w:val="00281C0A"/>
    <w:rsid w:val="002826B7"/>
    <w:rsid w:val="00282B66"/>
    <w:rsid w:val="00283310"/>
    <w:rsid w:val="00283E3C"/>
    <w:rsid w:val="00283EF9"/>
    <w:rsid w:val="002849E3"/>
    <w:rsid w:val="00284A7E"/>
    <w:rsid w:val="00284D1A"/>
    <w:rsid w:val="00284DFC"/>
    <w:rsid w:val="00284FBA"/>
    <w:rsid w:val="00284FF8"/>
    <w:rsid w:val="0028512C"/>
    <w:rsid w:val="00285408"/>
    <w:rsid w:val="0028544D"/>
    <w:rsid w:val="00285898"/>
    <w:rsid w:val="002860E8"/>
    <w:rsid w:val="00286115"/>
    <w:rsid w:val="00286158"/>
    <w:rsid w:val="002864C9"/>
    <w:rsid w:val="002869A3"/>
    <w:rsid w:val="00286D0D"/>
    <w:rsid w:val="002873B6"/>
    <w:rsid w:val="00287850"/>
    <w:rsid w:val="002908DA"/>
    <w:rsid w:val="0029111C"/>
    <w:rsid w:val="0029154D"/>
    <w:rsid w:val="00291902"/>
    <w:rsid w:val="00291C00"/>
    <w:rsid w:val="00291EEF"/>
    <w:rsid w:val="00291FD5"/>
    <w:rsid w:val="00292051"/>
    <w:rsid w:val="0029207C"/>
    <w:rsid w:val="00292ACC"/>
    <w:rsid w:val="00292EA7"/>
    <w:rsid w:val="00292F4C"/>
    <w:rsid w:val="00292FB3"/>
    <w:rsid w:val="00292FD1"/>
    <w:rsid w:val="00293B41"/>
    <w:rsid w:val="00294479"/>
    <w:rsid w:val="002946DC"/>
    <w:rsid w:val="002947DA"/>
    <w:rsid w:val="00294C3A"/>
    <w:rsid w:val="00294D41"/>
    <w:rsid w:val="00294E7E"/>
    <w:rsid w:val="00294ECC"/>
    <w:rsid w:val="00295540"/>
    <w:rsid w:val="002955B7"/>
    <w:rsid w:val="00295A37"/>
    <w:rsid w:val="00295DDC"/>
    <w:rsid w:val="00296208"/>
    <w:rsid w:val="00296E7E"/>
    <w:rsid w:val="002971CB"/>
    <w:rsid w:val="002971D9"/>
    <w:rsid w:val="00297512"/>
    <w:rsid w:val="0029790F"/>
    <w:rsid w:val="002A0368"/>
    <w:rsid w:val="002A0C88"/>
    <w:rsid w:val="002A158C"/>
    <w:rsid w:val="002A1C3B"/>
    <w:rsid w:val="002A1D67"/>
    <w:rsid w:val="002A2488"/>
    <w:rsid w:val="002A2AFF"/>
    <w:rsid w:val="002A2BF6"/>
    <w:rsid w:val="002A2D9E"/>
    <w:rsid w:val="002A2EC0"/>
    <w:rsid w:val="002A2F33"/>
    <w:rsid w:val="002A3089"/>
    <w:rsid w:val="002A30EA"/>
    <w:rsid w:val="002A32A4"/>
    <w:rsid w:val="002A32AF"/>
    <w:rsid w:val="002A32C7"/>
    <w:rsid w:val="002A3378"/>
    <w:rsid w:val="002A3B74"/>
    <w:rsid w:val="002A3C1F"/>
    <w:rsid w:val="002A480D"/>
    <w:rsid w:val="002A4CF5"/>
    <w:rsid w:val="002A4E37"/>
    <w:rsid w:val="002A5FB5"/>
    <w:rsid w:val="002A62BE"/>
    <w:rsid w:val="002A671F"/>
    <w:rsid w:val="002A674D"/>
    <w:rsid w:val="002A68F2"/>
    <w:rsid w:val="002A6D89"/>
    <w:rsid w:val="002A78F0"/>
    <w:rsid w:val="002B012E"/>
    <w:rsid w:val="002B087A"/>
    <w:rsid w:val="002B0AE6"/>
    <w:rsid w:val="002B0D81"/>
    <w:rsid w:val="002B1B4A"/>
    <w:rsid w:val="002B1F47"/>
    <w:rsid w:val="002B2000"/>
    <w:rsid w:val="002B2320"/>
    <w:rsid w:val="002B2D80"/>
    <w:rsid w:val="002B2D9F"/>
    <w:rsid w:val="002B342E"/>
    <w:rsid w:val="002B3504"/>
    <w:rsid w:val="002B47C4"/>
    <w:rsid w:val="002B4E95"/>
    <w:rsid w:val="002B4F91"/>
    <w:rsid w:val="002B553D"/>
    <w:rsid w:val="002B5769"/>
    <w:rsid w:val="002B58EC"/>
    <w:rsid w:val="002B5B8C"/>
    <w:rsid w:val="002B6D84"/>
    <w:rsid w:val="002B766C"/>
    <w:rsid w:val="002B7BEC"/>
    <w:rsid w:val="002B7E95"/>
    <w:rsid w:val="002C0477"/>
    <w:rsid w:val="002C07B6"/>
    <w:rsid w:val="002C0A23"/>
    <w:rsid w:val="002C0ADC"/>
    <w:rsid w:val="002C0D56"/>
    <w:rsid w:val="002C124A"/>
    <w:rsid w:val="002C1711"/>
    <w:rsid w:val="002C2CCD"/>
    <w:rsid w:val="002C30FE"/>
    <w:rsid w:val="002C423B"/>
    <w:rsid w:val="002C4429"/>
    <w:rsid w:val="002C4525"/>
    <w:rsid w:val="002C4FA5"/>
    <w:rsid w:val="002C5023"/>
    <w:rsid w:val="002C5093"/>
    <w:rsid w:val="002C5510"/>
    <w:rsid w:val="002C567B"/>
    <w:rsid w:val="002C59F0"/>
    <w:rsid w:val="002C5A8A"/>
    <w:rsid w:val="002C694F"/>
    <w:rsid w:val="002C6A95"/>
    <w:rsid w:val="002C6BA9"/>
    <w:rsid w:val="002C6D15"/>
    <w:rsid w:val="002C6F64"/>
    <w:rsid w:val="002C7595"/>
    <w:rsid w:val="002C7A88"/>
    <w:rsid w:val="002C7CC6"/>
    <w:rsid w:val="002C7DA1"/>
    <w:rsid w:val="002D08D6"/>
    <w:rsid w:val="002D0F37"/>
    <w:rsid w:val="002D18C3"/>
    <w:rsid w:val="002D24FF"/>
    <w:rsid w:val="002D25E6"/>
    <w:rsid w:val="002D31D3"/>
    <w:rsid w:val="002D349D"/>
    <w:rsid w:val="002D3B80"/>
    <w:rsid w:val="002D46D5"/>
    <w:rsid w:val="002D4781"/>
    <w:rsid w:val="002D4E2E"/>
    <w:rsid w:val="002D4F6E"/>
    <w:rsid w:val="002D6447"/>
    <w:rsid w:val="002D6539"/>
    <w:rsid w:val="002D66BB"/>
    <w:rsid w:val="002D6B5A"/>
    <w:rsid w:val="002D70CB"/>
    <w:rsid w:val="002D721D"/>
    <w:rsid w:val="002D775B"/>
    <w:rsid w:val="002D7AE5"/>
    <w:rsid w:val="002D7B9B"/>
    <w:rsid w:val="002E0542"/>
    <w:rsid w:val="002E0685"/>
    <w:rsid w:val="002E1062"/>
    <w:rsid w:val="002E12D4"/>
    <w:rsid w:val="002E130A"/>
    <w:rsid w:val="002E14F8"/>
    <w:rsid w:val="002E1545"/>
    <w:rsid w:val="002E1655"/>
    <w:rsid w:val="002E20F7"/>
    <w:rsid w:val="002E21CB"/>
    <w:rsid w:val="002E2763"/>
    <w:rsid w:val="002E28EF"/>
    <w:rsid w:val="002E3EBD"/>
    <w:rsid w:val="002E443C"/>
    <w:rsid w:val="002E4682"/>
    <w:rsid w:val="002E4DF3"/>
    <w:rsid w:val="002E4E9E"/>
    <w:rsid w:val="002E599D"/>
    <w:rsid w:val="002E5A74"/>
    <w:rsid w:val="002E646B"/>
    <w:rsid w:val="002E7660"/>
    <w:rsid w:val="002E77CB"/>
    <w:rsid w:val="002E7B2C"/>
    <w:rsid w:val="002F0736"/>
    <w:rsid w:val="002F09B7"/>
    <w:rsid w:val="002F10B4"/>
    <w:rsid w:val="002F114E"/>
    <w:rsid w:val="002F12B0"/>
    <w:rsid w:val="002F1805"/>
    <w:rsid w:val="002F1817"/>
    <w:rsid w:val="002F1A76"/>
    <w:rsid w:val="002F2521"/>
    <w:rsid w:val="002F3303"/>
    <w:rsid w:val="002F376A"/>
    <w:rsid w:val="002F3D5C"/>
    <w:rsid w:val="002F4CC4"/>
    <w:rsid w:val="002F4EC6"/>
    <w:rsid w:val="002F5046"/>
    <w:rsid w:val="002F5198"/>
    <w:rsid w:val="002F5C26"/>
    <w:rsid w:val="002F5EFA"/>
    <w:rsid w:val="002F604E"/>
    <w:rsid w:val="002F60A6"/>
    <w:rsid w:val="002F6D6D"/>
    <w:rsid w:val="002F76DC"/>
    <w:rsid w:val="002F7A16"/>
    <w:rsid w:val="002F7C52"/>
    <w:rsid w:val="0030056B"/>
    <w:rsid w:val="003006D1"/>
    <w:rsid w:val="0030071E"/>
    <w:rsid w:val="0030102E"/>
    <w:rsid w:val="003010B3"/>
    <w:rsid w:val="00301278"/>
    <w:rsid w:val="00301516"/>
    <w:rsid w:val="00301900"/>
    <w:rsid w:val="00301E65"/>
    <w:rsid w:val="0030230A"/>
    <w:rsid w:val="0030250E"/>
    <w:rsid w:val="003027E2"/>
    <w:rsid w:val="00302CFD"/>
    <w:rsid w:val="00302D12"/>
    <w:rsid w:val="00302D3B"/>
    <w:rsid w:val="00302E71"/>
    <w:rsid w:val="00302FE4"/>
    <w:rsid w:val="003045E7"/>
    <w:rsid w:val="003046E2"/>
    <w:rsid w:val="0030478B"/>
    <w:rsid w:val="003049E2"/>
    <w:rsid w:val="003054CB"/>
    <w:rsid w:val="003059AF"/>
    <w:rsid w:val="00306A2A"/>
    <w:rsid w:val="0030704F"/>
    <w:rsid w:val="00307104"/>
    <w:rsid w:val="00307769"/>
    <w:rsid w:val="0030798D"/>
    <w:rsid w:val="00307CE1"/>
    <w:rsid w:val="00307EEC"/>
    <w:rsid w:val="00307FAE"/>
    <w:rsid w:val="0031005E"/>
    <w:rsid w:val="0031169F"/>
    <w:rsid w:val="0031190A"/>
    <w:rsid w:val="003120D1"/>
    <w:rsid w:val="00312350"/>
    <w:rsid w:val="0031250F"/>
    <w:rsid w:val="00312704"/>
    <w:rsid w:val="00313157"/>
    <w:rsid w:val="00314CC7"/>
    <w:rsid w:val="00314DF2"/>
    <w:rsid w:val="00315862"/>
    <w:rsid w:val="003158D0"/>
    <w:rsid w:val="00315A3F"/>
    <w:rsid w:val="00316216"/>
    <w:rsid w:val="003168AC"/>
    <w:rsid w:val="00317446"/>
    <w:rsid w:val="0031747A"/>
    <w:rsid w:val="00317907"/>
    <w:rsid w:val="00317C89"/>
    <w:rsid w:val="00320DD2"/>
    <w:rsid w:val="00320F8C"/>
    <w:rsid w:val="00320FE2"/>
    <w:rsid w:val="00321298"/>
    <w:rsid w:val="003217F9"/>
    <w:rsid w:val="0032212F"/>
    <w:rsid w:val="00323847"/>
    <w:rsid w:val="0032414F"/>
    <w:rsid w:val="0032426B"/>
    <w:rsid w:val="003245F3"/>
    <w:rsid w:val="00324AF2"/>
    <w:rsid w:val="003251F8"/>
    <w:rsid w:val="003258C0"/>
    <w:rsid w:val="00325906"/>
    <w:rsid w:val="00325FAB"/>
    <w:rsid w:val="0032678D"/>
    <w:rsid w:val="00327A63"/>
    <w:rsid w:val="00330074"/>
    <w:rsid w:val="0033080C"/>
    <w:rsid w:val="00330878"/>
    <w:rsid w:val="00330C0F"/>
    <w:rsid w:val="00330CA6"/>
    <w:rsid w:val="00331248"/>
    <w:rsid w:val="00331CEF"/>
    <w:rsid w:val="00331D94"/>
    <w:rsid w:val="0033200A"/>
    <w:rsid w:val="0033217F"/>
    <w:rsid w:val="0033289B"/>
    <w:rsid w:val="003328BC"/>
    <w:rsid w:val="00332B1B"/>
    <w:rsid w:val="00332C82"/>
    <w:rsid w:val="00332F72"/>
    <w:rsid w:val="00333523"/>
    <w:rsid w:val="0033371C"/>
    <w:rsid w:val="00333A9E"/>
    <w:rsid w:val="00333E32"/>
    <w:rsid w:val="00333EB6"/>
    <w:rsid w:val="00335368"/>
    <w:rsid w:val="0033585F"/>
    <w:rsid w:val="003358F1"/>
    <w:rsid w:val="00335ABE"/>
    <w:rsid w:val="0033634C"/>
    <w:rsid w:val="00336BB2"/>
    <w:rsid w:val="00336ED4"/>
    <w:rsid w:val="00337244"/>
    <w:rsid w:val="003372F8"/>
    <w:rsid w:val="003374EA"/>
    <w:rsid w:val="00337E10"/>
    <w:rsid w:val="00337FA5"/>
    <w:rsid w:val="003401C8"/>
    <w:rsid w:val="00340F39"/>
    <w:rsid w:val="00340F8E"/>
    <w:rsid w:val="003410EE"/>
    <w:rsid w:val="0034112D"/>
    <w:rsid w:val="003418DA"/>
    <w:rsid w:val="00341ECD"/>
    <w:rsid w:val="00341FB3"/>
    <w:rsid w:val="00341FF4"/>
    <w:rsid w:val="00342BD4"/>
    <w:rsid w:val="00342CAF"/>
    <w:rsid w:val="003433F2"/>
    <w:rsid w:val="003439F5"/>
    <w:rsid w:val="00343F80"/>
    <w:rsid w:val="00344565"/>
    <w:rsid w:val="0034456A"/>
    <w:rsid w:val="00344627"/>
    <w:rsid w:val="00344FF0"/>
    <w:rsid w:val="00345A7C"/>
    <w:rsid w:val="00345D5E"/>
    <w:rsid w:val="0034630E"/>
    <w:rsid w:val="0034655C"/>
    <w:rsid w:val="0034669B"/>
    <w:rsid w:val="00346AAE"/>
    <w:rsid w:val="0034771C"/>
    <w:rsid w:val="0034780B"/>
    <w:rsid w:val="00350082"/>
    <w:rsid w:val="003501D6"/>
    <w:rsid w:val="003502AB"/>
    <w:rsid w:val="00350E42"/>
    <w:rsid w:val="0035129F"/>
    <w:rsid w:val="00351B95"/>
    <w:rsid w:val="00352083"/>
    <w:rsid w:val="00352166"/>
    <w:rsid w:val="00352693"/>
    <w:rsid w:val="003526AB"/>
    <w:rsid w:val="0035276C"/>
    <w:rsid w:val="00352862"/>
    <w:rsid w:val="003531C6"/>
    <w:rsid w:val="00353212"/>
    <w:rsid w:val="003536E3"/>
    <w:rsid w:val="00353CC1"/>
    <w:rsid w:val="003543E0"/>
    <w:rsid w:val="003549CD"/>
    <w:rsid w:val="00354D42"/>
    <w:rsid w:val="00354D94"/>
    <w:rsid w:val="00354F4F"/>
    <w:rsid w:val="0035555B"/>
    <w:rsid w:val="003555D8"/>
    <w:rsid w:val="00355E4F"/>
    <w:rsid w:val="003569B5"/>
    <w:rsid w:val="003569C4"/>
    <w:rsid w:val="00356C8B"/>
    <w:rsid w:val="00356C94"/>
    <w:rsid w:val="0035773D"/>
    <w:rsid w:val="00357E81"/>
    <w:rsid w:val="003600C3"/>
    <w:rsid w:val="003601C5"/>
    <w:rsid w:val="00360359"/>
    <w:rsid w:val="003606D8"/>
    <w:rsid w:val="003606EE"/>
    <w:rsid w:val="003607E7"/>
    <w:rsid w:val="0036092B"/>
    <w:rsid w:val="00360E9D"/>
    <w:rsid w:val="00361160"/>
    <w:rsid w:val="003611CE"/>
    <w:rsid w:val="00362D39"/>
    <w:rsid w:val="00362E81"/>
    <w:rsid w:val="00363263"/>
    <w:rsid w:val="003632CE"/>
    <w:rsid w:val="00363DC0"/>
    <w:rsid w:val="0036403F"/>
    <w:rsid w:val="0036437F"/>
    <w:rsid w:val="00364F06"/>
    <w:rsid w:val="00365191"/>
    <w:rsid w:val="0036553D"/>
    <w:rsid w:val="003659BB"/>
    <w:rsid w:val="00365F83"/>
    <w:rsid w:val="00366876"/>
    <w:rsid w:val="00366B64"/>
    <w:rsid w:val="00367382"/>
    <w:rsid w:val="0036762E"/>
    <w:rsid w:val="00367851"/>
    <w:rsid w:val="00367887"/>
    <w:rsid w:val="00370B1A"/>
    <w:rsid w:val="00370C43"/>
    <w:rsid w:val="00371021"/>
    <w:rsid w:val="0037124C"/>
    <w:rsid w:val="003719C2"/>
    <w:rsid w:val="00371DCF"/>
    <w:rsid w:val="00371E13"/>
    <w:rsid w:val="00372837"/>
    <w:rsid w:val="00372DEA"/>
    <w:rsid w:val="00373508"/>
    <w:rsid w:val="00373545"/>
    <w:rsid w:val="003737F7"/>
    <w:rsid w:val="0037488D"/>
    <w:rsid w:val="003750C3"/>
    <w:rsid w:val="00375608"/>
    <w:rsid w:val="003758F2"/>
    <w:rsid w:val="00375B67"/>
    <w:rsid w:val="00376428"/>
    <w:rsid w:val="003767DA"/>
    <w:rsid w:val="003774DD"/>
    <w:rsid w:val="00377564"/>
    <w:rsid w:val="0037789B"/>
    <w:rsid w:val="00377B7D"/>
    <w:rsid w:val="003806BC"/>
    <w:rsid w:val="00380E3A"/>
    <w:rsid w:val="00380E58"/>
    <w:rsid w:val="00381F34"/>
    <w:rsid w:val="003827D4"/>
    <w:rsid w:val="003828BC"/>
    <w:rsid w:val="00382F7F"/>
    <w:rsid w:val="0038348C"/>
    <w:rsid w:val="0038353C"/>
    <w:rsid w:val="0038357D"/>
    <w:rsid w:val="00383729"/>
    <w:rsid w:val="003841CB"/>
    <w:rsid w:val="00384418"/>
    <w:rsid w:val="003848A1"/>
    <w:rsid w:val="00384975"/>
    <w:rsid w:val="0038529A"/>
    <w:rsid w:val="00385B44"/>
    <w:rsid w:val="00385CBF"/>
    <w:rsid w:val="00385FAA"/>
    <w:rsid w:val="003863AF"/>
    <w:rsid w:val="003864A0"/>
    <w:rsid w:val="00386BDF"/>
    <w:rsid w:val="00387CE7"/>
    <w:rsid w:val="00387D5E"/>
    <w:rsid w:val="003904FA"/>
    <w:rsid w:val="0039097E"/>
    <w:rsid w:val="003909A8"/>
    <w:rsid w:val="00390BDF"/>
    <w:rsid w:val="00390EB1"/>
    <w:rsid w:val="003912A9"/>
    <w:rsid w:val="00391534"/>
    <w:rsid w:val="003917B0"/>
    <w:rsid w:val="00391AF5"/>
    <w:rsid w:val="003920E4"/>
    <w:rsid w:val="003921E5"/>
    <w:rsid w:val="0039251D"/>
    <w:rsid w:val="00392C97"/>
    <w:rsid w:val="00393038"/>
    <w:rsid w:val="003933AA"/>
    <w:rsid w:val="00393726"/>
    <w:rsid w:val="0039374C"/>
    <w:rsid w:val="00393A42"/>
    <w:rsid w:val="00394277"/>
    <w:rsid w:val="003946B5"/>
    <w:rsid w:val="00394739"/>
    <w:rsid w:val="0039477C"/>
    <w:rsid w:val="00394B25"/>
    <w:rsid w:val="00394F1B"/>
    <w:rsid w:val="0039515B"/>
    <w:rsid w:val="003958FD"/>
    <w:rsid w:val="00395C16"/>
    <w:rsid w:val="00396651"/>
    <w:rsid w:val="00396974"/>
    <w:rsid w:val="00396CB0"/>
    <w:rsid w:val="00397065"/>
    <w:rsid w:val="003972CE"/>
    <w:rsid w:val="0039768D"/>
    <w:rsid w:val="003A005B"/>
    <w:rsid w:val="003A0478"/>
    <w:rsid w:val="003A09A3"/>
    <w:rsid w:val="003A0AF7"/>
    <w:rsid w:val="003A0CE5"/>
    <w:rsid w:val="003A151E"/>
    <w:rsid w:val="003A1972"/>
    <w:rsid w:val="003A1A86"/>
    <w:rsid w:val="003A1CCC"/>
    <w:rsid w:val="003A1E92"/>
    <w:rsid w:val="003A23B9"/>
    <w:rsid w:val="003A2C4F"/>
    <w:rsid w:val="003A30DC"/>
    <w:rsid w:val="003A34E0"/>
    <w:rsid w:val="003A36F1"/>
    <w:rsid w:val="003A376B"/>
    <w:rsid w:val="003A387D"/>
    <w:rsid w:val="003A3968"/>
    <w:rsid w:val="003A3BB9"/>
    <w:rsid w:val="003A3CC8"/>
    <w:rsid w:val="003A41F3"/>
    <w:rsid w:val="003A4267"/>
    <w:rsid w:val="003A4686"/>
    <w:rsid w:val="003A4D40"/>
    <w:rsid w:val="003A512D"/>
    <w:rsid w:val="003A576A"/>
    <w:rsid w:val="003A59E0"/>
    <w:rsid w:val="003A606B"/>
    <w:rsid w:val="003A6498"/>
    <w:rsid w:val="003A68D0"/>
    <w:rsid w:val="003A68FB"/>
    <w:rsid w:val="003A6912"/>
    <w:rsid w:val="003A77DC"/>
    <w:rsid w:val="003B016A"/>
    <w:rsid w:val="003B05F3"/>
    <w:rsid w:val="003B0BD6"/>
    <w:rsid w:val="003B13EC"/>
    <w:rsid w:val="003B1947"/>
    <w:rsid w:val="003B25F2"/>
    <w:rsid w:val="003B2932"/>
    <w:rsid w:val="003B2B16"/>
    <w:rsid w:val="003B2CA8"/>
    <w:rsid w:val="003B32BC"/>
    <w:rsid w:val="003B32DF"/>
    <w:rsid w:val="003B3836"/>
    <w:rsid w:val="003B397C"/>
    <w:rsid w:val="003B3A1D"/>
    <w:rsid w:val="003B3F42"/>
    <w:rsid w:val="003B418D"/>
    <w:rsid w:val="003B419F"/>
    <w:rsid w:val="003B486D"/>
    <w:rsid w:val="003B4A8C"/>
    <w:rsid w:val="003B4CA5"/>
    <w:rsid w:val="003B5603"/>
    <w:rsid w:val="003B5924"/>
    <w:rsid w:val="003B5987"/>
    <w:rsid w:val="003B5E44"/>
    <w:rsid w:val="003B5E9A"/>
    <w:rsid w:val="003B62B3"/>
    <w:rsid w:val="003B662A"/>
    <w:rsid w:val="003B6B02"/>
    <w:rsid w:val="003B6FA9"/>
    <w:rsid w:val="003B71E6"/>
    <w:rsid w:val="003B72EB"/>
    <w:rsid w:val="003B7764"/>
    <w:rsid w:val="003B7F93"/>
    <w:rsid w:val="003C0142"/>
    <w:rsid w:val="003C0193"/>
    <w:rsid w:val="003C02B6"/>
    <w:rsid w:val="003C04D3"/>
    <w:rsid w:val="003C054E"/>
    <w:rsid w:val="003C0D41"/>
    <w:rsid w:val="003C0E96"/>
    <w:rsid w:val="003C1359"/>
    <w:rsid w:val="003C22F8"/>
    <w:rsid w:val="003C246A"/>
    <w:rsid w:val="003C2AB4"/>
    <w:rsid w:val="003C3119"/>
    <w:rsid w:val="003C37FC"/>
    <w:rsid w:val="003C3C07"/>
    <w:rsid w:val="003C3E12"/>
    <w:rsid w:val="003C452B"/>
    <w:rsid w:val="003C5230"/>
    <w:rsid w:val="003C561E"/>
    <w:rsid w:val="003C5842"/>
    <w:rsid w:val="003C5B82"/>
    <w:rsid w:val="003C5DB2"/>
    <w:rsid w:val="003C5FED"/>
    <w:rsid w:val="003C643C"/>
    <w:rsid w:val="003C6D18"/>
    <w:rsid w:val="003C6D80"/>
    <w:rsid w:val="003C6EE7"/>
    <w:rsid w:val="003C7101"/>
    <w:rsid w:val="003C7FB8"/>
    <w:rsid w:val="003D0010"/>
    <w:rsid w:val="003D0558"/>
    <w:rsid w:val="003D098C"/>
    <w:rsid w:val="003D1016"/>
    <w:rsid w:val="003D10EB"/>
    <w:rsid w:val="003D12B0"/>
    <w:rsid w:val="003D1DC0"/>
    <w:rsid w:val="003D200C"/>
    <w:rsid w:val="003D205E"/>
    <w:rsid w:val="003D27D3"/>
    <w:rsid w:val="003D2881"/>
    <w:rsid w:val="003D2A42"/>
    <w:rsid w:val="003D2B78"/>
    <w:rsid w:val="003D377C"/>
    <w:rsid w:val="003D3B56"/>
    <w:rsid w:val="003D3B95"/>
    <w:rsid w:val="003D3FD6"/>
    <w:rsid w:val="003D47EB"/>
    <w:rsid w:val="003D4B7C"/>
    <w:rsid w:val="003D569C"/>
    <w:rsid w:val="003D5968"/>
    <w:rsid w:val="003D5977"/>
    <w:rsid w:val="003D5C71"/>
    <w:rsid w:val="003D5D3E"/>
    <w:rsid w:val="003D64AE"/>
    <w:rsid w:val="003D6583"/>
    <w:rsid w:val="003D69C7"/>
    <w:rsid w:val="003D6CE8"/>
    <w:rsid w:val="003D75F3"/>
    <w:rsid w:val="003D76BE"/>
    <w:rsid w:val="003E0136"/>
    <w:rsid w:val="003E019F"/>
    <w:rsid w:val="003E02A0"/>
    <w:rsid w:val="003E0905"/>
    <w:rsid w:val="003E0B28"/>
    <w:rsid w:val="003E0EF1"/>
    <w:rsid w:val="003E1134"/>
    <w:rsid w:val="003E1481"/>
    <w:rsid w:val="003E1741"/>
    <w:rsid w:val="003E1784"/>
    <w:rsid w:val="003E1A7A"/>
    <w:rsid w:val="003E1C0C"/>
    <w:rsid w:val="003E1C2D"/>
    <w:rsid w:val="003E28D6"/>
    <w:rsid w:val="003E2CA5"/>
    <w:rsid w:val="003E2D3A"/>
    <w:rsid w:val="003E3D88"/>
    <w:rsid w:val="003E484C"/>
    <w:rsid w:val="003E4BCE"/>
    <w:rsid w:val="003E4C16"/>
    <w:rsid w:val="003E4DCD"/>
    <w:rsid w:val="003E564A"/>
    <w:rsid w:val="003E5DE5"/>
    <w:rsid w:val="003E5E47"/>
    <w:rsid w:val="003E632E"/>
    <w:rsid w:val="003E6399"/>
    <w:rsid w:val="003E656F"/>
    <w:rsid w:val="003E6AD2"/>
    <w:rsid w:val="003E6EAE"/>
    <w:rsid w:val="003E7A24"/>
    <w:rsid w:val="003E7F39"/>
    <w:rsid w:val="003E7F9F"/>
    <w:rsid w:val="003F01F8"/>
    <w:rsid w:val="003F0355"/>
    <w:rsid w:val="003F044B"/>
    <w:rsid w:val="003F051F"/>
    <w:rsid w:val="003F0602"/>
    <w:rsid w:val="003F0706"/>
    <w:rsid w:val="003F08DF"/>
    <w:rsid w:val="003F0F4C"/>
    <w:rsid w:val="003F1882"/>
    <w:rsid w:val="003F1C2B"/>
    <w:rsid w:val="003F26E3"/>
    <w:rsid w:val="003F2861"/>
    <w:rsid w:val="003F36EB"/>
    <w:rsid w:val="003F3A10"/>
    <w:rsid w:val="003F434F"/>
    <w:rsid w:val="003F4E71"/>
    <w:rsid w:val="003F5673"/>
    <w:rsid w:val="003F58B5"/>
    <w:rsid w:val="003F6361"/>
    <w:rsid w:val="003F6CD1"/>
    <w:rsid w:val="003F6D30"/>
    <w:rsid w:val="003F7E73"/>
    <w:rsid w:val="004002BA"/>
    <w:rsid w:val="00400311"/>
    <w:rsid w:val="00400BF3"/>
    <w:rsid w:val="00400E1A"/>
    <w:rsid w:val="0040134F"/>
    <w:rsid w:val="00401851"/>
    <w:rsid w:val="00401D3C"/>
    <w:rsid w:val="0040224A"/>
    <w:rsid w:val="00402842"/>
    <w:rsid w:val="00402926"/>
    <w:rsid w:val="004034A2"/>
    <w:rsid w:val="004041C6"/>
    <w:rsid w:val="00404388"/>
    <w:rsid w:val="004049AE"/>
    <w:rsid w:val="00404CCB"/>
    <w:rsid w:val="00405405"/>
    <w:rsid w:val="00405479"/>
    <w:rsid w:val="004056AA"/>
    <w:rsid w:val="00406504"/>
    <w:rsid w:val="004065E9"/>
    <w:rsid w:val="00406A36"/>
    <w:rsid w:val="00407499"/>
    <w:rsid w:val="0040780E"/>
    <w:rsid w:val="00407B60"/>
    <w:rsid w:val="00407BC9"/>
    <w:rsid w:val="00407BE4"/>
    <w:rsid w:val="004100BC"/>
    <w:rsid w:val="00410C93"/>
    <w:rsid w:val="0041188C"/>
    <w:rsid w:val="00411A16"/>
    <w:rsid w:val="00412A0D"/>
    <w:rsid w:val="004130AB"/>
    <w:rsid w:val="0041327C"/>
    <w:rsid w:val="004132E3"/>
    <w:rsid w:val="00413C10"/>
    <w:rsid w:val="00413D6D"/>
    <w:rsid w:val="00413FA2"/>
    <w:rsid w:val="004141B9"/>
    <w:rsid w:val="00414B08"/>
    <w:rsid w:val="00415853"/>
    <w:rsid w:val="004159F9"/>
    <w:rsid w:val="00415AD8"/>
    <w:rsid w:val="00415D49"/>
    <w:rsid w:val="00415FAE"/>
    <w:rsid w:val="004163EE"/>
    <w:rsid w:val="0041685E"/>
    <w:rsid w:val="004168A9"/>
    <w:rsid w:val="00416E5E"/>
    <w:rsid w:val="004171C8"/>
    <w:rsid w:val="004173B1"/>
    <w:rsid w:val="00420BD2"/>
    <w:rsid w:val="00420D9B"/>
    <w:rsid w:val="00420FDC"/>
    <w:rsid w:val="00421284"/>
    <w:rsid w:val="00421616"/>
    <w:rsid w:val="00422437"/>
    <w:rsid w:val="00422820"/>
    <w:rsid w:val="00422A14"/>
    <w:rsid w:val="00423746"/>
    <w:rsid w:val="00423BCB"/>
    <w:rsid w:val="00424137"/>
    <w:rsid w:val="0042475A"/>
    <w:rsid w:val="00425220"/>
    <w:rsid w:val="004254DE"/>
    <w:rsid w:val="004259B9"/>
    <w:rsid w:val="004262C7"/>
    <w:rsid w:val="004269DD"/>
    <w:rsid w:val="00426BC2"/>
    <w:rsid w:val="0042730F"/>
    <w:rsid w:val="00427DC8"/>
    <w:rsid w:val="00430173"/>
    <w:rsid w:val="00431A29"/>
    <w:rsid w:val="00431E30"/>
    <w:rsid w:val="00432467"/>
    <w:rsid w:val="00432DF5"/>
    <w:rsid w:val="0043325D"/>
    <w:rsid w:val="0043394B"/>
    <w:rsid w:val="00434110"/>
    <w:rsid w:val="00434153"/>
    <w:rsid w:val="00434200"/>
    <w:rsid w:val="00434B05"/>
    <w:rsid w:val="00434C3A"/>
    <w:rsid w:val="0043529C"/>
    <w:rsid w:val="00435348"/>
    <w:rsid w:val="00435BB2"/>
    <w:rsid w:val="00435C03"/>
    <w:rsid w:val="00436090"/>
    <w:rsid w:val="004360E7"/>
    <w:rsid w:val="0043646E"/>
    <w:rsid w:val="00436952"/>
    <w:rsid w:val="0043769B"/>
    <w:rsid w:val="00437E06"/>
    <w:rsid w:val="004409F6"/>
    <w:rsid w:val="00440A0D"/>
    <w:rsid w:val="00440B54"/>
    <w:rsid w:val="004412D3"/>
    <w:rsid w:val="0044180B"/>
    <w:rsid w:val="00441971"/>
    <w:rsid w:val="00441F6B"/>
    <w:rsid w:val="00441FC4"/>
    <w:rsid w:val="00442044"/>
    <w:rsid w:val="004420D1"/>
    <w:rsid w:val="00442568"/>
    <w:rsid w:val="004426FC"/>
    <w:rsid w:val="00442D6D"/>
    <w:rsid w:val="004438D7"/>
    <w:rsid w:val="00443AAF"/>
    <w:rsid w:val="00443FB3"/>
    <w:rsid w:val="0044447F"/>
    <w:rsid w:val="00444645"/>
    <w:rsid w:val="0044475D"/>
    <w:rsid w:val="004449F8"/>
    <w:rsid w:val="0044559A"/>
    <w:rsid w:val="00445FE4"/>
    <w:rsid w:val="0044620B"/>
    <w:rsid w:val="004468A6"/>
    <w:rsid w:val="00446926"/>
    <w:rsid w:val="00446C84"/>
    <w:rsid w:val="00447318"/>
    <w:rsid w:val="00447638"/>
    <w:rsid w:val="0044798A"/>
    <w:rsid w:val="004500C9"/>
    <w:rsid w:val="00450AFB"/>
    <w:rsid w:val="00450B18"/>
    <w:rsid w:val="00451185"/>
    <w:rsid w:val="0045129B"/>
    <w:rsid w:val="004513AA"/>
    <w:rsid w:val="00451582"/>
    <w:rsid w:val="00451BFC"/>
    <w:rsid w:val="0045224D"/>
    <w:rsid w:val="00452304"/>
    <w:rsid w:val="00452A62"/>
    <w:rsid w:val="00452B1B"/>
    <w:rsid w:val="00452C42"/>
    <w:rsid w:val="00452DD3"/>
    <w:rsid w:val="0045371A"/>
    <w:rsid w:val="00453A8E"/>
    <w:rsid w:val="004549AD"/>
    <w:rsid w:val="004551C3"/>
    <w:rsid w:val="004555A9"/>
    <w:rsid w:val="004555F6"/>
    <w:rsid w:val="00455621"/>
    <w:rsid w:val="004565AD"/>
    <w:rsid w:val="00456E41"/>
    <w:rsid w:val="00457A49"/>
    <w:rsid w:val="00460168"/>
    <w:rsid w:val="004601F3"/>
    <w:rsid w:val="004603BA"/>
    <w:rsid w:val="00460798"/>
    <w:rsid w:val="00460B9A"/>
    <w:rsid w:val="00460DFA"/>
    <w:rsid w:val="00461518"/>
    <w:rsid w:val="0046182E"/>
    <w:rsid w:val="004622A8"/>
    <w:rsid w:val="00462B92"/>
    <w:rsid w:val="004648F9"/>
    <w:rsid w:val="00464BB5"/>
    <w:rsid w:val="00464EC0"/>
    <w:rsid w:val="00465564"/>
    <w:rsid w:val="00466061"/>
    <w:rsid w:val="0046628E"/>
    <w:rsid w:val="00466429"/>
    <w:rsid w:val="004664AF"/>
    <w:rsid w:val="0046684B"/>
    <w:rsid w:val="00466EBA"/>
    <w:rsid w:val="004670C5"/>
    <w:rsid w:val="0046782F"/>
    <w:rsid w:val="00467904"/>
    <w:rsid w:val="00467E8A"/>
    <w:rsid w:val="004703EB"/>
    <w:rsid w:val="0047078B"/>
    <w:rsid w:val="00470824"/>
    <w:rsid w:val="0047096C"/>
    <w:rsid w:val="004713CE"/>
    <w:rsid w:val="00471545"/>
    <w:rsid w:val="00471934"/>
    <w:rsid w:val="00471A7A"/>
    <w:rsid w:val="00471BBF"/>
    <w:rsid w:val="00471BCF"/>
    <w:rsid w:val="00471C83"/>
    <w:rsid w:val="00471FC8"/>
    <w:rsid w:val="004724DE"/>
    <w:rsid w:val="00472655"/>
    <w:rsid w:val="00472CA7"/>
    <w:rsid w:val="00472EC3"/>
    <w:rsid w:val="004732CF"/>
    <w:rsid w:val="00473FA1"/>
    <w:rsid w:val="00474055"/>
    <w:rsid w:val="004740E3"/>
    <w:rsid w:val="00474393"/>
    <w:rsid w:val="00474CC8"/>
    <w:rsid w:val="0047583A"/>
    <w:rsid w:val="00475BDD"/>
    <w:rsid w:val="004762CE"/>
    <w:rsid w:val="004764F1"/>
    <w:rsid w:val="00476643"/>
    <w:rsid w:val="00476DD3"/>
    <w:rsid w:val="00477069"/>
    <w:rsid w:val="00477483"/>
    <w:rsid w:val="00477547"/>
    <w:rsid w:val="004779A1"/>
    <w:rsid w:val="00477A47"/>
    <w:rsid w:val="00477CD9"/>
    <w:rsid w:val="00477D07"/>
    <w:rsid w:val="00477D57"/>
    <w:rsid w:val="0048011D"/>
    <w:rsid w:val="00480804"/>
    <w:rsid w:val="00480C9A"/>
    <w:rsid w:val="00480F6E"/>
    <w:rsid w:val="004812A5"/>
    <w:rsid w:val="00481465"/>
    <w:rsid w:val="0048194D"/>
    <w:rsid w:val="0048210C"/>
    <w:rsid w:val="004822DA"/>
    <w:rsid w:val="00482678"/>
    <w:rsid w:val="00482E5A"/>
    <w:rsid w:val="004838D3"/>
    <w:rsid w:val="00483DC8"/>
    <w:rsid w:val="00484615"/>
    <w:rsid w:val="00484D0F"/>
    <w:rsid w:val="00485071"/>
    <w:rsid w:val="00485168"/>
    <w:rsid w:val="004851DA"/>
    <w:rsid w:val="0048524B"/>
    <w:rsid w:val="00485A39"/>
    <w:rsid w:val="004860A6"/>
    <w:rsid w:val="004860B3"/>
    <w:rsid w:val="0048651C"/>
    <w:rsid w:val="00486B16"/>
    <w:rsid w:val="00487053"/>
    <w:rsid w:val="00487145"/>
    <w:rsid w:val="0048787A"/>
    <w:rsid w:val="00490183"/>
    <w:rsid w:val="0049035F"/>
    <w:rsid w:val="00490C66"/>
    <w:rsid w:val="0049113C"/>
    <w:rsid w:val="00491456"/>
    <w:rsid w:val="00491784"/>
    <w:rsid w:val="0049187B"/>
    <w:rsid w:val="00492008"/>
    <w:rsid w:val="004925FA"/>
    <w:rsid w:val="00492CD0"/>
    <w:rsid w:val="004931BF"/>
    <w:rsid w:val="004932BC"/>
    <w:rsid w:val="0049334A"/>
    <w:rsid w:val="0049341B"/>
    <w:rsid w:val="00493C14"/>
    <w:rsid w:val="00493FEA"/>
    <w:rsid w:val="004948E9"/>
    <w:rsid w:val="00494BA2"/>
    <w:rsid w:val="00494BE6"/>
    <w:rsid w:val="00494FA4"/>
    <w:rsid w:val="00495637"/>
    <w:rsid w:val="0049578B"/>
    <w:rsid w:val="0049599F"/>
    <w:rsid w:val="00495E40"/>
    <w:rsid w:val="00496471"/>
    <w:rsid w:val="004964FA"/>
    <w:rsid w:val="004968BA"/>
    <w:rsid w:val="00496A4C"/>
    <w:rsid w:val="00496BB3"/>
    <w:rsid w:val="00497911"/>
    <w:rsid w:val="00497B1A"/>
    <w:rsid w:val="004A0672"/>
    <w:rsid w:val="004A0900"/>
    <w:rsid w:val="004A0E52"/>
    <w:rsid w:val="004A12E3"/>
    <w:rsid w:val="004A1318"/>
    <w:rsid w:val="004A192E"/>
    <w:rsid w:val="004A2F6A"/>
    <w:rsid w:val="004A310D"/>
    <w:rsid w:val="004A3A7B"/>
    <w:rsid w:val="004A3B4C"/>
    <w:rsid w:val="004A3FD1"/>
    <w:rsid w:val="004A435A"/>
    <w:rsid w:val="004A4913"/>
    <w:rsid w:val="004A4CAA"/>
    <w:rsid w:val="004A5231"/>
    <w:rsid w:val="004A59D5"/>
    <w:rsid w:val="004A5AE5"/>
    <w:rsid w:val="004A5B0C"/>
    <w:rsid w:val="004A5DBD"/>
    <w:rsid w:val="004A66F5"/>
    <w:rsid w:val="004A7A0A"/>
    <w:rsid w:val="004A7CAC"/>
    <w:rsid w:val="004A7EA5"/>
    <w:rsid w:val="004B015E"/>
    <w:rsid w:val="004B0539"/>
    <w:rsid w:val="004B0696"/>
    <w:rsid w:val="004B19D5"/>
    <w:rsid w:val="004B1D0E"/>
    <w:rsid w:val="004B214C"/>
    <w:rsid w:val="004B2B2D"/>
    <w:rsid w:val="004B2B2F"/>
    <w:rsid w:val="004B2C57"/>
    <w:rsid w:val="004B2F8C"/>
    <w:rsid w:val="004B347F"/>
    <w:rsid w:val="004B3585"/>
    <w:rsid w:val="004B3B43"/>
    <w:rsid w:val="004B3BFC"/>
    <w:rsid w:val="004B3D48"/>
    <w:rsid w:val="004B43C1"/>
    <w:rsid w:val="004B47F3"/>
    <w:rsid w:val="004B530B"/>
    <w:rsid w:val="004B616A"/>
    <w:rsid w:val="004B7139"/>
    <w:rsid w:val="004B7213"/>
    <w:rsid w:val="004B76BA"/>
    <w:rsid w:val="004B77B5"/>
    <w:rsid w:val="004B7E61"/>
    <w:rsid w:val="004C00DC"/>
    <w:rsid w:val="004C0D9D"/>
    <w:rsid w:val="004C0DD9"/>
    <w:rsid w:val="004C0E97"/>
    <w:rsid w:val="004C1234"/>
    <w:rsid w:val="004C1247"/>
    <w:rsid w:val="004C1BA0"/>
    <w:rsid w:val="004C1C68"/>
    <w:rsid w:val="004C2B68"/>
    <w:rsid w:val="004C2C39"/>
    <w:rsid w:val="004C356C"/>
    <w:rsid w:val="004C395B"/>
    <w:rsid w:val="004C3B4F"/>
    <w:rsid w:val="004C3CB2"/>
    <w:rsid w:val="004C43C0"/>
    <w:rsid w:val="004C46DE"/>
    <w:rsid w:val="004C502F"/>
    <w:rsid w:val="004C51E3"/>
    <w:rsid w:val="004C51EB"/>
    <w:rsid w:val="004C548A"/>
    <w:rsid w:val="004C54DA"/>
    <w:rsid w:val="004C5571"/>
    <w:rsid w:val="004C6729"/>
    <w:rsid w:val="004C6C83"/>
    <w:rsid w:val="004C6E43"/>
    <w:rsid w:val="004C6E6A"/>
    <w:rsid w:val="004C7533"/>
    <w:rsid w:val="004C7702"/>
    <w:rsid w:val="004D0391"/>
    <w:rsid w:val="004D0615"/>
    <w:rsid w:val="004D0D23"/>
    <w:rsid w:val="004D0D7D"/>
    <w:rsid w:val="004D0D96"/>
    <w:rsid w:val="004D0DD1"/>
    <w:rsid w:val="004D1625"/>
    <w:rsid w:val="004D181E"/>
    <w:rsid w:val="004D1A53"/>
    <w:rsid w:val="004D20A3"/>
    <w:rsid w:val="004D2592"/>
    <w:rsid w:val="004D2907"/>
    <w:rsid w:val="004D2D2F"/>
    <w:rsid w:val="004D36D1"/>
    <w:rsid w:val="004D3837"/>
    <w:rsid w:val="004D3ED1"/>
    <w:rsid w:val="004D4562"/>
    <w:rsid w:val="004D4ACC"/>
    <w:rsid w:val="004D4CB6"/>
    <w:rsid w:val="004D4CCD"/>
    <w:rsid w:val="004D6119"/>
    <w:rsid w:val="004D672D"/>
    <w:rsid w:val="004D704B"/>
    <w:rsid w:val="004D7D34"/>
    <w:rsid w:val="004D7F13"/>
    <w:rsid w:val="004E0548"/>
    <w:rsid w:val="004E1114"/>
    <w:rsid w:val="004E11DF"/>
    <w:rsid w:val="004E15C3"/>
    <w:rsid w:val="004E17A7"/>
    <w:rsid w:val="004E19B0"/>
    <w:rsid w:val="004E2199"/>
    <w:rsid w:val="004E27B2"/>
    <w:rsid w:val="004E2845"/>
    <w:rsid w:val="004E2E29"/>
    <w:rsid w:val="004E326B"/>
    <w:rsid w:val="004E3843"/>
    <w:rsid w:val="004E3F7E"/>
    <w:rsid w:val="004E4223"/>
    <w:rsid w:val="004E4314"/>
    <w:rsid w:val="004E447F"/>
    <w:rsid w:val="004E4D09"/>
    <w:rsid w:val="004E4D4E"/>
    <w:rsid w:val="004E5455"/>
    <w:rsid w:val="004E55EE"/>
    <w:rsid w:val="004E61F3"/>
    <w:rsid w:val="004E669F"/>
    <w:rsid w:val="004E675A"/>
    <w:rsid w:val="004E683B"/>
    <w:rsid w:val="004E7C93"/>
    <w:rsid w:val="004F036D"/>
    <w:rsid w:val="004F0764"/>
    <w:rsid w:val="004F0AAB"/>
    <w:rsid w:val="004F1AE2"/>
    <w:rsid w:val="004F236E"/>
    <w:rsid w:val="004F2EC7"/>
    <w:rsid w:val="004F3437"/>
    <w:rsid w:val="004F3450"/>
    <w:rsid w:val="004F3AD6"/>
    <w:rsid w:val="004F3D27"/>
    <w:rsid w:val="004F434D"/>
    <w:rsid w:val="004F465E"/>
    <w:rsid w:val="004F4C1E"/>
    <w:rsid w:val="004F527D"/>
    <w:rsid w:val="004F5A86"/>
    <w:rsid w:val="004F5CA4"/>
    <w:rsid w:val="004F5FF5"/>
    <w:rsid w:val="004F60F0"/>
    <w:rsid w:val="004F6376"/>
    <w:rsid w:val="004F65A5"/>
    <w:rsid w:val="004F6852"/>
    <w:rsid w:val="004F6855"/>
    <w:rsid w:val="004F6E10"/>
    <w:rsid w:val="004F6F5E"/>
    <w:rsid w:val="004F7672"/>
    <w:rsid w:val="004F7F2B"/>
    <w:rsid w:val="00500009"/>
    <w:rsid w:val="00500107"/>
    <w:rsid w:val="0050077E"/>
    <w:rsid w:val="005008B6"/>
    <w:rsid w:val="00500C45"/>
    <w:rsid w:val="005010E5"/>
    <w:rsid w:val="005013C7"/>
    <w:rsid w:val="0050265B"/>
    <w:rsid w:val="005026D9"/>
    <w:rsid w:val="00502BAD"/>
    <w:rsid w:val="00502DD8"/>
    <w:rsid w:val="005031F5"/>
    <w:rsid w:val="00503461"/>
    <w:rsid w:val="005037CD"/>
    <w:rsid w:val="00503A96"/>
    <w:rsid w:val="00503D9D"/>
    <w:rsid w:val="00504461"/>
    <w:rsid w:val="00504498"/>
    <w:rsid w:val="0050487F"/>
    <w:rsid w:val="005049C4"/>
    <w:rsid w:val="00504C9A"/>
    <w:rsid w:val="005050EE"/>
    <w:rsid w:val="00505234"/>
    <w:rsid w:val="005054AD"/>
    <w:rsid w:val="0050629C"/>
    <w:rsid w:val="005069FD"/>
    <w:rsid w:val="00506B8F"/>
    <w:rsid w:val="00507165"/>
    <w:rsid w:val="0050751B"/>
    <w:rsid w:val="005076F4"/>
    <w:rsid w:val="00507A38"/>
    <w:rsid w:val="00507E54"/>
    <w:rsid w:val="00511484"/>
    <w:rsid w:val="005115E8"/>
    <w:rsid w:val="00511B2D"/>
    <w:rsid w:val="00511FE1"/>
    <w:rsid w:val="005122A5"/>
    <w:rsid w:val="005124AD"/>
    <w:rsid w:val="005128A7"/>
    <w:rsid w:val="005134A2"/>
    <w:rsid w:val="005138F7"/>
    <w:rsid w:val="00513FED"/>
    <w:rsid w:val="00514844"/>
    <w:rsid w:val="00514B4D"/>
    <w:rsid w:val="00515B0D"/>
    <w:rsid w:val="00515E8C"/>
    <w:rsid w:val="005163D0"/>
    <w:rsid w:val="00517107"/>
    <w:rsid w:val="00517118"/>
    <w:rsid w:val="00517243"/>
    <w:rsid w:val="0051743A"/>
    <w:rsid w:val="0052017F"/>
    <w:rsid w:val="0052068F"/>
    <w:rsid w:val="00520714"/>
    <w:rsid w:val="0052156E"/>
    <w:rsid w:val="0052175E"/>
    <w:rsid w:val="0052184B"/>
    <w:rsid w:val="0052236B"/>
    <w:rsid w:val="005226A8"/>
    <w:rsid w:val="00522E2A"/>
    <w:rsid w:val="00523333"/>
    <w:rsid w:val="00523550"/>
    <w:rsid w:val="00523570"/>
    <w:rsid w:val="0052395D"/>
    <w:rsid w:val="00523A58"/>
    <w:rsid w:val="00523E16"/>
    <w:rsid w:val="00523E20"/>
    <w:rsid w:val="00524059"/>
    <w:rsid w:val="005242C9"/>
    <w:rsid w:val="0052453C"/>
    <w:rsid w:val="005247C6"/>
    <w:rsid w:val="0052495A"/>
    <w:rsid w:val="0052511A"/>
    <w:rsid w:val="005258E9"/>
    <w:rsid w:val="00525D50"/>
    <w:rsid w:val="00525EB1"/>
    <w:rsid w:val="0052622A"/>
    <w:rsid w:val="00526913"/>
    <w:rsid w:val="00526BC7"/>
    <w:rsid w:val="00526D90"/>
    <w:rsid w:val="00526F25"/>
    <w:rsid w:val="005273B8"/>
    <w:rsid w:val="00527518"/>
    <w:rsid w:val="00527620"/>
    <w:rsid w:val="00527C02"/>
    <w:rsid w:val="00530341"/>
    <w:rsid w:val="00530425"/>
    <w:rsid w:val="00530502"/>
    <w:rsid w:val="00530EF0"/>
    <w:rsid w:val="0053163F"/>
    <w:rsid w:val="005318DA"/>
    <w:rsid w:val="00531DF5"/>
    <w:rsid w:val="005333F4"/>
    <w:rsid w:val="00533453"/>
    <w:rsid w:val="00533689"/>
    <w:rsid w:val="00533E0A"/>
    <w:rsid w:val="00534695"/>
    <w:rsid w:val="00534CBC"/>
    <w:rsid w:val="00535091"/>
    <w:rsid w:val="00535233"/>
    <w:rsid w:val="005352CD"/>
    <w:rsid w:val="005354B7"/>
    <w:rsid w:val="005354E8"/>
    <w:rsid w:val="00535573"/>
    <w:rsid w:val="00535815"/>
    <w:rsid w:val="005369FC"/>
    <w:rsid w:val="00536B06"/>
    <w:rsid w:val="00536BB7"/>
    <w:rsid w:val="00536CAF"/>
    <w:rsid w:val="00536DB8"/>
    <w:rsid w:val="00536FB8"/>
    <w:rsid w:val="005371CE"/>
    <w:rsid w:val="00537B2F"/>
    <w:rsid w:val="00537F75"/>
    <w:rsid w:val="00540493"/>
    <w:rsid w:val="005406F3"/>
    <w:rsid w:val="0054071D"/>
    <w:rsid w:val="00540992"/>
    <w:rsid w:val="00540ADD"/>
    <w:rsid w:val="00540B18"/>
    <w:rsid w:val="00540E9A"/>
    <w:rsid w:val="00540F8B"/>
    <w:rsid w:val="0054163C"/>
    <w:rsid w:val="0054169E"/>
    <w:rsid w:val="00541BC6"/>
    <w:rsid w:val="005421A2"/>
    <w:rsid w:val="00542318"/>
    <w:rsid w:val="005427C6"/>
    <w:rsid w:val="00542946"/>
    <w:rsid w:val="00542B3C"/>
    <w:rsid w:val="00542DE2"/>
    <w:rsid w:val="005434EA"/>
    <w:rsid w:val="0054356F"/>
    <w:rsid w:val="00544017"/>
    <w:rsid w:val="005440A6"/>
    <w:rsid w:val="005441DA"/>
    <w:rsid w:val="0054474E"/>
    <w:rsid w:val="005447DA"/>
    <w:rsid w:val="0054483D"/>
    <w:rsid w:val="005449D5"/>
    <w:rsid w:val="00544BF2"/>
    <w:rsid w:val="00544C39"/>
    <w:rsid w:val="00544CC6"/>
    <w:rsid w:val="00544E15"/>
    <w:rsid w:val="00544FF3"/>
    <w:rsid w:val="00545552"/>
    <w:rsid w:val="0054565F"/>
    <w:rsid w:val="00545C3D"/>
    <w:rsid w:val="00545DA7"/>
    <w:rsid w:val="00546282"/>
    <w:rsid w:val="00546512"/>
    <w:rsid w:val="00546B09"/>
    <w:rsid w:val="00546C26"/>
    <w:rsid w:val="00546D19"/>
    <w:rsid w:val="00547280"/>
    <w:rsid w:val="00547A27"/>
    <w:rsid w:val="00547E2E"/>
    <w:rsid w:val="00550671"/>
    <w:rsid w:val="0055146F"/>
    <w:rsid w:val="00551CC1"/>
    <w:rsid w:val="0055238D"/>
    <w:rsid w:val="005532C5"/>
    <w:rsid w:val="005535D7"/>
    <w:rsid w:val="005538B2"/>
    <w:rsid w:val="005539EA"/>
    <w:rsid w:val="00553D31"/>
    <w:rsid w:val="00553DB4"/>
    <w:rsid w:val="0055413F"/>
    <w:rsid w:val="00555351"/>
    <w:rsid w:val="00555A71"/>
    <w:rsid w:val="00555B47"/>
    <w:rsid w:val="005566C8"/>
    <w:rsid w:val="00556847"/>
    <w:rsid w:val="00556879"/>
    <w:rsid w:val="00556951"/>
    <w:rsid w:val="00556EE5"/>
    <w:rsid w:val="00556F2D"/>
    <w:rsid w:val="0055715E"/>
    <w:rsid w:val="00557542"/>
    <w:rsid w:val="005575E8"/>
    <w:rsid w:val="00557B38"/>
    <w:rsid w:val="00557E94"/>
    <w:rsid w:val="0056037E"/>
    <w:rsid w:val="00560B6B"/>
    <w:rsid w:val="00560D44"/>
    <w:rsid w:val="0056173A"/>
    <w:rsid w:val="00561794"/>
    <w:rsid w:val="00561E80"/>
    <w:rsid w:val="00562196"/>
    <w:rsid w:val="0056226A"/>
    <w:rsid w:val="005623DA"/>
    <w:rsid w:val="00562486"/>
    <w:rsid w:val="005625DD"/>
    <w:rsid w:val="005628EE"/>
    <w:rsid w:val="0056349F"/>
    <w:rsid w:val="00563B8D"/>
    <w:rsid w:val="00564160"/>
    <w:rsid w:val="00564886"/>
    <w:rsid w:val="0056509F"/>
    <w:rsid w:val="00565431"/>
    <w:rsid w:val="00565941"/>
    <w:rsid w:val="00565A68"/>
    <w:rsid w:val="00565B92"/>
    <w:rsid w:val="00565C16"/>
    <w:rsid w:val="00565E3B"/>
    <w:rsid w:val="005661BB"/>
    <w:rsid w:val="0056683B"/>
    <w:rsid w:val="005669B8"/>
    <w:rsid w:val="005671FF"/>
    <w:rsid w:val="00567A1D"/>
    <w:rsid w:val="00567EC0"/>
    <w:rsid w:val="00567F4E"/>
    <w:rsid w:val="00570121"/>
    <w:rsid w:val="005701BE"/>
    <w:rsid w:val="00570251"/>
    <w:rsid w:val="00570E18"/>
    <w:rsid w:val="00570E54"/>
    <w:rsid w:val="005711C9"/>
    <w:rsid w:val="005712D2"/>
    <w:rsid w:val="0057143C"/>
    <w:rsid w:val="00571995"/>
    <w:rsid w:val="00571BCC"/>
    <w:rsid w:val="00571FA7"/>
    <w:rsid w:val="00572066"/>
    <w:rsid w:val="00572407"/>
    <w:rsid w:val="00572F55"/>
    <w:rsid w:val="005735DB"/>
    <w:rsid w:val="0057373E"/>
    <w:rsid w:val="00573994"/>
    <w:rsid w:val="00573BB4"/>
    <w:rsid w:val="00573D20"/>
    <w:rsid w:val="0057473F"/>
    <w:rsid w:val="00574A3D"/>
    <w:rsid w:val="00574BFD"/>
    <w:rsid w:val="00574F75"/>
    <w:rsid w:val="00575086"/>
    <w:rsid w:val="005753AB"/>
    <w:rsid w:val="00575759"/>
    <w:rsid w:val="00575CEB"/>
    <w:rsid w:val="00576A5C"/>
    <w:rsid w:val="00576B00"/>
    <w:rsid w:val="00577132"/>
    <w:rsid w:val="00577243"/>
    <w:rsid w:val="00577352"/>
    <w:rsid w:val="0057746F"/>
    <w:rsid w:val="00577C88"/>
    <w:rsid w:val="0058027C"/>
    <w:rsid w:val="005802B9"/>
    <w:rsid w:val="00580C76"/>
    <w:rsid w:val="00580CA4"/>
    <w:rsid w:val="00580F66"/>
    <w:rsid w:val="00581545"/>
    <w:rsid w:val="00581CBE"/>
    <w:rsid w:val="005821AA"/>
    <w:rsid w:val="005825D0"/>
    <w:rsid w:val="00582931"/>
    <w:rsid w:val="00582A6B"/>
    <w:rsid w:val="00582C93"/>
    <w:rsid w:val="00582E2D"/>
    <w:rsid w:val="00582EF6"/>
    <w:rsid w:val="005832F3"/>
    <w:rsid w:val="005832FD"/>
    <w:rsid w:val="00583BC6"/>
    <w:rsid w:val="00583E49"/>
    <w:rsid w:val="00584E97"/>
    <w:rsid w:val="00584F6A"/>
    <w:rsid w:val="005853F9"/>
    <w:rsid w:val="0058574A"/>
    <w:rsid w:val="00585C6F"/>
    <w:rsid w:val="005866F5"/>
    <w:rsid w:val="005868A5"/>
    <w:rsid w:val="00586AA2"/>
    <w:rsid w:val="00586C90"/>
    <w:rsid w:val="00586DEE"/>
    <w:rsid w:val="00586E6D"/>
    <w:rsid w:val="00586EEE"/>
    <w:rsid w:val="00586FBF"/>
    <w:rsid w:val="0058734D"/>
    <w:rsid w:val="00587402"/>
    <w:rsid w:val="00587448"/>
    <w:rsid w:val="005874C4"/>
    <w:rsid w:val="00587570"/>
    <w:rsid w:val="00590174"/>
    <w:rsid w:val="005905E8"/>
    <w:rsid w:val="00590C61"/>
    <w:rsid w:val="00590E28"/>
    <w:rsid w:val="0059140B"/>
    <w:rsid w:val="00591DB7"/>
    <w:rsid w:val="00592CBE"/>
    <w:rsid w:val="0059355C"/>
    <w:rsid w:val="00594701"/>
    <w:rsid w:val="00594A37"/>
    <w:rsid w:val="00594B8C"/>
    <w:rsid w:val="00594EC6"/>
    <w:rsid w:val="005955C0"/>
    <w:rsid w:val="0059566E"/>
    <w:rsid w:val="00595B29"/>
    <w:rsid w:val="00596028"/>
    <w:rsid w:val="005962DE"/>
    <w:rsid w:val="00596484"/>
    <w:rsid w:val="00597151"/>
    <w:rsid w:val="005979B7"/>
    <w:rsid w:val="00597B53"/>
    <w:rsid w:val="00597C23"/>
    <w:rsid w:val="00597C2B"/>
    <w:rsid w:val="00597C65"/>
    <w:rsid w:val="00597DCC"/>
    <w:rsid w:val="00597EF5"/>
    <w:rsid w:val="00597F93"/>
    <w:rsid w:val="005A1746"/>
    <w:rsid w:val="005A2327"/>
    <w:rsid w:val="005A2331"/>
    <w:rsid w:val="005A2957"/>
    <w:rsid w:val="005A2C9F"/>
    <w:rsid w:val="005A2FDC"/>
    <w:rsid w:val="005A3107"/>
    <w:rsid w:val="005A380F"/>
    <w:rsid w:val="005A40F4"/>
    <w:rsid w:val="005A4BDB"/>
    <w:rsid w:val="005A4FA8"/>
    <w:rsid w:val="005A542D"/>
    <w:rsid w:val="005A618F"/>
    <w:rsid w:val="005A687F"/>
    <w:rsid w:val="005A6A37"/>
    <w:rsid w:val="005A6D99"/>
    <w:rsid w:val="005A7763"/>
    <w:rsid w:val="005A7850"/>
    <w:rsid w:val="005A7958"/>
    <w:rsid w:val="005A7DE4"/>
    <w:rsid w:val="005A7E11"/>
    <w:rsid w:val="005B0027"/>
    <w:rsid w:val="005B039A"/>
    <w:rsid w:val="005B07C1"/>
    <w:rsid w:val="005B0ED3"/>
    <w:rsid w:val="005B12AC"/>
    <w:rsid w:val="005B1751"/>
    <w:rsid w:val="005B1837"/>
    <w:rsid w:val="005B27A9"/>
    <w:rsid w:val="005B3AB1"/>
    <w:rsid w:val="005B3CAF"/>
    <w:rsid w:val="005B3E75"/>
    <w:rsid w:val="005B41AF"/>
    <w:rsid w:val="005B49B4"/>
    <w:rsid w:val="005B4C0E"/>
    <w:rsid w:val="005B4C4E"/>
    <w:rsid w:val="005B525C"/>
    <w:rsid w:val="005B5684"/>
    <w:rsid w:val="005B5AF4"/>
    <w:rsid w:val="005B5D2F"/>
    <w:rsid w:val="005B6425"/>
    <w:rsid w:val="005B659F"/>
    <w:rsid w:val="005B6716"/>
    <w:rsid w:val="005B6C39"/>
    <w:rsid w:val="005B6F41"/>
    <w:rsid w:val="005B782F"/>
    <w:rsid w:val="005B7866"/>
    <w:rsid w:val="005C0114"/>
    <w:rsid w:val="005C0293"/>
    <w:rsid w:val="005C03AF"/>
    <w:rsid w:val="005C063B"/>
    <w:rsid w:val="005C0B95"/>
    <w:rsid w:val="005C1EAF"/>
    <w:rsid w:val="005C2239"/>
    <w:rsid w:val="005C34B9"/>
    <w:rsid w:val="005C3788"/>
    <w:rsid w:val="005C3CF0"/>
    <w:rsid w:val="005C43D3"/>
    <w:rsid w:val="005C44E3"/>
    <w:rsid w:val="005C4D40"/>
    <w:rsid w:val="005C54C8"/>
    <w:rsid w:val="005C593D"/>
    <w:rsid w:val="005C5B4E"/>
    <w:rsid w:val="005C5E8E"/>
    <w:rsid w:val="005C632C"/>
    <w:rsid w:val="005C643C"/>
    <w:rsid w:val="005C6484"/>
    <w:rsid w:val="005C6540"/>
    <w:rsid w:val="005C6951"/>
    <w:rsid w:val="005C697E"/>
    <w:rsid w:val="005C6A94"/>
    <w:rsid w:val="005C6AEB"/>
    <w:rsid w:val="005C6E22"/>
    <w:rsid w:val="005C7026"/>
    <w:rsid w:val="005C7166"/>
    <w:rsid w:val="005C7871"/>
    <w:rsid w:val="005C7883"/>
    <w:rsid w:val="005C7FC6"/>
    <w:rsid w:val="005D002D"/>
    <w:rsid w:val="005D027E"/>
    <w:rsid w:val="005D05ED"/>
    <w:rsid w:val="005D0667"/>
    <w:rsid w:val="005D07A7"/>
    <w:rsid w:val="005D0F74"/>
    <w:rsid w:val="005D1071"/>
    <w:rsid w:val="005D1541"/>
    <w:rsid w:val="005D1860"/>
    <w:rsid w:val="005D1D33"/>
    <w:rsid w:val="005D26F2"/>
    <w:rsid w:val="005D35D2"/>
    <w:rsid w:val="005D3E5B"/>
    <w:rsid w:val="005D4502"/>
    <w:rsid w:val="005D475D"/>
    <w:rsid w:val="005D4AAB"/>
    <w:rsid w:val="005D4B0B"/>
    <w:rsid w:val="005D5009"/>
    <w:rsid w:val="005D562F"/>
    <w:rsid w:val="005D5AEE"/>
    <w:rsid w:val="005D6BDA"/>
    <w:rsid w:val="005D6EFE"/>
    <w:rsid w:val="005D6F27"/>
    <w:rsid w:val="005D7769"/>
    <w:rsid w:val="005D7EEE"/>
    <w:rsid w:val="005E0741"/>
    <w:rsid w:val="005E07E5"/>
    <w:rsid w:val="005E09BC"/>
    <w:rsid w:val="005E0D81"/>
    <w:rsid w:val="005E0FC4"/>
    <w:rsid w:val="005E1064"/>
    <w:rsid w:val="005E1284"/>
    <w:rsid w:val="005E161E"/>
    <w:rsid w:val="005E19D7"/>
    <w:rsid w:val="005E1AAF"/>
    <w:rsid w:val="005E1D2C"/>
    <w:rsid w:val="005E2606"/>
    <w:rsid w:val="005E2632"/>
    <w:rsid w:val="005E2A42"/>
    <w:rsid w:val="005E2FD4"/>
    <w:rsid w:val="005E3162"/>
    <w:rsid w:val="005E421C"/>
    <w:rsid w:val="005E45CA"/>
    <w:rsid w:val="005E476F"/>
    <w:rsid w:val="005E4E8D"/>
    <w:rsid w:val="005E4EA0"/>
    <w:rsid w:val="005E5A04"/>
    <w:rsid w:val="005E5AB3"/>
    <w:rsid w:val="005E62B8"/>
    <w:rsid w:val="005E631E"/>
    <w:rsid w:val="005E7075"/>
    <w:rsid w:val="005E7DD6"/>
    <w:rsid w:val="005F00E4"/>
    <w:rsid w:val="005F03B3"/>
    <w:rsid w:val="005F0F52"/>
    <w:rsid w:val="005F177B"/>
    <w:rsid w:val="005F1C01"/>
    <w:rsid w:val="005F1F01"/>
    <w:rsid w:val="005F2620"/>
    <w:rsid w:val="005F33A1"/>
    <w:rsid w:val="005F364A"/>
    <w:rsid w:val="005F3723"/>
    <w:rsid w:val="005F3A2D"/>
    <w:rsid w:val="005F3CD0"/>
    <w:rsid w:val="005F3D62"/>
    <w:rsid w:val="005F3F38"/>
    <w:rsid w:val="005F3FE6"/>
    <w:rsid w:val="005F43FB"/>
    <w:rsid w:val="005F487A"/>
    <w:rsid w:val="005F4A93"/>
    <w:rsid w:val="005F4BCB"/>
    <w:rsid w:val="005F4D0F"/>
    <w:rsid w:val="005F503D"/>
    <w:rsid w:val="005F5324"/>
    <w:rsid w:val="005F533C"/>
    <w:rsid w:val="005F5AA4"/>
    <w:rsid w:val="005F5C5F"/>
    <w:rsid w:val="005F61AC"/>
    <w:rsid w:val="005F6A3A"/>
    <w:rsid w:val="005F700D"/>
    <w:rsid w:val="005F7388"/>
    <w:rsid w:val="005F7E7C"/>
    <w:rsid w:val="006005C1"/>
    <w:rsid w:val="0060060E"/>
    <w:rsid w:val="00600D89"/>
    <w:rsid w:val="00601001"/>
    <w:rsid w:val="00601F03"/>
    <w:rsid w:val="00602614"/>
    <w:rsid w:val="006028AD"/>
    <w:rsid w:val="00602C1C"/>
    <w:rsid w:val="00602DEC"/>
    <w:rsid w:val="00602E73"/>
    <w:rsid w:val="0060393E"/>
    <w:rsid w:val="00604360"/>
    <w:rsid w:val="00604971"/>
    <w:rsid w:val="006052AC"/>
    <w:rsid w:val="00605678"/>
    <w:rsid w:val="006056E5"/>
    <w:rsid w:val="00605C70"/>
    <w:rsid w:val="00605E81"/>
    <w:rsid w:val="0060715E"/>
    <w:rsid w:val="0061008E"/>
    <w:rsid w:val="00610331"/>
    <w:rsid w:val="00611348"/>
    <w:rsid w:val="00611551"/>
    <w:rsid w:val="00611958"/>
    <w:rsid w:val="00611FF4"/>
    <w:rsid w:val="00612034"/>
    <w:rsid w:val="0061255F"/>
    <w:rsid w:val="00612766"/>
    <w:rsid w:val="00612C4A"/>
    <w:rsid w:val="00612E2E"/>
    <w:rsid w:val="00612F83"/>
    <w:rsid w:val="00613158"/>
    <w:rsid w:val="0061430F"/>
    <w:rsid w:val="0061432D"/>
    <w:rsid w:val="006147A9"/>
    <w:rsid w:val="006147B6"/>
    <w:rsid w:val="00614950"/>
    <w:rsid w:val="00615DC7"/>
    <w:rsid w:val="00615EFF"/>
    <w:rsid w:val="00616636"/>
    <w:rsid w:val="00616B1A"/>
    <w:rsid w:val="00616C15"/>
    <w:rsid w:val="006170BF"/>
    <w:rsid w:val="00617288"/>
    <w:rsid w:val="006178AE"/>
    <w:rsid w:val="00617DFE"/>
    <w:rsid w:val="0062079E"/>
    <w:rsid w:val="00620E54"/>
    <w:rsid w:val="00620E61"/>
    <w:rsid w:val="00620E8A"/>
    <w:rsid w:val="0062154D"/>
    <w:rsid w:val="00621998"/>
    <w:rsid w:val="00621A12"/>
    <w:rsid w:val="00621A28"/>
    <w:rsid w:val="00621A3C"/>
    <w:rsid w:val="00621A46"/>
    <w:rsid w:val="00621ED0"/>
    <w:rsid w:val="00621EDC"/>
    <w:rsid w:val="00622130"/>
    <w:rsid w:val="006224DE"/>
    <w:rsid w:val="00622798"/>
    <w:rsid w:val="0062320E"/>
    <w:rsid w:val="006233EC"/>
    <w:rsid w:val="00623CAF"/>
    <w:rsid w:val="00623D0C"/>
    <w:rsid w:val="00623E17"/>
    <w:rsid w:val="006240CE"/>
    <w:rsid w:val="006265CE"/>
    <w:rsid w:val="00626A88"/>
    <w:rsid w:val="00626C0D"/>
    <w:rsid w:val="00626C4F"/>
    <w:rsid w:val="00627843"/>
    <w:rsid w:val="0062794A"/>
    <w:rsid w:val="00627A60"/>
    <w:rsid w:val="00627A62"/>
    <w:rsid w:val="00627B80"/>
    <w:rsid w:val="00627B9D"/>
    <w:rsid w:val="00627D0F"/>
    <w:rsid w:val="00630404"/>
    <w:rsid w:val="006304D5"/>
    <w:rsid w:val="006305B5"/>
    <w:rsid w:val="006305F9"/>
    <w:rsid w:val="00630B87"/>
    <w:rsid w:val="00631050"/>
    <w:rsid w:val="006312A5"/>
    <w:rsid w:val="006313F4"/>
    <w:rsid w:val="00631AFC"/>
    <w:rsid w:val="00632658"/>
    <w:rsid w:val="006329B9"/>
    <w:rsid w:val="00633443"/>
    <w:rsid w:val="006339F5"/>
    <w:rsid w:val="00633BD6"/>
    <w:rsid w:val="00634492"/>
    <w:rsid w:val="00634AA4"/>
    <w:rsid w:val="00634CF3"/>
    <w:rsid w:val="00634D4B"/>
    <w:rsid w:val="0063541D"/>
    <w:rsid w:val="0063562B"/>
    <w:rsid w:val="00635867"/>
    <w:rsid w:val="006358FF"/>
    <w:rsid w:val="00635A78"/>
    <w:rsid w:val="006361A1"/>
    <w:rsid w:val="006364FD"/>
    <w:rsid w:val="006369DF"/>
    <w:rsid w:val="00636EAF"/>
    <w:rsid w:val="00637D37"/>
    <w:rsid w:val="006402D8"/>
    <w:rsid w:val="00640844"/>
    <w:rsid w:val="00640AC6"/>
    <w:rsid w:val="00640C2E"/>
    <w:rsid w:val="00640D1A"/>
    <w:rsid w:val="0064150F"/>
    <w:rsid w:val="00641591"/>
    <w:rsid w:val="00641A68"/>
    <w:rsid w:val="00641C54"/>
    <w:rsid w:val="00642091"/>
    <w:rsid w:val="00642BD0"/>
    <w:rsid w:val="00643BD6"/>
    <w:rsid w:val="00644524"/>
    <w:rsid w:val="006449C0"/>
    <w:rsid w:val="00644A3E"/>
    <w:rsid w:val="00644AD2"/>
    <w:rsid w:val="00644AF9"/>
    <w:rsid w:val="00644C55"/>
    <w:rsid w:val="00644EEC"/>
    <w:rsid w:val="00645665"/>
    <w:rsid w:val="00645B76"/>
    <w:rsid w:val="00645EB9"/>
    <w:rsid w:val="00645ED2"/>
    <w:rsid w:val="00646425"/>
    <w:rsid w:val="00646FC3"/>
    <w:rsid w:val="0064707A"/>
    <w:rsid w:val="00647660"/>
    <w:rsid w:val="006476E5"/>
    <w:rsid w:val="00647A78"/>
    <w:rsid w:val="006500D7"/>
    <w:rsid w:val="00650218"/>
    <w:rsid w:val="006503A1"/>
    <w:rsid w:val="00650547"/>
    <w:rsid w:val="00650612"/>
    <w:rsid w:val="00651FE4"/>
    <w:rsid w:val="00652BC6"/>
    <w:rsid w:val="00652E58"/>
    <w:rsid w:val="00652FB2"/>
    <w:rsid w:val="00653293"/>
    <w:rsid w:val="0065349B"/>
    <w:rsid w:val="00653825"/>
    <w:rsid w:val="00653B03"/>
    <w:rsid w:val="00653BFC"/>
    <w:rsid w:val="00653F2E"/>
    <w:rsid w:val="00654062"/>
    <w:rsid w:val="006549B6"/>
    <w:rsid w:val="00654BA1"/>
    <w:rsid w:val="00654F3E"/>
    <w:rsid w:val="006559E5"/>
    <w:rsid w:val="00655FC6"/>
    <w:rsid w:val="00655FDE"/>
    <w:rsid w:val="00656511"/>
    <w:rsid w:val="00656685"/>
    <w:rsid w:val="00656C36"/>
    <w:rsid w:val="006570DD"/>
    <w:rsid w:val="00657355"/>
    <w:rsid w:val="00657B4A"/>
    <w:rsid w:val="00657C52"/>
    <w:rsid w:val="00657F3A"/>
    <w:rsid w:val="00657F7D"/>
    <w:rsid w:val="00660AB5"/>
    <w:rsid w:val="006615EA"/>
    <w:rsid w:val="00661B55"/>
    <w:rsid w:val="00662276"/>
    <w:rsid w:val="0066248F"/>
    <w:rsid w:val="00662B64"/>
    <w:rsid w:val="00663447"/>
    <w:rsid w:val="00663452"/>
    <w:rsid w:val="00663E02"/>
    <w:rsid w:val="006645E9"/>
    <w:rsid w:val="0066493C"/>
    <w:rsid w:val="006650BE"/>
    <w:rsid w:val="0066573F"/>
    <w:rsid w:val="00665840"/>
    <w:rsid w:val="00665A20"/>
    <w:rsid w:val="00665B20"/>
    <w:rsid w:val="006664FD"/>
    <w:rsid w:val="00666A74"/>
    <w:rsid w:val="00666D3E"/>
    <w:rsid w:val="00666D45"/>
    <w:rsid w:val="00666DF4"/>
    <w:rsid w:val="00666E01"/>
    <w:rsid w:val="006671E5"/>
    <w:rsid w:val="0066745F"/>
    <w:rsid w:val="006674D8"/>
    <w:rsid w:val="00667E8D"/>
    <w:rsid w:val="0067009E"/>
    <w:rsid w:val="006702ED"/>
    <w:rsid w:val="00670452"/>
    <w:rsid w:val="00670903"/>
    <w:rsid w:val="00670B6D"/>
    <w:rsid w:val="00670D5F"/>
    <w:rsid w:val="006713EA"/>
    <w:rsid w:val="00671B53"/>
    <w:rsid w:val="00672104"/>
    <w:rsid w:val="00672702"/>
    <w:rsid w:val="00672778"/>
    <w:rsid w:val="0067289D"/>
    <w:rsid w:val="00672ECE"/>
    <w:rsid w:val="006735DF"/>
    <w:rsid w:val="0067365D"/>
    <w:rsid w:val="006736F2"/>
    <w:rsid w:val="006738DA"/>
    <w:rsid w:val="00674626"/>
    <w:rsid w:val="006746F0"/>
    <w:rsid w:val="00674A56"/>
    <w:rsid w:val="006751D4"/>
    <w:rsid w:val="006753DD"/>
    <w:rsid w:val="00675837"/>
    <w:rsid w:val="00675AFE"/>
    <w:rsid w:val="00675CE1"/>
    <w:rsid w:val="00675EEC"/>
    <w:rsid w:val="00675EF2"/>
    <w:rsid w:val="006769FA"/>
    <w:rsid w:val="00676C1D"/>
    <w:rsid w:val="00676C47"/>
    <w:rsid w:val="00676C6C"/>
    <w:rsid w:val="0067710F"/>
    <w:rsid w:val="006773EC"/>
    <w:rsid w:val="00677B1F"/>
    <w:rsid w:val="0068016E"/>
    <w:rsid w:val="00680347"/>
    <w:rsid w:val="00680C55"/>
    <w:rsid w:val="0068200F"/>
    <w:rsid w:val="00682534"/>
    <w:rsid w:val="00682B4D"/>
    <w:rsid w:val="00682B88"/>
    <w:rsid w:val="00682FF5"/>
    <w:rsid w:val="006830CE"/>
    <w:rsid w:val="00683651"/>
    <w:rsid w:val="0068450B"/>
    <w:rsid w:val="0068466C"/>
    <w:rsid w:val="006853C9"/>
    <w:rsid w:val="00686072"/>
    <w:rsid w:val="00686102"/>
    <w:rsid w:val="00687230"/>
    <w:rsid w:val="00687B56"/>
    <w:rsid w:val="0069037C"/>
    <w:rsid w:val="006903AF"/>
    <w:rsid w:val="00690757"/>
    <w:rsid w:val="00690AB4"/>
    <w:rsid w:val="00690EC4"/>
    <w:rsid w:val="00691187"/>
    <w:rsid w:val="00691317"/>
    <w:rsid w:val="0069234C"/>
    <w:rsid w:val="006927A3"/>
    <w:rsid w:val="00692AD2"/>
    <w:rsid w:val="00693464"/>
    <w:rsid w:val="0069361E"/>
    <w:rsid w:val="00693854"/>
    <w:rsid w:val="00693919"/>
    <w:rsid w:val="0069408F"/>
    <w:rsid w:val="006942FA"/>
    <w:rsid w:val="00694356"/>
    <w:rsid w:val="006944B3"/>
    <w:rsid w:val="0069478D"/>
    <w:rsid w:val="00695070"/>
    <w:rsid w:val="006954F4"/>
    <w:rsid w:val="006954F9"/>
    <w:rsid w:val="006955C4"/>
    <w:rsid w:val="00695767"/>
    <w:rsid w:val="00695BF8"/>
    <w:rsid w:val="006A07FD"/>
    <w:rsid w:val="006A08E0"/>
    <w:rsid w:val="006A0BD0"/>
    <w:rsid w:val="006A1590"/>
    <w:rsid w:val="006A1783"/>
    <w:rsid w:val="006A1852"/>
    <w:rsid w:val="006A1A20"/>
    <w:rsid w:val="006A1D75"/>
    <w:rsid w:val="006A21E9"/>
    <w:rsid w:val="006A2432"/>
    <w:rsid w:val="006A30F2"/>
    <w:rsid w:val="006A3467"/>
    <w:rsid w:val="006A34B7"/>
    <w:rsid w:val="006A3936"/>
    <w:rsid w:val="006A3B3B"/>
    <w:rsid w:val="006A4134"/>
    <w:rsid w:val="006A4A5B"/>
    <w:rsid w:val="006A4BC0"/>
    <w:rsid w:val="006A4EE2"/>
    <w:rsid w:val="006A521D"/>
    <w:rsid w:val="006A5884"/>
    <w:rsid w:val="006A5B1E"/>
    <w:rsid w:val="006A674E"/>
    <w:rsid w:val="006A6B98"/>
    <w:rsid w:val="006A7135"/>
    <w:rsid w:val="006A7888"/>
    <w:rsid w:val="006B08DA"/>
    <w:rsid w:val="006B14A2"/>
    <w:rsid w:val="006B1936"/>
    <w:rsid w:val="006B1DE2"/>
    <w:rsid w:val="006B203E"/>
    <w:rsid w:val="006B20BD"/>
    <w:rsid w:val="006B2E3B"/>
    <w:rsid w:val="006B30F7"/>
    <w:rsid w:val="006B384C"/>
    <w:rsid w:val="006B3B2F"/>
    <w:rsid w:val="006B415C"/>
    <w:rsid w:val="006B467C"/>
    <w:rsid w:val="006B5050"/>
    <w:rsid w:val="006B53AC"/>
    <w:rsid w:val="006B5749"/>
    <w:rsid w:val="006B604E"/>
    <w:rsid w:val="006B6DFC"/>
    <w:rsid w:val="006B70FC"/>
    <w:rsid w:val="006B7500"/>
    <w:rsid w:val="006B76C6"/>
    <w:rsid w:val="006B791E"/>
    <w:rsid w:val="006B7A34"/>
    <w:rsid w:val="006C04D0"/>
    <w:rsid w:val="006C0C31"/>
    <w:rsid w:val="006C14EF"/>
    <w:rsid w:val="006C171E"/>
    <w:rsid w:val="006C1E05"/>
    <w:rsid w:val="006C2A0D"/>
    <w:rsid w:val="006C2DAF"/>
    <w:rsid w:val="006C303B"/>
    <w:rsid w:val="006C32C6"/>
    <w:rsid w:val="006C46CC"/>
    <w:rsid w:val="006C542B"/>
    <w:rsid w:val="006C58CA"/>
    <w:rsid w:val="006C614C"/>
    <w:rsid w:val="006C6268"/>
    <w:rsid w:val="006C6648"/>
    <w:rsid w:val="006C6966"/>
    <w:rsid w:val="006C6AC8"/>
    <w:rsid w:val="006C6C16"/>
    <w:rsid w:val="006C732D"/>
    <w:rsid w:val="006C75B0"/>
    <w:rsid w:val="006C768A"/>
    <w:rsid w:val="006D000A"/>
    <w:rsid w:val="006D0639"/>
    <w:rsid w:val="006D080F"/>
    <w:rsid w:val="006D0AA8"/>
    <w:rsid w:val="006D0E86"/>
    <w:rsid w:val="006D11C4"/>
    <w:rsid w:val="006D149E"/>
    <w:rsid w:val="006D16A6"/>
    <w:rsid w:val="006D199C"/>
    <w:rsid w:val="006D2B65"/>
    <w:rsid w:val="006D2DF5"/>
    <w:rsid w:val="006D32C8"/>
    <w:rsid w:val="006D34A2"/>
    <w:rsid w:val="006D3A92"/>
    <w:rsid w:val="006D407E"/>
    <w:rsid w:val="006D48D9"/>
    <w:rsid w:val="006D518E"/>
    <w:rsid w:val="006D5C4D"/>
    <w:rsid w:val="006D5D16"/>
    <w:rsid w:val="006D64EB"/>
    <w:rsid w:val="006D7034"/>
    <w:rsid w:val="006D748D"/>
    <w:rsid w:val="006D75D7"/>
    <w:rsid w:val="006D779F"/>
    <w:rsid w:val="006E0222"/>
    <w:rsid w:val="006E0306"/>
    <w:rsid w:val="006E0993"/>
    <w:rsid w:val="006E1916"/>
    <w:rsid w:val="006E1978"/>
    <w:rsid w:val="006E1BBE"/>
    <w:rsid w:val="006E2568"/>
    <w:rsid w:val="006E28C7"/>
    <w:rsid w:val="006E2EA6"/>
    <w:rsid w:val="006E2F10"/>
    <w:rsid w:val="006E3383"/>
    <w:rsid w:val="006E3C6E"/>
    <w:rsid w:val="006E3C7A"/>
    <w:rsid w:val="006E413A"/>
    <w:rsid w:val="006E482D"/>
    <w:rsid w:val="006E4A0E"/>
    <w:rsid w:val="006E4BD7"/>
    <w:rsid w:val="006E592E"/>
    <w:rsid w:val="006E5B65"/>
    <w:rsid w:val="006E62F3"/>
    <w:rsid w:val="006E6B0A"/>
    <w:rsid w:val="006E6C84"/>
    <w:rsid w:val="006E722C"/>
    <w:rsid w:val="006E7598"/>
    <w:rsid w:val="006E78A7"/>
    <w:rsid w:val="006F0930"/>
    <w:rsid w:val="006F0E7C"/>
    <w:rsid w:val="006F152A"/>
    <w:rsid w:val="006F155C"/>
    <w:rsid w:val="006F1716"/>
    <w:rsid w:val="006F1746"/>
    <w:rsid w:val="006F1B48"/>
    <w:rsid w:val="006F2576"/>
    <w:rsid w:val="006F28AC"/>
    <w:rsid w:val="006F39F2"/>
    <w:rsid w:val="006F411B"/>
    <w:rsid w:val="006F4549"/>
    <w:rsid w:val="006F478E"/>
    <w:rsid w:val="006F4B58"/>
    <w:rsid w:val="006F58B0"/>
    <w:rsid w:val="006F5E8E"/>
    <w:rsid w:val="006F6277"/>
    <w:rsid w:val="006F6446"/>
    <w:rsid w:val="006F6CC0"/>
    <w:rsid w:val="006F6F69"/>
    <w:rsid w:val="006F7A2C"/>
    <w:rsid w:val="006F7A86"/>
    <w:rsid w:val="00700184"/>
    <w:rsid w:val="0070023C"/>
    <w:rsid w:val="007002D2"/>
    <w:rsid w:val="00700348"/>
    <w:rsid w:val="00700361"/>
    <w:rsid w:val="00700784"/>
    <w:rsid w:val="00700C3A"/>
    <w:rsid w:val="00700D67"/>
    <w:rsid w:val="007015A4"/>
    <w:rsid w:val="00701778"/>
    <w:rsid w:val="00701C21"/>
    <w:rsid w:val="00701DDA"/>
    <w:rsid w:val="00702BD3"/>
    <w:rsid w:val="0070313C"/>
    <w:rsid w:val="0070316F"/>
    <w:rsid w:val="00703378"/>
    <w:rsid w:val="0070349F"/>
    <w:rsid w:val="00703677"/>
    <w:rsid w:val="00703A15"/>
    <w:rsid w:val="00703E4D"/>
    <w:rsid w:val="00704513"/>
    <w:rsid w:val="00704DA3"/>
    <w:rsid w:val="00704DCF"/>
    <w:rsid w:val="00704FD9"/>
    <w:rsid w:val="00705545"/>
    <w:rsid w:val="007059FC"/>
    <w:rsid w:val="00705BDE"/>
    <w:rsid w:val="00706042"/>
    <w:rsid w:val="0070604D"/>
    <w:rsid w:val="0070616F"/>
    <w:rsid w:val="007061FD"/>
    <w:rsid w:val="007067A8"/>
    <w:rsid w:val="00706A86"/>
    <w:rsid w:val="007071A7"/>
    <w:rsid w:val="0070746E"/>
    <w:rsid w:val="0070752F"/>
    <w:rsid w:val="00707F03"/>
    <w:rsid w:val="00710544"/>
    <w:rsid w:val="0071080F"/>
    <w:rsid w:val="007112D7"/>
    <w:rsid w:val="00711329"/>
    <w:rsid w:val="00711513"/>
    <w:rsid w:val="00711588"/>
    <w:rsid w:val="00711A39"/>
    <w:rsid w:val="007121BA"/>
    <w:rsid w:val="00712EF0"/>
    <w:rsid w:val="00712F39"/>
    <w:rsid w:val="007131A8"/>
    <w:rsid w:val="007133D6"/>
    <w:rsid w:val="00713C8D"/>
    <w:rsid w:val="00713D03"/>
    <w:rsid w:val="007148C2"/>
    <w:rsid w:val="007149F6"/>
    <w:rsid w:val="00715054"/>
    <w:rsid w:val="007154A3"/>
    <w:rsid w:val="007157A8"/>
    <w:rsid w:val="007169A6"/>
    <w:rsid w:val="00716AF4"/>
    <w:rsid w:val="00717185"/>
    <w:rsid w:val="00717195"/>
    <w:rsid w:val="007171CF"/>
    <w:rsid w:val="00717637"/>
    <w:rsid w:val="00717ACD"/>
    <w:rsid w:val="00717B0A"/>
    <w:rsid w:val="00717DF6"/>
    <w:rsid w:val="00720F03"/>
    <w:rsid w:val="00720F9E"/>
    <w:rsid w:val="00720FCC"/>
    <w:rsid w:val="00721115"/>
    <w:rsid w:val="007214D0"/>
    <w:rsid w:val="00721659"/>
    <w:rsid w:val="00721880"/>
    <w:rsid w:val="0072213B"/>
    <w:rsid w:val="00722188"/>
    <w:rsid w:val="00722704"/>
    <w:rsid w:val="0072285D"/>
    <w:rsid w:val="007228EC"/>
    <w:rsid w:val="0072336F"/>
    <w:rsid w:val="00723396"/>
    <w:rsid w:val="007233FC"/>
    <w:rsid w:val="00723B48"/>
    <w:rsid w:val="007244D2"/>
    <w:rsid w:val="00724602"/>
    <w:rsid w:val="0072521B"/>
    <w:rsid w:val="00725DD4"/>
    <w:rsid w:val="007261C8"/>
    <w:rsid w:val="007264AE"/>
    <w:rsid w:val="00726604"/>
    <w:rsid w:val="00726934"/>
    <w:rsid w:val="007269F6"/>
    <w:rsid w:val="00726A57"/>
    <w:rsid w:val="00726A5A"/>
    <w:rsid w:val="00726B3B"/>
    <w:rsid w:val="0072749B"/>
    <w:rsid w:val="0072769E"/>
    <w:rsid w:val="007277D1"/>
    <w:rsid w:val="007302DE"/>
    <w:rsid w:val="0073085E"/>
    <w:rsid w:val="00730BC6"/>
    <w:rsid w:val="00731664"/>
    <w:rsid w:val="007316FC"/>
    <w:rsid w:val="00731C68"/>
    <w:rsid w:val="00732CC0"/>
    <w:rsid w:val="00733600"/>
    <w:rsid w:val="00733CFE"/>
    <w:rsid w:val="007340E0"/>
    <w:rsid w:val="00734191"/>
    <w:rsid w:val="00734196"/>
    <w:rsid w:val="007343D5"/>
    <w:rsid w:val="00734B34"/>
    <w:rsid w:val="00735721"/>
    <w:rsid w:val="00735774"/>
    <w:rsid w:val="007357EF"/>
    <w:rsid w:val="00735849"/>
    <w:rsid w:val="00735C0A"/>
    <w:rsid w:val="007366F4"/>
    <w:rsid w:val="00736B72"/>
    <w:rsid w:val="00736C05"/>
    <w:rsid w:val="00736CC3"/>
    <w:rsid w:val="0073724E"/>
    <w:rsid w:val="0073725D"/>
    <w:rsid w:val="00740049"/>
    <w:rsid w:val="007403F8"/>
    <w:rsid w:val="007408EE"/>
    <w:rsid w:val="00740997"/>
    <w:rsid w:val="00740D1C"/>
    <w:rsid w:val="00740E4E"/>
    <w:rsid w:val="007412F6"/>
    <w:rsid w:val="007421CE"/>
    <w:rsid w:val="00742342"/>
    <w:rsid w:val="00742CE3"/>
    <w:rsid w:val="0074308D"/>
    <w:rsid w:val="007433EA"/>
    <w:rsid w:val="007433ED"/>
    <w:rsid w:val="00743787"/>
    <w:rsid w:val="00743E5F"/>
    <w:rsid w:val="007443E6"/>
    <w:rsid w:val="007444D4"/>
    <w:rsid w:val="00744CE7"/>
    <w:rsid w:val="00744E4B"/>
    <w:rsid w:val="007457AB"/>
    <w:rsid w:val="00745B21"/>
    <w:rsid w:val="00745B84"/>
    <w:rsid w:val="00745E70"/>
    <w:rsid w:val="0074655B"/>
    <w:rsid w:val="00746665"/>
    <w:rsid w:val="0074677A"/>
    <w:rsid w:val="00746AB6"/>
    <w:rsid w:val="00746B32"/>
    <w:rsid w:val="00746BAE"/>
    <w:rsid w:val="00746DA0"/>
    <w:rsid w:val="00746DB7"/>
    <w:rsid w:val="00746EA9"/>
    <w:rsid w:val="0074731B"/>
    <w:rsid w:val="00747320"/>
    <w:rsid w:val="007473FA"/>
    <w:rsid w:val="00747A5D"/>
    <w:rsid w:val="00747AAC"/>
    <w:rsid w:val="00747AE1"/>
    <w:rsid w:val="00747B9B"/>
    <w:rsid w:val="00750F49"/>
    <w:rsid w:val="00750F69"/>
    <w:rsid w:val="00752AB2"/>
    <w:rsid w:val="00752E4B"/>
    <w:rsid w:val="00753176"/>
    <w:rsid w:val="00753585"/>
    <w:rsid w:val="0075376A"/>
    <w:rsid w:val="0075379F"/>
    <w:rsid w:val="0075468D"/>
    <w:rsid w:val="007552F7"/>
    <w:rsid w:val="007555CA"/>
    <w:rsid w:val="00755722"/>
    <w:rsid w:val="00755991"/>
    <w:rsid w:val="00756363"/>
    <w:rsid w:val="00756B45"/>
    <w:rsid w:val="007574F2"/>
    <w:rsid w:val="00757CBF"/>
    <w:rsid w:val="00760AEF"/>
    <w:rsid w:val="00760D7D"/>
    <w:rsid w:val="00760F09"/>
    <w:rsid w:val="00760FCD"/>
    <w:rsid w:val="007610B1"/>
    <w:rsid w:val="00761D19"/>
    <w:rsid w:val="00761E72"/>
    <w:rsid w:val="00762DE7"/>
    <w:rsid w:val="00762F3B"/>
    <w:rsid w:val="00763623"/>
    <w:rsid w:val="0076365F"/>
    <w:rsid w:val="00763E4C"/>
    <w:rsid w:val="00764244"/>
    <w:rsid w:val="00764298"/>
    <w:rsid w:val="007642CF"/>
    <w:rsid w:val="00764D78"/>
    <w:rsid w:val="007655DE"/>
    <w:rsid w:val="00765B3B"/>
    <w:rsid w:val="00765E26"/>
    <w:rsid w:val="00766342"/>
    <w:rsid w:val="00766A2D"/>
    <w:rsid w:val="00766BEC"/>
    <w:rsid w:val="00766C03"/>
    <w:rsid w:val="00766DB6"/>
    <w:rsid w:val="00767662"/>
    <w:rsid w:val="00767853"/>
    <w:rsid w:val="0076787C"/>
    <w:rsid w:val="00767AAF"/>
    <w:rsid w:val="00770894"/>
    <w:rsid w:val="00770908"/>
    <w:rsid w:val="00770FA9"/>
    <w:rsid w:val="00771024"/>
    <w:rsid w:val="0077134A"/>
    <w:rsid w:val="00771A59"/>
    <w:rsid w:val="007723D0"/>
    <w:rsid w:val="00772D70"/>
    <w:rsid w:val="00773609"/>
    <w:rsid w:val="00773A45"/>
    <w:rsid w:val="00773C2C"/>
    <w:rsid w:val="00773FF4"/>
    <w:rsid w:val="007740CA"/>
    <w:rsid w:val="007741E8"/>
    <w:rsid w:val="00774A21"/>
    <w:rsid w:val="0077543B"/>
    <w:rsid w:val="00775468"/>
    <w:rsid w:val="00775931"/>
    <w:rsid w:val="00775D0F"/>
    <w:rsid w:val="00775D4C"/>
    <w:rsid w:val="00775F0D"/>
    <w:rsid w:val="0077629B"/>
    <w:rsid w:val="0077696C"/>
    <w:rsid w:val="00776E4A"/>
    <w:rsid w:val="00776F37"/>
    <w:rsid w:val="00777E8C"/>
    <w:rsid w:val="00777F93"/>
    <w:rsid w:val="0078072A"/>
    <w:rsid w:val="0078093E"/>
    <w:rsid w:val="00780E10"/>
    <w:rsid w:val="00781252"/>
    <w:rsid w:val="00781416"/>
    <w:rsid w:val="007820D1"/>
    <w:rsid w:val="00782C63"/>
    <w:rsid w:val="00783465"/>
    <w:rsid w:val="007834E4"/>
    <w:rsid w:val="00783825"/>
    <w:rsid w:val="00783E7B"/>
    <w:rsid w:val="007846A3"/>
    <w:rsid w:val="00784773"/>
    <w:rsid w:val="00784A48"/>
    <w:rsid w:val="0078553E"/>
    <w:rsid w:val="00785745"/>
    <w:rsid w:val="007857CA"/>
    <w:rsid w:val="00786277"/>
    <w:rsid w:val="0078627F"/>
    <w:rsid w:val="00786B20"/>
    <w:rsid w:val="00786CDB"/>
    <w:rsid w:val="00786CED"/>
    <w:rsid w:val="00787630"/>
    <w:rsid w:val="007876A1"/>
    <w:rsid w:val="00787D10"/>
    <w:rsid w:val="00790081"/>
    <w:rsid w:val="007902EF"/>
    <w:rsid w:val="0079124B"/>
    <w:rsid w:val="00791288"/>
    <w:rsid w:val="0079179C"/>
    <w:rsid w:val="007917B9"/>
    <w:rsid w:val="00791833"/>
    <w:rsid w:val="00791E3D"/>
    <w:rsid w:val="007929E9"/>
    <w:rsid w:val="00794251"/>
    <w:rsid w:val="0079517B"/>
    <w:rsid w:val="007957A5"/>
    <w:rsid w:val="00795995"/>
    <w:rsid w:val="007959BC"/>
    <w:rsid w:val="00795AA0"/>
    <w:rsid w:val="00795B25"/>
    <w:rsid w:val="00795CF2"/>
    <w:rsid w:val="00796206"/>
    <w:rsid w:val="00796220"/>
    <w:rsid w:val="00796D46"/>
    <w:rsid w:val="00796F84"/>
    <w:rsid w:val="0079721E"/>
    <w:rsid w:val="0079735D"/>
    <w:rsid w:val="007978E1"/>
    <w:rsid w:val="00797917"/>
    <w:rsid w:val="00797D42"/>
    <w:rsid w:val="007A00A6"/>
    <w:rsid w:val="007A06E6"/>
    <w:rsid w:val="007A08A6"/>
    <w:rsid w:val="007A0F51"/>
    <w:rsid w:val="007A1673"/>
    <w:rsid w:val="007A1E30"/>
    <w:rsid w:val="007A2239"/>
    <w:rsid w:val="007A29E1"/>
    <w:rsid w:val="007A2CF4"/>
    <w:rsid w:val="007A2EDE"/>
    <w:rsid w:val="007A366C"/>
    <w:rsid w:val="007A417F"/>
    <w:rsid w:val="007A576E"/>
    <w:rsid w:val="007A59EB"/>
    <w:rsid w:val="007A5E35"/>
    <w:rsid w:val="007A603E"/>
    <w:rsid w:val="007A6384"/>
    <w:rsid w:val="007A6E36"/>
    <w:rsid w:val="007A71FD"/>
    <w:rsid w:val="007A7346"/>
    <w:rsid w:val="007A738D"/>
    <w:rsid w:val="007A79BF"/>
    <w:rsid w:val="007A7AF9"/>
    <w:rsid w:val="007A7FDC"/>
    <w:rsid w:val="007B016B"/>
    <w:rsid w:val="007B022E"/>
    <w:rsid w:val="007B0617"/>
    <w:rsid w:val="007B0C5A"/>
    <w:rsid w:val="007B0F52"/>
    <w:rsid w:val="007B167C"/>
    <w:rsid w:val="007B1E9D"/>
    <w:rsid w:val="007B2246"/>
    <w:rsid w:val="007B29F5"/>
    <w:rsid w:val="007B2DD4"/>
    <w:rsid w:val="007B3A35"/>
    <w:rsid w:val="007B3D9B"/>
    <w:rsid w:val="007B436C"/>
    <w:rsid w:val="007B4807"/>
    <w:rsid w:val="007B4EA9"/>
    <w:rsid w:val="007B5275"/>
    <w:rsid w:val="007B5800"/>
    <w:rsid w:val="007B5E39"/>
    <w:rsid w:val="007B653E"/>
    <w:rsid w:val="007B6BF8"/>
    <w:rsid w:val="007B703A"/>
    <w:rsid w:val="007B7596"/>
    <w:rsid w:val="007B7D9D"/>
    <w:rsid w:val="007C0A7C"/>
    <w:rsid w:val="007C0BB0"/>
    <w:rsid w:val="007C0BBE"/>
    <w:rsid w:val="007C1300"/>
    <w:rsid w:val="007C157F"/>
    <w:rsid w:val="007C159D"/>
    <w:rsid w:val="007C191F"/>
    <w:rsid w:val="007C1C09"/>
    <w:rsid w:val="007C1EAB"/>
    <w:rsid w:val="007C1FA9"/>
    <w:rsid w:val="007C21DC"/>
    <w:rsid w:val="007C2771"/>
    <w:rsid w:val="007C343F"/>
    <w:rsid w:val="007C345A"/>
    <w:rsid w:val="007C3582"/>
    <w:rsid w:val="007C36C6"/>
    <w:rsid w:val="007C3F59"/>
    <w:rsid w:val="007C409A"/>
    <w:rsid w:val="007C4DEE"/>
    <w:rsid w:val="007C53CA"/>
    <w:rsid w:val="007C56F2"/>
    <w:rsid w:val="007C597E"/>
    <w:rsid w:val="007C5D9B"/>
    <w:rsid w:val="007C6290"/>
    <w:rsid w:val="007C6E7B"/>
    <w:rsid w:val="007C784B"/>
    <w:rsid w:val="007C7A19"/>
    <w:rsid w:val="007D0089"/>
    <w:rsid w:val="007D071A"/>
    <w:rsid w:val="007D0C4C"/>
    <w:rsid w:val="007D1442"/>
    <w:rsid w:val="007D1B38"/>
    <w:rsid w:val="007D1DEF"/>
    <w:rsid w:val="007D2692"/>
    <w:rsid w:val="007D2E85"/>
    <w:rsid w:val="007D32F1"/>
    <w:rsid w:val="007D3DDD"/>
    <w:rsid w:val="007D415B"/>
    <w:rsid w:val="007D519F"/>
    <w:rsid w:val="007D5209"/>
    <w:rsid w:val="007D53AF"/>
    <w:rsid w:val="007D5B67"/>
    <w:rsid w:val="007D5DC5"/>
    <w:rsid w:val="007D674A"/>
    <w:rsid w:val="007D67DB"/>
    <w:rsid w:val="007D6A33"/>
    <w:rsid w:val="007D6D2F"/>
    <w:rsid w:val="007D712A"/>
    <w:rsid w:val="007D7BC8"/>
    <w:rsid w:val="007E22B0"/>
    <w:rsid w:val="007E2462"/>
    <w:rsid w:val="007E25C5"/>
    <w:rsid w:val="007E2692"/>
    <w:rsid w:val="007E26F0"/>
    <w:rsid w:val="007E2E0E"/>
    <w:rsid w:val="007E467D"/>
    <w:rsid w:val="007E4CC0"/>
    <w:rsid w:val="007E4D4E"/>
    <w:rsid w:val="007E52B7"/>
    <w:rsid w:val="007E5A73"/>
    <w:rsid w:val="007E5CFC"/>
    <w:rsid w:val="007E5D8A"/>
    <w:rsid w:val="007E6008"/>
    <w:rsid w:val="007E69DF"/>
    <w:rsid w:val="007E6C66"/>
    <w:rsid w:val="007E6FA3"/>
    <w:rsid w:val="007E751B"/>
    <w:rsid w:val="007E787B"/>
    <w:rsid w:val="007E7BBE"/>
    <w:rsid w:val="007F00D9"/>
    <w:rsid w:val="007F026C"/>
    <w:rsid w:val="007F09E7"/>
    <w:rsid w:val="007F1113"/>
    <w:rsid w:val="007F11A3"/>
    <w:rsid w:val="007F1539"/>
    <w:rsid w:val="007F15E3"/>
    <w:rsid w:val="007F1678"/>
    <w:rsid w:val="007F1B3D"/>
    <w:rsid w:val="007F1E6A"/>
    <w:rsid w:val="007F1EC7"/>
    <w:rsid w:val="007F26B2"/>
    <w:rsid w:val="007F284C"/>
    <w:rsid w:val="007F3035"/>
    <w:rsid w:val="007F3504"/>
    <w:rsid w:val="007F38FE"/>
    <w:rsid w:val="007F3A03"/>
    <w:rsid w:val="007F4388"/>
    <w:rsid w:val="007F459C"/>
    <w:rsid w:val="007F5085"/>
    <w:rsid w:val="007F58B0"/>
    <w:rsid w:val="007F5A9C"/>
    <w:rsid w:val="007F632B"/>
    <w:rsid w:val="007F666C"/>
    <w:rsid w:val="007F67DF"/>
    <w:rsid w:val="007F7067"/>
    <w:rsid w:val="007F72B1"/>
    <w:rsid w:val="007F7A10"/>
    <w:rsid w:val="00800184"/>
    <w:rsid w:val="00800655"/>
    <w:rsid w:val="00800BBE"/>
    <w:rsid w:val="00800C6F"/>
    <w:rsid w:val="00801219"/>
    <w:rsid w:val="00801B15"/>
    <w:rsid w:val="00801B28"/>
    <w:rsid w:val="00801F9C"/>
    <w:rsid w:val="00802552"/>
    <w:rsid w:val="00802D49"/>
    <w:rsid w:val="00802F89"/>
    <w:rsid w:val="0080306A"/>
    <w:rsid w:val="00803573"/>
    <w:rsid w:val="008037C7"/>
    <w:rsid w:val="00803937"/>
    <w:rsid w:val="008039FB"/>
    <w:rsid w:val="008042E4"/>
    <w:rsid w:val="00804D1D"/>
    <w:rsid w:val="00805784"/>
    <w:rsid w:val="008058E2"/>
    <w:rsid w:val="00805968"/>
    <w:rsid w:val="0080637E"/>
    <w:rsid w:val="0080677A"/>
    <w:rsid w:val="0080689B"/>
    <w:rsid w:val="00806BB0"/>
    <w:rsid w:val="00806F1F"/>
    <w:rsid w:val="00807068"/>
    <w:rsid w:val="00807341"/>
    <w:rsid w:val="008100C2"/>
    <w:rsid w:val="0081047D"/>
    <w:rsid w:val="0081087A"/>
    <w:rsid w:val="00810CFC"/>
    <w:rsid w:val="00810E7E"/>
    <w:rsid w:val="0081146C"/>
    <w:rsid w:val="00811A50"/>
    <w:rsid w:val="00811DAF"/>
    <w:rsid w:val="008123FD"/>
    <w:rsid w:val="00812655"/>
    <w:rsid w:val="0081273B"/>
    <w:rsid w:val="00812CDB"/>
    <w:rsid w:val="00812FC5"/>
    <w:rsid w:val="00813894"/>
    <w:rsid w:val="00813CB3"/>
    <w:rsid w:val="00813DB6"/>
    <w:rsid w:val="00813E1F"/>
    <w:rsid w:val="008146A0"/>
    <w:rsid w:val="00814913"/>
    <w:rsid w:val="008149FC"/>
    <w:rsid w:val="00815054"/>
    <w:rsid w:val="0081505C"/>
    <w:rsid w:val="00815BF5"/>
    <w:rsid w:val="00815C23"/>
    <w:rsid w:val="00815C5F"/>
    <w:rsid w:val="00816089"/>
    <w:rsid w:val="00816220"/>
    <w:rsid w:val="00816259"/>
    <w:rsid w:val="008165E4"/>
    <w:rsid w:val="008166FB"/>
    <w:rsid w:val="00816C54"/>
    <w:rsid w:val="00817783"/>
    <w:rsid w:val="008179F5"/>
    <w:rsid w:val="00817E68"/>
    <w:rsid w:val="008202A1"/>
    <w:rsid w:val="008203FF"/>
    <w:rsid w:val="0082064C"/>
    <w:rsid w:val="00822BA3"/>
    <w:rsid w:val="00822D33"/>
    <w:rsid w:val="008232BB"/>
    <w:rsid w:val="00824816"/>
    <w:rsid w:val="0082561A"/>
    <w:rsid w:val="00825769"/>
    <w:rsid w:val="00825A49"/>
    <w:rsid w:val="00825C6C"/>
    <w:rsid w:val="00826897"/>
    <w:rsid w:val="00826AE9"/>
    <w:rsid w:val="00826C0E"/>
    <w:rsid w:val="0082702F"/>
    <w:rsid w:val="008272AD"/>
    <w:rsid w:val="008272CE"/>
    <w:rsid w:val="00830528"/>
    <w:rsid w:val="00831F3D"/>
    <w:rsid w:val="008325D8"/>
    <w:rsid w:val="0083307E"/>
    <w:rsid w:val="00833106"/>
    <w:rsid w:val="008332CF"/>
    <w:rsid w:val="008337FD"/>
    <w:rsid w:val="00834663"/>
    <w:rsid w:val="00834B93"/>
    <w:rsid w:val="008354C5"/>
    <w:rsid w:val="0083581A"/>
    <w:rsid w:val="00835877"/>
    <w:rsid w:val="00835A35"/>
    <w:rsid w:val="00837006"/>
    <w:rsid w:val="00837757"/>
    <w:rsid w:val="00837C22"/>
    <w:rsid w:val="00837D38"/>
    <w:rsid w:val="0084066A"/>
    <w:rsid w:val="00840AE4"/>
    <w:rsid w:val="00840CF0"/>
    <w:rsid w:val="00840E64"/>
    <w:rsid w:val="008411C1"/>
    <w:rsid w:val="00841298"/>
    <w:rsid w:val="00841783"/>
    <w:rsid w:val="00841B1E"/>
    <w:rsid w:val="00841B5C"/>
    <w:rsid w:val="008421BA"/>
    <w:rsid w:val="008426BF"/>
    <w:rsid w:val="008428FD"/>
    <w:rsid w:val="0084299D"/>
    <w:rsid w:val="00842D78"/>
    <w:rsid w:val="008432AC"/>
    <w:rsid w:val="008436AD"/>
    <w:rsid w:val="00843822"/>
    <w:rsid w:val="00843896"/>
    <w:rsid w:val="008439A3"/>
    <w:rsid w:val="00843B36"/>
    <w:rsid w:val="00843E43"/>
    <w:rsid w:val="00844854"/>
    <w:rsid w:val="00844A03"/>
    <w:rsid w:val="00844A09"/>
    <w:rsid w:val="00844B68"/>
    <w:rsid w:val="00844E3F"/>
    <w:rsid w:val="00844F68"/>
    <w:rsid w:val="00845B8B"/>
    <w:rsid w:val="00845E25"/>
    <w:rsid w:val="008461FA"/>
    <w:rsid w:val="00846413"/>
    <w:rsid w:val="00846814"/>
    <w:rsid w:val="008468BA"/>
    <w:rsid w:val="00846BFF"/>
    <w:rsid w:val="008474CE"/>
    <w:rsid w:val="00847C0D"/>
    <w:rsid w:val="00847E59"/>
    <w:rsid w:val="00850D3A"/>
    <w:rsid w:val="00850EC4"/>
    <w:rsid w:val="00850F00"/>
    <w:rsid w:val="0085125B"/>
    <w:rsid w:val="008514B5"/>
    <w:rsid w:val="0085165C"/>
    <w:rsid w:val="008518D8"/>
    <w:rsid w:val="008521EA"/>
    <w:rsid w:val="00852971"/>
    <w:rsid w:val="00852AA4"/>
    <w:rsid w:val="00852E9C"/>
    <w:rsid w:val="00853A23"/>
    <w:rsid w:val="00854022"/>
    <w:rsid w:val="00854628"/>
    <w:rsid w:val="008549BC"/>
    <w:rsid w:val="00854CEA"/>
    <w:rsid w:val="00854FF8"/>
    <w:rsid w:val="00855B7F"/>
    <w:rsid w:val="00855EA9"/>
    <w:rsid w:val="008560E7"/>
    <w:rsid w:val="00856587"/>
    <w:rsid w:val="00856925"/>
    <w:rsid w:val="00857137"/>
    <w:rsid w:val="0085721A"/>
    <w:rsid w:val="00857BF0"/>
    <w:rsid w:val="00857E81"/>
    <w:rsid w:val="008612EC"/>
    <w:rsid w:val="008613BB"/>
    <w:rsid w:val="0086142A"/>
    <w:rsid w:val="00861459"/>
    <w:rsid w:val="00861535"/>
    <w:rsid w:val="00861E5F"/>
    <w:rsid w:val="008626A2"/>
    <w:rsid w:val="00862D44"/>
    <w:rsid w:val="00863048"/>
    <w:rsid w:val="00863579"/>
    <w:rsid w:val="00863BEB"/>
    <w:rsid w:val="00863DD7"/>
    <w:rsid w:val="00864CBF"/>
    <w:rsid w:val="00865022"/>
    <w:rsid w:val="00865A4C"/>
    <w:rsid w:val="00866544"/>
    <w:rsid w:val="00870544"/>
    <w:rsid w:val="0087145C"/>
    <w:rsid w:val="00871674"/>
    <w:rsid w:val="008716AA"/>
    <w:rsid w:val="008716B8"/>
    <w:rsid w:val="00871B17"/>
    <w:rsid w:val="00872106"/>
    <w:rsid w:val="0087286A"/>
    <w:rsid w:val="00872871"/>
    <w:rsid w:val="0087336C"/>
    <w:rsid w:val="00873642"/>
    <w:rsid w:val="00873874"/>
    <w:rsid w:val="008739EC"/>
    <w:rsid w:val="00874263"/>
    <w:rsid w:val="008748BF"/>
    <w:rsid w:val="00874DEC"/>
    <w:rsid w:val="00874E82"/>
    <w:rsid w:val="008750E5"/>
    <w:rsid w:val="008754AA"/>
    <w:rsid w:val="00876474"/>
    <w:rsid w:val="008764C3"/>
    <w:rsid w:val="0087668A"/>
    <w:rsid w:val="0087706A"/>
    <w:rsid w:val="008772E5"/>
    <w:rsid w:val="00877DAE"/>
    <w:rsid w:val="008802A8"/>
    <w:rsid w:val="0088077B"/>
    <w:rsid w:val="00880D41"/>
    <w:rsid w:val="0088121D"/>
    <w:rsid w:val="00881415"/>
    <w:rsid w:val="008819D7"/>
    <w:rsid w:val="0088213C"/>
    <w:rsid w:val="00882226"/>
    <w:rsid w:val="00882449"/>
    <w:rsid w:val="00882537"/>
    <w:rsid w:val="0088286E"/>
    <w:rsid w:val="00882FF5"/>
    <w:rsid w:val="00883EB5"/>
    <w:rsid w:val="008840CB"/>
    <w:rsid w:val="0088497C"/>
    <w:rsid w:val="008857DF"/>
    <w:rsid w:val="00886207"/>
    <w:rsid w:val="008864F4"/>
    <w:rsid w:val="00886F04"/>
    <w:rsid w:val="0088782E"/>
    <w:rsid w:val="00887DA4"/>
    <w:rsid w:val="00890123"/>
    <w:rsid w:val="008909F7"/>
    <w:rsid w:val="00890D71"/>
    <w:rsid w:val="00890DD7"/>
    <w:rsid w:val="008911DB"/>
    <w:rsid w:val="00892AC5"/>
    <w:rsid w:val="008934FC"/>
    <w:rsid w:val="00893549"/>
    <w:rsid w:val="00893B41"/>
    <w:rsid w:val="00893DC0"/>
    <w:rsid w:val="00893E53"/>
    <w:rsid w:val="0089412A"/>
    <w:rsid w:val="00894244"/>
    <w:rsid w:val="0089445A"/>
    <w:rsid w:val="0089477A"/>
    <w:rsid w:val="0089500E"/>
    <w:rsid w:val="008953A7"/>
    <w:rsid w:val="00895451"/>
    <w:rsid w:val="0089567B"/>
    <w:rsid w:val="0089569B"/>
    <w:rsid w:val="00895915"/>
    <w:rsid w:val="00895964"/>
    <w:rsid w:val="00895D81"/>
    <w:rsid w:val="0089656D"/>
    <w:rsid w:val="00896A47"/>
    <w:rsid w:val="00896D66"/>
    <w:rsid w:val="00896E49"/>
    <w:rsid w:val="008A049C"/>
    <w:rsid w:val="008A09AB"/>
    <w:rsid w:val="008A0BDE"/>
    <w:rsid w:val="008A0EDB"/>
    <w:rsid w:val="008A10EF"/>
    <w:rsid w:val="008A158C"/>
    <w:rsid w:val="008A1623"/>
    <w:rsid w:val="008A16D2"/>
    <w:rsid w:val="008A19EA"/>
    <w:rsid w:val="008A1A9E"/>
    <w:rsid w:val="008A1B19"/>
    <w:rsid w:val="008A2048"/>
    <w:rsid w:val="008A2116"/>
    <w:rsid w:val="008A2779"/>
    <w:rsid w:val="008A2BFA"/>
    <w:rsid w:val="008A3CB8"/>
    <w:rsid w:val="008A497C"/>
    <w:rsid w:val="008A4F9B"/>
    <w:rsid w:val="008A51C9"/>
    <w:rsid w:val="008A567D"/>
    <w:rsid w:val="008A5895"/>
    <w:rsid w:val="008A58B3"/>
    <w:rsid w:val="008A59E6"/>
    <w:rsid w:val="008A5A6C"/>
    <w:rsid w:val="008A606A"/>
    <w:rsid w:val="008A6934"/>
    <w:rsid w:val="008A6A7A"/>
    <w:rsid w:val="008A71BE"/>
    <w:rsid w:val="008A7AF0"/>
    <w:rsid w:val="008A7C24"/>
    <w:rsid w:val="008A7CD9"/>
    <w:rsid w:val="008A7D45"/>
    <w:rsid w:val="008B0581"/>
    <w:rsid w:val="008B11ED"/>
    <w:rsid w:val="008B13E6"/>
    <w:rsid w:val="008B1528"/>
    <w:rsid w:val="008B1AFD"/>
    <w:rsid w:val="008B2447"/>
    <w:rsid w:val="008B2868"/>
    <w:rsid w:val="008B2E79"/>
    <w:rsid w:val="008B3037"/>
    <w:rsid w:val="008B3206"/>
    <w:rsid w:val="008B3C4E"/>
    <w:rsid w:val="008B42F4"/>
    <w:rsid w:val="008B4935"/>
    <w:rsid w:val="008B4D6B"/>
    <w:rsid w:val="008B50CF"/>
    <w:rsid w:val="008B519F"/>
    <w:rsid w:val="008B57D2"/>
    <w:rsid w:val="008B5DA9"/>
    <w:rsid w:val="008B6068"/>
    <w:rsid w:val="008B6254"/>
    <w:rsid w:val="008B6367"/>
    <w:rsid w:val="008B6B36"/>
    <w:rsid w:val="008B6E62"/>
    <w:rsid w:val="008B70B1"/>
    <w:rsid w:val="008C003F"/>
    <w:rsid w:val="008C042A"/>
    <w:rsid w:val="008C0681"/>
    <w:rsid w:val="008C0A60"/>
    <w:rsid w:val="008C1709"/>
    <w:rsid w:val="008C260A"/>
    <w:rsid w:val="008C2828"/>
    <w:rsid w:val="008C2A31"/>
    <w:rsid w:val="008C2ABE"/>
    <w:rsid w:val="008C2FB6"/>
    <w:rsid w:val="008C318E"/>
    <w:rsid w:val="008C352E"/>
    <w:rsid w:val="008C36E0"/>
    <w:rsid w:val="008C3AC7"/>
    <w:rsid w:val="008C3F35"/>
    <w:rsid w:val="008C4660"/>
    <w:rsid w:val="008C4E0F"/>
    <w:rsid w:val="008C5207"/>
    <w:rsid w:val="008C526B"/>
    <w:rsid w:val="008C580B"/>
    <w:rsid w:val="008C5B6B"/>
    <w:rsid w:val="008C5CA1"/>
    <w:rsid w:val="008C5CD1"/>
    <w:rsid w:val="008C5D6A"/>
    <w:rsid w:val="008C5EE6"/>
    <w:rsid w:val="008C5F29"/>
    <w:rsid w:val="008C5FDE"/>
    <w:rsid w:val="008C6B95"/>
    <w:rsid w:val="008C6C3D"/>
    <w:rsid w:val="008D03A3"/>
    <w:rsid w:val="008D067A"/>
    <w:rsid w:val="008D0844"/>
    <w:rsid w:val="008D092A"/>
    <w:rsid w:val="008D0CCC"/>
    <w:rsid w:val="008D1303"/>
    <w:rsid w:val="008D169E"/>
    <w:rsid w:val="008D1A05"/>
    <w:rsid w:val="008D1A80"/>
    <w:rsid w:val="008D1CA5"/>
    <w:rsid w:val="008D1CF5"/>
    <w:rsid w:val="008D1D05"/>
    <w:rsid w:val="008D1FA8"/>
    <w:rsid w:val="008D207E"/>
    <w:rsid w:val="008D213D"/>
    <w:rsid w:val="008D259C"/>
    <w:rsid w:val="008D36AB"/>
    <w:rsid w:val="008D3A84"/>
    <w:rsid w:val="008D3F73"/>
    <w:rsid w:val="008D41CD"/>
    <w:rsid w:val="008D45C2"/>
    <w:rsid w:val="008D4701"/>
    <w:rsid w:val="008D501D"/>
    <w:rsid w:val="008D5515"/>
    <w:rsid w:val="008D5B79"/>
    <w:rsid w:val="008D5E26"/>
    <w:rsid w:val="008D5FA7"/>
    <w:rsid w:val="008D67F5"/>
    <w:rsid w:val="008D6B56"/>
    <w:rsid w:val="008D7E91"/>
    <w:rsid w:val="008E05DC"/>
    <w:rsid w:val="008E0CFC"/>
    <w:rsid w:val="008E13CB"/>
    <w:rsid w:val="008E15CF"/>
    <w:rsid w:val="008E177C"/>
    <w:rsid w:val="008E1967"/>
    <w:rsid w:val="008E1B94"/>
    <w:rsid w:val="008E20E0"/>
    <w:rsid w:val="008E2183"/>
    <w:rsid w:val="008E225D"/>
    <w:rsid w:val="008E2510"/>
    <w:rsid w:val="008E2747"/>
    <w:rsid w:val="008E28B0"/>
    <w:rsid w:val="008E2C3D"/>
    <w:rsid w:val="008E2D37"/>
    <w:rsid w:val="008E34C5"/>
    <w:rsid w:val="008E388E"/>
    <w:rsid w:val="008E3896"/>
    <w:rsid w:val="008E3EC7"/>
    <w:rsid w:val="008E450B"/>
    <w:rsid w:val="008E4792"/>
    <w:rsid w:val="008E56DF"/>
    <w:rsid w:val="008E675A"/>
    <w:rsid w:val="008E6BEA"/>
    <w:rsid w:val="008E6F71"/>
    <w:rsid w:val="008E735D"/>
    <w:rsid w:val="008E7F01"/>
    <w:rsid w:val="008F05D9"/>
    <w:rsid w:val="008F089A"/>
    <w:rsid w:val="008F0A55"/>
    <w:rsid w:val="008F0BAF"/>
    <w:rsid w:val="008F0DC8"/>
    <w:rsid w:val="008F1680"/>
    <w:rsid w:val="008F1DB2"/>
    <w:rsid w:val="008F206E"/>
    <w:rsid w:val="008F237E"/>
    <w:rsid w:val="008F248B"/>
    <w:rsid w:val="008F298C"/>
    <w:rsid w:val="008F3200"/>
    <w:rsid w:val="008F339C"/>
    <w:rsid w:val="008F39EE"/>
    <w:rsid w:val="008F3D3D"/>
    <w:rsid w:val="008F4B9A"/>
    <w:rsid w:val="008F4FB8"/>
    <w:rsid w:val="008F50C0"/>
    <w:rsid w:val="008F55F3"/>
    <w:rsid w:val="008F5974"/>
    <w:rsid w:val="008F5999"/>
    <w:rsid w:val="008F59DE"/>
    <w:rsid w:val="008F6158"/>
    <w:rsid w:val="008F64E5"/>
    <w:rsid w:val="008F6B79"/>
    <w:rsid w:val="008F6EF6"/>
    <w:rsid w:val="008F6F48"/>
    <w:rsid w:val="008F71E3"/>
    <w:rsid w:val="008F7380"/>
    <w:rsid w:val="008F7491"/>
    <w:rsid w:val="008F77A8"/>
    <w:rsid w:val="008F7908"/>
    <w:rsid w:val="008F7D87"/>
    <w:rsid w:val="0090061E"/>
    <w:rsid w:val="00900887"/>
    <w:rsid w:val="00900E42"/>
    <w:rsid w:val="00900FBD"/>
    <w:rsid w:val="0090151B"/>
    <w:rsid w:val="009015D3"/>
    <w:rsid w:val="009017BD"/>
    <w:rsid w:val="00901922"/>
    <w:rsid w:val="00901C68"/>
    <w:rsid w:val="00902B3A"/>
    <w:rsid w:val="00902D2D"/>
    <w:rsid w:val="0090326F"/>
    <w:rsid w:val="009034FF"/>
    <w:rsid w:val="009035E0"/>
    <w:rsid w:val="00903D1E"/>
    <w:rsid w:val="00903DFA"/>
    <w:rsid w:val="00903F62"/>
    <w:rsid w:val="0090434C"/>
    <w:rsid w:val="00904582"/>
    <w:rsid w:val="0090470E"/>
    <w:rsid w:val="00904947"/>
    <w:rsid w:val="00904982"/>
    <w:rsid w:val="009057A0"/>
    <w:rsid w:val="00905916"/>
    <w:rsid w:val="00905935"/>
    <w:rsid w:val="00906D33"/>
    <w:rsid w:val="00907370"/>
    <w:rsid w:val="009076E3"/>
    <w:rsid w:val="00907D6C"/>
    <w:rsid w:val="009100AF"/>
    <w:rsid w:val="00910A3A"/>
    <w:rsid w:val="00910F21"/>
    <w:rsid w:val="00910FDA"/>
    <w:rsid w:val="009111DB"/>
    <w:rsid w:val="00911E03"/>
    <w:rsid w:val="009122C8"/>
    <w:rsid w:val="0091232E"/>
    <w:rsid w:val="0091235D"/>
    <w:rsid w:val="00912C48"/>
    <w:rsid w:val="009132EE"/>
    <w:rsid w:val="009133C2"/>
    <w:rsid w:val="0091349C"/>
    <w:rsid w:val="009134B8"/>
    <w:rsid w:val="009134EF"/>
    <w:rsid w:val="00913877"/>
    <w:rsid w:val="00913E74"/>
    <w:rsid w:val="00914480"/>
    <w:rsid w:val="009146C1"/>
    <w:rsid w:val="0091471D"/>
    <w:rsid w:val="009149AA"/>
    <w:rsid w:val="00914A3B"/>
    <w:rsid w:val="00914A8F"/>
    <w:rsid w:val="00914DB2"/>
    <w:rsid w:val="009152AE"/>
    <w:rsid w:val="00915A81"/>
    <w:rsid w:val="009160D3"/>
    <w:rsid w:val="0091631F"/>
    <w:rsid w:val="00916358"/>
    <w:rsid w:val="00916CE4"/>
    <w:rsid w:val="00916D47"/>
    <w:rsid w:val="00917100"/>
    <w:rsid w:val="00917135"/>
    <w:rsid w:val="00917614"/>
    <w:rsid w:val="00917D1E"/>
    <w:rsid w:val="00920D6C"/>
    <w:rsid w:val="009217F2"/>
    <w:rsid w:val="00921830"/>
    <w:rsid w:val="00921D1F"/>
    <w:rsid w:val="00921E78"/>
    <w:rsid w:val="00922141"/>
    <w:rsid w:val="00922259"/>
    <w:rsid w:val="0092229B"/>
    <w:rsid w:val="0092250F"/>
    <w:rsid w:val="009225DE"/>
    <w:rsid w:val="00922768"/>
    <w:rsid w:val="00922A5F"/>
    <w:rsid w:val="00922C00"/>
    <w:rsid w:val="00922D31"/>
    <w:rsid w:val="00922FC1"/>
    <w:rsid w:val="0092309F"/>
    <w:rsid w:val="0092355F"/>
    <w:rsid w:val="009235DA"/>
    <w:rsid w:val="0092431D"/>
    <w:rsid w:val="009245DA"/>
    <w:rsid w:val="0092496A"/>
    <w:rsid w:val="00924C02"/>
    <w:rsid w:val="009259FF"/>
    <w:rsid w:val="00925D53"/>
    <w:rsid w:val="00926C0E"/>
    <w:rsid w:val="009276FC"/>
    <w:rsid w:val="00927CFB"/>
    <w:rsid w:val="00927DF5"/>
    <w:rsid w:val="00930E7C"/>
    <w:rsid w:val="009313C2"/>
    <w:rsid w:val="00931CC6"/>
    <w:rsid w:val="00932C0F"/>
    <w:rsid w:val="009346A7"/>
    <w:rsid w:val="00935212"/>
    <w:rsid w:val="009357B5"/>
    <w:rsid w:val="00935D06"/>
    <w:rsid w:val="009360C5"/>
    <w:rsid w:val="009364F1"/>
    <w:rsid w:val="00936505"/>
    <w:rsid w:val="009369F3"/>
    <w:rsid w:val="00936C02"/>
    <w:rsid w:val="00937182"/>
    <w:rsid w:val="00937410"/>
    <w:rsid w:val="00937443"/>
    <w:rsid w:val="009376EA"/>
    <w:rsid w:val="00937AF1"/>
    <w:rsid w:val="00937F35"/>
    <w:rsid w:val="0094023B"/>
    <w:rsid w:val="00940A1B"/>
    <w:rsid w:val="00940C18"/>
    <w:rsid w:val="00941CEC"/>
    <w:rsid w:val="00941CF5"/>
    <w:rsid w:val="00941E40"/>
    <w:rsid w:val="009421D9"/>
    <w:rsid w:val="00942726"/>
    <w:rsid w:val="00942A60"/>
    <w:rsid w:val="00943165"/>
    <w:rsid w:val="0094340F"/>
    <w:rsid w:val="00943D3B"/>
    <w:rsid w:val="0094478F"/>
    <w:rsid w:val="00944AEC"/>
    <w:rsid w:val="00944B00"/>
    <w:rsid w:val="00944CD5"/>
    <w:rsid w:val="00944EC3"/>
    <w:rsid w:val="00945296"/>
    <w:rsid w:val="009452AF"/>
    <w:rsid w:val="0094588A"/>
    <w:rsid w:val="00945A5C"/>
    <w:rsid w:val="00945BE9"/>
    <w:rsid w:val="00946029"/>
    <w:rsid w:val="0094783D"/>
    <w:rsid w:val="00947EA2"/>
    <w:rsid w:val="00950275"/>
    <w:rsid w:val="00950944"/>
    <w:rsid w:val="00950BA4"/>
    <w:rsid w:val="009511A0"/>
    <w:rsid w:val="00951B0B"/>
    <w:rsid w:val="00951C8B"/>
    <w:rsid w:val="00952046"/>
    <w:rsid w:val="0095279C"/>
    <w:rsid w:val="00952C1A"/>
    <w:rsid w:val="00952DF8"/>
    <w:rsid w:val="00952F5E"/>
    <w:rsid w:val="00952FAC"/>
    <w:rsid w:val="0095308D"/>
    <w:rsid w:val="009538A9"/>
    <w:rsid w:val="00953F99"/>
    <w:rsid w:val="0095457B"/>
    <w:rsid w:val="0095497B"/>
    <w:rsid w:val="00955278"/>
    <w:rsid w:val="00955D30"/>
    <w:rsid w:val="00955E82"/>
    <w:rsid w:val="0095653D"/>
    <w:rsid w:val="009578AE"/>
    <w:rsid w:val="00957950"/>
    <w:rsid w:val="00957B37"/>
    <w:rsid w:val="00957F66"/>
    <w:rsid w:val="009602CA"/>
    <w:rsid w:val="00960311"/>
    <w:rsid w:val="009609C5"/>
    <w:rsid w:val="00961236"/>
    <w:rsid w:val="0096138E"/>
    <w:rsid w:val="009614F7"/>
    <w:rsid w:val="009617AB"/>
    <w:rsid w:val="00961978"/>
    <w:rsid w:val="00961F14"/>
    <w:rsid w:val="0096347C"/>
    <w:rsid w:val="00963681"/>
    <w:rsid w:val="00963C3B"/>
    <w:rsid w:val="00963EF7"/>
    <w:rsid w:val="00963F6D"/>
    <w:rsid w:val="009651A6"/>
    <w:rsid w:val="00965516"/>
    <w:rsid w:val="00965B54"/>
    <w:rsid w:val="00966B1E"/>
    <w:rsid w:val="009671B4"/>
    <w:rsid w:val="009672E9"/>
    <w:rsid w:val="00967524"/>
    <w:rsid w:val="0097094A"/>
    <w:rsid w:val="00970D92"/>
    <w:rsid w:val="00971259"/>
    <w:rsid w:val="0097137B"/>
    <w:rsid w:val="0097254F"/>
    <w:rsid w:val="009728E4"/>
    <w:rsid w:val="00972C6E"/>
    <w:rsid w:val="009731FA"/>
    <w:rsid w:val="009737C0"/>
    <w:rsid w:val="009749E3"/>
    <w:rsid w:val="00974E18"/>
    <w:rsid w:val="00974E3A"/>
    <w:rsid w:val="00974FF0"/>
    <w:rsid w:val="009751E1"/>
    <w:rsid w:val="0097605E"/>
    <w:rsid w:val="009763AB"/>
    <w:rsid w:val="00976838"/>
    <w:rsid w:val="00976D80"/>
    <w:rsid w:val="00976DAD"/>
    <w:rsid w:val="00976DFA"/>
    <w:rsid w:val="009771A2"/>
    <w:rsid w:val="00977658"/>
    <w:rsid w:val="00977725"/>
    <w:rsid w:val="00977888"/>
    <w:rsid w:val="00977D41"/>
    <w:rsid w:val="00977F28"/>
    <w:rsid w:val="009801C4"/>
    <w:rsid w:val="00980658"/>
    <w:rsid w:val="009807EC"/>
    <w:rsid w:val="00980DC6"/>
    <w:rsid w:val="00981AA3"/>
    <w:rsid w:val="00981B38"/>
    <w:rsid w:val="00981EB7"/>
    <w:rsid w:val="009820BB"/>
    <w:rsid w:val="00982399"/>
    <w:rsid w:val="00982E12"/>
    <w:rsid w:val="00982FBB"/>
    <w:rsid w:val="00983384"/>
    <w:rsid w:val="0098347F"/>
    <w:rsid w:val="009838AC"/>
    <w:rsid w:val="009838F8"/>
    <w:rsid w:val="00984493"/>
    <w:rsid w:val="009845DC"/>
    <w:rsid w:val="00984652"/>
    <w:rsid w:val="009847DD"/>
    <w:rsid w:val="009849B3"/>
    <w:rsid w:val="00984B4C"/>
    <w:rsid w:val="009854EC"/>
    <w:rsid w:val="00985CAC"/>
    <w:rsid w:val="00986026"/>
    <w:rsid w:val="00986521"/>
    <w:rsid w:val="00986610"/>
    <w:rsid w:val="00986901"/>
    <w:rsid w:val="00987043"/>
    <w:rsid w:val="00987416"/>
    <w:rsid w:val="009875B9"/>
    <w:rsid w:val="00987786"/>
    <w:rsid w:val="009878FC"/>
    <w:rsid w:val="009879D4"/>
    <w:rsid w:val="00987E12"/>
    <w:rsid w:val="00990302"/>
    <w:rsid w:val="0099037C"/>
    <w:rsid w:val="00990554"/>
    <w:rsid w:val="00990A64"/>
    <w:rsid w:val="00990AB6"/>
    <w:rsid w:val="00990D9F"/>
    <w:rsid w:val="00990EAD"/>
    <w:rsid w:val="00991076"/>
    <w:rsid w:val="009918EE"/>
    <w:rsid w:val="009925FA"/>
    <w:rsid w:val="00993063"/>
    <w:rsid w:val="009936BA"/>
    <w:rsid w:val="0099375A"/>
    <w:rsid w:val="0099455C"/>
    <w:rsid w:val="0099462C"/>
    <w:rsid w:val="009946BB"/>
    <w:rsid w:val="00994880"/>
    <w:rsid w:val="0099494E"/>
    <w:rsid w:val="009949C9"/>
    <w:rsid w:val="00994A73"/>
    <w:rsid w:val="00994CBF"/>
    <w:rsid w:val="0099571C"/>
    <w:rsid w:val="00996092"/>
    <w:rsid w:val="009963A8"/>
    <w:rsid w:val="00996824"/>
    <w:rsid w:val="00997200"/>
    <w:rsid w:val="009A0970"/>
    <w:rsid w:val="009A0CEA"/>
    <w:rsid w:val="009A0F7B"/>
    <w:rsid w:val="009A1037"/>
    <w:rsid w:val="009A1368"/>
    <w:rsid w:val="009A1986"/>
    <w:rsid w:val="009A1B40"/>
    <w:rsid w:val="009A1C05"/>
    <w:rsid w:val="009A20AE"/>
    <w:rsid w:val="009A21EA"/>
    <w:rsid w:val="009A259E"/>
    <w:rsid w:val="009A25CD"/>
    <w:rsid w:val="009A27F4"/>
    <w:rsid w:val="009A287B"/>
    <w:rsid w:val="009A2B1E"/>
    <w:rsid w:val="009A351A"/>
    <w:rsid w:val="009A3677"/>
    <w:rsid w:val="009A39F2"/>
    <w:rsid w:val="009A3A40"/>
    <w:rsid w:val="009A3A7F"/>
    <w:rsid w:val="009A4437"/>
    <w:rsid w:val="009A46EF"/>
    <w:rsid w:val="009A4DAD"/>
    <w:rsid w:val="009A4EDB"/>
    <w:rsid w:val="009A50FD"/>
    <w:rsid w:val="009A51ED"/>
    <w:rsid w:val="009A5642"/>
    <w:rsid w:val="009A59F1"/>
    <w:rsid w:val="009A5B73"/>
    <w:rsid w:val="009A5CFD"/>
    <w:rsid w:val="009A5D78"/>
    <w:rsid w:val="009A605A"/>
    <w:rsid w:val="009A60FC"/>
    <w:rsid w:val="009A68B1"/>
    <w:rsid w:val="009A6A0F"/>
    <w:rsid w:val="009A6A4E"/>
    <w:rsid w:val="009A6AD4"/>
    <w:rsid w:val="009A6C20"/>
    <w:rsid w:val="009A7181"/>
    <w:rsid w:val="009A76FD"/>
    <w:rsid w:val="009A79E0"/>
    <w:rsid w:val="009A7A07"/>
    <w:rsid w:val="009B0277"/>
    <w:rsid w:val="009B0312"/>
    <w:rsid w:val="009B07B3"/>
    <w:rsid w:val="009B0C30"/>
    <w:rsid w:val="009B0F71"/>
    <w:rsid w:val="009B1496"/>
    <w:rsid w:val="009B189D"/>
    <w:rsid w:val="009B19A3"/>
    <w:rsid w:val="009B233B"/>
    <w:rsid w:val="009B23DD"/>
    <w:rsid w:val="009B2500"/>
    <w:rsid w:val="009B253B"/>
    <w:rsid w:val="009B262B"/>
    <w:rsid w:val="009B2AA3"/>
    <w:rsid w:val="009B2BE5"/>
    <w:rsid w:val="009B36AE"/>
    <w:rsid w:val="009B3BA7"/>
    <w:rsid w:val="009B41A5"/>
    <w:rsid w:val="009B4E57"/>
    <w:rsid w:val="009B55A1"/>
    <w:rsid w:val="009B5890"/>
    <w:rsid w:val="009B5C06"/>
    <w:rsid w:val="009B65C4"/>
    <w:rsid w:val="009B6B05"/>
    <w:rsid w:val="009B6B7B"/>
    <w:rsid w:val="009B6ECB"/>
    <w:rsid w:val="009B723D"/>
    <w:rsid w:val="009C0517"/>
    <w:rsid w:val="009C0C24"/>
    <w:rsid w:val="009C0DE9"/>
    <w:rsid w:val="009C13AA"/>
    <w:rsid w:val="009C1424"/>
    <w:rsid w:val="009C15C1"/>
    <w:rsid w:val="009C16EC"/>
    <w:rsid w:val="009C1767"/>
    <w:rsid w:val="009C2012"/>
    <w:rsid w:val="009C3375"/>
    <w:rsid w:val="009C36A8"/>
    <w:rsid w:val="009C38CB"/>
    <w:rsid w:val="009C4A2D"/>
    <w:rsid w:val="009C5698"/>
    <w:rsid w:val="009C61EC"/>
    <w:rsid w:val="009C63E8"/>
    <w:rsid w:val="009C66F2"/>
    <w:rsid w:val="009C6C69"/>
    <w:rsid w:val="009C6EF2"/>
    <w:rsid w:val="009C75A5"/>
    <w:rsid w:val="009C77AC"/>
    <w:rsid w:val="009C79B7"/>
    <w:rsid w:val="009D0387"/>
    <w:rsid w:val="009D03A9"/>
    <w:rsid w:val="009D110E"/>
    <w:rsid w:val="009D1596"/>
    <w:rsid w:val="009D166E"/>
    <w:rsid w:val="009D2316"/>
    <w:rsid w:val="009D2A31"/>
    <w:rsid w:val="009D312E"/>
    <w:rsid w:val="009D3222"/>
    <w:rsid w:val="009D35F8"/>
    <w:rsid w:val="009D38B1"/>
    <w:rsid w:val="009D3CD8"/>
    <w:rsid w:val="009D4015"/>
    <w:rsid w:val="009D4B73"/>
    <w:rsid w:val="009D4F30"/>
    <w:rsid w:val="009D51A6"/>
    <w:rsid w:val="009D5283"/>
    <w:rsid w:val="009D5B79"/>
    <w:rsid w:val="009D5F6F"/>
    <w:rsid w:val="009D61EA"/>
    <w:rsid w:val="009D6F54"/>
    <w:rsid w:val="009D738B"/>
    <w:rsid w:val="009D7504"/>
    <w:rsid w:val="009E05EE"/>
    <w:rsid w:val="009E0695"/>
    <w:rsid w:val="009E0B95"/>
    <w:rsid w:val="009E0FD4"/>
    <w:rsid w:val="009E13C5"/>
    <w:rsid w:val="009E1706"/>
    <w:rsid w:val="009E1C9D"/>
    <w:rsid w:val="009E1DE7"/>
    <w:rsid w:val="009E2B0B"/>
    <w:rsid w:val="009E2FF6"/>
    <w:rsid w:val="009E340F"/>
    <w:rsid w:val="009E447D"/>
    <w:rsid w:val="009E4CBE"/>
    <w:rsid w:val="009E4F90"/>
    <w:rsid w:val="009E519B"/>
    <w:rsid w:val="009E610D"/>
    <w:rsid w:val="009E6237"/>
    <w:rsid w:val="009E684E"/>
    <w:rsid w:val="009E7379"/>
    <w:rsid w:val="009E752C"/>
    <w:rsid w:val="009E789F"/>
    <w:rsid w:val="009E7A28"/>
    <w:rsid w:val="009E7A71"/>
    <w:rsid w:val="009E7B6C"/>
    <w:rsid w:val="009F0018"/>
    <w:rsid w:val="009F022F"/>
    <w:rsid w:val="009F02BA"/>
    <w:rsid w:val="009F06E8"/>
    <w:rsid w:val="009F0899"/>
    <w:rsid w:val="009F097D"/>
    <w:rsid w:val="009F0FA2"/>
    <w:rsid w:val="009F10FF"/>
    <w:rsid w:val="009F1811"/>
    <w:rsid w:val="009F1A57"/>
    <w:rsid w:val="009F1E33"/>
    <w:rsid w:val="009F3311"/>
    <w:rsid w:val="009F395E"/>
    <w:rsid w:val="009F3E90"/>
    <w:rsid w:val="009F43EE"/>
    <w:rsid w:val="009F4A5A"/>
    <w:rsid w:val="009F5656"/>
    <w:rsid w:val="009F57E1"/>
    <w:rsid w:val="009F6207"/>
    <w:rsid w:val="009F6BBB"/>
    <w:rsid w:val="009F6C0A"/>
    <w:rsid w:val="009F6F99"/>
    <w:rsid w:val="009F7B4A"/>
    <w:rsid w:val="009F7CA5"/>
    <w:rsid w:val="009F7D4B"/>
    <w:rsid w:val="00A001C4"/>
    <w:rsid w:val="00A0071F"/>
    <w:rsid w:val="00A00A26"/>
    <w:rsid w:val="00A00D48"/>
    <w:rsid w:val="00A00FF4"/>
    <w:rsid w:val="00A0103A"/>
    <w:rsid w:val="00A0164A"/>
    <w:rsid w:val="00A020D7"/>
    <w:rsid w:val="00A022E8"/>
    <w:rsid w:val="00A0268C"/>
    <w:rsid w:val="00A0272A"/>
    <w:rsid w:val="00A02C41"/>
    <w:rsid w:val="00A031E7"/>
    <w:rsid w:val="00A03E26"/>
    <w:rsid w:val="00A04653"/>
    <w:rsid w:val="00A04896"/>
    <w:rsid w:val="00A04E82"/>
    <w:rsid w:val="00A05163"/>
    <w:rsid w:val="00A052E6"/>
    <w:rsid w:val="00A05367"/>
    <w:rsid w:val="00A056AB"/>
    <w:rsid w:val="00A05816"/>
    <w:rsid w:val="00A059AB"/>
    <w:rsid w:val="00A05D28"/>
    <w:rsid w:val="00A05D71"/>
    <w:rsid w:val="00A06455"/>
    <w:rsid w:val="00A064F4"/>
    <w:rsid w:val="00A06E22"/>
    <w:rsid w:val="00A06E25"/>
    <w:rsid w:val="00A06EC0"/>
    <w:rsid w:val="00A07373"/>
    <w:rsid w:val="00A073B3"/>
    <w:rsid w:val="00A079FB"/>
    <w:rsid w:val="00A07B4C"/>
    <w:rsid w:val="00A07F75"/>
    <w:rsid w:val="00A10678"/>
    <w:rsid w:val="00A10C46"/>
    <w:rsid w:val="00A11793"/>
    <w:rsid w:val="00A11CBF"/>
    <w:rsid w:val="00A123E6"/>
    <w:rsid w:val="00A128CA"/>
    <w:rsid w:val="00A12A54"/>
    <w:rsid w:val="00A133C7"/>
    <w:rsid w:val="00A13685"/>
    <w:rsid w:val="00A145EF"/>
    <w:rsid w:val="00A146BF"/>
    <w:rsid w:val="00A14F9B"/>
    <w:rsid w:val="00A15D49"/>
    <w:rsid w:val="00A16437"/>
    <w:rsid w:val="00A16F15"/>
    <w:rsid w:val="00A17687"/>
    <w:rsid w:val="00A179A7"/>
    <w:rsid w:val="00A20548"/>
    <w:rsid w:val="00A21964"/>
    <w:rsid w:val="00A2212E"/>
    <w:rsid w:val="00A22E9E"/>
    <w:rsid w:val="00A231F0"/>
    <w:rsid w:val="00A231FB"/>
    <w:rsid w:val="00A23A15"/>
    <w:rsid w:val="00A23CD9"/>
    <w:rsid w:val="00A244B9"/>
    <w:rsid w:val="00A24D8B"/>
    <w:rsid w:val="00A25244"/>
    <w:rsid w:val="00A252BC"/>
    <w:rsid w:val="00A25C4D"/>
    <w:rsid w:val="00A26EBE"/>
    <w:rsid w:val="00A27B1F"/>
    <w:rsid w:val="00A27BC1"/>
    <w:rsid w:val="00A27C45"/>
    <w:rsid w:val="00A308B8"/>
    <w:rsid w:val="00A318E8"/>
    <w:rsid w:val="00A32303"/>
    <w:rsid w:val="00A3252D"/>
    <w:rsid w:val="00A32713"/>
    <w:rsid w:val="00A32A6D"/>
    <w:rsid w:val="00A32CDF"/>
    <w:rsid w:val="00A3425E"/>
    <w:rsid w:val="00A34846"/>
    <w:rsid w:val="00A34B39"/>
    <w:rsid w:val="00A34F57"/>
    <w:rsid w:val="00A34F8A"/>
    <w:rsid w:val="00A35336"/>
    <w:rsid w:val="00A354E1"/>
    <w:rsid w:val="00A35E3F"/>
    <w:rsid w:val="00A364CB"/>
    <w:rsid w:val="00A365BE"/>
    <w:rsid w:val="00A36870"/>
    <w:rsid w:val="00A3690F"/>
    <w:rsid w:val="00A36AC9"/>
    <w:rsid w:val="00A378E5"/>
    <w:rsid w:val="00A3793B"/>
    <w:rsid w:val="00A37A52"/>
    <w:rsid w:val="00A37AE8"/>
    <w:rsid w:val="00A4013A"/>
    <w:rsid w:val="00A4015C"/>
    <w:rsid w:val="00A4072D"/>
    <w:rsid w:val="00A40E68"/>
    <w:rsid w:val="00A41AB3"/>
    <w:rsid w:val="00A41CB1"/>
    <w:rsid w:val="00A428BC"/>
    <w:rsid w:val="00A42C87"/>
    <w:rsid w:val="00A42CB4"/>
    <w:rsid w:val="00A42F74"/>
    <w:rsid w:val="00A4363E"/>
    <w:rsid w:val="00A43943"/>
    <w:rsid w:val="00A43BAC"/>
    <w:rsid w:val="00A4408F"/>
    <w:rsid w:val="00A44811"/>
    <w:rsid w:val="00A44A9B"/>
    <w:rsid w:val="00A44C6B"/>
    <w:rsid w:val="00A45AB1"/>
    <w:rsid w:val="00A45F94"/>
    <w:rsid w:val="00A46268"/>
    <w:rsid w:val="00A462F1"/>
    <w:rsid w:val="00A4678D"/>
    <w:rsid w:val="00A46AA4"/>
    <w:rsid w:val="00A47265"/>
    <w:rsid w:val="00A473DD"/>
    <w:rsid w:val="00A503D3"/>
    <w:rsid w:val="00A50900"/>
    <w:rsid w:val="00A50A7E"/>
    <w:rsid w:val="00A511A5"/>
    <w:rsid w:val="00A51257"/>
    <w:rsid w:val="00A5160E"/>
    <w:rsid w:val="00A51B60"/>
    <w:rsid w:val="00A51DF3"/>
    <w:rsid w:val="00A51F82"/>
    <w:rsid w:val="00A52CEA"/>
    <w:rsid w:val="00A5339D"/>
    <w:rsid w:val="00A53C22"/>
    <w:rsid w:val="00A54090"/>
    <w:rsid w:val="00A5454B"/>
    <w:rsid w:val="00A5456F"/>
    <w:rsid w:val="00A54D4E"/>
    <w:rsid w:val="00A55735"/>
    <w:rsid w:val="00A55858"/>
    <w:rsid w:val="00A5600F"/>
    <w:rsid w:val="00A5613B"/>
    <w:rsid w:val="00A562EC"/>
    <w:rsid w:val="00A56864"/>
    <w:rsid w:val="00A56954"/>
    <w:rsid w:val="00A57591"/>
    <w:rsid w:val="00A576DD"/>
    <w:rsid w:val="00A57B1D"/>
    <w:rsid w:val="00A603F6"/>
    <w:rsid w:val="00A60436"/>
    <w:rsid w:val="00A606B8"/>
    <w:rsid w:val="00A60C39"/>
    <w:rsid w:val="00A60CDC"/>
    <w:rsid w:val="00A60DA5"/>
    <w:rsid w:val="00A60E5A"/>
    <w:rsid w:val="00A60FAF"/>
    <w:rsid w:val="00A614C1"/>
    <w:rsid w:val="00A618A0"/>
    <w:rsid w:val="00A62B6D"/>
    <w:rsid w:val="00A62E3F"/>
    <w:rsid w:val="00A634A2"/>
    <w:rsid w:val="00A63738"/>
    <w:rsid w:val="00A63775"/>
    <w:rsid w:val="00A63B53"/>
    <w:rsid w:val="00A64356"/>
    <w:rsid w:val="00A64880"/>
    <w:rsid w:val="00A64918"/>
    <w:rsid w:val="00A64D71"/>
    <w:rsid w:val="00A64D8F"/>
    <w:rsid w:val="00A658FA"/>
    <w:rsid w:val="00A65A14"/>
    <w:rsid w:val="00A65BAA"/>
    <w:rsid w:val="00A65EEF"/>
    <w:rsid w:val="00A66679"/>
    <w:rsid w:val="00A667FC"/>
    <w:rsid w:val="00A66CF7"/>
    <w:rsid w:val="00A674DF"/>
    <w:rsid w:val="00A67CF5"/>
    <w:rsid w:val="00A70B4B"/>
    <w:rsid w:val="00A70BF8"/>
    <w:rsid w:val="00A70D82"/>
    <w:rsid w:val="00A70F15"/>
    <w:rsid w:val="00A71028"/>
    <w:rsid w:val="00A7152A"/>
    <w:rsid w:val="00A71604"/>
    <w:rsid w:val="00A71784"/>
    <w:rsid w:val="00A71944"/>
    <w:rsid w:val="00A71D88"/>
    <w:rsid w:val="00A725B8"/>
    <w:rsid w:val="00A730E5"/>
    <w:rsid w:val="00A733BD"/>
    <w:rsid w:val="00A733EB"/>
    <w:rsid w:val="00A73A9F"/>
    <w:rsid w:val="00A75B83"/>
    <w:rsid w:val="00A75D92"/>
    <w:rsid w:val="00A7618E"/>
    <w:rsid w:val="00A763B4"/>
    <w:rsid w:val="00A76449"/>
    <w:rsid w:val="00A76B91"/>
    <w:rsid w:val="00A7707F"/>
    <w:rsid w:val="00A7794C"/>
    <w:rsid w:val="00A7797E"/>
    <w:rsid w:val="00A800FC"/>
    <w:rsid w:val="00A80195"/>
    <w:rsid w:val="00A803F6"/>
    <w:rsid w:val="00A805CE"/>
    <w:rsid w:val="00A8086E"/>
    <w:rsid w:val="00A82389"/>
    <w:rsid w:val="00A824CC"/>
    <w:rsid w:val="00A8337B"/>
    <w:rsid w:val="00A84355"/>
    <w:rsid w:val="00A84C6D"/>
    <w:rsid w:val="00A851B4"/>
    <w:rsid w:val="00A853C2"/>
    <w:rsid w:val="00A8548E"/>
    <w:rsid w:val="00A85BE0"/>
    <w:rsid w:val="00A85E8D"/>
    <w:rsid w:val="00A85FE3"/>
    <w:rsid w:val="00A868C9"/>
    <w:rsid w:val="00A871E0"/>
    <w:rsid w:val="00A871FC"/>
    <w:rsid w:val="00A8751D"/>
    <w:rsid w:val="00A90445"/>
    <w:rsid w:val="00A9096E"/>
    <w:rsid w:val="00A90BB3"/>
    <w:rsid w:val="00A91403"/>
    <w:rsid w:val="00A9196B"/>
    <w:rsid w:val="00A919F6"/>
    <w:rsid w:val="00A92162"/>
    <w:rsid w:val="00A92471"/>
    <w:rsid w:val="00A92B86"/>
    <w:rsid w:val="00A92EB4"/>
    <w:rsid w:val="00A92EDC"/>
    <w:rsid w:val="00A93041"/>
    <w:rsid w:val="00A936B1"/>
    <w:rsid w:val="00A93912"/>
    <w:rsid w:val="00A9392F"/>
    <w:rsid w:val="00A93A25"/>
    <w:rsid w:val="00A93D56"/>
    <w:rsid w:val="00A93EBE"/>
    <w:rsid w:val="00A93FD5"/>
    <w:rsid w:val="00A941D3"/>
    <w:rsid w:val="00A9451E"/>
    <w:rsid w:val="00A94926"/>
    <w:rsid w:val="00A94D59"/>
    <w:rsid w:val="00A952CA"/>
    <w:rsid w:val="00A9597C"/>
    <w:rsid w:val="00A9679E"/>
    <w:rsid w:val="00A968F9"/>
    <w:rsid w:val="00A96B59"/>
    <w:rsid w:val="00A96C08"/>
    <w:rsid w:val="00A96F3F"/>
    <w:rsid w:val="00A97114"/>
    <w:rsid w:val="00A9738E"/>
    <w:rsid w:val="00A97853"/>
    <w:rsid w:val="00AA0180"/>
    <w:rsid w:val="00AA0710"/>
    <w:rsid w:val="00AA0879"/>
    <w:rsid w:val="00AA0EA2"/>
    <w:rsid w:val="00AA1904"/>
    <w:rsid w:val="00AA1C85"/>
    <w:rsid w:val="00AA1DA9"/>
    <w:rsid w:val="00AA1E50"/>
    <w:rsid w:val="00AA2CDE"/>
    <w:rsid w:val="00AA3079"/>
    <w:rsid w:val="00AA335D"/>
    <w:rsid w:val="00AA3733"/>
    <w:rsid w:val="00AA3A79"/>
    <w:rsid w:val="00AA3BBD"/>
    <w:rsid w:val="00AA3E8C"/>
    <w:rsid w:val="00AA41F6"/>
    <w:rsid w:val="00AA4435"/>
    <w:rsid w:val="00AA48B1"/>
    <w:rsid w:val="00AA4969"/>
    <w:rsid w:val="00AA4D1F"/>
    <w:rsid w:val="00AA4E03"/>
    <w:rsid w:val="00AA4F82"/>
    <w:rsid w:val="00AA4FD9"/>
    <w:rsid w:val="00AA51C2"/>
    <w:rsid w:val="00AA56A2"/>
    <w:rsid w:val="00AA5821"/>
    <w:rsid w:val="00AA5831"/>
    <w:rsid w:val="00AA5D38"/>
    <w:rsid w:val="00AA6BE0"/>
    <w:rsid w:val="00AA70C7"/>
    <w:rsid w:val="00AA7A8B"/>
    <w:rsid w:val="00AB01EC"/>
    <w:rsid w:val="00AB035C"/>
    <w:rsid w:val="00AB05D6"/>
    <w:rsid w:val="00AB0650"/>
    <w:rsid w:val="00AB0B20"/>
    <w:rsid w:val="00AB0B64"/>
    <w:rsid w:val="00AB1385"/>
    <w:rsid w:val="00AB1B84"/>
    <w:rsid w:val="00AB1CBC"/>
    <w:rsid w:val="00AB2474"/>
    <w:rsid w:val="00AB261C"/>
    <w:rsid w:val="00AB2732"/>
    <w:rsid w:val="00AB2EE0"/>
    <w:rsid w:val="00AB3428"/>
    <w:rsid w:val="00AB38CF"/>
    <w:rsid w:val="00AB4376"/>
    <w:rsid w:val="00AB47D3"/>
    <w:rsid w:val="00AB52BA"/>
    <w:rsid w:val="00AB5567"/>
    <w:rsid w:val="00AB5655"/>
    <w:rsid w:val="00AB580D"/>
    <w:rsid w:val="00AB6354"/>
    <w:rsid w:val="00AB644A"/>
    <w:rsid w:val="00AB6B03"/>
    <w:rsid w:val="00AB6C34"/>
    <w:rsid w:val="00AB6F28"/>
    <w:rsid w:val="00AB732B"/>
    <w:rsid w:val="00AB740D"/>
    <w:rsid w:val="00AB7593"/>
    <w:rsid w:val="00AB79BD"/>
    <w:rsid w:val="00AB7B68"/>
    <w:rsid w:val="00AB7EF5"/>
    <w:rsid w:val="00AC003D"/>
    <w:rsid w:val="00AC0BA0"/>
    <w:rsid w:val="00AC100D"/>
    <w:rsid w:val="00AC1720"/>
    <w:rsid w:val="00AC1A50"/>
    <w:rsid w:val="00AC258A"/>
    <w:rsid w:val="00AC268A"/>
    <w:rsid w:val="00AC28F2"/>
    <w:rsid w:val="00AC31C5"/>
    <w:rsid w:val="00AC44A5"/>
    <w:rsid w:val="00AC44E3"/>
    <w:rsid w:val="00AC4719"/>
    <w:rsid w:val="00AC4DE8"/>
    <w:rsid w:val="00AC4F66"/>
    <w:rsid w:val="00AC505F"/>
    <w:rsid w:val="00AC52DA"/>
    <w:rsid w:val="00AC56C1"/>
    <w:rsid w:val="00AC5883"/>
    <w:rsid w:val="00AC5938"/>
    <w:rsid w:val="00AC6026"/>
    <w:rsid w:val="00AC66B2"/>
    <w:rsid w:val="00AC6724"/>
    <w:rsid w:val="00AC6FEA"/>
    <w:rsid w:val="00AC7096"/>
    <w:rsid w:val="00AC781C"/>
    <w:rsid w:val="00AC7D11"/>
    <w:rsid w:val="00AD062B"/>
    <w:rsid w:val="00AD0BEA"/>
    <w:rsid w:val="00AD1004"/>
    <w:rsid w:val="00AD1111"/>
    <w:rsid w:val="00AD1231"/>
    <w:rsid w:val="00AD1666"/>
    <w:rsid w:val="00AD17BE"/>
    <w:rsid w:val="00AD197C"/>
    <w:rsid w:val="00AD1AC2"/>
    <w:rsid w:val="00AD1AC5"/>
    <w:rsid w:val="00AD1C75"/>
    <w:rsid w:val="00AD1D93"/>
    <w:rsid w:val="00AD331D"/>
    <w:rsid w:val="00AD386B"/>
    <w:rsid w:val="00AD3F08"/>
    <w:rsid w:val="00AD58DD"/>
    <w:rsid w:val="00AD5E6C"/>
    <w:rsid w:val="00AD626A"/>
    <w:rsid w:val="00AD702B"/>
    <w:rsid w:val="00AD738D"/>
    <w:rsid w:val="00AD7502"/>
    <w:rsid w:val="00AD7A61"/>
    <w:rsid w:val="00AD7AD0"/>
    <w:rsid w:val="00AE02B5"/>
    <w:rsid w:val="00AE04C0"/>
    <w:rsid w:val="00AE07F0"/>
    <w:rsid w:val="00AE09C0"/>
    <w:rsid w:val="00AE0A56"/>
    <w:rsid w:val="00AE1221"/>
    <w:rsid w:val="00AE13C1"/>
    <w:rsid w:val="00AE1435"/>
    <w:rsid w:val="00AE1ABE"/>
    <w:rsid w:val="00AE21CE"/>
    <w:rsid w:val="00AE25F4"/>
    <w:rsid w:val="00AE2749"/>
    <w:rsid w:val="00AE2856"/>
    <w:rsid w:val="00AE3135"/>
    <w:rsid w:val="00AE3378"/>
    <w:rsid w:val="00AE3D3C"/>
    <w:rsid w:val="00AE4022"/>
    <w:rsid w:val="00AE4619"/>
    <w:rsid w:val="00AE544E"/>
    <w:rsid w:val="00AE572B"/>
    <w:rsid w:val="00AE5886"/>
    <w:rsid w:val="00AE61B1"/>
    <w:rsid w:val="00AE63FC"/>
    <w:rsid w:val="00AE6558"/>
    <w:rsid w:val="00AE6ACE"/>
    <w:rsid w:val="00AE6BA5"/>
    <w:rsid w:val="00AE6C71"/>
    <w:rsid w:val="00AE725F"/>
    <w:rsid w:val="00AE7519"/>
    <w:rsid w:val="00AE7D9E"/>
    <w:rsid w:val="00AF0018"/>
    <w:rsid w:val="00AF07F4"/>
    <w:rsid w:val="00AF0E56"/>
    <w:rsid w:val="00AF0F89"/>
    <w:rsid w:val="00AF15D7"/>
    <w:rsid w:val="00AF181D"/>
    <w:rsid w:val="00AF183C"/>
    <w:rsid w:val="00AF19F8"/>
    <w:rsid w:val="00AF1C54"/>
    <w:rsid w:val="00AF2AE3"/>
    <w:rsid w:val="00AF2C2A"/>
    <w:rsid w:val="00AF3494"/>
    <w:rsid w:val="00AF3786"/>
    <w:rsid w:val="00AF41B0"/>
    <w:rsid w:val="00AF4E8A"/>
    <w:rsid w:val="00AF4EEA"/>
    <w:rsid w:val="00AF5220"/>
    <w:rsid w:val="00AF550C"/>
    <w:rsid w:val="00AF5A51"/>
    <w:rsid w:val="00AF5F04"/>
    <w:rsid w:val="00AF64AC"/>
    <w:rsid w:val="00AF6639"/>
    <w:rsid w:val="00AF6AA0"/>
    <w:rsid w:val="00AF7A2E"/>
    <w:rsid w:val="00AF7DAB"/>
    <w:rsid w:val="00AF7DC7"/>
    <w:rsid w:val="00AF7E81"/>
    <w:rsid w:val="00AF7EAD"/>
    <w:rsid w:val="00AF7F47"/>
    <w:rsid w:val="00B0042E"/>
    <w:rsid w:val="00B00440"/>
    <w:rsid w:val="00B007AF"/>
    <w:rsid w:val="00B00865"/>
    <w:rsid w:val="00B008F3"/>
    <w:rsid w:val="00B012E1"/>
    <w:rsid w:val="00B01526"/>
    <w:rsid w:val="00B019A0"/>
    <w:rsid w:val="00B01BD5"/>
    <w:rsid w:val="00B01DCE"/>
    <w:rsid w:val="00B02719"/>
    <w:rsid w:val="00B02C88"/>
    <w:rsid w:val="00B0305A"/>
    <w:rsid w:val="00B03DC1"/>
    <w:rsid w:val="00B042BA"/>
    <w:rsid w:val="00B04C69"/>
    <w:rsid w:val="00B05252"/>
    <w:rsid w:val="00B0603A"/>
    <w:rsid w:val="00B06EFE"/>
    <w:rsid w:val="00B07396"/>
    <w:rsid w:val="00B073BB"/>
    <w:rsid w:val="00B0794F"/>
    <w:rsid w:val="00B07A7F"/>
    <w:rsid w:val="00B07A9E"/>
    <w:rsid w:val="00B07D96"/>
    <w:rsid w:val="00B10100"/>
    <w:rsid w:val="00B1026D"/>
    <w:rsid w:val="00B10438"/>
    <w:rsid w:val="00B1079F"/>
    <w:rsid w:val="00B10A9B"/>
    <w:rsid w:val="00B10C0E"/>
    <w:rsid w:val="00B10CB7"/>
    <w:rsid w:val="00B11081"/>
    <w:rsid w:val="00B1154A"/>
    <w:rsid w:val="00B11A7F"/>
    <w:rsid w:val="00B11D52"/>
    <w:rsid w:val="00B122A8"/>
    <w:rsid w:val="00B12673"/>
    <w:rsid w:val="00B13AF8"/>
    <w:rsid w:val="00B13BAF"/>
    <w:rsid w:val="00B13E95"/>
    <w:rsid w:val="00B141E5"/>
    <w:rsid w:val="00B1475F"/>
    <w:rsid w:val="00B152D7"/>
    <w:rsid w:val="00B156D7"/>
    <w:rsid w:val="00B15BFA"/>
    <w:rsid w:val="00B15E19"/>
    <w:rsid w:val="00B160FC"/>
    <w:rsid w:val="00B169E9"/>
    <w:rsid w:val="00B17062"/>
    <w:rsid w:val="00B173D4"/>
    <w:rsid w:val="00B17665"/>
    <w:rsid w:val="00B20624"/>
    <w:rsid w:val="00B2079E"/>
    <w:rsid w:val="00B20AAA"/>
    <w:rsid w:val="00B21658"/>
    <w:rsid w:val="00B21DFA"/>
    <w:rsid w:val="00B225A0"/>
    <w:rsid w:val="00B229A3"/>
    <w:rsid w:val="00B22B36"/>
    <w:rsid w:val="00B22D3C"/>
    <w:rsid w:val="00B231BF"/>
    <w:rsid w:val="00B24768"/>
    <w:rsid w:val="00B24805"/>
    <w:rsid w:val="00B24B4D"/>
    <w:rsid w:val="00B24B6C"/>
    <w:rsid w:val="00B24BBC"/>
    <w:rsid w:val="00B24CD9"/>
    <w:rsid w:val="00B25810"/>
    <w:rsid w:val="00B25EFD"/>
    <w:rsid w:val="00B25F3E"/>
    <w:rsid w:val="00B263F7"/>
    <w:rsid w:val="00B26493"/>
    <w:rsid w:val="00B2677A"/>
    <w:rsid w:val="00B26A3F"/>
    <w:rsid w:val="00B26D68"/>
    <w:rsid w:val="00B26D81"/>
    <w:rsid w:val="00B27124"/>
    <w:rsid w:val="00B27F05"/>
    <w:rsid w:val="00B305C7"/>
    <w:rsid w:val="00B309C4"/>
    <w:rsid w:val="00B30B5C"/>
    <w:rsid w:val="00B30BA3"/>
    <w:rsid w:val="00B30BC1"/>
    <w:rsid w:val="00B30CB5"/>
    <w:rsid w:val="00B30F10"/>
    <w:rsid w:val="00B32202"/>
    <w:rsid w:val="00B326FC"/>
    <w:rsid w:val="00B32A20"/>
    <w:rsid w:val="00B32D6F"/>
    <w:rsid w:val="00B334F0"/>
    <w:rsid w:val="00B33816"/>
    <w:rsid w:val="00B3388D"/>
    <w:rsid w:val="00B34754"/>
    <w:rsid w:val="00B34832"/>
    <w:rsid w:val="00B35445"/>
    <w:rsid w:val="00B35462"/>
    <w:rsid w:val="00B35761"/>
    <w:rsid w:val="00B359DD"/>
    <w:rsid w:val="00B35CCB"/>
    <w:rsid w:val="00B3642F"/>
    <w:rsid w:val="00B36AC8"/>
    <w:rsid w:val="00B4039D"/>
    <w:rsid w:val="00B40851"/>
    <w:rsid w:val="00B40A7F"/>
    <w:rsid w:val="00B40E06"/>
    <w:rsid w:val="00B41127"/>
    <w:rsid w:val="00B41695"/>
    <w:rsid w:val="00B42356"/>
    <w:rsid w:val="00B42BB2"/>
    <w:rsid w:val="00B42D62"/>
    <w:rsid w:val="00B430A0"/>
    <w:rsid w:val="00B430BF"/>
    <w:rsid w:val="00B4312F"/>
    <w:rsid w:val="00B4350C"/>
    <w:rsid w:val="00B43754"/>
    <w:rsid w:val="00B4381F"/>
    <w:rsid w:val="00B4395C"/>
    <w:rsid w:val="00B43DBA"/>
    <w:rsid w:val="00B44652"/>
    <w:rsid w:val="00B447EC"/>
    <w:rsid w:val="00B44CD6"/>
    <w:rsid w:val="00B4575A"/>
    <w:rsid w:val="00B45ACA"/>
    <w:rsid w:val="00B46034"/>
    <w:rsid w:val="00B4609F"/>
    <w:rsid w:val="00B464E7"/>
    <w:rsid w:val="00B46D9B"/>
    <w:rsid w:val="00B46F3A"/>
    <w:rsid w:val="00B47700"/>
    <w:rsid w:val="00B47AAE"/>
    <w:rsid w:val="00B47B7A"/>
    <w:rsid w:val="00B50702"/>
    <w:rsid w:val="00B50D15"/>
    <w:rsid w:val="00B514DA"/>
    <w:rsid w:val="00B51A5F"/>
    <w:rsid w:val="00B52005"/>
    <w:rsid w:val="00B52793"/>
    <w:rsid w:val="00B52D52"/>
    <w:rsid w:val="00B5308F"/>
    <w:rsid w:val="00B533C9"/>
    <w:rsid w:val="00B5346D"/>
    <w:rsid w:val="00B53988"/>
    <w:rsid w:val="00B53A39"/>
    <w:rsid w:val="00B54492"/>
    <w:rsid w:val="00B54B31"/>
    <w:rsid w:val="00B553CF"/>
    <w:rsid w:val="00B5569C"/>
    <w:rsid w:val="00B556BE"/>
    <w:rsid w:val="00B56295"/>
    <w:rsid w:val="00B569CC"/>
    <w:rsid w:val="00B57422"/>
    <w:rsid w:val="00B57448"/>
    <w:rsid w:val="00B57C96"/>
    <w:rsid w:val="00B60168"/>
    <w:rsid w:val="00B6042A"/>
    <w:rsid w:val="00B604C5"/>
    <w:rsid w:val="00B60581"/>
    <w:rsid w:val="00B607B3"/>
    <w:rsid w:val="00B60E9E"/>
    <w:rsid w:val="00B614EF"/>
    <w:rsid w:val="00B61E6A"/>
    <w:rsid w:val="00B62165"/>
    <w:rsid w:val="00B62329"/>
    <w:rsid w:val="00B62503"/>
    <w:rsid w:val="00B62638"/>
    <w:rsid w:val="00B62970"/>
    <w:rsid w:val="00B62E3D"/>
    <w:rsid w:val="00B62F2C"/>
    <w:rsid w:val="00B6344D"/>
    <w:rsid w:val="00B637F6"/>
    <w:rsid w:val="00B63A34"/>
    <w:rsid w:val="00B63D93"/>
    <w:rsid w:val="00B63ED4"/>
    <w:rsid w:val="00B643A8"/>
    <w:rsid w:val="00B648E0"/>
    <w:rsid w:val="00B64B1E"/>
    <w:rsid w:val="00B6531A"/>
    <w:rsid w:val="00B65964"/>
    <w:rsid w:val="00B65C58"/>
    <w:rsid w:val="00B662A6"/>
    <w:rsid w:val="00B6698B"/>
    <w:rsid w:val="00B66C41"/>
    <w:rsid w:val="00B670FD"/>
    <w:rsid w:val="00B67D0E"/>
    <w:rsid w:val="00B701EE"/>
    <w:rsid w:val="00B704C5"/>
    <w:rsid w:val="00B70689"/>
    <w:rsid w:val="00B70801"/>
    <w:rsid w:val="00B708A1"/>
    <w:rsid w:val="00B71042"/>
    <w:rsid w:val="00B71674"/>
    <w:rsid w:val="00B717FE"/>
    <w:rsid w:val="00B71ABB"/>
    <w:rsid w:val="00B725F7"/>
    <w:rsid w:val="00B72F72"/>
    <w:rsid w:val="00B72FC6"/>
    <w:rsid w:val="00B72FEA"/>
    <w:rsid w:val="00B73649"/>
    <w:rsid w:val="00B7423C"/>
    <w:rsid w:val="00B74281"/>
    <w:rsid w:val="00B7466C"/>
    <w:rsid w:val="00B74B2A"/>
    <w:rsid w:val="00B752A1"/>
    <w:rsid w:val="00B756E1"/>
    <w:rsid w:val="00B7711A"/>
    <w:rsid w:val="00B77B59"/>
    <w:rsid w:val="00B77B97"/>
    <w:rsid w:val="00B77D41"/>
    <w:rsid w:val="00B804D2"/>
    <w:rsid w:val="00B80D87"/>
    <w:rsid w:val="00B8168E"/>
    <w:rsid w:val="00B8201D"/>
    <w:rsid w:val="00B82564"/>
    <w:rsid w:val="00B8328F"/>
    <w:rsid w:val="00B83479"/>
    <w:rsid w:val="00B834C7"/>
    <w:rsid w:val="00B835A0"/>
    <w:rsid w:val="00B83A88"/>
    <w:rsid w:val="00B83FB7"/>
    <w:rsid w:val="00B84301"/>
    <w:rsid w:val="00B84D27"/>
    <w:rsid w:val="00B84ECA"/>
    <w:rsid w:val="00B85053"/>
    <w:rsid w:val="00B8517B"/>
    <w:rsid w:val="00B855CC"/>
    <w:rsid w:val="00B856EA"/>
    <w:rsid w:val="00B86AD2"/>
    <w:rsid w:val="00B875F8"/>
    <w:rsid w:val="00B879FB"/>
    <w:rsid w:val="00B90C02"/>
    <w:rsid w:val="00B90E4F"/>
    <w:rsid w:val="00B91123"/>
    <w:rsid w:val="00B91137"/>
    <w:rsid w:val="00B9121D"/>
    <w:rsid w:val="00B9131D"/>
    <w:rsid w:val="00B9147C"/>
    <w:rsid w:val="00B91991"/>
    <w:rsid w:val="00B91DEC"/>
    <w:rsid w:val="00B92967"/>
    <w:rsid w:val="00B92C7A"/>
    <w:rsid w:val="00B92CCA"/>
    <w:rsid w:val="00B92FA8"/>
    <w:rsid w:val="00B9319B"/>
    <w:rsid w:val="00B9328C"/>
    <w:rsid w:val="00B93556"/>
    <w:rsid w:val="00B935EE"/>
    <w:rsid w:val="00B93E80"/>
    <w:rsid w:val="00B93F7A"/>
    <w:rsid w:val="00B94063"/>
    <w:rsid w:val="00B94428"/>
    <w:rsid w:val="00B94642"/>
    <w:rsid w:val="00B9477C"/>
    <w:rsid w:val="00B948A2"/>
    <w:rsid w:val="00B953FC"/>
    <w:rsid w:val="00B95C81"/>
    <w:rsid w:val="00B95CC6"/>
    <w:rsid w:val="00B95D99"/>
    <w:rsid w:val="00B97070"/>
    <w:rsid w:val="00B974A2"/>
    <w:rsid w:val="00B9768B"/>
    <w:rsid w:val="00BA0041"/>
    <w:rsid w:val="00BA0144"/>
    <w:rsid w:val="00BA0E3F"/>
    <w:rsid w:val="00BA0EB9"/>
    <w:rsid w:val="00BA0EFA"/>
    <w:rsid w:val="00BA1504"/>
    <w:rsid w:val="00BA1901"/>
    <w:rsid w:val="00BA1D0A"/>
    <w:rsid w:val="00BA1D3B"/>
    <w:rsid w:val="00BA2937"/>
    <w:rsid w:val="00BA29BE"/>
    <w:rsid w:val="00BA2ABD"/>
    <w:rsid w:val="00BA39CA"/>
    <w:rsid w:val="00BA3A2C"/>
    <w:rsid w:val="00BA3A87"/>
    <w:rsid w:val="00BA3C0A"/>
    <w:rsid w:val="00BA457A"/>
    <w:rsid w:val="00BA46FE"/>
    <w:rsid w:val="00BA4864"/>
    <w:rsid w:val="00BA493E"/>
    <w:rsid w:val="00BA4975"/>
    <w:rsid w:val="00BA52BB"/>
    <w:rsid w:val="00BA5B49"/>
    <w:rsid w:val="00BA6337"/>
    <w:rsid w:val="00BA6765"/>
    <w:rsid w:val="00BA6835"/>
    <w:rsid w:val="00BA6B43"/>
    <w:rsid w:val="00BA6E3F"/>
    <w:rsid w:val="00BB05A7"/>
    <w:rsid w:val="00BB1F5C"/>
    <w:rsid w:val="00BB22DD"/>
    <w:rsid w:val="00BB23CB"/>
    <w:rsid w:val="00BB24CE"/>
    <w:rsid w:val="00BB2A9A"/>
    <w:rsid w:val="00BB2AEB"/>
    <w:rsid w:val="00BB2C3C"/>
    <w:rsid w:val="00BB2D1F"/>
    <w:rsid w:val="00BB3554"/>
    <w:rsid w:val="00BB3A3A"/>
    <w:rsid w:val="00BB3A98"/>
    <w:rsid w:val="00BB3FC6"/>
    <w:rsid w:val="00BB431A"/>
    <w:rsid w:val="00BB46B2"/>
    <w:rsid w:val="00BB4BC9"/>
    <w:rsid w:val="00BB4DB9"/>
    <w:rsid w:val="00BB4ECB"/>
    <w:rsid w:val="00BB58E3"/>
    <w:rsid w:val="00BB5D6A"/>
    <w:rsid w:val="00BB6303"/>
    <w:rsid w:val="00BB64A8"/>
    <w:rsid w:val="00BB6841"/>
    <w:rsid w:val="00BB6AE8"/>
    <w:rsid w:val="00BB6CD3"/>
    <w:rsid w:val="00BB7078"/>
    <w:rsid w:val="00BC0EF1"/>
    <w:rsid w:val="00BC185B"/>
    <w:rsid w:val="00BC1B24"/>
    <w:rsid w:val="00BC1D20"/>
    <w:rsid w:val="00BC212E"/>
    <w:rsid w:val="00BC3348"/>
    <w:rsid w:val="00BC43CD"/>
    <w:rsid w:val="00BC496D"/>
    <w:rsid w:val="00BC4B28"/>
    <w:rsid w:val="00BC4DF2"/>
    <w:rsid w:val="00BC5572"/>
    <w:rsid w:val="00BC569C"/>
    <w:rsid w:val="00BC56DD"/>
    <w:rsid w:val="00BC5F60"/>
    <w:rsid w:val="00BC62DD"/>
    <w:rsid w:val="00BC6737"/>
    <w:rsid w:val="00BC69E1"/>
    <w:rsid w:val="00BC7063"/>
    <w:rsid w:val="00BC77AF"/>
    <w:rsid w:val="00BC7A36"/>
    <w:rsid w:val="00BC7CF7"/>
    <w:rsid w:val="00BD123F"/>
    <w:rsid w:val="00BD14CF"/>
    <w:rsid w:val="00BD15FE"/>
    <w:rsid w:val="00BD20FA"/>
    <w:rsid w:val="00BD27B7"/>
    <w:rsid w:val="00BD348B"/>
    <w:rsid w:val="00BD44D6"/>
    <w:rsid w:val="00BD478A"/>
    <w:rsid w:val="00BD48BF"/>
    <w:rsid w:val="00BD4A4F"/>
    <w:rsid w:val="00BD4C96"/>
    <w:rsid w:val="00BD4F25"/>
    <w:rsid w:val="00BD51C7"/>
    <w:rsid w:val="00BD5233"/>
    <w:rsid w:val="00BD5709"/>
    <w:rsid w:val="00BD5861"/>
    <w:rsid w:val="00BD5A7A"/>
    <w:rsid w:val="00BD5CDC"/>
    <w:rsid w:val="00BD63D3"/>
    <w:rsid w:val="00BD68B4"/>
    <w:rsid w:val="00BD7052"/>
    <w:rsid w:val="00BD71E9"/>
    <w:rsid w:val="00BD73CE"/>
    <w:rsid w:val="00BD757F"/>
    <w:rsid w:val="00BE03B8"/>
    <w:rsid w:val="00BE1594"/>
    <w:rsid w:val="00BE1897"/>
    <w:rsid w:val="00BE18EE"/>
    <w:rsid w:val="00BE18FC"/>
    <w:rsid w:val="00BE261F"/>
    <w:rsid w:val="00BE28B2"/>
    <w:rsid w:val="00BE290B"/>
    <w:rsid w:val="00BE2A22"/>
    <w:rsid w:val="00BE2A49"/>
    <w:rsid w:val="00BE2F24"/>
    <w:rsid w:val="00BE351E"/>
    <w:rsid w:val="00BE3B1A"/>
    <w:rsid w:val="00BE446B"/>
    <w:rsid w:val="00BE468A"/>
    <w:rsid w:val="00BE47B3"/>
    <w:rsid w:val="00BE4DA9"/>
    <w:rsid w:val="00BE4F47"/>
    <w:rsid w:val="00BE51CC"/>
    <w:rsid w:val="00BE52B7"/>
    <w:rsid w:val="00BE532B"/>
    <w:rsid w:val="00BE5402"/>
    <w:rsid w:val="00BE55D4"/>
    <w:rsid w:val="00BE57F8"/>
    <w:rsid w:val="00BE5CC9"/>
    <w:rsid w:val="00BE63AA"/>
    <w:rsid w:val="00BE674C"/>
    <w:rsid w:val="00BE6ABD"/>
    <w:rsid w:val="00BE6AC0"/>
    <w:rsid w:val="00BE7018"/>
    <w:rsid w:val="00BE7252"/>
    <w:rsid w:val="00BE73C0"/>
    <w:rsid w:val="00BE74B7"/>
    <w:rsid w:val="00BE77D1"/>
    <w:rsid w:val="00BF043D"/>
    <w:rsid w:val="00BF10A3"/>
    <w:rsid w:val="00BF110A"/>
    <w:rsid w:val="00BF1332"/>
    <w:rsid w:val="00BF1375"/>
    <w:rsid w:val="00BF1A16"/>
    <w:rsid w:val="00BF1E38"/>
    <w:rsid w:val="00BF20E3"/>
    <w:rsid w:val="00BF2337"/>
    <w:rsid w:val="00BF28E8"/>
    <w:rsid w:val="00BF2B17"/>
    <w:rsid w:val="00BF2D05"/>
    <w:rsid w:val="00BF2D8A"/>
    <w:rsid w:val="00BF36BD"/>
    <w:rsid w:val="00BF3757"/>
    <w:rsid w:val="00BF39A0"/>
    <w:rsid w:val="00BF3FE1"/>
    <w:rsid w:val="00BF4219"/>
    <w:rsid w:val="00BF422F"/>
    <w:rsid w:val="00BF49BE"/>
    <w:rsid w:val="00BF57B3"/>
    <w:rsid w:val="00BF5930"/>
    <w:rsid w:val="00BF604B"/>
    <w:rsid w:val="00BF67A6"/>
    <w:rsid w:val="00BF67E4"/>
    <w:rsid w:val="00BF6A99"/>
    <w:rsid w:val="00BF6B70"/>
    <w:rsid w:val="00BF6BB2"/>
    <w:rsid w:val="00BF762C"/>
    <w:rsid w:val="00BF79A0"/>
    <w:rsid w:val="00BF7BA3"/>
    <w:rsid w:val="00BF7F32"/>
    <w:rsid w:val="00C001B6"/>
    <w:rsid w:val="00C00A91"/>
    <w:rsid w:val="00C010F6"/>
    <w:rsid w:val="00C01C0C"/>
    <w:rsid w:val="00C02371"/>
    <w:rsid w:val="00C023E2"/>
    <w:rsid w:val="00C02B29"/>
    <w:rsid w:val="00C02DD0"/>
    <w:rsid w:val="00C02EF9"/>
    <w:rsid w:val="00C0343A"/>
    <w:rsid w:val="00C0412A"/>
    <w:rsid w:val="00C0429C"/>
    <w:rsid w:val="00C043AF"/>
    <w:rsid w:val="00C045B8"/>
    <w:rsid w:val="00C04A67"/>
    <w:rsid w:val="00C04C4E"/>
    <w:rsid w:val="00C05671"/>
    <w:rsid w:val="00C05BAD"/>
    <w:rsid w:val="00C0611B"/>
    <w:rsid w:val="00C0675C"/>
    <w:rsid w:val="00C06C7A"/>
    <w:rsid w:val="00C07249"/>
    <w:rsid w:val="00C07402"/>
    <w:rsid w:val="00C07768"/>
    <w:rsid w:val="00C077F7"/>
    <w:rsid w:val="00C0782B"/>
    <w:rsid w:val="00C10512"/>
    <w:rsid w:val="00C10D37"/>
    <w:rsid w:val="00C11414"/>
    <w:rsid w:val="00C11700"/>
    <w:rsid w:val="00C11843"/>
    <w:rsid w:val="00C12629"/>
    <w:rsid w:val="00C1270F"/>
    <w:rsid w:val="00C1274B"/>
    <w:rsid w:val="00C12882"/>
    <w:rsid w:val="00C12BC0"/>
    <w:rsid w:val="00C12CA3"/>
    <w:rsid w:val="00C1370F"/>
    <w:rsid w:val="00C1448D"/>
    <w:rsid w:val="00C14F8C"/>
    <w:rsid w:val="00C15128"/>
    <w:rsid w:val="00C157CF"/>
    <w:rsid w:val="00C15F0F"/>
    <w:rsid w:val="00C161BF"/>
    <w:rsid w:val="00C16808"/>
    <w:rsid w:val="00C1753D"/>
    <w:rsid w:val="00C177CE"/>
    <w:rsid w:val="00C20A70"/>
    <w:rsid w:val="00C21759"/>
    <w:rsid w:val="00C2180D"/>
    <w:rsid w:val="00C218B4"/>
    <w:rsid w:val="00C21A7D"/>
    <w:rsid w:val="00C21DF2"/>
    <w:rsid w:val="00C224D7"/>
    <w:rsid w:val="00C225B4"/>
    <w:rsid w:val="00C2294D"/>
    <w:rsid w:val="00C22B82"/>
    <w:rsid w:val="00C22D61"/>
    <w:rsid w:val="00C22DBD"/>
    <w:rsid w:val="00C22ECA"/>
    <w:rsid w:val="00C237CC"/>
    <w:rsid w:val="00C23828"/>
    <w:rsid w:val="00C238A0"/>
    <w:rsid w:val="00C24221"/>
    <w:rsid w:val="00C2425D"/>
    <w:rsid w:val="00C24270"/>
    <w:rsid w:val="00C24333"/>
    <w:rsid w:val="00C24549"/>
    <w:rsid w:val="00C24FD7"/>
    <w:rsid w:val="00C25626"/>
    <w:rsid w:val="00C25666"/>
    <w:rsid w:val="00C25DDB"/>
    <w:rsid w:val="00C25DF5"/>
    <w:rsid w:val="00C27076"/>
    <w:rsid w:val="00C2711B"/>
    <w:rsid w:val="00C27178"/>
    <w:rsid w:val="00C2752D"/>
    <w:rsid w:val="00C27E68"/>
    <w:rsid w:val="00C27EDC"/>
    <w:rsid w:val="00C30353"/>
    <w:rsid w:val="00C3044A"/>
    <w:rsid w:val="00C30494"/>
    <w:rsid w:val="00C3070F"/>
    <w:rsid w:val="00C31263"/>
    <w:rsid w:val="00C315E9"/>
    <w:rsid w:val="00C31806"/>
    <w:rsid w:val="00C31BA9"/>
    <w:rsid w:val="00C324C9"/>
    <w:rsid w:val="00C326A1"/>
    <w:rsid w:val="00C32C0D"/>
    <w:rsid w:val="00C33062"/>
    <w:rsid w:val="00C3316B"/>
    <w:rsid w:val="00C347B9"/>
    <w:rsid w:val="00C356B1"/>
    <w:rsid w:val="00C35F77"/>
    <w:rsid w:val="00C3607F"/>
    <w:rsid w:val="00C369FE"/>
    <w:rsid w:val="00C36AC5"/>
    <w:rsid w:val="00C371C7"/>
    <w:rsid w:val="00C374FB"/>
    <w:rsid w:val="00C37585"/>
    <w:rsid w:val="00C37726"/>
    <w:rsid w:val="00C37898"/>
    <w:rsid w:val="00C37D88"/>
    <w:rsid w:val="00C402F3"/>
    <w:rsid w:val="00C40338"/>
    <w:rsid w:val="00C406EF"/>
    <w:rsid w:val="00C40BE6"/>
    <w:rsid w:val="00C40F58"/>
    <w:rsid w:val="00C412B7"/>
    <w:rsid w:val="00C413CB"/>
    <w:rsid w:val="00C41BC0"/>
    <w:rsid w:val="00C41F93"/>
    <w:rsid w:val="00C41FB6"/>
    <w:rsid w:val="00C421F8"/>
    <w:rsid w:val="00C42BE9"/>
    <w:rsid w:val="00C43539"/>
    <w:rsid w:val="00C43682"/>
    <w:rsid w:val="00C43E63"/>
    <w:rsid w:val="00C43F56"/>
    <w:rsid w:val="00C448A2"/>
    <w:rsid w:val="00C44923"/>
    <w:rsid w:val="00C4595F"/>
    <w:rsid w:val="00C45C8F"/>
    <w:rsid w:val="00C45DAD"/>
    <w:rsid w:val="00C46186"/>
    <w:rsid w:val="00C4651D"/>
    <w:rsid w:val="00C467CD"/>
    <w:rsid w:val="00C4692D"/>
    <w:rsid w:val="00C469B9"/>
    <w:rsid w:val="00C46A73"/>
    <w:rsid w:val="00C470E9"/>
    <w:rsid w:val="00C471C1"/>
    <w:rsid w:val="00C4729C"/>
    <w:rsid w:val="00C47795"/>
    <w:rsid w:val="00C47D42"/>
    <w:rsid w:val="00C50355"/>
    <w:rsid w:val="00C50E1C"/>
    <w:rsid w:val="00C51244"/>
    <w:rsid w:val="00C51888"/>
    <w:rsid w:val="00C519B8"/>
    <w:rsid w:val="00C52A43"/>
    <w:rsid w:val="00C52FB5"/>
    <w:rsid w:val="00C53829"/>
    <w:rsid w:val="00C53E8A"/>
    <w:rsid w:val="00C545B0"/>
    <w:rsid w:val="00C546AC"/>
    <w:rsid w:val="00C54B4E"/>
    <w:rsid w:val="00C5628F"/>
    <w:rsid w:val="00C575C0"/>
    <w:rsid w:val="00C57677"/>
    <w:rsid w:val="00C57804"/>
    <w:rsid w:val="00C579A6"/>
    <w:rsid w:val="00C60775"/>
    <w:rsid w:val="00C60CF0"/>
    <w:rsid w:val="00C60D38"/>
    <w:rsid w:val="00C611B9"/>
    <w:rsid w:val="00C6126A"/>
    <w:rsid w:val="00C613DA"/>
    <w:rsid w:val="00C615BA"/>
    <w:rsid w:val="00C61713"/>
    <w:rsid w:val="00C61807"/>
    <w:rsid w:val="00C619E0"/>
    <w:rsid w:val="00C62009"/>
    <w:rsid w:val="00C62200"/>
    <w:rsid w:val="00C62C2B"/>
    <w:rsid w:val="00C63001"/>
    <w:rsid w:val="00C631D4"/>
    <w:rsid w:val="00C632FF"/>
    <w:rsid w:val="00C637D4"/>
    <w:rsid w:val="00C63EF2"/>
    <w:rsid w:val="00C64230"/>
    <w:rsid w:val="00C643E1"/>
    <w:rsid w:val="00C646DC"/>
    <w:rsid w:val="00C64A4D"/>
    <w:rsid w:val="00C64E8D"/>
    <w:rsid w:val="00C65E28"/>
    <w:rsid w:val="00C670F9"/>
    <w:rsid w:val="00C67295"/>
    <w:rsid w:val="00C673F7"/>
    <w:rsid w:val="00C67A53"/>
    <w:rsid w:val="00C70746"/>
    <w:rsid w:val="00C708AE"/>
    <w:rsid w:val="00C70E97"/>
    <w:rsid w:val="00C71645"/>
    <w:rsid w:val="00C71785"/>
    <w:rsid w:val="00C719BF"/>
    <w:rsid w:val="00C71A3C"/>
    <w:rsid w:val="00C71EFD"/>
    <w:rsid w:val="00C721C7"/>
    <w:rsid w:val="00C72685"/>
    <w:rsid w:val="00C72715"/>
    <w:rsid w:val="00C733BC"/>
    <w:rsid w:val="00C73A6F"/>
    <w:rsid w:val="00C73B74"/>
    <w:rsid w:val="00C73CA7"/>
    <w:rsid w:val="00C74DC9"/>
    <w:rsid w:val="00C74EFB"/>
    <w:rsid w:val="00C74F24"/>
    <w:rsid w:val="00C753DE"/>
    <w:rsid w:val="00C75523"/>
    <w:rsid w:val="00C76304"/>
    <w:rsid w:val="00C7646A"/>
    <w:rsid w:val="00C764F2"/>
    <w:rsid w:val="00C76A07"/>
    <w:rsid w:val="00C76ABB"/>
    <w:rsid w:val="00C76C61"/>
    <w:rsid w:val="00C770E4"/>
    <w:rsid w:val="00C800F2"/>
    <w:rsid w:val="00C80233"/>
    <w:rsid w:val="00C8073A"/>
    <w:rsid w:val="00C80988"/>
    <w:rsid w:val="00C80CFF"/>
    <w:rsid w:val="00C81052"/>
    <w:rsid w:val="00C811AA"/>
    <w:rsid w:val="00C81463"/>
    <w:rsid w:val="00C81B19"/>
    <w:rsid w:val="00C821D1"/>
    <w:rsid w:val="00C82363"/>
    <w:rsid w:val="00C827AB"/>
    <w:rsid w:val="00C82CB4"/>
    <w:rsid w:val="00C83657"/>
    <w:rsid w:val="00C83A73"/>
    <w:rsid w:val="00C83D5C"/>
    <w:rsid w:val="00C8493B"/>
    <w:rsid w:val="00C84B04"/>
    <w:rsid w:val="00C84EC0"/>
    <w:rsid w:val="00C85B05"/>
    <w:rsid w:val="00C864A1"/>
    <w:rsid w:val="00C8694B"/>
    <w:rsid w:val="00C87A45"/>
    <w:rsid w:val="00C87D74"/>
    <w:rsid w:val="00C87D89"/>
    <w:rsid w:val="00C87E87"/>
    <w:rsid w:val="00C90654"/>
    <w:rsid w:val="00C90943"/>
    <w:rsid w:val="00C90AFB"/>
    <w:rsid w:val="00C9124C"/>
    <w:rsid w:val="00C9192C"/>
    <w:rsid w:val="00C91A18"/>
    <w:rsid w:val="00C91A64"/>
    <w:rsid w:val="00C91E7F"/>
    <w:rsid w:val="00C91FDA"/>
    <w:rsid w:val="00C9232A"/>
    <w:rsid w:val="00C92486"/>
    <w:rsid w:val="00C92BD6"/>
    <w:rsid w:val="00C931EF"/>
    <w:rsid w:val="00C93AE6"/>
    <w:rsid w:val="00C93F64"/>
    <w:rsid w:val="00C94D2E"/>
    <w:rsid w:val="00C94DFA"/>
    <w:rsid w:val="00C95071"/>
    <w:rsid w:val="00C954FA"/>
    <w:rsid w:val="00C95987"/>
    <w:rsid w:val="00C959CD"/>
    <w:rsid w:val="00C961E3"/>
    <w:rsid w:val="00C96F6C"/>
    <w:rsid w:val="00C9776E"/>
    <w:rsid w:val="00C977EB"/>
    <w:rsid w:val="00CA01CD"/>
    <w:rsid w:val="00CA052D"/>
    <w:rsid w:val="00CA0753"/>
    <w:rsid w:val="00CA089F"/>
    <w:rsid w:val="00CA0D53"/>
    <w:rsid w:val="00CA0F30"/>
    <w:rsid w:val="00CA1508"/>
    <w:rsid w:val="00CA152A"/>
    <w:rsid w:val="00CA1B6D"/>
    <w:rsid w:val="00CA1CD0"/>
    <w:rsid w:val="00CA1D0C"/>
    <w:rsid w:val="00CA1D52"/>
    <w:rsid w:val="00CA2047"/>
    <w:rsid w:val="00CA2605"/>
    <w:rsid w:val="00CA2864"/>
    <w:rsid w:val="00CA2A0E"/>
    <w:rsid w:val="00CA2D72"/>
    <w:rsid w:val="00CA33CA"/>
    <w:rsid w:val="00CA3A60"/>
    <w:rsid w:val="00CA3BEB"/>
    <w:rsid w:val="00CA3F6E"/>
    <w:rsid w:val="00CA44FE"/>
    <w:rsid w:val="00CA4900"/>
    <w:rsid w:val="00CA4AAB"/>
    <w:rsid w:val="00CA4C8D"/>
    <w:rsid w:val="00CA4CCE"/>
    <w:rsid w:val="00CA4E6D"/>
    <w:rsid w:val="00CA4FBB"/>
    <w:rsid w:val="00CA5156"/>
    <w:rsid w:val="00CA521F"/>
    <w:rsid w:val="00CA5A2F"/>
    <w:rsid w:val="00CA5ED0"/>
    <w:rsid w:val="00CA65EB"/>
    <w:rsid w:val="00CA6AD4"/>
    <w:rsid w:val="00CA708E"/>
    <w:rsid w:val="00CA72C1"/>
    <w:rsid w:val="00CA74C5"/>
    <w:rsid w:val="00CA7BB7"/>
    <w:rsid w:val="00CA7C1E"/>
    <w:rsid w:val="00CA7EE8"/>
    <w:rsid w:val="00CB002A"/>
    <w:rsid w:val="00CB0174"/>
    <w:rsid w:val="00CB0421"/>
    <w:rsid w:val="00CB0438"/>
    <w:rsid w:val="00CB0FCA"/>
    <w:rsid w:val="00CB2138"/>
    <w:rsid w:val="00CB2177"/>
    <w:rsid w:val="00CB2451"/>
    <w:rsid w:val="00CB24AE"/>
    <w:rsid w:val="00CB2A5A"/>
    <w:rsid w:val="00CB2BF5"/>
    <w:rsid w:val="00CB39E2"/>
    <w:rsid w:val="00CB3EE9"/>
    <w:rsid w:val="00CB4C90"/>
    <w:rsid w:val="00CB4CD8"/>
    <w:rsid w:val="00CB4DFB"/>
    <w:rsid w:val="00CB57EF"/>
    <w:rsid w:val="00CB5AEF"/>
    <w:rsid w:val="00CB5C48"/>
    <w:rsid w:val="00CB68E2"/>
    <w:rsid w:val="00CB69C5"/>
    <w:rsid w:val="00CB7A17"/>
    <w:rsid w:val="00CC047C"/>
    <w:rsid w:val="00CC06C4"/>
    <w:rsid w:val="00CC0BC6"/>
    <w:rsid w:val="00CC0DDC"/>
    <w:rsid w:val="00CC0E8F"/>
    <w:rsid w:val="00CC1159"/>
    <w:rsid w:val="00CC1BEC"/>
    <w:rsid w:val="00CC21D2"/>
    <w:rsid w:val="00CC2788"/>
    <w:rsid w:val="00CC2807"/>
    <w:rsid w:val="00CC2B5B"/>
    <w:rsid w:val="00CC2F81"/>
    <w:rsid w:val="00CC30DA"/>
    <w:rsid w:val="00CC35FE"/>
    <w:rsid w:val="00CC371F"/>
    <w:rsid w:val="00CC406E"/>
    <w:rsid w:val="00CC41DD"/>
    <w:rsid w:val="00CC430C"/>
    <w:rsid w:val="00CC4ACF"/>
    <w:rsid w:val="00CC4B6E"/>
    <w:rsid w:val="00CC4C51"/>
    <w:rsid w:val="00CC4E5E"/>
    <w:rsid w:val="00CC4F28"/>
    <w:rsid w:val="00CC53E3"/>
    <w:rsid w:val="00CC5ADE"/>
    <w:rsid w:val="00CC5FE0"/>
    <w:rsid w:val="00CC65E8"/>
    <w:rsid w:val="00CC6822"/>
    <w:rsid w:val="00CC6A86"/>
    <w:rsid w:val="00CC71AC"/>
    <w:rsid w:val="00CC75F8"/>
    <w:rsid w:val="00CC782C"/>
    <w:rsid w:val="00CC7FC2"/>
    <w:rsid w:val="00CD04AD"/>
    <w:rsid w:val="00CD0514"/>
    <w:rsid w:val="00CD09C6"/>
    <w:rsid w:val="00CD0FD8"/>
    <w:rsid w:val="00CD15A4"/>
    <w:rsid w:val="00CD206C"/>
    <w:rsid w:val="00CD2084"/>
    <w:rsid w:val="00CD2711"/>
    <w:rsid w:val="00CD299C"/>
    <w:rsid w:val="00CD2CEA"/>
    <w:rsid w:val="00CD34E1"/>
    <w:rsid w:val="00CD3ACD"/>
    <w:rsid w:val="00CD4950"/>
    <w:rsid w:val="00CD4AE4"/>
    <w:rsid w:val="00CD4CD8"/>
    <w:rsid w:val="00CD4E8A"/>
    <w:rsid w:val="00CD52B8"/>
    <w:rsid w:val="00CD579C"/>
    <w:rsid w:val="00CD57F7"/>
    <w:rsid w:val="00CD592C"/>
    <w:rsid w:val="00CD6665"/>
    <w:rsid w:val="00CD6D77"/>
    <w:rsid w:val="00CD6F25"/>
    <w:rsid w:val="00CD7251"/>
    <w:rsid w:val="00CD7456"/>
    <w:rsid w:val="00CD7588"/>
    <w:rsid w:val="00CD777F"/>
    <w:rsid w:val="00CE0CC0"/>
    <w:rsid w:val="00CE0E47"/>
    <w:rsid w:val="00CE1DD9"/>
    <w:rsid w:val="00CE2061"/>
    <w:rsid w:val="00CE2861"/>
    <w:rsid w:val="00CE2ADC"/>
    <w:rsid w:val="00CE2B6D"/>
    <w:rsid w:val="00CE2BE6"/>
    <w:rsid w:val="00CE2EFA"/>
    <w:rsid w:val="00CE2F50"/>
    <w:rsid w:val="00CE2FD3"/>
    <w:rsid w:val="00CE3454"/>
    <w:rsid w:val="00CE3A1D"/>
    <w:rsid w:val="00CE3AEB"/>
    <w:rsid w:val="00CE469A"/>
    <w:rsid w:val="00CE47D6"/>
    <w:rsid w:val="00CE49CB"/>
    <w:rsid w:val="00CE4A30"/>
    <w:rsid w:val="00CE4DA9"/>
    <w:rsid w:val="00CE4F0A"/>
    <w:rsid w:val="00CE4F59"/>
    <w:rsid w:val="00CE5178"/>
    <w:rsid w:val="00CE5350"/>
    <w:rsid w:val="00CE5361"/>
    <w:rsid w:val="00CE6DA9"/>
    <w:rsid w:val="00CE6FDB"/>
    <w:rsid w:val="00CE72D6"/>
    <w:rsid w:val="00CE7716"/>
    <w:rsid w:val="00CE775D"/>
    <w:rsid w:val="00CE781A"/>
    <w:rsid w:val="00CE7A38"/>
    <w:rsid w:val="00CE7B5B"/>
    <w:rsid w:val="00CE7C15"/>
    <w:rsid w:val="00CE7CE8"/>
    <w:rsid w:val="00CE7E2C"/>
    <w:rsid w:val="00CE7F07"/>
    <w:rsid w:val="00CF0123"/>
    <w:rsid w:val="00CF09E2"/>
    <w:rsid w:val="00CF0BC6"/>
    <w:rsid w:val="00CF1526"/>
    <w:rsid w:val="00CF165B"/>
    <w:rsid w:val="00CF19F5"/>
    <w:rsid w:val="00CF2649"/>
    <w:rsid w:val="00CF26CF"/>
    <w:rsid w:val="00CF29F9"/>
    <w:rsid w:val="00CF2B9B"/>
    <w:rsid w:val="00CF2C1F"/>
    <w:rsid w:val="00CF2F13"/>
    <w:rsid w:val="00CF3098"/>
    <w:rsid w:val="00CF36BE"/>
    <w:rsid w:val="00CF3907"/>
    <w:rsid w:val="00CF3E46"/>
    <w:rsid w:val="00CF3F2D"/>
    <w:rsid w:val="00CF469C"/>
    <w:rsid w:val="00CF531A"/>
    <w:rsid w:val="00CF53E6"/>
    <w:rsid w:val="00CF584C"/>
    <w:rsid w:val="00CF5DDB"/>
    <w:rsid w:val="00CF6372"/>
    <w:rsid w:val="00CF648B"/>
    <w:rsid w:val="00CF6A57"/>
    <w:rsid w:val="00CF6D4D"/>
    <w:rsid w:val="00CF73E6"/>
    <w:rsid w:val="00CF7B6B"/>
    <w:rsid w:val="00CF7BDB"/>
    <w:rsid w:val="00CF7CF1"/>
    <w:rsid w:val="00D0088A"/>
    <w:rsid w:val="00D00BC4"/>
    <w:rsid w:val="00D00CAA"/>
    <w:rsid w:val="00D00F64"/>
    <w:rsid w:val="00D011CA"/>
    <w:rsid w:val="00D01278"/>
    <w:rsid w:val="00D01CA4"/>
    <w:rsid w:val="00D020F9"/>
    <w:rsid w:val="00D02566"/>
    <w:rsid w:val="00D02896"/>
    <w:rsid w:val="00D02B33"/>
    <w:rsid w:val="00D02E00"/>
    <w:rsid w:val="00D02E81"/>
    <w:rsid w:val="00D03303"/>
    <w:rsid w:val="00D046D1"/>
    <w:rsid w:val="00D04CB9"/>
    <w:rsid w:val="00D04ED2"/>
    <w:rsid w:val="00D04F6F"/>
    <w:rsid w:val="00D0502F"/>
    <w:rsid w:val="00D05596"/>
    <w:rsid w:val="00D05682"/>
    <w:rsid w:val="00D05BBB"/>
    <w:rsid w:val="00D05FBC"/>
    <w:rsid w:val="00D060CC"/>
    <w:rsid w:val="00D06346"/>
    <w:rsid w:val="00D066B3"/>
    <w:rsid w:val="00D067DA"/>
    <w:rsid w:val="00D06842"/>
    <w:rsid w:val="00D06C7E"/>
    <w:rsid w:val="00D06FD5"/>
    <w:rsid w:val="00D07066"/>
    <w:rsid w:val="00D075AA"/>
    <w:rsid w:val="00D078C8"/>
    <w:rsid w:val="00D07C83"/>
    <w:rsid w:val="00D07F89"/>
    <w:rsid w:val="00D101CB"/>
    <w:rsid w:val="00D101E9"/>
    <w:rsid w:val="00D1023E"/>
    <w:rsid w:val="00D102BD"/>
    <w:rsid w:val="00D10EF7"/>
    <w:rsid w:val="00D10F89"/>
    <w:rsid w:val="00D1133E"/>
    <w:rsid w:val="00D1163F"/>
    <w:rsid w:val="00D12299"/>
    <w:rsid w:val="00D12C73"/>
    <w:rsid w:val="00D12F74"/>
    <w:rsid w:val="00D136E5"/>
    <w:rsid w:val="00D1401B"/>
    <w:rsid w:val="00D140C7"/>
    <w:rsid w:val="00D14487"/>
    <w:rsid w:val="00D1462F"/>
    <w:rsid w:val="00D147A6"/>
    <w:rsid w:val="00D14D21"/>
    <w:rsid w:val="00D14E27"/>
    <w:rsid w:val="00D150B7"/>
    <w:rsid w:val="00D150B8"/>
    <w:rsid w:val="00D1524C"/>
    <w:rsid w:val="00D15EE4"/>
    <w:rsid w:val="00D1626E"/>
    <w:rsid w:val="00D16424"/>
    <w:rsid w:val="00D164CA"/>
    <w:rsid w:val="00D166D1"/>
    <w:rsid w:val="00D16ECA"/>
    <w:rsid w:val="00D16F9F"/>
    <w:rsid w:val="00D177CC"/>
    <w:rsid w:val="00D17ADB"/>
    <w:rsid w:val="00D17DCE"/>
    <w:rsid w:val="00D20198"/>
    <w:rsid w:val="00D2095D"/>
    <w:rsid w:val="00D20C31"/>
    <w:rsid w:val="00D21041"/>
    <w:rsid w:val="00D21E3D"/>
    <w:rsid w:val="00D221AD"/>
    <w:rsid w:val="00D22499"/>
    <w:rsid w:val="00D2268C"/>
    <w:rsid w:val="00D22767"/>
    <w:rsid w:val="00D228E3"/>
    <w:rsid w:val="00D22B81"/>
    <w:rsid w:val="00D233E9"/>
    <w:rsid w:val="00D248CE"/>
    <w:rsid w:val="00D2516F"/>
    <w:rsid w:val="00D25280"/>
    <w:rsid w:val="00D258B7"/>
    <w:rsid w:val="00D26327"/>
    <w:rsid w:val="00D26340"/>
    <w:rsid w:val="00D26911"/>
    <w:rsid w:val="00D27540"/>
    <w:rsid w:val="00D275AF"/>
    <w:rsid w:val="00D27996"/>
    <w:rsid w:val="00D27DF4"/>
    <w:rsid w:val="00D27FEA"/>
    <w:rsid w:val="00D30457"/>
    <w:rsid w:val="00D30AAE"/>
    <w:rsid w:val="00D318B7"/>
    <w:rsid w:val="00D31C30"/>
    <w:rsid w:val="00D31E4E"/>
    <w:rsid w:val="00D32139"/>
    <w:rsid w:val="00D324AD"/>
    <w:rsid w:val="00D32654"/>
    <w:rsid w:val="00D32C49"/>
    <w:rsid w:val="00D32D21"/>
    <w:rsid w:val="00D32F4D"/>
    <w:rsid w:val="00D337D5"/>
    <w:rsid w:val="00D3388C"/>
    <w:rsid w:val="00D3405A"/>
    <w:rsid w:val="00D342EE"/>
    <w:rsid w:val="00D34D0F"/>
    <w:rsid w:val="00D34F1F"/>
    <w:rsid w:val="00D34FED"/>
    <w:rsid w:val="00D350A9"/>
    <w:rsid w:val="00D35425"/>
    <w:rsid w:val="00D35804"/>
    <w:rsid w:val="00D35DFE"/>
    <w:rsid w:val="00D35E02"/>
    <w:rsid w:val="00D35FEA"/>
    <w:rsid w:val="00D366E9"/>
    <w:rsid w:val="00D369EE"/>
    <w:rsid w:val="00D36A0C"/>
    <w:rsid w:val="00D37271"/>
    <w:rsid w:val="00D37272"/>
    <w:rsid w:val="00D373E0"/>
    <w:rsid w:val="00D375C4"/>
    <w:rsid w:val="00D37EE0"/>
    <w:rsid w:val="00D37EF9"/>
    <w:rsid w:val="00D405E4"/>
    <w:rsid w:val="00D40AF2"/>
    <w:rsid w:val="00D40CB8"/>
    <w:rsid w:val="00D4105A"/>
    <w:rsid w:val="00D410B1"/>
    <w:rsid w:val="00D41D51"/>
    <w:rsid w:val="00D41E1E"/>
    <w:rsid w:val="00D41F08"/>
    <w:rsid w:val="00D41FF3"/>
    <w:rsid w:val="00D42866"/>
    <w:rsid w:val="00D4301A"/>
    <w:rsid w:val="00D431C4"/>
    <w:rsid w:val="00D4328C"/>
    <w:rsid w:val="00D43579"/>
    <w:rsid w:val="00D44E77"/>
    <w:rsid w:val="00D453D1"/>
    <w:rsid w:val="00D456C5"/>
    <w:rsid w:val="00D45B6E"/>
    <w:rsid w:val="00D46714"/>
    <w:rsid w:val="00D46B5E"/>
    <w:rsid w:val="00D46C73"/>
    <w:rsid w:val="00D47379"/>
    <w:rsid w:val="00D474C8"/>
    <w:rsid w:val="00D477AB"/>
    <w:rsid w:val="00D479B6"/>
    <w:rsid w:val="00D47E77"/>
    <w:rsid w:val="00D47F7E"/>
    <w:rsid w:val="00D50C57"/>
    <w:rsid w:val="00D5147C"/>
    <w:rsid w:val="00D51651"/>
    <w:rsid w:val="00D51852"/>
    <w:rsid w:val="00D519AA"/>
    <w:rsid w:val="00D51A5D"/>
    <w:rsid w:val="00D51F9A"/>
    <w:rsid w:val="00D52BF6"/>
    <w:rsid w:val="00D52C80"/>
    <w:rsid w:val="00D5306A"/>
    <w:rsid w:val="00D53D3B"/>
    <w:rsid w:val="00D5449B"/>
    <w:rsid w:val="00D5466A"/>
    <w:rsid w:val="00D54ECA"/>
    <w:rsid w:val="00D55247"/>
    <w:rsid w:val="00D554B3"/>
    <w:rsid w:val="00D55E7B"/>
    <w:rsid w:val="00D56A4C"/>
    <w:rsid w:val="00D56FA8"/>
    <w:rsid w:val="00D5712D"/>
    <w:rsid w:val="00D5796D"/>
    <w:rsid w:val="00D57D66"/>
    <w:rsid w:val="00D6070B"/>
    <w:rsid w:val="00D60990"/>
    <w:rsid w:val="00D6099E"/>
    <w:rsid w:val="00D60FD8"/>
    <w:rsid w:val="00D611CC"/>
    <w:rsid w:val="00D61ADC"/>
    <w:rsid w:val="00D62033"/>
    <w:rsid w:val="00D6228B"/>
    <w:rsid w:val="00D626EA"/>
    <w:rsid w:val="00D62B19"/>
    <w:rsid w:val="00D62D70"/>
    <w:rsid w:val="00D6319F"/>
    <w:rsid w:val="00D634FA"/>
    <w:rsid w:val="00D63688"/>
    <w:rsid w:val="00D6394D"/>
    <w:rsid w:val="00D63D7A"/>
    <w:rsid w:val="00D64075"/>
    <w:rsid w:val="00D64482"/>
    <w:rsid w:val="00D644EB"/>
    <w:rsid w:val="00D6451C"/>
    <w:rsid w:val="00D646C5"/>
    <w:rsid w:val="00D647B0"/>
    <w:rsid w:val="00D65153"/>
    <w:rsid w:val="00D65F50"/>
    <w:rsid w:val="00D6624C"/>
    <w:rsid w:val="00D664F3"/>
    <w:rsid w:val="00D6751A"/>
    <w:rsid w:val="00D7029B"/>
    <w:rsid w:val="00D70301"/>
    <w:rsid w:val="00D705EC"/>
    <w:rsid w:val="00D711FE"/>
    <w:rsid w:val="00D71277"/>
    <w:rsid w:val="00D7184B"/>
    <w:rsid w:val="00D722EC"/>
    <w:rsid w:val="00D72517"/>
    <w:rsid w:val="00D728C6"/>
    <w:rsid w:val="00D7293C"/>
    <w:rsid w:val="00D72C12"/>
    <w:rsid w:val="00D72FC2"/>
    <w:rsid w:val="00D7300A"/>
    <w:rsid w:val="00D7328F"/>
    <w:rsid w:val="00D733F5"/>
    <w:rsid w:val="00D73C54"/>
    <w:rsid w:val="00D73FAC"/>
    <w:rsid w:val="00D740A6"/>
    <w:rsid w:val="00D743E3"/>
    <w:rsid w:val="00D745F7"/>
    <w:rsid w:val="00D74731"/>
    <w:rsid w:val="00D7473E"/>
    <w:rsid w:val="00D74E8C"/>
    <w:rsid w:val="00D74ECE"/>
    <w:rsid w:val="00D7556C"/>
    <w:rsid w:val="00D75689"/>
    <w:rsid w:val="00D756C0"/>
    <w:rsid w:val="00D7572C"/>
    <w:rsid w:val="00D75F82"/>
    <w:rsid w:val="00D762CF"/>
    <w:rsid w:val="00D7669F"/>
    <w:rsid w:val="00D76D71"/>
    <w:rsid w:val="00D76E2E"/>
    <w:rsid w:val="00D77198"/>
    <w:rsid w:val="00D77351"/>
    <w:rsid w:val="00D77482"/>
    <w:rsid w:val="00D77A77"/>
    <w:rsid w:val="00D802DA"/>
    <w:rsid w:val="00D807DE"/>
    <w:rsid w:val="00D8160D"/>
    <w:rsid w:val="00D819E9"/>
    <w:rsid w:val="00D827D5"/>
    <w:rsid w:val="00D83233"/>
    <w:rsid w:val="00D8356B"/>
    <w:rsid w:val="00D83973"/>
    <w:rsid w:val="00D8397A"/>
    <w:rsid w:val="00D84058"/>
    <w:rsid w:val="00D8415F"/>
    <w:rsid w:val="00D848FA"/>
    <w:rsid w:val="00D8493E"/>
    <w:rsid w:val="00D84EC2"/>
    <w:rsid w:val="00D850C7"/>
    <w:rsid w:val="00D8583F"/>
    <w:rsid w:val="00D85BA4"/>
    <w:rsid w:val="00D85D90"/>
    <w:rsid w:val="00D85DB4"/>
    <w:rsid w:val="00D8603B"/>
    <w:rsid w:val="00D86653"/>
    <w:rsid w:val="00D8666C"/>
    <w:rsid w:val="00D86AB7"/>
    <w:rsid w:val="00D86E46"/>
    <w:rsid w:val="00D870CE"/>
    <w:rsid w:val="00D8740C"/>
    <w:rsid w:val="00D904AE"/>
    <w:rsid w:val="00D91329"/>
    <w:rsid w:val="00D91C72"/>
    <w:rsid w:val="00D91DB5"/>
    <w:rsid w:val="00D91F04"/>
    <w:rsid w:val="00D92087"/>
    <w:rsid w:val="00D922FF"/>
    <w:rsid w:val="00D9294D"/>
    <w:rsid w:val="00D92B75"/>
    <w:rsid w:val="00D930DD"/>
    <w:rsid w:val="00D939EC"/>
    <w:rsid w:val="00D93C9A"/>
    <w:rsid w:val="00D9407B"/>
    <w:rsid w:val="00D94798"/>
    <w:rsid w:val="00D94846"/>
    <w:rsid w:val="00D949C3"/>
    <w:rsid w:val="00D94CFE"/>
    <w:rsid w:val="00D95512"/>
    <w:rsid w:val="00D95681"/>
    <w:rsid w:val="00D9593E"/>
    <w:rsid w:val="00D95DAA"/>
    <w:rsid w:val="00D95FBD"/>
    <w:rsid w:val="00D961A9"/>
    <w:rsid w:val="00D96506"/>
    <w:rsid w:val="00D96620"/>
    <w:rsid w:val="00D972EC"/>
    <w:rsid w:val="00D973C9"/>
    <w:rsid w:val="00D97615"/>
    <w:rsid w:val="00D97788"/>
    <w:rsid w:val="00D978C2"/>
    <w:rsid w:val="00D97B34"/>
    <w:rsid w:val="00D97BD5"/>
    <w:rsid w:val="00D97D13"/>
    <w:rsid w:val="00DA01E8"/>
    <w:rsid w:val="00DA0537"/>
    <w:rsid w:val="00DA0FD5"/>
    <w:rsid w:val="00DA1022"/>
    <w:rsid w:val="00DA13D6"/>
    <w:rsid w:val="00DA1449"/>
    <w:rsid w:val="00DA231B"/>
    <w:rsid w:val="00DA32B4"/>
    <w:rsid w:val="00DA35B7"/>
    <w:rsid w:val="00DA37CD"/>
    <w:rsid w:val="00DA3A3B"/>
    <w:rsid w:val="00DA4261"/>
    <w:rsid w:val="00DA502D"/>
    <w:rsid w:val="00DA51EF"/>
    <w:rsid w:val="00DA53EA"/>
    <w:rsid w:val="00DA5433"/>
    <w:rsid w:val="00DA5555"/>
    <w:rsid w:val="00DA579B"/>
    <w:rsid w:val="00DA5C79"/>
    <w:rsid w:val="00DA5C9B"/>
    <w:rsid w:val="00DA665A"/>
    <w:rsid w:val="00DA670E"/>
    <w:rsid w:val="00DA67A6"/>
    <w:rsid w:val="00DA6CC4"/>
    <w:rsid w:val="00DA75EB"/>
    <w:rsid w:val="00DA777A"/>
    <w:rsid w:val="00DA7CBB"/>
    <w:rsid w:val="00DB0CE8"/>
    <w:rsid w:val="00DB1463"/>
    <w:rsid w:val="00DB14A3"/>
    <w:rsid w:val="00DB15CD"/>
    <w:rsid w:val="00DB1671"/>
    <w:rsid w:val="00DB1FF6"/>
    <w:rsid w:val="00DB28D0"/>
    <w:rsid w:val="00DB2B97"/>
    <w:rsid w:val="00DB2CF3"/>
    <w:rsid w:val="00DB3170"/>
    <w:rsid w:val="00DB3339"/>
    <w:rsid w:val="00DB3497"/>
    <w:rsid w:val="00DB3944"/>
    <w:rsid w:val="00DB3FBA"/>
    <w:rsid w:val="00DB407A"/>
    <w:rsid w:val="00DB40A0"/>
    <w:rsid w:val="00DB4414"/>
    <w:rsid w:val="00DB447A"/>
    <w:rsid w:val="00DB4CA2"/>
    <w:rsid w:val="00DB4E2A"/>
    <w:rsid w:val="00DB4F17"/>
    <w:rsid w:val="00DB57D1"/>
    <w:rsid w:val="00DB67AC"/>
    <w:rsid w:val="00DB6BD9"/>
    <w:rsid w:val="00DB6D1E"/>
    <w:rsid w:val="00DB6E35"/>
    <w:rsid w:val="00DB6F1C"/>
    <w:rsid w:val="00DB7231"/>
    <w:rsid w:val="00DB743F"/>
    <w:rsid w:val="00DC0026"/>
    <w:rsid w:val="00DC0151"/>
    <w:rsid w:val="00DC0378"/>
    <w:rsid w:val="00DC05F3"/>
    <w:rsid w:val="00DC0771"/>
    <w:rsid w:val="00DC0904"/>
    <w:rsid w:val="00DC0917"/>
    <w:rsid w:val="00DC1285"/>
    <w:rsid w:val="00DC13D7"/>
    <w:rsid w:val="00DC1842"/>
    <w:rsid w:val="00DC20D6"/>
    <w:rsid w:val="00DC2238"/>
    <w:rsid w:val="00DC257A"/>
    <w:rsid w:val="00DC287F"/>
    <w:rsid w:val="00DC2889"/>
    <w:rsid w:val="00DC2A1B"/>
    <w:rsid w:val="00DC2BFD"/>
    <w:rsid w:val="00DC330E"/>
    <w:rsid w:val="00DC3918"/>
    <w:rsid w:val="00DC396C"/>
    <w:rsid w:val="00DC3A4C"/>
    <w:rsid w:val="00DC3A55"/>
    <w:rsid w:val="00DC4167"/>
    <w:rsid w:val="00DC435E"/>
    <w:rsid w:val="00DC4970"/>
    <w:rsid w:val="00DC4997"/>
    <w:rsid w:val="00DC54F5"/>
    <w:rsid w:val="00DC557D"/>
    <w:rsid w:val="00DC5735"/>
    <w:rsid w:val="00DC586F"/>
    <w:rsid w:val="00DC5E18"/>
    <w:rsid w:val="00DC646C"/>
    <w:rsid w:val="00DC6623"/>
    <w:rsid w:val="00DC7E13"/>
    <w:rsid w:val="00DD011E"/>
    <w:rsid w:val="00DD0356"/>
    <w:rsid w:val="00DD05EF"/>
    <w:rsid w:val="00DD0809"/>
    <w:rsid w:val="00DD09B3"/>
    <w:rsid w:val="00DD0D77"/>
    <w:rsid w:val="00DD1223"/>
    <w:rsid w:val="00DD12CA"/>
    <w:rsid w:val="00DD152C"/>
    <w:rsid w:val="00DD191B"/>
    <w:rsid w:val="00DD1D3B"/>
    <w:rsid w:val="00DD1E76"/>
    <w:rsid w:val="00DD251E"/>
    <w:rsid w:val="00DD2761"/>
    <w:rsid w:val="00DD2C5B"/>
    <w:rsid w:val="00DD2C74"/>
    <w:rsid w:val="00DD30B9"/>
    <w:rsid w:val="00DD35AC"/>
    <w:rsid w:val="00DD3689"/>
    <w:rsid w:val="00DD43D1"/>
    <w:rsid w:val="00DD449F"/>
    <w:rsid w:val="00DD48E4"/>
    <w:rsid w:val="00DD48F2"/>
    <w:rsid w:val="00DD4A27"/>
    <w:rsid w:val="00DD50D7"/>
    <w:rsid w:val="00DD5246"/>
    <w:rsid w:val="00DD5344"/>
    <w:rsid w:val="00DD53FB"/>
    <w:rsid w:val="00DD585B"/>
    <w:rsid w:val="00DD58C2"/>
    <w:rsid w:val="00DD5C7A"/>
    <w:rsid w:val="00DD69DE"/>
    <w:rsid w:val="00DD7095"/>
    <w:rsid w:val="00DD733E"/>
    <w:rsid w:val="00DD7BA7"/>
    <w:rsid w:val="00DE0361"/>
    <w:rsid w:val="00DE0411"/>
    <w:rsid w:val="00DE0453"/>
    <w:rsid w:val="00DE0B92"/>
    <w:rsid w:val="00DE0BC4"/>
    <w:rsid w:val="00DE13EF"/>
    <w:rsid w:val="00DE1CCC"/>
    <w:rsid w:val="00DE2273"/>
    <w:rsid w:val="00DE241D"/>
    <w:rsid w:val="00DE247D"/>
    <w:rsid w:val="00DE2C69"/>
    <w:rsid w:val="00DE37BC"/>
    <w:rsid w:val="00DE3BEB"/>
    <w:rsid w:val="00DE3D78"/>
    <w:rsid w:val="00DE4201"/>
    <w:rsid w:val="00DE4A2F"/>
    <w:rsid w:val="00DE4F79"/>
    <w:rsid w:val="00DE55D9"/>
    <w:rsid w:val="00DE5E12"/>
    <w:rsid w:val="00DE6264"/>
    <w:rsid w:val="00DE6F08"/>
    <w:rsid w:val="00DE7085"/>
    <w:rsid w:val="00DE74A5"/>
    <w:rsid w:val="00DE7875"/>
    <w:rsid w:val="00DE7BDC"/>
    <w:rsid w:val="00DF002E"/>
    <w:rsid w:val="00DF022F"/>
    <w:rsid w:val="00DF033A"/>
    <w:rsid w:val="00DF095D"/>
    <w:rsid w:val="00DF0E0B"/>
    <w:rsid w:val="00DF1049"/>
    <w:rsid w:val="00DF196D"/>
    <w:rsid w:val="00DF2782"/>
    <w:rsid w:val="00DF2F8F"/>
    <w:rsid w:val="00DF2FA5"/>
    <w:rsid w:val="00DF3418"/>
    <w:rsid w:val="00DF34DF"/>
    <w:rsid w:val="00DF3792"/>
    <w:rsid w:val="00DF3934"/>
    <w:rsid w:val="00DF3BEE"/>
    <w:rsid w:val="00DF3CA2"/>
    <w:rsid w:val="00DF412F"/>
    <w:rsid w:val="00DF4139"/>
    <w:rsid w:val="00DF4977"/>
    <w:rsid w:val="00DF4ADF"/>
    <w:rsid w:val="00DF5A9A"/>
    <w:rsid w:val="00DF608C"/>
    <w:rsid w:val="00DF6311"/>
    <w:rsid w:val="00DF64A0"/>
    <w:rsid w:val="00DF64A8"/>
    <w:rsid w:val="00DF654C"/>
    <w:rsid w:val="00DF6582"/>
    <w:rsid w:val="00DF6E6A"/>
    <w:rsid w:val="00DF7132"/>
    <w:rsid w:val="00DF727E"/>
    <w:rsid w:val="00DF7509"/>
    <w:rsid w:val="00DF77B7"/>
    <w:rsid w:val="00DF7842"/>
    <w:rsid w:val="00E0041A"/>
    <w:rsid w:val="00E006C1"/>
    <w:rsid w:val="00E006D2"/>
    <w:rsid w:val="00E01035"/>
    <w:rsid w:val="00E01629"/>
    <w:rsid w:val="00E01789"/>
    <w:rsid w:val="00E01D04"/>
    <w:rsid w:val="00E022A3"/>
    <w:rsid w:val="00E022D5"/>
    <w:rsid w:val="00E02AB1"/>
    <w:rsid w:val="00E02B2A"/>
    <w:rsid w:val="00E030A5"/>
    <w:rsid w:val="00E0317E"/>
    <w:rsid w:val="00E0373F"/>
    <w:rsid w:val="00E03849"/>
    <w:rsid w:val="00E03943"/>
    <w:rsid w:val="00E03B92"/>
    <w:rsid w:val="00E03BD3"/>
    <w:rsid w:val="00E03BE2"/>
    <w:rsid w:val="00E03FF9"/>
    <w:rsid w:val="00E0449A"/>
    <w:rsid w:val="00E05637"/>
    <w:rsid w:val="00E05A6E"/>
    <w:rsid w:val="00E0634C"/>
    <w:rsid w:val="00E06DDF"/>
    <w:rsid w:val="00E07A8C"/>
    <w:rsid w:val="00E07C96"/>
    <w:rsid w:val="00E10134"/>
    <w:rsid w:val="00E102F0"/>
    <w:rsid w:val="00E1041D"/>
    <w:rsid w:val="00E10631"/>
    <w:rsid w:val="00E10738"/>
    <w:rsid w:val="00E10B99"/>
    <w:rsid w:val="00E10F61"/>
    <w:rsid w:val="00E1150F"/>
    <w:rsid w:val="00E116C5"/>
    <w:rsid w:val="00E11A4E"/>
    <w:rsid w:val="00E11DE2"/>
    <w:rsid w:val="00E121AA"/>
    <w:rsid w:val="00E12397"/>
    <w:rsid w:val="00E125A5"/>
    <w:rsid w:val="00E127C2"/>
    <w:rsid w:val="00E12894"/>
    <w:rsid w:val="00E131D6"/>
    <w:rsid w:val="00E134CD"/>
    <w:rsid w:val="00E13F3E"/>
    <w:rsid w:val="00E143E2"/>
    <w:rsid w:val="00E145DF"/>
    <w:rsid w:val="00E150E2"/>
    <w:rsid w:val="00E15378"/>
    <w:rsid w:val="00E16B30"/>
    <w:rsid w:val="00E170A0"/>
    <w:rsid w:val="00E17114"/>
    <w:rsid w:val="00E1744C"/>
    <w:rsid w:val="00E1795A"/>
    <w:rsid w:val="00E17C5E"/>
    <w:rsid w:val="00E2005F"/>
    <w:rsid w:val="00E2031D"/>
    <w:rsid w:val="00E20766"/>
    <w:rsid w:val="00E20869"/>
    <w:rsid w:val="00E20F0A"/>
    <w:rsid w:val="00E20FE6"/>
    <w:rsid w:val="00E216A0"/>
    <w:rsid w:val="00E21986"/>
    <w:rsid w:val="00E21E14"/>
    <w:rsid w:val="00E231A0"/>
    <w:rsid w:val="00E23210"/>
    <w:rsid w:val="00E238B5"/>
    <w:rsid w:val="00E23E13"/>
    <w:rsid w:val="00E2452B"/>
    <w:rsid w:val="00E24593"/>
    <w:rsid w:val="00E245B5"/>
    <w:rsid w:val="00E24D1E"/>
    <w:rsid w:val="00E25B36"/>
    <w:rsid w:val="00E26AF4"/>
    <w:rsid w:val="00E27138"/>
    <w:rsid w:val="00E27259"/>
    <w:rsid w:val="00E3051A"/>
    <w:rsid w:val="00E30616"/>
    <w:rsid w:val="00E307B9"/>
    <w:rsid w:val="00E30CB8"/>
    <w:rsid w:val="00E3105A"/>
    <w:rsid w:val="00E3116F"/>
    <w:rsid w:val="00E312B0"/>
    <w:rsid w:val="00E3156A"/>
    <w:rsid w:val="00E31A1B"/>
    <w:rsid w:val="00E31F2C"/>
    <w:rsid w:val="00E32516"/>
    <w:rsid w:val="00E3324B"/>
    <w:rsid w:val="00E332DE"/>
    <w:rsid w:val="00E333E5"/>
    <w:rsid w:val="00E33654"/>
    <w:rsid w:val="00E33761"/>
    <w:rsid w:val="00E33885"/>
    <w:rsid w:val="00E34C74"/>
    <w:rsid w:val="00E34CB8"/>
    <w:rsid w:val="00E35076"/>
    <w:rsid w:val="00E35164"/>
    <w:rsid w:val="00E35DF7"/>
    <w:rsid w:val="00E3645D"/>
    <w:rsid w:val="00E36626"/>
    <w:rsid w:val="00E36A79"/>
    <w:rsid w:val="00E36B31"/>
    <w:rsid w:val="00E36D5C"/>
    <w:rsid w:val="00E36FC0"/>
    <w:rsid w:val="00E377B0"/>
    <w:rsid w:val="00E4002E"/>
    <w:rsid w:val="00E40E2D"/>
    <w:rsid w:val="00E41202"/>
    <w:rsid w:val="00E427AA"/>
    <w:rsid w:val="00E427C2"/>
    <w:rsid w:val="00E428A6"/>
    <w:rsid w:val="00E42FDA"/>
    <w:rsid w:val="00E4347C"/>
    <w:rsid w:val="00E437E0"/>
    <w:rsid w:val="00E43C0D"/>
    <w:rsid w:val="00E43CCB"/>
    <w:rsid w:val="00E4432D"/>
    <w:rsid w:val="00E449A2"/>
    <w:rsid w:val="00E44F80"/>
    <w:rsid w:val="00E4500B"/>
    <w:rsid w:val="00E451AA"/>
    <w:rsid w:val="00E454D1"/>
    <w:rsid w:val="00E45C07"/>
    <w:rsid w:val="00E45C41"/>
    <w:rsid w:val="00E461CA"/>
    <w:rsid w:val="00E462A3"/>
    <w:rsid w:val="00E46AD2"/>
    <w:rsid w:val="00E46DEC"/>
    <w:rsid w:val="00E47061"/>
    <w:rsid w:val="00E476BC"/>
    <w:rsid w:val="00E47E9A"/>
    <w:rsid w:val="00E47F64"/>
    <w:rsid w:val="00E5062E"/>
    <w:rsid w:val="00E506C3"/>
    <w:rsid w:val="00E5127E"/>
    <w:rsid w:val="00E5227D"/>
    <w:rsid w:val="00E526BF"/>
    <w:rsid w:val="00E52897"/>
    <w:rsid w:val="00E52D23"/>
    <w:rsid w:val="00E5354E"/>
    <w:rsid w:val="00E53659"/>
    <w:rsid w:val="00E53943"/>
    <w:rsid w:val="00E53BD6"/>
    <w:rsid w:val="00E53E1B"/>
    <w:rsid w:val="00E5472A"/>
    <w:rsid w:val="00E552C1"/>
    <w:rsid w:val="00E552E7"/>
    <w:rsid w:val="00E554DD"/>
    <w:rsid w:val="00E5575F"/>
    <w:rsid w:val="00E559F1"/>
    <w:rsid w:val="00E55D07"/>
    <w:rsid w:val="00E56046"/>
    <w:rsid w:val="00E560F7"/>
    <w:rsid w:val="00E56BA4"/>
    <w:rsid w:val="00E57770"/>
    <w:rsid w:val="00E57BE5"/>
    <w:rsid w:val="00E57DB9"/>
    <w:rsid w:val="00E57E89"/>
    <w:rsid w:val="00E604FD"/>
    <w:rsid w:val="00E60D45"/>
    <w:rsid w:val="00E60D5B"/>
    <w:rsid w:val="00E60EF2"/>
    <w:rsid w:val="00E6130D"/>
    <w:rsid w:val="00E61930"/>
    <w:rsid w:val="00E619F1"/>
    <w:rsid w:val="00E61AEF"/>
    <w:rsid w:val="00E621C0"/>
    <w:rsid w:val="00E62EEF"/>
    <w:rsid w:val="00E64DFF"/>
    <w:rsid w:val="00E65012"/>
    <w:rsid w:val="00E6576F"/>
    <w:rsid w:val="00E65FFD"/>
    <w:rsid w:val="00E66547"/>
    <w:rsid w:val="00E6676E"/>
    <w:rsid w:val="00E66976"/>
    <w:rsid w:val="00E6777A"/>
    <w:rsid w:val="00E702F9"/>
    <w:rsid w:val="00E70719"/>
    <w:rsid w:val="00E7076A"/>
    <w:rsid w:val="00E70D53"/>
    <w:rsid w:val="00E70DD0"/>
    <w:rsid w:val="00E7114C"/>
    <w:rsid w:val="00E711F9"/>
    <w:rsid w:val="00E7120B"/>
    <w:rsid w:val="00E728FD"/>
    <w:rsid w:val="00E72AFE"/>
    <w:rsid w:val="00E72EA4"/>
    <w:rsid w:val="00E73CEB"/>
    <w:rsid w:val="00E74BBE"/>
    <w:rsid w:val="00E75895"/>
    <w:rsid w:val="00E7599D"/>
    <w:rsid w:val="00E766ED"/>
    <w:rsid w:val="00E76961"/>
    <w:rsid w:val="00E76B4E"/>
    <w:rsid w:val="00E76ECB"/>
    <w:rsid w:val="00E772E2"/>
    <w:rsid w:val="00E77C6C"/>
    <w:rsid w:val="00E80688"/>
    <w:rsid w:val="00E8073A"/>
    <w:rsid w:val="00E80FA6"/>
    <w:rsid w:val="00E8126D"/>
    <w:rsid w:val="00E814A7"/>
    <w:rsid w:val="00E81A36"/>
    <w:rsid w:val="00E81E7C"/>
    <w:rsid w:val="00E8225F"/>
    <w:rsid w:val="00E823D0"/>
    <w:rsid w:val="00E82A77"/>
    <w:rsid w:val="00E82DE2"/>
    <w:rsid w:val="00E82E24"/>
    <w:rsid w:val="00E82EDD"/>
    <w:rsid w:val="00E83294"/>
    <w:rsid w:val="00E832F4"/>
    <w:rsid w:val="00E835C3"/>
    <w:rsid w:val="00E83D93"/>
    <w:rsid w:val="00E83DC6"/>
    <w:rsid w:val="00E83FB9"/>
    <w:rsid w:val="00E847B2"/>
    <w:rsid w:val="00E848DA"/>
    <w:rsid w:val="00E84E0D"/>
    <w:rsid w:val="00E8511B"/>
    <w:rsid w:val="00E85752"/>
    <w:rsid w:val="00E85870"/>
    <w:rsid w:val="00E858F3"/>
    <w:rsid w:val="00E861C8"/>
    <w:rsid w:val="00E862FA"/>
    <w:rsid w:val="00E86316"/>
    <w:rsid w:val="00E86C58"/>
    <w:rsid w:val="00E8714E"/>
    <w:rsid w:val="00E879C9"/>
    <w:rsid w:val="00E90351"/>
    <w:rsid w:val="00E903FA"/>
    <w:rsid w:val="00E90573"/>
    <w:rsid w:val="00E90C39"/>
    <w:rsid w:val="00E90DAF"/>
    <w:rsid w:val="00E91D4A"/>
    <w:rsid w:val="00E9213F"/>
    <w:rsid w:val="00E921B1"/>
    <w:rsid w:val="00E925AF"/>
    <w:rsid w:val="00E93010"/>
    <w:rsid w:val="00E93DD3"/>
    <w:rsid w:val="00E9427D"/>
    <w:rsid w:val="00E94694"/>
    <w:rsid w:val="00E94789"/>
    <w:rsid w:val="00E94BE1"/>
    <w:rsid w:val="00E95524"/>
    <w:rsid w:val="00E955B0"/>
    <w:rsid w:val="00E95D1F"/>
    <w:rsid w:val="00E961FB"/>
    <w:rsid w:val="00E96346"/>
    <w:rsid w:val="00E975FF"/>
    <w:rsid w:val="00E97B0F"/>
    <w:rsid w:val="00EA0004"/>
    <w:rsid w:val="00EA0D19"/>
    <w:rsid w:val="00EA10D1"/>
    <w:rsid w:val="00EA1561"/>
    <w:rsid w:val="00EA159D"/>
    <w:rsid w:val="00EA18F8"/>
    <w:rsid w:val="00EA2768"/>
    <w:rsid w:val="00EA2EA1"/>
    <w:rsid w:val="00EA3238"/>
    <w:rsid w:val="00EA347F"/>
    <w:rsid w:val="00EA3715"/>
    <w:rsid w:val="00EA3A51"/>
    <w:rsid w:val="00EA3D6F"/>
    <w:rsid w:val="00EA41DA"/>
    <w:rsid w:val="00EA46A0"/>
    <w:rsid w:val="00EA48DF"/>
    <w:rsid w:val="00EA4AB8"/>
    <w:rsid w:val="00EA4E42"/>
    <w:rsid w:val="00EA4E7D"/>
    <w:rsid w:val="00EA4F03"/>
    <w:rsid w:val="00EA5104"/>
    <w:rsid w:val="00EA55EE"/>
    <w:rsid w:val="00EA5B47"/>
    <w:rsid w:val="00EA5D0B"/>
    <w:rsid w:val="00EA6124"/>
    <w:rsid w:val="00EA737E"/>
    <w:rsid w:val="00EA7558"/>
    <w:rsid w:val="00EA7B31"/>
    <w:rsid w:val="00EB018B"/>
    <w:rsid w:val="00EB03EC"/>
    <w:rsid w:val="00EB07AD"/>
    <w:rsid w:val="00EB0FED"/>
    <w:rsid w:val="00EB1270"/>
    <w:rsid w:val="00EB1445"/>
    <w:rsid w:val="00EB1B55"/>
    <w:rsid w:val="00EB1D70"/>
    <w:rsid w:val="00EB1E68"/>
    <w:rsid w:val="00EB2B2C"/>
    <w:rsid w:val="00EB2E91"/>
    <w:rsid w:val="00EB3143"/>
    <w:rsid w:val="00EB322E"/>
    <w:rsid w:val="00EB3324"/>
    <w:rsid w:val="00EB388E"/>
    <w:rsid w:val="00EB3E70"/>
    <w:rsid w:val="00EB41B0"/>
    <w:rsid w:val="00EB4380"/>
    <w:rsid w:val="00EB53D6"/>
    <w:rsid w:val="00EB54BB"/>
    <w:rsid w:val="00EB5751"/>
    <w:rsid w:val="00EB5A2D"/>
    <w:rsid w:val="00EB5BCE"/>
    <w:rsid w:val="00EB5BD4"/>
    <w:rsid w:val="00EB6447"/>
    <w:rsid w:val="00EB6E36"/>
    <w:rsid w:val="00EB7795"/>
    <w:rsid w:val="00EB7FA0"/>
    <w:rsid w:val="00EC01D4"/>
    <w:rsid w:val="00EC0441"/>
    <w:rsid w:val="00EC0A04"/>
    <w:rsid w:val="00EC0EE0"/>
    <w:rsid w:val="00EC14B1"/>
    <w:rsid w:val="00EC16D4"/>
    <w:rsid w:val="00EC1860"/>
    <w:rsid w:val="00EC1F90"/>
    <w:rsid w:val="00EC204B"/>
    <w:rsid w:val="00EC23BC"/>
    <w:rsid w:val="00EC272A"/>
    <w:rsid w:val="00EC30AA"/>
    <w:rsid w:val="00EC3A60"/>
    <w:rsid w:val="00EC3A8C"/>
    <w:rsid w:val="00EC3E28"/>
    <w:rsid w:val="00EC3EB7"/>
    <w:rsid w:val="00EC42DC"/>
    <w:rsid w:val="00EC5147"/>
    <w:rsid w:val="00EC58E8"/>
    <w:rsid w:val="00EC5A8E"/>
    <w:rsid w:val="00EC5AB0"/>
    <w:rsid w:val="00EC63E4"/>
    <w:rsid w:val="00EC69F2"/>
    <w:rsid w:val="00EC6B25"/>
    <w:rsid w:val="00EC6C6D"/>
    <w:rsid w:val="00EC7DBC"/>
    <w:rsid w:val="00EC7E0B"/>
    <w:rsid w:val="00ED050D"/>
    <w:rsid w:val="00ED0524"/>
    <w:rsid w:val="00ED179D"/>
    <w:rsid w:val="00ED1AE2"/>
    <w:rsid w:val="00ED1CC0"/>
    <w:rsid w:val="00ED1EB2"/>
    <w:rsid w:val="00ED251E"/>
    <w:rsid w:val="00ED2F91"/>
    <w:rsid w:val="00ED4693"/>
    <w:rsid w:val="00ED50E3"/>
    <w:rsid w:val="00ED6312"/>
    <w:rsid w:val="00ED712A"/>
    <w:rsid w:val="00ED720A"/>
    <w:rsid w:val="00EE02F1"/>
    <w:rsid w:val="00EE1816"/>
    <w:rsid w:val="00EE1894"/>
    <w:rsid w:val="00EE18EB"/>
    <w:rsid w:val="00EE2544"/>
    <w:rsid w:val="00EE2C7A"/>
    <w:rsid w:val="00EE34F2"/>
    <w:rsid w:val="00EE3AE9"/>
    <w:rsid w:val="00EE3FDE"/>
    <w:rsid w:val="00EE3FF7"/>
    <w:rsid w:val="00EE404D"/>
    <w:rsid w:val="00EE4233"/>
    <w:rsid w:val="00EE4349"/>
    <w:rsid w:val="00EE4622"/>
    <w:rsid w:val="00EE46FF"/>
    <w:rsid w:val="00EE483A"/>
    <w:rsid w:val="00EE4A12"/>
    <w:rsid w:val="00EE59B0"/>
    <w:rsid w:val="00EE5AAF"/>
    <w:rsid w:val="00EE6173"/>
    <w:rsid w:val="00EE64F4"/>
    <w:rsid w:val="00EE6AFB"/>
    <w:rsid w:val="00EE6F2B"/>
    <w:rsid w:val="00EE7B1F"/>
    <w:rsid w:val="00EE7DC2"/>
    <w:rsid w:val="00EF0656"/>
    <w:rsid w:val="00EF0A18"/>
    <w:rsid w:val="00EF0AF3"/>
    <w:rsid w:val="00EF126D"/>
    <w:rsid w:val="00EF17A3"/>
    <w:rsid w:val="00EF17FB"/>
    <w:rsid w:val="00EF188F"/>
    <w:rsid w:val="00EF1D23"/>
    <w:rsid w:val="00EF29FC"/>
    <w:rsid w:val="00EF2BEB"/>
    <w:rsid w:val="00EF3548"/>
    <w:rsid w:val="00EF35F5"/>
    <w:rsid w:val="00EF363E"/>
    <w:rsid w:val="00EF3FEC"/>
    <w:rsid w:val="00EF4102"/>
    <w:rsid w:val="00EF45B0"/>
    <w:rsid w:val="00EF4CD9"/>
    <w:rsid w:val="00EF4CEC"/>
    <w:rsid w:val="00EF4D25"/>
    <w:rsid w:val="00EF4DE9"/>
    <w:rsid w:val="00EF4E91"/>
    <w:rsid w:val="00EF56EA"/>
    <w:rsid w:val="00EF65CC"/>
    <w:rsid w:val="00EF6A56"/>
    <w:rsid w:val="00EF6BEE"/>
    <w:rsid w:val="00EF742C"/>
    <w:rsid w:val="00EF7C1E"/>
    <w:rsid w:val="00EF7E5F"/>
    <w:rsid w:val="00F009B7"/>
    <w:rsid w:val="00F00DCE"/>
    <w:rsid w:val="00F0111D"/>
    <w:rsid w:val="00F01624"/>
    <w:rsid w:val="00F0162F"/>
    <w:rsid w:val="00F01D91"/>
    <w:rsid w:val="00F01DDD"/>
    <w:rsid w:val="00F021B5"/>
    <w:rsid w:val="00F025CD"/>
    <w:rsid w:val="00F02925"/>
    <w:rsid w:val="00F029F9"/>
    <w:rsid w:val="00F02EAE"/>
    <w:rsid w:val="00F034A6"/>
    <w:rsid w:val="00F03FE1"/>
    <w:rsid w:val="00F04336"/>
    <w:rsid w:val="00F047AC"/>
    <w:rsid w:val="00F0491B"/>
    <w:rsid w:val="00F04B4A"/>
    <w:rsid w:val="00F04BDB"/>
    <w:rsid w:val="00F05056"/>
    <w:rsid w:val="00F0515A"/>
    <w:rsid w:val="00F05698"/>
    <w:rsid w:val="00F05C34"/>
    <w:rsid w:val="00F05FAB"/>
    <w:rsid w:val="00F062CF"/>
    <w:rsid w:val="00F07449"/>
    <w:rsid w:val="00F0745F"/>
    <w:rsid w:val="00F07A0F"/>
    <w:rsid w:val="00F103F2"/>
    <w:rsid w:val="00F10454"/>
    <w:rsid w:val="00F10696"/>
    <w:rsid w:val="00F110F0"/>
    <w:rsid w:val="00F1115D"/>
    <w:rsid w:val="00F114FA"/>
    <w:rsid w:val="00F1175F"/>
    <w:rsid w:val="00F11C94"/>
    <w:rsid w:val="00F12192"/>
    <w:rsid w:val="00F12316"/>
    <w:rsid w:val="00F12581"/>
    <w:rsid w:val="00F12B2D"/>
    <w:rsid w:val="00F1335B"/>
    <w:rsid w:val="00F13646"/>
    <w:rsid w:val="00F136CF"/>
    <w:rsid w:val="00F13713"/>
    <w:rsid w:val="00F1390C"/>
    <w:rsid w:val="00F1427E"/>
    <w:rsid w:val="00F1474D"/>
    <w:rsid w:val="00F14DE0"/>
    <w:rsid w:val="00F14F66"/>
    <w:rsid w:val="00F1522A"/>
    <w:rsid w:val="00F1565B"/>
    <w:rsid w:val="00F15E5A"/>
    <w:rsid w:val="00F163E9"/>
    <w:rsid w:val="00F1640D"/>
    <w:rsid w:val="00F16517"/>
    <w:rsid w:val="00F16DED"/>
    <w:rsid w:val="00F17495"/>
    <w:rsid w:val="00F1782D"/>
    <w:rsid w:val="00F17FD0"/>
    <w:rsid w:val="00F17FE8"/>
    <w:rsid w:val="00F20127"/>
    <w:rsid w:val="00F2089C"/>
    <w:rsid w:val="00F208A8"/>
    <w:rsid w:val="00F20D49"/>
    <w:rsid w:val="00F20D76"/>
    <w:rsid w:val="00F20F49"/>
    <w:rsid w:val="00F221A9"/>
    <w:rsid w:val="00F2265D"/>
    <w:rsid w:val="00F22B4D"/>
    <w:rsid w:val="00F23758"/>
    <w:rsid w:val="00F2435A"/>
    <w:rsid w:val="00F24572"/>
    <w:rsid w:val="00F247B0"/>
    <w:rsid w:val="00F24BA2"/>
    <w:rsid w:val="00F24CC6"/>
    <w:rsid w:val="00F24D9E"/>
    <w:rsid w:val="00F252A5"/>
    <w:rsid w:val="00F25549"/>
    <w:rsid w:val="00F26706"/>
    <w:rsid w:val="00F26EF5"/>
    <w:rsid w:val="00F26FD6"/>
    <w:rsid w:val="00F2751B"/>
    <w:rsid w:val="00F27549"/>
    <w:rsid w:val="00F2771C"/>
    <w:rsid w:val="00F2792D"/>
    <w:rsid w:val="00F27A30"/>
    <w:rsid w:val="00F300F9"/>
    <w:rsid w:val="00F3182B"/>
    <w:rsid w:val="00F31A78"/>
    <w:rsid w:val="00F323C1"/>
    <w:rsid w:val="00F327A4"/>
    <w:rsid w:val="00F32959"/>
    <w:rsid w:val="00F32B4A"/>
    <w:rsid w:val="00F32D56"/>
    <w:rsid w:val="00F32D7E"/>
    <w:rsid w:val="00F32E36"/>
    <w:rsid w:val="00F32EB9"/>
    <w:rsid w:val="00F332F2"/>
    <w:rsid w:val="00F33544"/>
    <w:rsid w:val="00F339C3"/>
    <w:rsid w:val="00F33BBA"/>
    <w:rsid w:val="00F33CEB"/>
    <w:rsid w:val="00F349EE"/>
    <w:rsid w:val="00F34E73"/>
    <w:rsid w:val="00F35088"/>
    <w:rsid w:val="00F35AE9"/>
    <w:rsid w:val="00F3614F"/>
    <w:rsid w:val="00F36258"/>
    <w:rsid w:val="00F36270"/>
    <w:rsid w:val="00F3638E"/>
    <w:rsid w:val="00F3640D"/>
    <w:rsid w:val="00F36D9C"/>
    <w:rsid w:val="00F371C6"/>
    <w:rsid w:val="00F379C1"/>
    <w:rsid w:val="00F37A25"/>
    <w:rsid w:val="00F37CD9"/>
    <w:rsid w:val="00F40317"/>
    <w:rsid w:val="00F40531"/>
    <w:rsid w:val="00F4089E"/>
    <w:rsid w:val="00F40B0B"/>
    <w:rsid w:val="00F40B8A"/>
    <w:rsid w:val="00F40E8F"/>
    <w:rsid w:val="00F40FB0"/>
    <w:rsid w:val="00F411B4"/>
    <w:rsid w:val="00F411FA"/>
    <w:rsid w:val="00F412AB"/>
    <w:rsid w:val="00F41993"/>
    <w:rsid w:val="00F41E4C"/>
    <w:rsid w:val="00F41EA7"/>
    <w:rsid w:val="00F4203C"/>
    <w:rsid w:val="00F4251D"/>
    <w:rsid w:val="00F42740"/>
    <w:rsid w:val="00F42C9F"/>
    <w:rsid w:val="00F42CE4"/>
    <w:rsid w:val="00F43408"/>
    <w:rsid w:val="00F4374E"/>
    <w:rsid w:val="00F43799"/>
    <w:rsid w:val="00F43B52"/>
    <w:rsid w:val="00F43DB4"/>
    <w:rsid w:val="00F441D8"/>
    <w:rsid w:val="00F442D1"/>
    <w:rsid w:val="00F4448B"/>
    <w:rsid w:val="00F4461A"/>
    <w:rsid w:val="00F446BC"/>
    <w:rsid w:val="00F448C5"/>
    <w:rsid w:val="00F45416"/>
    <w:rsid w:val="00F45B2B"/>
    <w:rsid w:val="00F460E5"/>
    <w:rsid w:val="00F46209"/>
    <w:rsid w:val="00F462E3"/>
    <w:rsid w:val="00F4642E"/>
    <w:rsid w:val="00F467F2"/>
    <w:rsid w:val="00F46C85"/>
    <w:rsid w:val="00F47FF1"/>
    <w:rsid w:val="00F50024"/>
    <w:rsid w:val="00F50680"/>
    <w:rsid w:val="00F509C3"/>
    <w:rsid w:val="00F50A2E"/>
    <w:rsid w:val="00F5187A"/>
    <w:rsid w:val="00F522F3"/>
    <w:rsid w:val="00F528B4"/>
    <w:rsid w:val="00F52A43"/>
    <w:rsid w:val="00F52ACC"/>
    <w:rsid w:val="00F534CB"/>
    <w:rsid w:val="00F53CB7"/>
    <w:rsid w:val="00F54391"/>
    <w:rsid w:val="00F54AB1"/>
    <w:rsid w:val="00F5555F"/>
    <w:rsid w:val="00F559BC"/>
    <w:rsid w:val="00F563FE"/>
    <w:rsid w:val="00F56A28"/>
    <w:rsid w:val="00F57A8F"/>
    <w:rsid w:val="00F601AB"/>
    <w:rsid w:val="00F602EB"/>
    <w:rsid w:val="00F6033F"/>
    <w:rsid w:val="00F603F4"/>
    <w:rsid w:val="00F60479"/>
    <w:rsid w:val="00F60621"/>
    <w:rsid w:val="00F6092F"/>
    <w:rsid w:val="00F60C16"/>
    <w:rsid w:val="00F612EC"/>
    <w:rsid w:val="00F615DF"/>
    <w:rsid w:val="00F61A8F"/>
    <w:rsid w:val="00F61C52"/>
    <w:rsid w:val="00F61D35"/>
    <w:rsid w:val="00F61EE9"/>
    <w:rsid w:val="00F61F78"/>
    <w:rsid w:val="00F6235F"/>
    <w:rsid w:val="00F62553"/>
    <w:rsid w:val="00F626C5"/>
    <w:rsid w:val="00F629F1"/>
    <w:rsid w:val="00F63CC8"/>
    <w:rsid w:val="00F63ED3"/>
    <w:rsid w:val="00F64D44"/>
    <w:rsid w:val="00F64F2D"/>
    <w:rsid w:val="00F65949"/>
    <w:rsid w:val="00F65C3B"/>
    <w:rsid w:val="00F6618D"/>
    <w:rsid w:val="00F6646A"/>
    <w:rsid w:val="00F6658F"/>
    <w:rsid w:val="00F667BB"/>
    <w:rsid w:val="00F66EEE"/>
    <w:rsid w:val="00F671FE"/>
    <w:rsid w:val="00F67625"/>
    <w:rsid w:val="00F677CD"/>
    <w:rsid w:val="00F679D0"/>
    <w:rsid w:val="00F67BFF"/>
    <w:rsid w:val="00F703EE"/>
    <w:rsid w:val="00F7050D"/>
    <w:rsid w:val="00F7140E"/>
    <w:rsid w:val="00F714BF"/>
    <w:rsid w:val="00F7165B"/>
    <w:rsid w:val="00F7193B"/>
    <w:rsid w:val="00F71C73"/>
    <w:rsid w:val="00F71CF4"/>
    <w:rsid w:val="00F7226F"/>
    <w:rsid w:val="00F724BA"/>
    <w:rsid w:val="00F72657"/>
    <w:rsid w:val="00F72C30"/>
    <w:rsid w:val="00F72DAB"/>
    <w:rsid w:val="00F73125"/>
    <w:rsid w:val="00F733B2"/>
    <w:rsid w:val="00F735F0"/>
    <w:rsid w:val="00F7364D"/>
    <w:rsid w:val="00F73CF8"/>
    <w:rsid w:val="00F73F8B"/>
    <w:rsid w:val="00F74397"/>
    <w:rsid w:val="00F743AD"/>
    <w:rsid w:val="00F75A12"/>
    <w:rsid w:val="00F765E2"/>
    <w:rsid w:val="00F769A8"/>
    <w:rsid w:val="00F77E57"/>
    <w:rsid w:val="00F77F4D"/>
    <w:rsid w:val="00F80314"/>
    <w:rsid w:val="00F80349"/>
    <w:rsid w:val="00F80687"/>
    <w:rsid w:val="00F80CE1"/>
    <w:rsid w:val="00F80D85"/>
    <w:rsid w:val="00F80DE7"/>
    <w:rsid w:val="00F80EB5"/>
    <w:rsid w:val="00F81070"/>
    <w:rsid w:val="00F81095"/>
    <w:rsid w:val="00F81D73"/>
    <w:rsid w:val="00F81EDC"/>
    <w:rsid w:val="00F82307"/>
    <w:rsid w:val="00F823A0"/>
    <w:rsid w:val="00F83296"/>
    <w:rsid w:val="00F834BE"/>
    <w:rsid w:val="00F836BC"/>
    <w:rsid w:val="00F84249"/>
    <w:rsid w:val="00F846E1"/>
    <w:rsid w:val="00F853E1"/>
    <w:rsid w:val="00F854E0"/>
    <w:rsid w:val="00F85731"/>
    <w:rsid w:val="00F86043"/>
    <w:rsid w:val="00F8675F"/>
    <w:rsid w:val="00F86CB0"/>
    <w:rsid w:val="00F86DAA"/>
    <w:rsid w:val="00F86F6E"/>
    <w:rsid w:val="00F875F8"/>
    <w:rsid w:val="00F90493"/>
    <w:rsid w:val="00F90C0A"/>
    <w:rsid w:val="00F9174F"/>
    <w:rsid w:val="00F9199D"/>
    <w:rsid w:val="00F91AC2"/>
    <w:rsid w:val="00F91E2C"/>
    <w:rsid w:val="00F91E47"/>
    <w:rsid w:val="00F92356"/>
    <w:rsid w:val="00F9268C"/>
    <w:rsid w:val="00F92903"/>
    <w:rsid w:val="00F92B3E"/>
    <w:rsid w:val="00F92E24"/>
    <w:rsid w:val="00F93002"/>
    <w:rsid w:val="00F93460"/>
    <w:rsid w:val="00F935BD"/>
    <w:rsid w:val="00F936FF"/>
    <w:rsid w:val="00F93710"/>
    <w:rsid w:val="00F93F87"/>
    <w:rsid w:val="00F94006"/>
    <w:rsid w:val="00F94366"/>
    <w:rsid w:val="00F94432"/>
    <w:rsid w:val="00F94472"/>
    <w:rsid w:val="00F94CE7"/>
    <w:rsid w:val="00F9517F"/>
    <w:rsid w:val="00F95278"/>
    <w:rsid w:val="00F959C1"/>
    <w:rsid w:val="00F95DBC"/>
    <w:rsid w:val="00F95E4A"/>
    <w:rsid w:val="00F96334"/>
    <w:rsid w:val="00F96923"/>
    <w:rsid w:val="00F971B4"/>
    <w:rsid w:val="00F972A0"/>
    <w:rsid w:val="00F97C1A"/>
    <w:rsid w:val="00FA05CE"/>
    <w:rsid w:val="00FA0684"/>
    <w:rsid w:val="00FA0C74"/>
    <w:rsid w:val="00FA0D78"/>
    <w:rsid w:val="00FA191B"/>
    <w:rsid w:val="00FA1A2C"/>
    <w:rsid w:val="00FA1E21"/>
    <w:rsid w:val="00FA2775"/>
    <w:rsid w:val="00FA2C82"/>
    <w:rsid w:val="00FA356C"/>
    <w:rsid w:val="00FA3DBA"/>
    <w:rsid w:val="00FA3DE4"/>
    <w:rsid w:val="00FA4004"/>
    <w:rsid w:val="00FA4910"/>
    <w:rsid w:val="00FA5074"/>
    <w:rsid w:val="00FA51A9"/>
    <w:rsid w:val="00FA56A2"/>
    <w:rsid w:val="00FA67C6"/>
    <w:rsid w:val="00FA689B"/>
    <w:rsid w:val="00FA6CDF"/>
    <w:rsid w:val="00FA6EEE"/>
    <w:rsid w:val="00FA7703"/>
    <w:rsid w:val="00FA7C82"/>
    <w:rsid w:val="00FB03D3"/>
    <w:rsid w:val="00FB0796"/>
    <w:rsid w:val="00FB0E2B"/>
    <w:rsid w:val="00FB0ED8"/>
    <w:rsid w:val="00FB1A38"/>
    <w:rsid w:val="00FB1E6D"/>
    <w:rsid w:val="00FB22F3"/>
    <w:rsid w:val="00FB283C"/>
    <w:rsid w:val="00FB299B"/>
    <w:rsid w:val="00FB2C0F"/>
    <w:rsid w:val="00FB2D7D"/>
    <w:rsid w:val="00FB32C9"/>
    <w:rsid w:val="00FB387C"/>
    <w:rsid w:val="00FB3AB7"/>
    <w:rsid w:val="00FB3BBF"/>
    <w:rsid w:val="00FB47A2"/>
    <w:rsid w:val="00FB4EA3"/>
    <w:rsid w:val="00FB4F0E"/>
    <w:rsid w:val="00FB5019"/>
    <w:rsid w:val="00FB51F6"/>
    <w:rsid w:val="00FB54DA"/>
    <w:rsid w:val="00FB5A33"/>
    <w:rsid w:val="00FB64EA"/>
    <w:rsid w:val="00FB65B9"/>
    <w:rsid w:val="00FB6786"/>
    <w:rsid w:val="00FB740D"/>
    <w:rsid w:val="00FB7EDE"/>
    <w:rsid w:val="00FC0350"/>
    <w:rsid w:val="00FC0F99"/>
    <w:rsid w:val="00FC1149"/>
    <w:rsid w:val="00FC1A44"/>
    <w:rsid w:val="00FC1B9F"/>
    <w:rsid w:val="00FC1E2C"/>
    <w:rsid w:val="00FC27E0"/>
    <w:rsid w:val="00FC2A7C"/>
    <w:rsid w:val="00FC315C"/>
    <w:rsid w:val="00FC3446"/>
    <w:rsid w:val="00FC3933"/>
    <w:rsid w:val="00FC3B10"/>
    <w:rsid w:val="00FC3B1F"/>
    <w:rsid w:val="00FC456E"/>
    <w:rsid w:val="00FC45A1"/>
    <w:rsid w:val="00FC48A4"/>
    <w:rsid w:val="00FC4CC5"/>
    <w:rsid w:val="00FC52CC"/>
    <w:rsid w:val="00FC53C7"/>
    <w:rsid w:val="00FC5A0B"/>
    <w:rsid w:val="00FC5B72"/>
    <w:rsid w:val="00FC5D38"/>
    <w:rsid w:val="00FC6D97"/>
    <w:rsid w:val="00FC6FAF"/>
    <w:rsid w:val="00FC71CD"/>
    <w:rsid w:val="00FC7D53"/>
    <w:rsid w:val="00FC7E0E"/>
    <w:rsid w:val="00FD0DAF"/>
    <w:rsid w:val="00FD2818"/>
    <w:rsid w:val="00FD2E53"/>
    <w:rsid w:val="00FD2EA2"/>
    <w:rsid w:val="00FD36EC"/>
    <w:rsid w:val="00FD379E"/>
    <w:rsid w:val="00FD3A69"/>
    <w:rsid w:val="00FD3D36"/>
    <w:rsid w:val="00FD4323"/>
    <w:rsid w:val="00FD569D"/>
    <w:rsid w:val="00FD5D26"/>
    <w:rsid w:val="00FD610B"/>
    <w:rsid w:val="00FD7431"/>
    <w:rsid w:val="00FD74BC"/>
    <w:rsid w:val="00FD7C60"/>
    <w:rsid w:val="00FE012C"/>
    <w:rsid w:val="00FE0313"/>
    <w:rsid w:val="00FE0366"/>
    <w:rsid w:val="00FE05D7"/>
    <w:rsid w:val="00FE08E0"/>
    <w:rsid w:val="00FE09A5"/>
    <w:rsid w:val="00FE0C2C"/>
    <w:rsid w:val="00FE15C8"/>
    <w:rsid w:val="00FE29EA"/>
    <w:rsid w:val="00FE2D82"/>
    <w:rsid w:val="00FE30A2"/>
    <w:rsid w:val="00FE333F"/>
    <w:rsid w:val="00FE33E0"/>
    <w:rsid w:val="00FE36D3"/>
    <w:rsid w:val="00FE4058"/>
    <w:rsid w:val="00FE4B24"/>
    <w:rsid w:val="00FE4CD5"/>
    <w:rsid w:val="00FE5042"/>
    <w:rsid w:val="00FE50E1"/>
    <w:rsid w:val="00FE51EB"/>
    <w:rsid w:val="00FE52E0"/>
    <w:rsid w:val="00FE5423"/>
    <w:rsid w:val="00FE5ABB"/>
    <w:rsid w:val="00FE6933"/>
    <w:rsid w:val="00FE6BAF"/>
    <w:rsid w:val="00FE726E"/>
    <w:rsid w:val="00FE7436"/>
    <w:rsid w:val="00FE783C"/>
    <w:rsid w:val="00FE7949"/>
    <w:rsid w:val="00FF02D4"/>
    <w:rsid w:val="00FF032C"/>
    <w:rsid w:val="00FF0BFD"/>
    <w:rsid w:val="00FF0E83"/>
    <w:rsid w:val="00FF0EBD"/>
    <w:rsid w:val="00FF1058"/>
    <w:rsid w:val="00FF11D0"/>
    <w:rsid w:val="00FF1CAE"/>
    <w:rsid w:val="00FF1E6B"/>
    <w:rsid w:val="00FF28CD"/>
    <w:rsid w:val="00FF2AC0"/>
    <w:rsid w:val="00FF2B2B"/>
    <w:rsid w:val="00FF2C8F"/>
    <w:rsid w:val="00FF2EA9"/>
    <w:rsid w:val="00FF3061"/>
    <w:rsid w:val="00FF3962"/>
    <w:rsid w:val="00FF41B7"/>
    <w:rsid w:val="00FF422D"/>
    <w:rsid w:val="00FF4250"/>
    <w:rsid w:val="00FF49A6"/>
    <w:rsid w:val="00FF4C77"/>
    <w:rsid w:val="00FF500D"/>
    <w:rsid w:val="00FF50DA"/>
    <w:rsid w:val="00FF5D12"/>
    <w:rsid w:val="00FF609A"/>
    <w:rsid w:val="00FF640E"/>
    <w:rsid w:val="00FF6ABC"/>
    <w:rsid w:val="00FF6EDB"/>
    <w:rsid w:val="00FF7275"/>
    <w:rsid w:val="00FF739E"/>
    <w:rsid w:val="00FF73CA"/>
    <w:rsid w:val="00FF79F7"/>
    <w:rsid w:val="00FF7E6D"/>
    <w:rsid w:val="014C41A9"/>
    <w:rsid w:val="01756B39"/>
    <w:rsid w:val="01FAFCDA"/>
    <w:rsid w:val="0210E49E"/>
    <w:rsid w:val="02868361"/>
    <w:rsid w:val="03749672"/>
    <w:rsid w:val="037F72FA"/>
    <w:rsid w:val="042B3885"/>
    <w:rsid w:val="0536DAAB"/>
    <w:rsid w:val="05CAF6EF"/>
    <w:rsid w:val="05D3EB2A"/>
    <w:rsid w:val="06BE1477"/>
    <w:rsid w:val="06D6DC04"/>
    <w:rsid w:val="06F54ADB"/>
    <w:rsid w:val="0719F22D"/>
    <w:rsid w:val="07C4A5D8"/>
    <w:rsid w:val="08344A5E"/>
    <w:rsid w:val="0950653A"/>
    <w:rsid w:val="0BFACDCF"/>
    <w:rsid w:val="0C18C1CE"/>
    <w:rsid w:val="0C448AF2"/>
    <w:rsid w:val="0CD01C6B"/>
    <w:rsid w:val="0CE0408A"/>
    <w:rsid w:val="0D0CB2FF"/>
    <w:rsid w:val="0D274DE1"/>
    <w:rsid w:val="0ED37AC0"/>
    <w:rsid w:val="0F18ED07"/>
    <w:rsid w:val="0F5A2BE4"/>
    <w:rsid w:val="0F93152C"/>
    <w:rsid w:val="0FA68C52"/>
    <w:rsid w:val="1007D48A"/>
    <w:rsid w:val="11F70ABB"/>
    <w:rsid w:val="12607A72"/>
    <w:rsid w:val="13EDA4C1"/>
    <w:rsid w:val="1528ADB4"/>
    <w:rsid w:val="1632A946"/>
    <w:rsid w:val="1668BD87"/>
    <w:rsid w:val="1721A0BF"/>
    <w:rsid w:val="1756B1AC"/>
    <w:rsid w:val="1798EF05"/>
    <w:rsid w:val="195DE9E2"/>
    <w:rsid w:val="1A8AB098"/>
    <w:rsid w:val="1A8F4115"/>
    <w:rsid w:val="1A937F2C"/>
    <w:rsid w:val="1AE43D6A"/>
    <w:rsid w:val="1AFBD32B"/>
    <w:rsid w:val="1BA66BDC"/>
    <w:rsid w:val="1BE4FE66"/>
    <w:rsid w:val="1BEC0227"/>
    <w:rsid w:val="1CA18528"/>
    <w:rsid w:val="1D5F8E6F"/>
    <w:rsid w:val="1DC973D7"/>
    <w:rsid w:val="1E3237BE"/>
    <w:rsid w:val="1FC4C024"/>
    <w:rsid w:val="20838D38"/>
    <w:rsid w:val="2096DF90"/>
    <w:rsid w:val="20DF7387"/>
    <w:rsid w:val="20E1D7F4"/>
    <w:rsid w:val="211B2E18"/>
    <w:rsid w:val="21799B9B"/>
    <w:rsid w:val="21CEA114"/>
    <w:rsid w:val="21CFFC9F"/>
    <w:rsid w:val="21F6F8DC"/>
    <w:rsid w:val="221DE84A"/>
    <w:rsid w:val="2231A9FE"/>
    <w:rsid w:val="226865AA"/>
    <w:rsid w:val="227F6DE6"/>
    <w:rsid w:val="230BA145"/>
    <w:rsid w:val="23233A33"/>
    <w:rsid w:val="23783010"/>
    <w:rsid w:val="241294AF"/>
    <w:rsid w:val="24BFF78C"/>
    <w:rsid w:val="252CAB7D"/>
    <w:rsid w:val="25546979"/>
    <w:rsid w:val="259F4F55"/>
    <w:rsid w:val="25BAAE93"/>
    <w:rsid w:val="25BF09FE"/>
    <w:rsid w:val="26094AE0"/>
    <w:rsid w:val="264CE4CA"/>
    <w:rsid w:val="26CA9468"/>
    <w:rsid w:val="26D31B6B"/>
    <w:rsid w:val="27A52837"/>
    <w:rsid w:val="27D6F73F"/>
    <w:rsid w:val="280D9F65"/>
    <w:rsid w:val="286E3FDF"/>
    <w:rsid w:val="29CBD269"/>
    <w:rsid w:val="2A60075C"/>
    <w:rsid w:val="2AB19AB8"/>
    <w:rsid w:val="2B6D18BD"/>
    <w:rsid w:val="2BC65A0A"/>
    <w:rsid w:val="2C3FB967"/>
    <w:rsid w:val="2D5C0622"/>
    <w:rsid w:val="2DD0A5C4"/>
    <w:rsid w:val="2E9120E1"/>
    <w:rsid w:val="2E9D10A9"/>
    <w:rsid w:val="2F3F3DAD"/>
    <w:rsid w:val="2FA4058E"/>
    <w:rsid w:val="305741A6"/>
    <w:rsid w:val="308E8585"/>
    <w:rsid w:val="30A352EF"/>
    <w:rsid w:val="314A37BE"/>
    <w:rsid w:val="3188E550"/>
    <w:rsid w:val="31C4286A"/>
    <w:rsid w:val="32155FA4"/>
    <w:rsid w:val="33CCDC52"/>
    <w:rsid w:val="3468AE1A"/>
    <w:rsid w:val="3487163B"/>
    <w:rsid w:val="35760DF6"/>
    <w:rsid w:val="35A111D1"/>
    <w:rsid w:val="363D9829"/>
    <w:rsid w:val="364D1810"/>
    <w:rsid w:val="36DC83CD"/>
    <w:rsid w:val="3763E25D"/>
    <w:rsid w:val="379B33DF"/>
    <w:rsid w:val="379DF38D"/>
    <w:rsid w:val="392C2F2A"/>
    <w:rsid w:val="395A0627"/>
    <w:rsid w:val="397B3FB6"/>
    <w:rsid w:val="39C37D10"/>
    <w:rsid w:val="3A135D15"/>
    <w:rsid w:val="3A907ECF"/>
    <w:rsid w:val="3AAC3825"/>
    <w:rsid w:val="3AE310F3"/>
    <w:rsid w:val="3AF6DD7F"/>
    <w:rsid w:val="3B218913"/>
    <w:rsid w:val="3BA80521"/>
    <w:rsid w:val="3C55E0AD"/>
    <w:rsid w:val="3C635156"/>
    <w:rsid w:val="3CDC6F60"/>
    <w:rsid w:val="3D2FE762"/>
    <w:rsid w:val="3D3AF295"/>
    <w:rsid w:val="3DCC4AC3"/>
    <w:rsid w:val="3E6C5C0D"/>
    <w:rsid w:val="3EF71F7C"/>
    <w:rsid w:val="3F22B9FC"/>
    <w:rsid w:val="3FAEE724"/>
    <w:rsid w:val="4066BA1A"/>
    <w:rsid w:val="40A27733"/>
    <w:rsid w:val="40B3E8D2"/>
    <w:rsid w:val="40BA9036"/>
    <w:rsid w:val="40F79252"/>
    <w:rsid w:val="41063B05"/>
    <w:rsid w:val="41110EF7"/>
    <w:rsid w:val="4155593E"/>
    <w:rsid w:val="416AEB96"/>
    <w:rsid w:val="4181D7FB"/>
    <w:rsid w:val="426177D8"/>
    <w:rsid w:val="42DD5B1F"/>
    <w:rsid w:val="44B38807"/>
    <w:rsid w:val="4633F517"/>
    <w:rsid w:val="469FC335"/>
    <w:rsid w:val="46FCF76B"/>
    <w:rsid w:val="473C59FA"/>
    <w:rsid w:val="47750FAA"/>
    <w:rsid w:val="47BC9293"/>
    <w:rsid w:val="48297AF1"/>
    <w:rsid w:val="4846C5E8"/>
    <w:rsid w:val="4893C9D6"/>
    <w:rsid w:val="48ACDB25"/>
    <w:rsid w:val="49385C98"/>
    <w:rsid w:val="4980A036"/>
    <w:rsid w:val="4B618275"/>
    <w:rsid w:val="4B72638C"/>
    <w:rsid w:val="4C0F9F66"/>
    <w:rsid w:val="4C801695"/>
    <w:rsid w:val="4CA1C468"/>
    <w:rsid w:val="4CDB8018"/>
    <w:rsid w:val="4E24C4A1"/>
    <w:rsid w:val="4E27E21F"/>
    <w:rsid w:val="4E3EA679"/>
    <w:rsid w:val="4E64F8F8"/>
    <w:rsid w:val="4EA185B3"/>
    <w:rsid w:val="4FAFA332"/>
    <w:rsid w:val="50177DAB"/>
    <w:rsid w:val="5027AAF4"/>
    <w:rsid w:val="504B954E"/>
    <w:rsid w:val="50A877F0"/>
    <w:rsid w:val="51811D7B"/>
    <w:rsid w:val="51C4F788"/>
    <w:rsid w:val="51F7BE1D"/>
    <w:rsid w:val="5213B5D1"/>
    <w:rsid w:val="5343ABA6"/>
    <w:rsid w:val="53A5FCC1"/>
    <w:rsid w:val="53BFB614"/>
    <w:rsid w:val="53F364FB"/>
    <w:rsid w:val="55B5648E"/>
    <w:rsid w:val="5606CC14"/>
    <w:rsid w:val="56FEAE68"/>
    <w:rsid w:val="588A631A"/>
    <w:rsid w:val="591A79B0"/>
    <w:rsid w:val="593060D4"/>
    <w:rsid w:val="59AD627F"/>
    <w:rsid w:val="59CA4CBD"/>
    <w:rsid w:val="59E48E48"/>
    <w:rsid w:val="5A65350E"/>
    <w:rsid w:val="5B1A70D4"/>
    <w:rsid w:val="5BB471F4"/>
    <w:rsid w:val="5D4D2BE1"/>
    <w:rsid w:val="5DA1044C"/>
    <w:rsid w:val="5EDDA5C7"/>
    <w:rsid w:val="5F1B3973"/>
    <w:rsid w:val="5FE5FF4F"/>
    <w:rsid w:val="600E5CB0"/>
    <w:rsid w:val="6010CF64"/>
    <w:rsid w:val="601DB8A5"/>
    <w:rsid w:val="60E616AC"/>
    <w:rsid w:val="61A75637"/>
    <w:rsid w:val="61C9E373"/>
    <w:rsid w:val="62578C60"/>
    <w:rsid w:val="62BB7114"/>
    <w:rsid w:val="62F8A655"/>
    <w:rsid w:val="632302C2"/>
    <w:rsid w:val="63835502"/>
    <w:rsid w:val="63901493"/>
    <w:rsid w:val="64521C98"/>
    <w:rsid w:val="6590EC01"/>
    <w:rsid w:val="65DBEE20"/>
    <w:rsid w:val="66465307"/>
    <w:rsid w:val="6743C15F"/>
    <w:rsid w:val="67C5F083"/>
    <w:rsid w:val="684D439E"/>
    <w:rsid w:val="69123122"/>
    <w:rsid w:val="6929B478"/>
    <w:rsid w:val="69F8CA69"/>
    <w:rsid w:val="6A431BF1"/>
    <w:rsid w:val="6A456C5D"/>
    <w:rsid w:val="6A4765E0"/>
    <w:rsid w:val="6AB84C60"/>
    <w:rsid w:val="6ABDC41D"/>
    <w:rsid w:val="6AC3250E"/>
    <w:rsid w:val="6AFCB96C"/>
    <w:rsid w:val="6B25DDF2"/>
    <w:rsid w:val="6B5513E3"/>
    <w:rsid w:val="6BC4FCE3"/>
    <w:rsid w:val="6BDF8606"/>
    <w:rsid w:val="6CD7E10A"/>
    <w:rsid w:val="6CDBF7BC"/>
    <w:rsid w:val="6DF5D83A"/>
    <w:rsid w:val="6E2DD5A1"/>
    <w:rsid w:val="6F938C82"/>
    <w:rsid w:val="6FF4EA1E"/>
    <w:rsid w:val="703ADF61"/>
    <w:rsid w:val="707E729A"/>
    <w:rsid w:val="70F49950"/>
    <w:rsid w:val="722DFDFC"/>
    <w:rsid w:val="727EFA0B"/>
    <w:rsid w:val="736C2C9D"/>
    <w:rsid w:val="7385266D"/>
    <w:rsid w:val="73E4CF99"/>
    <w:rsid w:val="7591092F"/>
    <w:rsid w:val="75C1B3BF"/>
    <w:rsid w:val="75DBFB77"/>
    <w:rsid w:val="769C14A0"/>
    <w:rsid w:val="76A72BA5"/>
    <w:rsid w:val="76CF2605"/>
    <w:rsid w:val="774037FE"/>
    <w:rsid w:val="77E9DD78"/>
    <w:rsid w:val="782F24CC"/>
    <w:rsid w:val="787FEF1A"/>
    <w:rsid w:val="7899AA76"/>
    <w:rsid w:val="7899EEE0"/>
    <w:rsid w:val="78A00C00"/>
    <w:rsid w:val="79386065"/>
    <w:rsid w:val="7A3D7619"/>
    <w:rsid w:val="7A8005CC"/>
    <w:rsid w:val="7B03A04F"/>
    <w:rsid w:val="7B3CCCAD"/>
    <w:rsid w:val="7B99D891"/>
    <w:rsid w:val="7BC648C5"/>
    <w:rsid w:val="7BDC82A1"/>
    <w:rsid w:val="7BFCD214"/>
    <w:rsid w:val="7C8DBB07"/>
    <w:rsid w:val="7CA5F64B"/>
    <w:rsid w:val="7CCA1BC1"/>
    <w:rsid w:val="7E408209"/>
    <w:rsid w:val="7E8DAAFC"/>
    <w:rsid w:val="7EA9A19D"/>
    <w:rsid w:val="7EBE586F"/>
    <w:rsid w:val="7FC9F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40" w:line="260" w:lineRule="exact"/>
        <w:ind w:left="709" w:hanging="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491"/>
    <w:rPr>
      <w:rFonts w:ascii="Arial" w:eastAsia="Times New Roman" w:hAnsi="Arial" w:cs="Times New Roman"/>
      <w:color w:val="000000"/>
      <w:sz w:val="20"/>
      <w:szCs w:val="20"/>
      <w:lang w:eastAsia="en-AU"/>
    </w:rPr>
  </w:style>
  <w:style w:type="paragraph" w:styleId="Heading1">
    <w:name w:val="heading 1"/>
    <w:basedOn w:val="Normal"/>
    <w:next w:val="Normal"/>
    <w:link w:val="Heading1Char"/>
    <w:qFormat/>
    <w:rsid w:val="002C30FE"/>
    <w:pPr>
      <w:keepNext/>
      <w:numPr>
        <w:numId w:val="18"/>
      </w:numPr>
      <w:tabs>
        <w:tab w:val="left" w:pos="709"/>
      </w:tabs>
      <w:spacing w:after="360" w:line="240" w:lineRule="auto"/>
      <w:jc w:val="left"/>
      <w:outlineLvl w:val="0"/>
    </w:pPr>
    <w:rPr>
      <w:rFonts w:ascii="Arial Bold" w:hAnsi="Arial Bold" w:cs="Arial"/>
      <w:b/>
      <w:bCs/>
      <w:color w:val="0E4E77" w:themeColor="accent6"/>
      <w:kern w:val="32"/>
      <w:sz w:val="36"/>
      <w:szCs w:val="36"/>
    </w:rPr>
  </w:style>
  <w:style w:type="paragraph" w:styleId="Heading2">
    <w:name w:val="heading 2"/>
    <w:basedOn w:val="Normal"/>
    <w:next w:val="Normal"/>
    <w:link w:val="Heading2Char"/>
    <w:qFormat/>
    <w:rsid w:val="002C30FE"/>
    <w:pPr>
      <w:keepNext/>
      <w:numPr>
        <w:ilvl w:val="1"/>
        <w:numId w:val="18"/>
      </w:numPr>
      <w:tabs>
        <w:tab w:val="left" w:pos="709"/>
      </w:tabs>
      <w:spacing w:before="240" w:line="240" w:lineRule="auto"/>
      <w:jc w:val="left"/>
      <w:outlineLvl w:val="1"/>
    </w:pPr>
    <w:rPr>
      <w:rFonts w:ascii="Arial Bold" w:hAnsi="Arial Bold" w:cs="Arial"/>
      <w:b/>
      <w:bCs/>
      <w:iCs/>
      <w:color w:val="74000E" w:themeColor="accent1"/>
      <w:sz w:val="30"/>
      <w:szCs w:val="28"/>
    </w:rPr>
  </w:style>
  <w:style w:type="paragraph" w:styleId="Heading3">
    <w:name w:val="heading 3"/>
    <w:basedOn w:val="Normal"/>
    <w:next w:val="Normal"/>
    <w:link w:val="Heading3Char"/>
    <w:qFormat/>
    <w:rsid w:val="00263E2D"/>
    <w:pPr>
      <w:keepNext/>
      <w:spacing w:line="240" w:lineRule="auto"/>
      <w:jc w:val="left"/>
      <w:outlineLvl w:val="2"/>
    </w:pPr>
    <w:rPr>
      <w:rFonts w:cs="Arial"/>
      <w:b/>
      <w:bCs/>
      <w:color w:val="74000E" w:themeColor="accent1"/>
      <w:sz w:val="26"/>
      <w:szCs w:val="26"/>
    </w:rPr>
  </w:style>
  <w:style w:type="paragraph" w:styleId="Heading4">
    <w:name w:val="heading 4"/>
    <w:basedOn w:val="Normal"/>
    <w:next w:val="Normal"/>
    <w:link w:val="Heading4Char"/>
    <w:qFormat/>
    <w:rsid w:val="00753176"/>
    <w:pPr>
      <w:keepNext/>
      <w:numPr>
        <w:ilvl w:val="3"/>
        <w:numId w:val="18"/>
      </w:numPr>
      <w:spacing w:before="120" w:after="120" w:line="240" w:lineRule="auto"/>
      <w:jc w:val="left"/>
      <w:outlineLvl w:val="3"/>
    </w:pPr>
    <w:rPr>
      <w:b/>
      <w:bCs/>
      <w:color w:val="9B0014"/>
      <w:sz w:val="22"/>
      <w:szCs w:val="22"/>
    </w:rPr>
  </w:style>
  <w:style w:type="paragraph" w:styleId="Heading5">
    <w:name w:val="heading 5"/>
    <w:basedOn w:val="Normal"/>
    <w:next w:val="Normal"/>
    <w:link w:val="Heading5Char"/>
    <w:qFormat/>
    <w:rsid w:val="00753176"/>
    <w:pPr>
      <w:keepNext/>
      <w:numPr>
        <w:ilvl w:val="4"/>
        <w:numId w:val="18"/>
      </w:numPr>
      <w:spacing w:after="60" w:line="240" w:lineRule="auto"/>
      <w:jc w:val="left"/>
      <w:outlineLvl w:val="4"/>
    </w:pPr>
    <w:rPr>
      <w:b/>
      <w:bCs/>
      <w:iCs/>
      <w:color w:val="9B0014"/>
    </w:rPr>
  </w:style>
  <w:style w:type="paragraph" w:styleId="Heading6">
    <w:name w:val="heading 6"/>
    <w:basedOn w:val="Normal"/>
    <w:next w:val="Normal"/>
    <w:link w:val="Heading6Char"/>
    <w:qFormat/>
    <w:rsid w:val="00753176"/>
    <w:pPr>
      <w:keepNext/>
      <w:numPr>
        <w:ilvl w:val="5"/>
        <w:numId w:val="18"/>
      </w:numPr>
      <w:spacing w:after="120" w:line="240" w:lineRule="auto"/>
      <w:jc w:val="left"/>
      <w:outlineLvl w:val="5"/>
    </w:pPr>
    <w:rPr>
      <w:bCs/>
      <w:color w:val="9B0014"/>
      <w:szCs w:val="22"/>
    </w:rPr>
  </w:style>
  <w:style w:type="paragraph" w:styleId="Heading7">
    <w:name w:val="heading 7"/>
    <w:basedOn w:val="Normal"/>
    <w:next w:val="Normal"/>
    <w:link w:val="Heading7Char"/>
    <w:qFormat/>
    <w:rsid w:val="00753176"/>
    <w:pPr>
      <w:keepNext/>
      <w:numPr>
        <w:ilvl w:val="6"/>
        <w:numId w:val="18"/>
      </w:numPr>
      <w:spacing w:after="120" w:line="240" w:lineRule="auto"/>
      <w:jc w:val="left"/>
      <w:outlineLvl w:val="6"/>
    </w:pPr>
    <w:rPr>
      <w:color w:val="9B0014"/>
      <w:szCs w:val="24"/>
    </w:rPr>
  </w:style>
  <w:style w:type="paragraph" w:styleId="Heading8">
    <w:name w:val="heading 8"/>
    <w:basedOn w:val="Normal"/>
    <w:next w:val="Normal"/>
    <w:link w:val="Heading8Char"/>
    <w:qFormat/>
    <w:rsid w:val="00753176"/>
    <w:pPr>
      <w:keepNext/>
      <w:numPr>
        <w:ilvl w:val="7"/>
        <w:numId w:val="18"/>
      </w:numPr>
      <w:spacing w:after="120" w:line="240" w:lineRule="auto"/>
      <w:jc w:val="left"/>
      <w:outlineLvl w:val="7"/>
    </w:pPr>
    <w:rPr>
      <w:iCs/>
      <w:color w:val="9B0014"/>
      <w:szCs w:val="24"/>
    </w:rPr>
  </w:style>
  <w:style w:type="paragraph" w:styleId="Heading9">
    <w:name w:val="heading 9"/>
    <w:basedOn w:val="Normal"/>
    <w:next w:val="Normal"/>
    <w:link w:val="Heading9Char"/>
    <w:qFormat/>
    <w:rsid w:val="00753176"/>
    <w:pPr>
      <w:keepNext/>
      <w:numPr>
        <w:ilvl w:val="8"/>
        <w:numId w:val="18"/>
      </w:numPr>
      <w:spacing w:after="120" w:line="240" w:lineRule="auto"/>
      <w:jc w:val="left"/>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FE"/>
    <w:rPr>
      <w:rFonts w:ascii="Arial Bold" w:eastAsia="Times New Roman" w:hAnsi="Arial Bold" w:cs="Arial"/>
      <w:b/>
      <w:bCs/>
      <w:color w:val="0E4E77" w:themeColor="accent6"/>
      <w:kern w:val="32"/>
      <w:sz w:val="36"/>
      <w:szCs w:val="36"/>
      <w:lang w:eastAsia="en-AU"/>
    </w:rPr>
  </w:style>
  <w:style w:type="character" w:customStyle="1" w:styleId="Heading2Char">
    <w:name w:val="Heading 2 Char"/>
    <w:basedOn w:val="DefaultParagraphFont"/>
    <w:link w:val="Heading2"/>
    <w:rsid w:val="002C30FE"/>
    <w:rPr>
      <w:rFonts w:ascii="Arial Bold" w:eastAsia="Times New Roman" w:hAnsi="Arial Bold" w:cs="Arial"/>
      <w:b/>
      <w:bCs/>
      <w:iCs/>
      <w:color w:val="74000E" w:themeColor="accent1"/>
      <w:sz w:val="30"/>
      <w:szCs w:val="28"/>
      <w:lang w:eastAsia="en-AU"/>
    </w:rPr>
  </w:style>
  <w:style w:type="character" w:customStyle="1" w:styleId="Heading3Char">
    <w:name w:val="Heading 3 Char"/>
    <w:basedOn w:val="DefaultParagraphFont"/>
    <w:link w:val="Heading3"/>
    <w:rsid w:val="00263E2D"/>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8F7491"/>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8F7491"/>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8F7491"/>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8F7491"/>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8F7491"/>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8F7491"/>
    <w:rPr>
      <w:rFonts w:ascii="Arial" w:eastAsia="Times New Roman" w:hAnsi="Arial" w:cs="Arial"/>
      <w:color w:val="9B0014"/>
      <w:sz w:val="20"/>
      <w:lang w:eastAsia="en-AU"/>
    </w:rPr>
  </w:style>
  <w:style w:type="paragraph" w:customStyle="1" w:styleId="SingleParagraph">
    <w:name w:val="Single Paragraph"/>
    <w:basedOn w:val="Normal"/>
    <w:rsid w:val="008F7491"/>
    <w:pPr>
      <w:spacing w:after="0"/>
    </w:pPr>
  </w:style>
  <w:style w:type="character" w:styleId="Hyperlink">
    <w:name w:val="Hyperlink"/>
    <w:uiPriority w:val="99"/>
    <w:rsid w:val="007133D6"/>
    <w:rPr>
      <w:b/>
      <w:color w:val="9B0014"/>
    </w:rPr>
  </w:style>
  <w:style w:type="character" w:styleId="FootnoteReference">
    <w:name w:val="footnote reference"/>
    <w:rsid w:val="008F7491"/>
    <w:rPr>
      <w:vertAlign w:val="superscript"/>
    </w:rPr>
  </w:style>
  <w:style w:type="paragraph" w:styleId="TOCHeading">
    <w:name w:val="TOC Heading"/>
    <w:basedOn w:val="Heading1"/>
    <w:next w:val="Normal"/>
    <w:uiPriority w:val="39"/>
    <w:unhideWhenUsed/>
    <w:qFormat/>
    <w:rsid w:val="005F4BCB"/>
    <w:pPr>
      <w:keepLines/>
      <w:numPr>
        <w:numId w:val="0"/>
      </w:numPr>
      <w:spacing w:before="240" w:after="0" w:line="259" w:lineRule="auto"/>
      <w:outlineLvl w:val="9"/>
    </w:pPr>
    <w:rPr>
      <w:rFonts w:asciiTheme="majorHAnsi" w:eastAsiaTheme="majorEastAsia" w:hAnsiTheme="majorHAnsi" w:cstheme="majorBidi"/>
      <w:b w:val="0"/>
      <w:bCs w:val="0"/>
      <w:color w:val="56000A" w:themeColor="accent1" w:themeShade="BF"/>
      <w:kern w:val="0"/>
      <w:sz w:val="32"/>
      <w:szCs w:val="32"/>
      <w:lang w:val="en-US" w:eastAsia="en-US"/>
    </w:rPr>
  </w:style>
  <w:style w:type="character" w:styleId="PageNumber">
    <w:name w:val="page number"/>
    <w:rsid w:val="008F7491"/>
  </w:style>
  <w:style w:type="paragraph" w:customStyle="1" w:styleId="Bullet">
    <w:name w:val="Bullet"/>
    <w:basedOn w:val="Normal"/>
    <w:link w:val="BulletChar"/>
    <w:rsid w:val="0082702F"/>
    <w:pPr>
      <w:numPr>
        <w:numId w:val="22"/>
      </w:numPr>
      <w:spacing w:after="120"/>
    </w:pPr>
  </w:style>
  <w:style w:type="paragraph" w:customStyle="1" w:styleId="OutlineNumbered1">
    <w:name w:val="Outline Numbered 1"/>
    <w:basedOn w:val="OutlineNumbered3"/>
    <w:rsid w:val="00EE7DC2"/>
    <w:pPr>
      <w:numPr>
        <w:numId w:val="18"/>
      </w:numPr>
    </w:pPr>
  </w:style>
  <w:style w:type="paragraph" w:customStyle="1" w:styleId="OutlineNumbered2">
    <w:name w:val="Outline Numbered 2"/>
    <w:basedOn w:val="Normal"/>
    <w:rsid w:val="008F7491"/>
    <w:pPr>
      <w:numPr>
        <w:ilvl w:val="1"/>
        <w:numId w:val="4"/>
      </w:numPr>
    </w:pPr>
  </w:style>
  <w:style w:type="paragraph" w:customStyle="1" w:styleId="OutlineNumbered3">
    <w:name w:val="Outline Numbered 3"/>
    <w:basedOn w:val="Normal"/>
    <w:link w:val="OutlineNumbered3Char"/>
    <w:rsid w:val="00DA1449"/>
    <w:pPr>
      <w:numPr>
        <w:ilvl w:val="2"/>
        <w:numId w:val="4"/>
      </w:numPr>
    </w:pPr>
  </w:style>
  <w:style w:type="paragraph" w:customStyle="1" w:styleId="AppendixHeading">
    <w:name w:val="Appendix Heading"/>
    <w:basedOn w:val="Normal"/>
    <w:next w:val="AppendixParagraph"/>
    <w:rsid w:val="00753176"/>
    <w:pPr>
      <w:keepNext/>
      <w:numPr>
        <w:numId w:val="3"/>
      </w:numPr>
      <w:spacing w:line="240" w:lineRule="auto"/>
      <w:jc w:val="left"/>
      <w:outlineLvl w:val="0"/>
    </w:pPr>
    <w:rPr>
      <w:rFonts w:ascii="Arial Bold" w:hAnsi="Arial Bold"/>
      <w:b/>
      <w:caps/>
      <w:color w:val="9B0014"/>
      <w:sz w:val="36"/>
      <w:szCs w:val="36"/>
    </w:rPr>
  </w:style>
  <w:style w:type="paragraph" w:customStyle="1" w:styleId="BoxHeading">
    <w:name w:val="Box Heading"/>
    <w:basedOn w:val="Normal"/>
    <w:next w:val="BoxText"/>
    <w:rsid w:val="00753176"/>
    <w:pPr>
      <w:keepNext/>
      <w:spacing w:before="120" w:after="120" w:line="240" w:lineRule="auto"/>
      <w:jc w:val="left"/>
    </w:pPr>
    <w:rPr>
      <w:b/>
      <w:color w:val="9B0014"/>
      <w:sz w:val="22"/>
    </w:rPr>
  </w:style>
  <w:style w:type="paragraph" w:customStyle="1" w:styleId="ChartGraphic">
    <w:name w:val="Chart Graphic"/>
    <w:basedOn w:val="Normal"/>
    <w:next w:val="Normal"/>
    <w:rsid w:val="00753176"/>
    <w:pPr>
      <w:keepNext/>
      <w:spacing w:after="0" w:line="240" w:lineRule="auto"/>
      <w:jc w:val="center"/>
    </w:pPr>
    <w:rPr>
      <w:color w:val="9B0014"/>
    </w:rPr>
  </w:style>
  <w:style w:type="paragraph" w:customStyle="1" w:styleId="ChartMainHeading">
    <w:name w:val="Chart Main Heading"/>
    <w:basedOn w:val="Normal"/>
    <w:next w:val="ChartGraphic"/>
    <w:rsid w:val="00753176"/>
    <w:pPr>
      <w:keepNext/>
      <w:spacing w:after="20" w:line="240" w:lineRule="auto"/>
      <w:jc w:val="center"/>
    </w:pPr>
    <w:rPr>
      <w:b/>
      <w:color w:val="9B0014"/>
      <w:sz w:val="22"/>
    </w:rPr>
  </w:style>
  <w:style w:type="paragraph" w:customStyle="1" w:styleId="ChartSecondHeading">
    <w:name w:val="Chart Second Heading"/>
    <w:basedOn w:val="Normal"/>
    <w:next w:val="ChartGraphic"/>
    <w:rsid w:val="00753176"/>
    <w:pPr>
      <w:keepNext/>
      <w:spacing w:after="20" w:line="240" w:lineRule="auto"/>
      <w:jc w:val="center"/>
    </w:pPr>
    <w:rPr>
      <w:color w:val="9B0014"/>
    </w:rPr>
  </w:style>
  <w:style w:type="paragraph" w:customStyle="1" w:styleId="Classification">
    <w:name w:val="Classification"/>
    <w:basedOn w:val="Normal"/>
    <w:next w:val="Footer"/>
    <w:rsid w:val="00753176"/>
    <w:pPr>
      <w:keepNext/>
      <w:spacing w:after="120" w:line="240" w:lineRule="auto"/>
      <w:jc w:val="center"/>
    </w:pPr>
    <w:rPr>
      <w:b/>
      <w:smallCaps/>
      <w:color w:val="9B0014"/>
    </w:rPr>
  </w:style>
  <w:style w:type="paragraph" w:styleId="Footer">
    <w:name w:val="footer"/>
    <w:basedOn w:val="Normal"/>
    <w:link w:val="FooterChar"/>
    <w:uiPriority w:val="99"/>
    <w:rsid w:val="00753176"/>
    <w:pPr>
      <w:keepNext/>
      <w:spacing w:after="0" w:line="240" w:lineRule="auto"/>
      <w:jc w:val="left"/>
    </w:pPr>
    <w:rPr>
      <w:color w:val="9B0014"/>
      <w:sz w:val="18"/>
    </w:rPr>
  </w:style>
  <w:style w:type="character" w:customStyle="1" w:styleId="FooterChar">
    <w:name w:val="Footer Char"/>
    <w:basedOn w:val="DefaultParagraphFont"/>
    <w:link w:val="Footer"/>
    <w:uiPriority w:val="99"/>
    <w:rsid w:val="008F7491"/>
    <w:rPr>
      <w:rFonts w:ascii="Arial" w:eastAsia="Times New Roman" w:hAnsi="Arial" w:cs="Times New Roman"/>
      <w:color w:val="9B0014"/>
      <w:sz w:val="18"/>
      <w:szCs w:val="20"/>
      <w:lang w:eastAsia="en-AU"/>
    </w:rPr>
  </w:style>
  <w:style w:type="paragraph" w:customStyle="1" w:styleId="ContentsHeading">
    <w:name w:val="Contents Heading"/>
    <w:basedOn w:val="Normal"/>
    <w:next w:val="Normal"/>
    <w:rsid w:val="00A32303"/>
    <w:pPr>
      <w:keepNext/>
      <w:spacing w:after="360" w:line="240" w:lineRule="auto"/>
      <w:jc w:val="left"/>
    </w:pPr>
    <w:rPr>
      <w:rFonts w:ascii="Arial Bold" w:hAnsi="Arial Bold"/>
      <w:b/>
      <w:color w:val="000000" w:themeColor="text1"/>
      <w:sz w:val="36"/>
      <w:szCs w:val="36"/>
    </w:rPr>
  </w:style>
  <w:style w:type="paragraph" w:customStyle="1" w:styleId="CoverTitleMain">
    <w:name w:val="Cover Title Main"/>
    <w:basedOn w:val="Normal"/>
    <w:next w:val="Normal"/>
    <w:rsid w:val="00753176"/>
    <w:pPr>
      <w:keepNext/>
      <w:spacing w:after="480" w:line="240" w:lineRule="auto"/>
      <w:jc w:val="center"/>
    </w:pPr>
    <w:rPr>
      <w:b/>
      <w:color w:val="9B0014"/>
      <w:sz w:val="48"/>
    </w:rPr>
  </w:style>
  <w:style w:type="paragraph" w:customStyle="1" w:styleId="CoverTitleSub">
    <w:name w:val="Cover Title Sub"/>
    <w:basedOn w:val="Normal"/>
    <w:rsid w:val="00753176"/>
    <w:pPr>
      <w:keepNext/>
      <w:spacing w:after="360" w:line="240" w:lineRule="auto"/>
      <w:jc w:val="center"/>
    </w:pPr>
    <w:rPr>
      <w:color w:val="9B0014"/>
      <w:sz w:val="36"/>
    </w:rPr>
  </w:style>
  <w:style w:type="paragraph" w:customStyle="1" w:styleId="FooterCentered">
    <w:name w:val="Footer Centered"/>
    <w:basedOn w:val="Footer"/>
    <w:rsid w:val="008F7491"/>
    <w:pPr>
      <w:jc w:val="center"/>
    </w:pPr>
  </w:style>
  <w:style w:type="paragraph" w:customStyle="1" w:styleId="FooterEven">
    <w:name w:val="Footer Even"/>
    <w:basedOn w:val="Footer"/>
    <w:rsid w:val="00084480"/>
    <w:rPr>
      <w:color w:val="000000" w:themeColor="text1"/>
    </w:rPr>
  </w:style>
  <w:style w:type="paragraph" w:customStyle="1" w:styleId="FooterOdd">
    <w:name w:val="Footer Odd"/>
    <w:basedOn w:val="Footer"/>
    <w:rsid w:val="00084480"/>
    <w:pPr>
      <w:jc w:val="right"/>
    </w:pPr>
    <w:rPr>
      <w:color w:val="000000" w:themeColor="text1"/>
    </w:rPr>
  </w:style>
  <w:style w:type="paragraph" w:styleId="Header">
    <w:name w:val="header"/>
    <w:basedOn w:val="Normal"/>
    <w:link w:val="HeaderChar"/>
    <w:rsid w:val="00753176"/>
    <w:pPr>
      <w:keepNext/>
      <w:spacing w:after="360" w:line="240" w:lineRule="auto"/>
      <w:jc w:val="left"/>
    </w:pPr>
    <w:rPr>
      <w:color w:val="000000" w:themeColor="text1"/>
      <w:sz w:val="18"/>
    </w:rPr>
  </w:style>
  <w:style w:type="character" w:customStyle="1" w:styleId="HeaderChar">
    <w:name w:val="Header Char"/>
    <w:basedOn w:val="DefaultParagraphFont"/>
    <w:link w:val="Header"/>
    <w:rsid w:val="00084480"/>
    <w:rPr>
      <w:rFonts w:ascii="Arial" w:eastAsia="Times New Roman" w:hAnsi="Arial" w:cs="Times New Roman"/>
      <w:color w:val="000000" w:themeColor="text1"/>
      <w:sz w:val="18"/>
      <w:szCs w:val="20"/>
      <w:lang w:eastAsia="en-AU"/>
    </w:rPr>
  </w:style>
  <w:style w:type="paragraph" w:customStyle="1" w:styleId="HeaderEven">
    <w:name w:val="Header Even"/>
    <w:basedOn w:val="Header"/>
    <w:rsid w:val="008F7491"/>
    <w:pPr>
      <w:pBdr>
        <w:bottom w:val="single" w:sz="4" w:space="1" w:color="9B0014"/>
      </w:pBdr>
      <w:spacing w:after="0"/>
    </w:pPr>
    <w:rPr>
      <w:spacing w:val="-4"/>
    </w:rPr>
  </w:style>
  <w:style w:type="paragraph" w:customStyle="1" w:styleId="HeaderOdd">
    <w:name w:val="Header Odd"/>
    <w:basedOn w:val="Header"/>
    <w:rsid w:val="008F7491"/>
    <w:pPr>
      <w:pBdr>
        <w:bottom w:val="single" w:sz="4" w:space="1" w:color="9B0014"/>
      </w:pBdr>
      <w:spacing w:after="0"/>
      <w:jc w:val="right"/>
    </w:pPr>
    <w:rPr>
      <w:spacing w:val="-4"/>
    </w:rPr>
  </w:style>
  <w:style w:type="paragraph" w:customStyle="1" w:styleId="RecommendationHeading">
    <w:name w:val="Recommendation Heading"/>
    <w:basedOn w:val="Normal"/>
    <w:next w:val="RecommendationText"/>
    <w:rsid w:val="00753176"/>
    <w:pPr>
      <w:keepNext/>
      <w:spacing w:line="240" w:lineRule="auto"/>
      <w:jc w:val="left"/>
    </w:pPr>
    <w:rPr>
      <w:b/>
      <w:color w:val="9B0014"/>
      <w:sz w:val="22"/>
    </w:rPr>
  </w:style>
  <w:style w:type="paragraph" w:customStyle="1" w:styleId="RecommendationBaseText">
    <w:name w:val="Recommendation Base Text"/>
    <w:basedOn w:val="Normal"/>
    <w:rsid w:val="008F7491"/>
  </w:style>
  <w:style w:type="paragraph" w:customStyle="1" w:styleId="RecommendationText">
    <w:name w:val="Recommendation Text"/>
    <w:basedOn w:val="RecommendationBaseText"/>
    <w:rsid w:val="008F7491"/>
  </w:style>
  <w:style w:type="paragraph" w:customStyle="1" w:styleId="TableTextBase">
    <w:name w:val="Table Text Base"/>
    <w:rsid w:val="008F7491"/>
    <w:pPr>
      <w:spacing w:before="40" w:after="40" w:line="240" w:lineRule="auto"/>
    </w:pPr>
    <w:rPr>
      <w:rFonts w:ascii="Arial" w:eastAsia="Times New Roman" w:hAnsi="Arial" w:cs="Times New Roman"/>
      <w:color w:val="000000"/>
      <w:sz w:val="18"/>
      <w:szCs w:val="20"/>
      <w:lang w:eastAsia="en-AU"/>
    </w:rPr>
  </w:style>
  <w:style w:type="paragraph" w:customStyle="1" w:styleId="TableColumnHeadingCentred">
    <w:name w:val="Table Column Heading Centred"/>
    <w:basedOn w:val="TableTextBase"/>
    <w:rsid w:val="007B0C5A"/>
    <w:pPr>
      <w:jc w:val="center"/>
    </w:pPr>
    <w:rPr>
      <w:b/>
      <w:color w:val="FFFFFF" w:themeColor="background1"/>
    </w:rPr>
  </w:style>
  <w:style w:type="paragraph" w:customStyle="1" w:styleId="TableColumnHeadingLeft">
    <w:name w:val="Table Column Heading Left"/>
    <w:basedOn w:val="TableTextBase"/>
    <w:rsid w:val="007B0C5A"/>
    <w:rPr>
      <w:b/>
      <w:color w:val="FFFFFF" w:themeColor="background1"/>
    </w:rPr>
  </w:style>
  <w:style w:type="paragraph" w:customStyle="1" w:styleId="TableColumnHeadingRight">
    <w:name w:val="Table Column Heading Right"/>
    <w:basedOn w:val="TableTextBase"/>
    <w:rsid w:val="008F7491"/>
    <w:pPr>
      <w:jc w:val="right"/>
    </w:pPr>
    <w:rPr>
      <w:b/>
    </w:rPr>
  </w:style>
  <w:style w:type="paragraph" w:customStyle="1" w:styleId="TableGraphic">
    <w:name w:val="Table Graphic"/>
    <w:basedOn w:val="Normal"/>
    <w:next w:val="Normal"/>
    <w:rsid w:val="00753176"/>
    <w:pPr>
      <w:spacing w:after="20" w:line="240" w:lineRule="auto"/>
      <w:ind w:right="-113"/>
      <w:jc w:val="left"/>
    </w:pPr>
    <w:rPr>
      <w:color w:val="9B0014"/>
    </w:rPr>
  </w:style>
  <w:style w:type="paragraph" w:customStyle="1" w:styleId="TableMainHeading">
    <w:name w:val="Table Main Heading"/>
    <w:basedOn w:val="Normal"/>
    <w:next w:val="TableGraphic"/>
    <w:rsid w:val="00753176"/>
    <w:pPr>
      <w:keepNext/>
      <w:spacing w:after="20" w:line="240" w:lineRule="auto"/>
      <w:jc w:val="left"/>
    </w:pPr>
    <w:rPr>
      <w:b/>
      <w:color w:val="9B0014"/>
      <w:sz w:val="22"/>
    </w:rPr>
  </w:style>
  <w:style w:type="paragraph" w:customStyle="1" w:styleId="TableMainHeadingContd">
    <w:name w:val="Table Main Heading Contd"/>
    <w:basedOn w:val="Normal"/>
    <w:next w:val="TableGraphic"/>
    <w:rsid w:val="00753176"/>
    <w:pPr>
      <w:keepNext/>
      <w:spacing w:after="20" w:line="240" w:lineRule="auto"/>
      <w:jc w:val="left"/>
    </w:pPr>
    <w:rPr>
      <w:b/>
      <w:color w:val="9B0014"/>
      <w:sz w:val="22"/>
    </w:rPr>
  </w:style>
  <w:style w:type="paragraph" w:customStyle="1" w:styleId="TableSecondHeading">
    <w:name w:val="Table Second Heading"/>
    <w:basedOn w:val="Normal"/>
    <w:next w:val="TableGraphic"/>
    <w:rsid w:val="00753176"/>
    <w:pPr>
      <w:keepNext/>
      <w:spacing w:after="20" w:line="240" w:lineRule="auto"/>
      <w:jc w:val="left"/>
    </w:pPr>
    <w:rPr>
      <w:color w:val="9B0014"/>
    </w:rPr>
  </w:style>
  <w:style w:type="paragraph" w:customStyle="1" w:styleId="TableTextCentered">
    <w:name w:val="Table Text Centered"/>
    <w:basedOn w:val="TableTextBase"/>
    <w:rsid w:val="008F7491"/>
    <w:pPr>
      <w:jc w:val="center"/>
    </w:pPr>
  </w:style>
  <w:style w:type="paragraph" w:customStyle="1" w:styleId="TableTextIndented">
    <w:name w:val="Table Text Indented"/>
    <w:basedOn w:val="TableTextBase"/>
    <w:rsid w:val="008F7491"/>
    <w:pPr>
      <w:ind w:left="284"/>
    </w:pPr>
  </w:style>
  <w:style w:type="paragraph" w:customStyle="1" w:styleId="TableTextLeft">
    <w:name w:val="Table Text Left"/>
    <w:basedOn w:val="TableTextBase"/>
    <w:rsid w:val="007B0C5A"/>
  </w:style>
  <w:style w:type="paragraph" w:customStyle="1" w:styleId="TableTextRight">
    <w:name w:val="Table Text Right"/>
    <w:basedOn w:val="TableTextBase"/>
    <w:rsid w:val="007B0C5A"/>
    <w:pPr>
      <w:jc w:val="right"/>
    </w:pPr>
  </w:style>
  <w:style w:type="paragraph" w:styleId="TOC1">
    <w:name w:val="toc 1"/>
    <w:basedOn w:val="Normal"/>
    <w:next w:val="Normal"/>
    <w:uiPriority w:val="39"/>
    <w:rsid w:val="00A32303"/>
    <w:pPr>
      <w:spacing w:before="240" w:after="120"/>
      <w:jc w:val="left"/>
    </w:pPr>
    <w:rPr>
      <w:rFonts w:asciiTheme="minorHAnsi" w:hAnsiTheme="minorHAnsi" w:cstheme="minorHAnsi"/>
      <w:b/>
      <w:bCs/>
    </w:rPr>
  </w:style>
  <w:style w:type="paragraph" w:styleId="TOC2">
    <w:name w:val="toc 2"/>
    <w:basedOn w:val="Normal"/>
    <w:next w:val="OutlineNumbered2"/>
    <w:uiPriority w:val="39"/>
    <w:rsid w:val="0006789D"/>
    <w:pPr>
      <w:spacing w:before="120" w:after="0"/>
      <w:jc w:val="left"/>
    </w:pPr>
    <w:rPr>
      <w:rFonts w:asciiTheme="minorHAnsi" w:hAnsiTheme="minorHAnsi" w:cstheme="minorHAnsi"/>
      <w:i/>
      <w:iCs/>
    </w:rPr>
  </w:style>
  <w:style w:type="paragraph" w:styleId="TOC3">
    <w:name w:val="toc 3"/>
    <w:basedOn w:val="Normal"/>
    <w:next w:val="Normal"/>
    <w:uiPriority w:val="39"/>
    <w:rsid w:val="0006789D"/>
    <w:pPr>
      <w:spacing w:after="0"/>
      <w:ind w:left="1106"/>
      <w:jc w:val="left"/>
    </w:pPr>
    <w:rPr>
      <w:rFonts w:asciiTheme="minorHAnsi" w:hAnsiTheme="minorHAnsi" w:cstheme="minorHAnsi"/>
    </w:rPr>
  </w:style>
  <w:style w:type="paragraph" w:styleId="TOC4">
    <w:name w:val="toc 4"/>
    <w:basedOn w:val="Normal"/>
    <w:next w:val="Normal"/>
    <w:rsid w:val="008F7491"/>
    <w:pPr>
      <w:spacing w:after="0"/>
      <w:ind w:left="600"/>
      <w:jc w:val="left"/>
    </w:pPr>
    <w:rPr>
      <w:rFonts w:asciiTheme="minorHAnsi" w:hAnsiTheme="minorHAnsi" w:cstheme="minorHAnsi"/>
    </w:rPr>
  </w:style>
  <w:style w:type="paragraph" w:customStyle="1" w:styleId="BoxText">
    <w:name w:val="Box Text"/>
    <w:basedOn w:val="Normal"/>
    <w:rsid w:val="00753176"/>
    <w:pPr>
      <w:spacing w:before="120" w:after="120" w:line="240" w:lineRule="auto"/>
    </w:pPr>
  </w:style>
  <w:style w:type="paragraph" w:customStyle="1" w:styleId="BoxDoubleDot">
    <w:name w:val="Box Double Dot"/>
    <w:basedOn w:val="Normal"/>
    <w:rsid w:val="00753176"/>
    <w:pPr>
      <w:numPr>
        <w:ilvl w:val="2"/>
        <w:numId w:val="1"/>
      </w:numPr>
      <w:spacing w:before="120" w:after="120" w:line="240" w:lineRule="auto"/>
    </w:pPr>
  </w:style>
  <w:style w:type="paragraph" w:customStyle="1" w:styleId="RecommendationBullet">
    <w:name w:val="Recommendation Bullet"/>
    <w:basedOn w:val="RecommendationBaseText"/>
    <w:rsid w:val="008F7491"/>
    <w:pPr>
      <w:numPr>
        <w:numId w:val="2"/>
      </w:numPr>
    </w:pPr>
  </w:style>
  <w:style w:type="paragraph" w:customStyle="1" w:styleId="RecommendationDash">
    <w:name w:val="Recommendation Dash"/>
    <w:basedOn w:val="RecommendationBaseText"/>
    <w:rsid w:val="008F7491"/>
    <w:pPr>
      <w:numPr>
        <w:ilvl w:val="1"/>
        <w:numId w:val="2"/>
      </w:numPr>
    </w:pPr>
  </w:style>
  <w:style w:type="paragraph" w:customStyle="1" w:styleId="RecommendationDoubleDot">
    <w:name w:val="Recommendation Double Dot"/>
    <w:basedOn w:val="RecommendationBaseText"/>
    <w:rsid w:val="008F7491"/>
    <w:pPr>
      <w:numPr>
        <w:ilvl w:val="2"/>
        <w:numId w:val="2"/>
      </w:numPr>
    </w:pPr>
  </w:style>
  <w:style w:type="table" w:styleId="TableGrid">
    <w:name w:val="Table Grid"/>
    <w:aliases w:val="Smart Text Table"/>
    <w:basedOn w:val="TableNormal"/>
    <w:rsid w:val="008F7491"/>
    <w:rPr>
      <w:rFonts w:ascii="Times New Roman" w:eastAsia="Times New Roman" w:hAnsi="Times New Roman" w:cs="Times New Roman"/>
      <w:sz w:val="20"/>
      <w:szCs w:val="20"/>
      <w:lang w:eastAsia="en-AU"/>
    </w:rPr>
    <w:tblPr/>
    <w:tcPr>
      <w:shd w:val="clear" w:color="auto" w:fill="E6E6E6"/>
    </w:tcPr>
  </w:style>
  <w:style w:type="paragraph" w:customStyle="1" w:styleId="Heading1notnumbered">
    <w:name w:val="Heading 1 not numbered"/>
    <w:basedOn w:val="Normal"/>
    <w:next w:val="Normal"/>
    <w:rsid w:val="00263E2D"/>
    <w:pPr>
      <w:keepNext/>
      <w:spacing w:before="720" w:after="360" w:line="240" w:lineRule="auto"/>
      <w:jc w:val="left"/>
    </w:pPr>
    <w:rPr>
      <w:rFonts w:ascii="Arial Bold" w:hAnsi="Arial Bold"/>
      <w:b/>
      <w:color w:val="0E4E77" w:themeColor="accent6"/>
      <w:sz w:val="36"/>
      <w:szCs w:val="36"/>
    </w:rPr>
  </w:style>
  <w:style w:type="paragraph" w:customStyle="1" w:styleId="Heading2notnumbered">
    <w:name w:val="Heading 2 not numbered"/>
    <w:basedOn w:val="Normal"/>
    <w:next w:val="Normal"/>
    <w:rsid w:val="00263E2D"/>
    <w:pPr>
      <w:keepNext/>
      <w:tabs>
        <w:tab w:val="left" w:pos="567"/>
      </w:tabs>
      <w:spacing w:before="360" w:line="240" w:lineRule="auto"/>
      <w:jc w:val="left"/>
      <w:outlineLvl w:val="1"/>
    </w:pPr>
    <w:rPr>
      <w:rFonts w:ascii="Arial Bold" w:hAnsi="Arial Bold"/>
      <w:b/>
      <w:color w:val="74000E" w:themeColor="accent1"/>
      <w:sz w:val="30"/>
      <w:szCs w:val="28"/>
    </w:rPr>
  </w:style>
  <w:style w:type="paragraph" w:customStyle="1" w:styleId="Heading3notnumbered">
    <w:name w:val="Heading 3 not numbered"/>
    <w:basedOn w:val="Normal"/>
    <w:next w:val="Normal"/>
    <w:rsid w:val="00753176"/>
    <w:pPr>
      <w:keepNext/>
      <w:spacing w:before="240" w:line="240" w:lineRule="auto"/>
      <w:jc w:val="left"/>
    </w:pPr>
    <w:rPr>
      <w:rFonts w:ascii="Arial Bold" w:hAnsi="Arial Bold"/>
      <w:b/>
      <w:color w:val="9B0014"/>
      <w:sz w:val="26"/>
      <w:szCs w:val="26"/>
    </w:rPr>
  </w:style>
  <w:style w:type="paragraph" w:styleId="ListParagraph">
    <w:name w:val="List Paragraph"/>
    <w:basedOn w:val="Normal"/>
    <w:uiPriority w:val="34"/>
    <w:qFormat/>
    <w:rsid w:val="008F7491"/>
    <w:pPr>
      <w:ind w:left="720"/>
    </w:pPr>
  </w:style>
  <w:style w:type="paragraph" w:customStyle="1" w:styleId="AppendixParagraph">
    <w:name w:val="Appendix Paragraph"/>
    <w:basedOn w:val="Normal"/>
    <w:rsid w:val="008F7491"/>
    <w:pPr>
      <w:ind w:left="0" w:firstLine="0"/>
    </w:pPr>
    <w:rPr>
      <w:lang w:val="en-US"/>
    </w:rPr>
  </w:style>
  <w:style w:type="character" w:customStyle="1" w:styleId="OutlineNumbered3Char">
    <w:name w:val="Outline Numbered 3 Char"/>
    <w:link w:val="OutlineNumbered3"/>
    <w:rsid w:val="00DA1449"/>
    <w:rPr>
      <w:rFonts w:ascii="Arial" w:eastAsia="Times New Roman" w:hAnsi="Arial" w:cs="Times New Roman"/>
      <w:color w:val="000000"/>
      <w:sz w:val="20"/>
      <w:szCs w:val="20"/>
      <w:lang w:eastAsia="en-AU"/>
    </w:rPr>
  </w:style>
  <w:style w:type="paragraph" w:styleId="BalloonText">
    <w:name w:val="Balloon Text"/>
    <w:basedOn w:val="Normal"/>
    <w:link w:val="BalloonTextChar"/>
    <w:rsid w:val="008F7491"/>
    <w:rPr>
      <w:rFonts w:ascii="Tahoma" w:hAnsi="Tahoma" w:cs="Tahoma"/>
      <w:sz w:val="16"/>
      <w:szCs w:val="16"/>
    </w:rPr>
  </w:style>
  <w:style w:type="character" w:customStyle="1" w:styleId="BalloonTextChar">
    <w:name w:val="Balloon Text Char"/>
    <w:basedOn w:val="DefaultParagraphFont"/>
    <w:link w:val="BalloonText"/>
    <w:rsid w:val="008F7491"/>
    <w:rPr>
      <w:rFonts w:ascii="Tahoma" w:eastAsia="Times New Roman" w:hAnsi="Tahoma" w:cs="Tahoma"/>
      <w:color w:val="000000"/>
      <w:sz w:val="16"/>
      <w:szCs w:val="16"/>
      <w:lang w:eastAsia="en-AU"/>
    </w:rPr>
  </w:style>
  <w:style w:type="character" w:styleId="CommentReference">
    <w:name w:val="annotation reference"/>
    <w:rsid w:val="008F7491"/>
    <w:rPr>
      <w:sz w:val="16"/>
      <w:szCs w:val="16"/>
    </w:rPr>
  </w:style>
  <w:style w:type="paragraph" w:styleId="CommentText">
    <w:name w:val="annotation text"/>
    <w:basedOn w:val="Normal"/>
    <w:link w:val="CommentTextChar"/>
    <w:rsid w:val="008F7491"/>
  </w:style>
  <w:style w:type="character" w:customStyle="1" w:styleId="CommentTextChar">
    <w:name w:val="Comment Text Char"/>
    <w:basedOn w:val="DefaultParagraphFont"/>
    <w:link w:val="CommentText"/>
    <w:rsid w:val="008F7491"/>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rsid w:val="008F7491"/>
    <w:rPr>
      <w:b/>
      <w:bCs/>
    </w:rPr>
  </w:style>
  <w:style w:type="character" w:customStyle="1" w:styleId="CommentSubjectChar">
    <w:name w:val="Comment Subject Char"/>
    <w:basedOn w:val="CommentTextChar"/>
    <w:link w:val="CommentSubject"/>
    <w:rsid w:val="008F7491"/>
    <w:rPr>
      <w:rFonts w:ascii="Arial" w:eastAsia="Times New Roman" w:hAnsi="Arial" w:cs="Times New Roman"/>
      <w:b/>
      <w:bCs/>
      <w:color w:val="000000"/>
      <w:sz w:val="20"/>
      <w:szCs w:val="20"/>
      <w:lang w:eastAsia="en-AU"/>
    </w:rPr>
  </w:style>
  <w:style w:type="paragraph" w:customStyle="1" w:styleId="Clearformatting">
    <w:name w:val="Clear formatting"/>
    <w:basedOn w:val="Heading2"/>
    <w:rsid w:val="008F7491"/>
    <w:pPr>
      <w:numPr>
        <w:ilvl w:val="0"/>
        <w:numId w:val="0"/>
      </w:numPr>
    </w:pPr>
    <w:rPr>
      <w:lang w:val="en-US"/>
    </w:rPr>
  </w:style>
  <w:style w:type="paragraph" w:styleId="NormalWeb">
    <w:name w:val="Normal (Web)"/>
    <w:basedOn w:val="Normal"/>
    <w:uiPriority w:val="99"/>
    <w:rsid w:val="008F7491"/>
    <w:rPr>
      <w:rFonts w:ascii="Times New Roman" w:hAnsi="Times New Roman"/>
      <w:sz w:val="24"/>
      <w:szCs w:val="24"/>
    </w:rPr>
  </w:style>
  <w:style w:type="paragraph" w:styleId="NoSpacing">
    <w:name w:val="No Spacing"/>
    <w:link w:val="NoSpacingChar"/>
    <w:qFormat/>
    <w:rsid w:val="008F7491"/>
    <w:pPr>
      <w:spacing w:after="0" w:line="240" w:lineRule="auto"/>
    </w:pPr>
    <w:rPr>
      <w:rFonts w:ascii="Arial" w:eastAsia="Times New Roman" w:hAnsi="Arial" w:cs="Times New Roman"/>
      <w:color w:val="000000"/>
      <w:sz w:val="20"/>
      <w:szCs w:val="20"/>
      <w:lang w:eastAsia="en-AU"/>
    </w:rPr>
  </w:style>
  <w:style w:type="numbering" w:customStyle="1" w:styleId="Numbers">
    <w:name w:val="Numbers"/>
    <w:uiPriority w:val="99"/>
    <w:rsid w:val="008F7491"/>
    <w:pPr>
      <w:numPr>
        <w:numId w:val="5"/>
      </w:numPr>
    </w:pPr>
  </w:style>
  <w:style w:type="character" w:customStyle="1" w:styleId="A5">
    <w:name w:val="A5"/>
    <w:uiPriority w:val="99"/>
    <w:rsid w:val="008F7491"/>
    <w:rPr>
      <w:rFonts w:cs="Swiss 721 BT"/>
      <w:color w:val="000000"/>
      <w:sz w:val="20"/>
      <w:szCs w:val="20"/>
    </w:rPr>
  </w:style>
  <w:style w:type="paragraph" w:customStyle="1" w:styleId="OutlineNumbered37">
    <w:name w:val="Outline Numbered 3.7"/>
    <w:basedOn w:val="OutlineNumbered3"/>
    <w:qFormat/>
    <w:rsid w:val="008F7491"/>
    <w:pPr>
      <w:numPr>
        <w:numId w:val="6"/>
      </w:numPr>
      <w:tabs>
        <w:tab w:val="clear" w:pos="1416"/>
        <w:tab w:val="left" w:pos="709"/>
      </w:tabs>
      <w:ind w:left="0" w:firstLine="0"/>
    </w:pPr>
    <w:rPr>
      <w:color w:val="auto"/>
    </w:rPr>
  </w:style>
  <w:style w:type="paragraph" w:customStyle="1" w:styleId="OutlineNumbered372">
    <w:name w:val="Outline Numbered 3.7.2"/>
    <w:basedOn w:val="OutlineNumbered37"/>
    <w:qFormat/>
    <w:rsid w:val="008F7491"/>
    <w:pPr>
      <w:numPr>
        <w:ilvl w:val="0"/>
        <w:numId w:val="7"/>
      </w:numPr>
      <w:ind w:left="0" w:firstLine="0"/>
    </w:pPr>
  </w:style>
  <w:style w:type="paragraph" w:customStyle="1" w:styleId="OutlineNumbered373">
    <w:name w:val="Outline Numbered 3.7.3"/>
    <w:basedOn w:val="OutlineNumbered372"/>
    <w:qFormat/>
    <w:rsid w:val="008F7491"/>
    <w:pPr>
      <w:numPr>
        <w:numId w:val="8"/>
      </w:numPr>
      <w:ind w:left="0" w:firstLine="0"/>
    </w:pPr>
  </w:style>
  <w:style w:type="paragraph" w:customStyle="1" w:styleId="Heading2Appendix">
    <w:name w:val="Heading 2 (Appendix)"/>
    <w:basedOn w:val="Heading2notnumbered"/>
    <w:qFormat/>
    <w:rsid w:val="0088121D"/>
    <w:pPr>
      <w:spacing w:before="240"/>
      <w:outlineLvl w:val="9"/>
    </w:pPr>
    <w:rPr>
      <w:caps/>
      <w:smallCaps/>
    </w:rPr>
  </w:style>
  <w:style w:type="paragraph" w:customStyle="1" w:styleId="OutlineNumbered1Hidden">
    <w:name w:val="Outline Numbered 1 (Hidden)"/>
    <w:basedOn w:val="OutlineNumbered1"/>
    <w:qFormat/>
    <w:rsid w:val="008F7491"/>
    <w:pPr>
      <w:spacing w:after="0" w:line="240" w:lineRule="auto"/>
      <w:ind w:left="471" w:hanging="471"/>
    </w:pPr>
    <w:rPr>
      <w:vanish/>
    </w:rPr>
  </w:style>
  <w:style w:type="paragraph" w:customStyle="1" w:styleId="OutlineNumbered2Hidden">
    <w:name w:val="Outline Numbered 2 (Hidden)"/>
    <w:basedOn w:val="OutlineNumbered2"/>
    <w:qFormat/>
    <w:rsid w:val="008F7491"/>
    <w:rPr>
      <w:vanish/>
    </w:rPr>
  </w:style>
  <w:style w:type="paragraph" w:styleId="Revision">
    <w:name w:val="Revision"/>
    <w:hidden/>
    <w:uiPriority w:val="99"/>
    <w:semiHidden/>
    <w:rsid w:val="008F7491"/>
    <w:pPr>
      <w:spacing w:after="0" w:line="240" w:lineRule="auto"/>
    </w:pPr>
    <w:rPr>
      <w:rFonts w:ascii="Arial" w:eastAsia="Times New Roman" w:hAnsi="Arial" w:cs="Times New Roman"/>
      <w:color w:val="000000"/>
      <w:sz w:val="20"/>
      <w:szCs w:val="20"/>
      <w:lang w:eastAsia="en-AU"/>
    </w:rPr>
  </w:style>
  <w:style w:type="paragraph" w:customStyle="1" w:styleId="Heading3Appendix">
    <w:name w:val="Heading 3 (Appendix)"/>
    <w:basedOn w:val="Heading3notnumbered"/>
    <w:rsid w:val="00263E2D"/>
    <w:rPr>
      <w:color w:val="74000E" w:themeColor="accent1"/>
    </w:rPr>
  </w:style>
  <w:style w:type="paragraph" w:customStyle="1" w:styleId="OutlineNumbered43">
    <w:name w:val="Outline Numbered 4.3"/>
    <w:basedOn w:val="OutlineNumbered3"/>
    <w:rsid w:val="00E332DE"/>
    <w:pPr>
      <w:numPr>
        <w:ilvl w:val="0"/>
        <w:numId w:val="9"/>
      </w:numPr>
      <w:tabs>
        <w:tab w:val="left" w:pos="709"/>
      </w:tabs>
      <w:ind w:left="709" w:hanging="709"/>
    </w:pPr>
  </w:style>
  <w:style w:type="paragraph" w:customStyle="1" w:styleId="OutlineNumbered44">
    <w:name w:val="Outline Numbered 4.4"/>
    <w:basedOn w:val="OutlineNumbered43"/>
    <w:rsid w:val="00620E8A"/>
    <w:pPr>
      <w:numPr>
        <w:numId w:val="10"/>
      </w:numPr>
      <w:ind w:left="709" w:hanging="709"/>
    </w:pPr>
  </w:style>
  <w:style w:type="paragraph" w:customStyle="1" w:styleId="OutlineNumbered45">
    <w:name w:val="Outline Numbered 4.5"/>
    <w:basedOn w:val="OutlineNumbered44"/>
    <w:rsid w:val="00620E8A"/>
    <w:pPr>
      <w:numPr>
        <w:numId w:val="11"/>
      </w:numPr>
    </w:pPr>
  </w:style>
  <w:style w:type="paragraph" w:customStyle="1" w:styleId="OutlineNumbered46">
    <w:name w:val="Outline Numbered 4.6"/>
    <w:basedOn w:val="OutlineNumbered45"/>
    <w:rsid w:val="00620E8A"/>
    <w:pPr>
      <w:numPr>
        <w:numId w:val="12"/>
      </w:numPr>
      <w:ind w:left="709" w:hanging="709"/>
    </w:pPr>
  </w:style>
  <w:style w:type="character" w:customStyle="1" w:styleId="BulletChar">
    <w:name w:val="Bullet Char"/>
    <w:basedOn w:val="DefaultParagraphFont"/>
    <w:link w:val="Bullet"/>
    <w:rsid w:val="0082702F"/>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EA0004"/>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EA00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autoRedefine/>
    <w:unhideWhenUsed/>
    <w:qFormat/>
    <w:rsid w:val="0040224A"/>
    <w:pPr>
      <w:keepNext/>
      <w:spacing w:after="200" w:line="240" w:lineRule="auto"/>
      <w:ind w:firstLine="0"/>
      <w:jc w:val="left"/>
    </w:pPr>
    <w:rPr>
      <w:b/>
      <w:bCs/>
      <w:snapToGrid w:val="0"/>
      <w:color w:val="74000E" w:themeColor="accent1"/>
      <w:sz w:val="18"/>
      <w:szCs w:val="18"/>
    </w:rPr>
  </w:style>
  <w:style w:type="paragraph" w:customStyle="1" w:styleId="HeadingCoverPage">
    <w:name w:val="Heading Cover Page"/>
    <w:basedOn w:val="Normal"/>
    <w:next w:val="Normal"/>
    <w:uiPriority w:val="99"/>
    <w:rsid w:val="00263E2D"/>
    <w:pPr>
      <w:kinsoku w:val="0"/>
      <w:overflowPunct w:val="0"/>
      <w:autoSpaceDE w:val="0"/>
      <w:autoSpaceDN w:val="0"/>
      <w:adjustRightInd w:val="0"/>
      <w:snapToGrid w:val="0"/>
      <w:spacing w:after="0" w:line="240" w:lineRule="auto"/>
      <w:ind w:left="-850" w:right="-510"/>
      <w:jc w:val="left"/>
    </w:pPr>
    <w:rPr>
      <w:rFonts w:cs="Arial"/>
      <w:b/>
      <w:bCs/>
      <w:snapToGrid w:val="0"/>
      <w:color w:val="0E4E77" w:themeColor="accent6"/>
      <w:sz w:val="56"/>
      <w:szCs w:val="56"/>
      <w:lang w:eastAsia="en-US"/>
    </w:rPr>
  </w:style>
  <w:style w:type="paragraph" w:customStyle="1" w:styleId="Bullet1">
    <w:name w:val="Bullet 1"/>
    <w:basedOn w:val="Bullet"/>
    <w:rsid w:val="0082702F"/>
    <w:pPr>
      <w:numPr>
        <w:numId w:val="0"/>
      </w:numPr>
    </w:pPr>
  </w:style>
  <w:style w:type="paragraph" w:customStyle="1" w:styleId="Bullet2">
    <w:name w:val="Bullet 2"/>
    <w:basedOn w:val="Bullet1"/>
    <w:rsid w:val="00844854"/>
    <w:pPr>
      <w:tabs>
        <w:tab w:val="num" w:pos="1276"/>
      </w:tabs>
      <w:ind w:left="1276" w:hanging="284"/>
    </w:pPr>
  </w:style>
  <w:style w:type="paragraph" w:customStyle="1" w:styleId="Bullet3">
    <w:name w:val="Bullet 3"/>
    <w:basedOn w:val="Bullet2"/>
    <w:rsid w:val="00844854"/>
    <w:pPr>
      <w:numPr>
        <w:ilvl w:val="2"/>
      </w:numPr>
      <w:tabs>
        <w:tab w:val="num" w:pos="1276"/>
      </w:tabs>
      <w:ind w:left="1276" w:hanging="284"/>
    </w:pPr>
  </w:style>
  <w:style w:type="paragraph" w:customStyle="1" w:styleId="Bullet4">
    <w:name w:val="Bullet 4"/>
    <w:basedOn w:val="Bullet3"/>
    <w:rsid w:val="00844854"/>
    <w:pPr>
      <w:numPr>
        <w:ilvl w:val="3"/>
      </w:numPr>
      <w:tabs>
        <w:tab w:val="num" w:pos="1276"/>
      </w:tabs>
      <w:ind w:left="1276" w:hanging="284"/>
    </w:pPr>
  </w:style>
  <w:style w:type="paragraph" w:customStyle="1" w:styleId="StyleTableTextNormal9ptText2Before3ptAfter2pt">
    <w:name w:val="Style Table Text Normal + 9 pt Text 2 Before:  3 pt After:  2 pt"/>
    <w:basedOn w:val="Normal"/>
    <w:uiPriority w:val="99"/>
    <w:rsid w:val="00844854"/>
    <w:pPr>
      <w:kinsoku w:val="0"/>
      <w:overflowPunct w:val="0"/>
      <w:autoSpaceDE w:val="0"/>
      <w:autoSpaceDN w:val="0"/>
      <w:adjustRightInd w:val="0"/>
      <w:snapToGrid w:val="0"/>
      <w:spacing w:before="60" w:after="40" w:line="240" w:lineRule="auto"/>
      <w:jc w:val="left"/>
    </w:pPr>
    <w:rPr>
      <w:rFonts w:asciiTheme="minorHAnsi" w:hAnsiTheme="minorHAnsi"/>
      <w:color w:val="E0301E"/>
      <w:sz w:val="18"/>
      <w:lang w:eastAsia="en-US"/>
    </w:rPr>
  </w:style>
  <w:style w:type="numbering" w:customStyle="1" w:styleId="Bullets">
    <w:name w:val="Bullets"/>
    <w:uiPriority w:val="99"/>
    <w:rsid w:val="00844854"/>
    <w:pPr>
      <w:numPr>
        <w:numId w:val="13"/>
      </w:numPr>
    </w:pPr>
  </w:style>
  <w:style w:type="character" w:customStyle="1" w:styleId="ListBulletChar">
    <w:name w:val="List Bullet Char"/>
    <w:basedOn w:val="DefaultParagraphFont"/>
    <w:link w:val="ListBullet"/>
    <w:uiPriority w:val="14"/>
    <w:locked/>
    <w:rsid w:val="00CA4FBB"/>
    <w:rPr>
      <w:rFonts w:cs="Arial"/>
      <w:color w:val="404040" w:themeColor="text1" w:themeTint="BF"/>
    </w:rPr>
  </w:style>
  <w:style w:type="paragraph" w:styleId="ListBullet">
    <w:name w:val="List Bullet"/>
    <w:basedOn w:val="Normal"/>
    <w:link w:val="ListBulletChar"/>
    <w:uiPriority w:val="14"/>
    <w:unhideWhenUsed/>
    <w:qFormat/>
    <w:rsid w:val="00CA4FBB"/>
    <w:pPr>
      <w:numPr>
        <w:numId w:val="14"/>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styleId="ListBullet5">
    <w:name w:val="List Bullet 5"/>
    <w:basedOn w:val="Normal"/>
    <w:unhideWhenUsed/>
    <w:rsid w:val="00753176"/>
    <w:pPr>
      <w:numPr>
        <w:ilvl w:val="4"/>
        <w:numId w:val="14"/>
      </w:numPr>
      <w:kinsoku w:val="0"/>
      <w:overflowPunct w:val="0"/>
      <w:autoSpaceDE w:val="0"/>
      <w:autoSpaceDN w:val="0"/>
      <w:adjustRightInd w:val="0"/>
      <w:snapToGrid w:val="0"/>
      <w:spacing w:before="120" w:after="120" w:line="240" w:lineRule="auto"/>
      <w:contextualSpacing/>
      <w:jc w:val="left"/>
    </w:pPr>
    <w:rPr>
      <w:rFonts w:asciiTheme="minorHAnsi" w:hAnsiTheme="minorHAnsi" w:cs="Arial"/>
      <w:color w:val="404040" w:themeColor="text1" w:themeTint="BF"/>
      <w:lang w:eastAsia="en-US"/>
    </w:rPr>
  </w:style>
  <w:style w:type="paragraph" w:customStyle="1" w:styleId="Indent1">
    <w:name w:val="Indent 1"/>
    <w:basedOn w:val="Normal"/>
    <w:rsid w:val="000E2D13"/>
    <w:pPr>
      <w:numPr>
        <w:ilvl w:val="1"/>
        <w:numId w:val="15"/>
      </w:numPr>
      <w:kinsoku w:val="0"/>
      <w:overflowPunct w:val="0"/>
      <w:autoSpaceDE w:val="0"/>
      <w:autoSpaceDN w:val="0"/>
      <w:adjustRightInd w:val="0"/>
      <w:snapToGrid w:val="0"/>
      <w:spacing w:before="100" w:after="100" w:line="240" w:lineRule="auto"/>
      <w:jc w:val="left"/>
    </w:pPr>
    <w:rPr>
      <w:rFonts w:asciiTheme="minorHAnsi" w:hAnsiTheme="minorHAnsi"/>
      <w:color w:val="404040" w:themeColor="text1" w:themeTint="BF"/>
      <w:lang w:eastAsia="en-US"/>
    </w:rPr>
  </w:style>
  <w:style w:type="paragraph" w:customStyle="1" w:styleId="Indent2">
    <w:name w:val="Indent 2"/>
    <w:basedOn w:val="Indent1"/>
    <w:rsid w:val="000E2D13"/>
    <w:pPr>
      <w:numPr>
        <w:ilvl w:val="2"/>
      </w:numPr>
    </w:pPr>
  </w:style>
  <w:style w:type="paragraph" w:customStyle="1" w:styleId="Indent3">
    <w:name w:val="Indent 3"/>
    <w:basedOn w:val="Indent2"/>
    <w:rsid w:val="000E2D13"/>
    <w:pPr>
      <w:numPr>
        <w:ilvl w:val="3"/>
      </w:numPr>
    </w:pPr>
  </w:style>
  <w:style w:type="paragraph" w:customStyle="1" w:styleId="Indent4">
    <w:name w:val="Indent 4"/>
    <w:basedOn w:val="Indent3"/>
    <w:rsid w:val="000E2D13"/>
    <w:pPr>
      <w:numPr>
        <w:ilvl w:val="4"/>
      </w:numPr>
    </w:pPr>
  </w:style>
  <w:style w:type="character" w:customStyle="1" w:styleId="PwCNormalChar">
    <w:name w:val="PwC Normal Char"/>
    <w:basedOn w:val="DefaultParagraphFont"/>
    <w:link w:val="PwCNormal"/>
    <w:locked/>
    <w:rsid w:val="000E2D13"/>
    <w:rPr>
      <w:rFonts w:cs="Arial"/>
      <w:color w:val="404040" w:themeColor="text1" w:themeTint="BF"/>
    </w:rPr>
  </w:style>
  <w:style w:type="paragraph" w:customStyle="1" w:styleId="PwCNormal">
    <w:name w:val="PwC Normal"/>
    <w:basedOn w:val="Normal"/>
    <w:link w:val="PwCNormalChar"/>
    <w:qFormat/>
    <w:rsid w:val="000E2D13"/>
    <w:pPr>
      <w:numPr>
        <w:numId w:val="15"/>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customStyle="1" w:styleId="Indent5">
    <w:name w:val="Indent 5"/>
    <w:basedOn w:val="Indent4"/>
    <w:rsid w:val="000E2D13"/>
    <w:pPr>
      <w:numPr>
        <w:ilvl w:val="5"/>
      </w:numPr>
    </w:pPr>
  </w:style>
  <w:style w:type="paragraph" w:customStyle="1" w:styleId="Indent6">
    <w:name w:val="Indent 6"/>
    <w:basedOn w:val="Indent5"/>
    <w:rsid w:val="000E2D13"/>
    <w:pPr>
      <w:numPr>
        <w:ilvl w:val="6"/>
      </w:numPr>
    </w:pPr>
  </w:style>
  <w:style w:type="paragraph" w:customStyle="1" w:styleId="Indent7">
    <w:name w:val="Indent 7"/>
    <w:basedOn w:val="Indent6"/>
    <w:rsid w:val="000E2D13"/>
    <w:pPr>
      <w:numPr>
        <w:ilvl w:val="7"/>
      </w:numPr>
    </w:pPr>
  </w:style>
  <w:style w:type="paragraph" w:customStyle="1" w:styleId="Indent8">
    <w:name w:val="Indent 8"/>
    <w:basedOn w:val="Indent7"/>
    <w:rsid w:val="000E2D13"/>
    <w:pPr>
      <w:numPr>
        <w:ilvl w:val="8"/>
      </w:numPr>
    </w:pPr>
  </w:style>
  <w:style w:type="character" w:customStyle="1" w:styleId="TableTextSmallChar">
    <w:name w:val="Table Text Small Char"/>
    <w:basedOn w:val="DefaultParagraphFont"/>
    <w:link w:val="TableTextSmall"/>
    <w:locked/>
    <w:rsid w:val="00740E4E"/>
    <w:rPr>
      <w:rFonts w:cs="Arial"/>
      <w:color w:val="404040" w:themeColor="text1" w:themeTint="BF"/>
      <w:sz w:val="16"/>
      <w:szCs w:val="18"/>
    </w:rPr>
  </w:style>
  <w:style w:type="paragraph" w:customStyle="1" w:styleId="TableTextSmall">
    <w:name w:val="Table Text Small"/>
    <w:basedOn w:val="Normal"/>
    <w:link w:val="TableTextSmallChar"/>
    <w:rsid w:val="00740E4E"/>
    <w:pPr>
      <w:kinsoku w:val="0"/>
      <w:overflowPunct w:val="0"/>
      <w:autoSpaceDE w:val="0"/>
      <w:autoSpaceDN w:val="0"/>
      <w:adjustRightInd w:val="0"/>
      <w:snapToGrid w:val="0"/>
      <w:spacing w:before="40" w:after="40" w:line="240" w:lineRule="auto"/>
      <w:jc w:val="left"/>
    </w:pPr>
    <w:rPr>
      <w:rFonts w:asciiTheme="minorHAnsi" w:eastAsiaTheme="minorHAnsi" w:hAnsiTheme="minorHAnsi" w:cs="Arial"/>
      <w:color w:val="404040" w:themeColor="text1" w:themeTint="BF"/>
      <w:sz w:val="16"/>
      <w:szCs w:val="18"/>
      <w:lang w:eastAsia="en-US"/>
    </w:rPr>
  </w:style>
  <w:style w:type="paragraph" w:customStyle="1" w:styleId="TableColumnHeadingSmall">
    <w:name w:val="Table Column Heading Small"/>
    <w:basedOn w:val="TableTextSmall"/>
    <w:next w:val="TableTextSmall"/>
    <w:rsid w:val="00740E4E"/>
    <w:pPr>
      <w:keepNext/>
      <w:keepLines/>
    </w:pPr>
    <w:rPr>
      <w:b/>
      <w:color w:val="F2D2D5" w:themeColor="background2"/>
      <w:szCs w:val="16"/>
    </w:rPr>
  </w:style>
  <w:style w:type="paragraph" w:customStyle="1" w:styleId="Heading3ExecutiveSummary">
    <w:name w:val="Heading 3 Executive Summary"/>
    <w:basedOn w:val="Heading3"/>
    <w:uiPriority w:val="99"/>
    <w:qFormat/>
    <w:rsid w:val="00740E4E"/>
    <w:pPr>
      <w:kinsoku w:val="0"/>
      <w:overflowPunct w:val="0"/>
      <w:autoSpaceDE w:val="0"/>
      <w:autoSpaceDN w:val="0"/>
      <w:adjustRightInd w:val="0"/>
      <w:snapToGrid w:val="0"/>
      <w:spacing w:before="240"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740E4E"/>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0E4E77" w:themeColor="accent6"/>
        <w:left w:val="single" w:sz="4" w:space="0" w:color="0E4E77" w:themeColor="accent6"/>
        <w:bottom w:val="single" w:sz="4" w:space="0" w:color="0E4E77" w:themeColor="accent6"/>
        <w:right w:val="single" w:sz="4" w:space="0" w:color="0E4E77" w:themeColor="accent6"/>
      </w:tblBorders>
    </w:tblPr>
    <w:tblStylePr w:type="firstRow">
      <w:rPr>
        <w:b/>
        <w:bCs/>
        <w:color w:val="FFFFFF" w:themeColor="background1"/>
      </w:rPr>
      <w:tblPr/>
      <w:tcPr>
        <w:shd w:val="clear" w:color="auto" w:fill="0E4E77" w:themeFill="accent6"/>
      </w:tcPr>
    </w:tblStylePr>
    <w:tblStylePr w:type="lastRow">
      <w:rPr>
        <w:b/>
        <w:bCs/>
        <w:color w:val="auto"/>
      </w:rPr>
      <w:tblPr/>
      <w:tcPr>
        <w:tcBorders>
          <w:top w:val="double" w:sz="4" w:space="0" w:color="0E4E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6"/>
          <w:right w:val="single" w:sz="4" w:space="0" w:color="0E4E77" w:themeColor="accent6"/>
        </w:tcBorders>
      </w:tcPr>
    </w:tblStylePr>
    <w:tblStylePr w:type="band1Horz">
      <w:tblPr/>
      <w:tcPr>
        <w:tcBorders>
          <w:top w:val="single" w:sz="4" w:space="0" w:color="0E4E77" w:themeColor="accent6"/>
          <w:bottom w:val="single" w:sz="4" w:space="0" w:color="0E4E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6"/>
          <w:left w:val="nil"/>
        </w:tcBorders>
      </w:tcPr>
    </w:tblStylePr>
    <w:tblStylePr w:type="swCell">
      <w:tblPr/>
      <w:tcPr>
        <w:tcBorders>
          <w:top w:val="double" w:sz="4" w:space="0" w:color="0E4E77" w:themeColor="accent6"/>
          <w:right w:val="nil"/>
        </w:tcBorders>
      </w:tcPr>
    </w:tblStylePr>
  </w:style>
  <w:style w:type="paragraph" w:customStyle="1" w:styleId="Sources">
    <w:name w:val="Sources"/>
    <w:basedOn w:val="Normal"/>
    <w:next w:val="PwCNormal"/>
    <w:rsid w:val="00B15BFA"/>
    <w:pPr>
      <w:kinsoku w:val="0"/>
      <w:overflowPunct w:val="0"/>
      <w:autoSpaceDE w:val="0"/>
      <w:autoSpaceDN w:val="0"/>
      <w:adjustRightInd w:val="0"/>
      <w:snapToGrid w:val="0"/>
      <w:spacing w:before="80" w:after="80" w:line="180" w:lineRule="atLeast"/>
      <w:jc w:val="left"/>
    </w:pPr>
    <w:rPr>
      <w:rFonts w:asciiTheme="minorHAnsi" w:hAnsiTheme="minorHAnsi" w:cs="Arial"/>
      <w:color w:val="E0301E"/>
      <w:sz w:val="16"/>
      <w:lang w:eastAsia="en-US"/>
    </w:rPr>
  </w:style>
  <w:style w:type="paragraph" w:customStyle="1" w:styleId="PwCNormal-keepwithnext">
    <w:name w:val="PwC Normal - keep with next"/>
    <w:basedOn w:val="PwCNormal"/>
    <w:uiPriority w:val="99"/>
    <w:qFormat/>
    <w:rsid w:val="00B15BFA"/>
    <w:pPr>
      <w:keepNext/>
      <w:numPr>
        <w:numId w:val="0"/>
      </w:numPr>
      <w:tabs>
        <w:tab w:val="num" w:pos="992"/>
      </w:tabs>
      <w:ind w:left="992" w:hanging="283"/>
    </w:pPr>
  </w:style>
  <w:style w:type="table" w:customStyle="1" w:styleId="SmartTextTable1">
    <w:name w:val="Smart Text Table1"/>
    <w:basedOn w:val="TableNormal"/>
    <w:next w:val="TableGrid"/>
    <w:uiPriority w:val="59"/>
    <w:rsid w:val="00B15BF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4013A"/>
    <w:rPr>
      <w:rFonts w:asciiTheme="majorHAnsi" w:eastAsiaTheme="majorEastAsia" w:hAnsiTheme="majorHAnsi" w:cs="Arial"/>
      <w:bCs/>
      <w:iCs/>
      <w:smallCaps/>
      <w:color w:val="E0301E"/>
      <w:sz w:val="32"/>
      <w:szCs w:val="36"/>
    </w:rPr>
  </w:style>
  <w:style w:type="paragraph" w:customStyle="1" w:styleId="Heading2ExecutiveSummary">
    <w:name w:val="Heading 2 Executive Summary"/>
    <w:basedOn w:val="Heading2"/>
    <w:link w:val="Heading2ExecutiveSummaryChar"/>
    <w:uiPriority w:val="99"/>
    <w:qFormat/>
    <w:rsid w:val="00A4013A"/>
    <w:pPr>
      <w:keepLines/>
      <w:numPr>
        <w:numId w:val="16"/>
      </w:numPr>
      <w:tabs>
        <w:tab w:val="clear" w:pos="709"/>
      </w:tabs>
      <w:kinsoku w:val="0"/>
      <w:overflowPunct w:val="0"/>
      <w:autoSpaceDE w:val="0"/>
      <w:autoSpaceDN w:val="0"/>
      <w:adjustRightInd w:val="0"/>
      <w:snapToGrid w:val="0"/>
      <w:spacing w:after="0"/>
    </w:pPr>
    <w:rPr>
      <w:rFonts w:asciiTheme="majorHAnsi" w:eastAsiaTheme="majorEastAsia" w:hAnsiTheme="majorHAnsi"/>
      <w:b w:val="0"/>
      <w:smallCaps/>
      <w:color w:val="E0301E"/>
      <w:sz w:val="32"/>
      <w:szCs w:val="36"/>
      <w:lang w:eastAsia="en-US"/>
    </w:rPr>
  </w:style>
  <w:style w:type="character" w:customStyle="1" w:styleId="MinorheadingChar">
    <w:name w:val="Minor heading Char"/>
    <w:basedOn w:val="DefaultParagraphFont"/>
    <w:link w:val="Minorheading"/>
    <w:locked/>
    <w:rsid w:val="006F28AC"/>
    <w:rPr>
      <w:rFonts w:asciiTheme="majorHAnsi" w:hAnsiTheme="majorHAnsi" w:cs="Arial"/>
      <w:i/>
      <w:color w:val="E0301E"/>
      <w:szCs w:val="24"/>
    </w:rPr>
  </w:style>
  <w:style w:type="paragraph" w:customStyle="1" w:styleId="Minorheading">
    <w:name w:val="Minor heading"/>
    <w:basedOn w:val="Normal"/>
    <w:next w:val="PwCNormal"/>
    <w:link w:val="MinorheadingChar"/>
    <w:rsid w:val="006F28AC"/>
    <w:pPr>
      <w:keepNext/>
      <w:keepLines/>
      <w:kinsoku w:val="0"/>
      <w:overflowPunct w:val="0"/>
      <w:autoSpaceDE w:val="0"/>
      <w:autoSpaceDN w:val="0"/>
      <w:adjustRightInd w:val="0"/>
      <w:snapToGrid w:val="0"/>
      <w:spacing w:before="240" w:after="120" w:line="180" w:lineRule="atLeast"/>
      <w:jc w:val="left"/>
    </w:pPr>
    <w:rPr>
      <w:rFonts w:asciiTheme="majorHAnsi" w:eastAsiaTheme="minorHAnsi" w:hAnsiTheme="majorHAnsi" w:cs="Arial"/>
      <w:i/>
      <w:color w:val="E0301E"/>
      <w:sz w:val="22"/>
      <w:szCs w:val="24"/>
      <w:lang w:eastAsia="en-US"/>
    </w:rPr>
  </w:style>
  <w:style w:type="paragraph" w:customStyle="1" w:styleId="TableTextSmalltopic">
    <w:name w:val="Table Text Small topic"/>
    <w:basedOn w:val="TableTextSmall"/>
    <w:uiPriority w:val="99"/>
    <w:qFormat/>
    <w:rsid w:val="006F28AC"/>
    <w:rPr>
      <w:b/>
    </w:rPr>
  </w:style>
  <w:style w:type="table" w:customStyle="1" w:styleId="Tables-APBase">
    <w:name w:val="Tables - AP Base"/>
    <w:basedOn w:val="TableNormal"/>
    <w:rsid w:val="006F28AC"/>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Georgia" w:hAnsi="Georgia"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0F09DE"/>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32D7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4E77" w:themeColor="accent6"/>
        <w:left w:val="single" w:sz="8" w:space="0" w:color="0E4E77" w:themeColor="accent6"/>
        <w:bottom w:val="single" w:sz="8" w:space="0" w:color="0E4E77" w:themeColor="accent6"/>
        <w:right w:val="single" w:sz="8" w:space="0" w:color="0E4E77" w:themeColor="accent6"/>
      </w:tblBorders>
    </w:tblPr>
    <w:tblStylePr w:type="firstRow">
      <w:pPr>
        <w:spacing w:before="0" w:after="0" w:line="240" w:lineRule="auto"/>
      </w:pPr>
      <w:rPr>
        <w:b/>
        <w:bCs/>
        <w:color w:val="FFFFFF" w:themeColor="background1"/>
      </w:rPr>
      <w:tblPr/>
      <w:tcPr>
        <w:shd w:val="clear" w:color="auto" w:fill="0E4E77" w:themeFill="accent6"/>
      </w:tcPr>
    </w:tblStylePr>
    <w:tblStylePr w:type="lastRow">
      <w:pPr>
        <w:spacing w:before="0" w:after="0" w:line="240" w:lineRule="auto"/>
      </w:pPr>
      <w:rPr>
        <w:b/>
        <w:bCs/>
      </w:rPr>
      <w:tblPr/>
      <w:tcPr>
        <w:tcBorders>
          <w:top w:val="double" w:sz="6" w:space="0" w:color="0E4E77" w:themeColor="accent6"/>
          <w:left w:val="single" w:sz="8" w:space="0" w:color="0E4E77" w:themeColor="accent6"/>
          <w:bottom w:val="single" w:sz="8" w:space="0" w:color="0E4E77" w:themeColor="accent6"/>
          <w:right w:val="single" w:sz="8" w:space="0" w:color="0E4E77" w:themeColor="accent6"/>
        </w:tcBorders>
      </w:tcPr>
    </w:tblStylePr>
    <w:tblStylePr w:type="firstCol">
      <w:rPr>
        <w:b/>
        <w:bCs/>
      </w:rPr>
    </w:tblStylePr>
    <w:tblStylePr w:type="lastCol">
      <w:rPr>
        <w:b/>
        <w:bCs/>
      </w:rPr>
    </w:tblStylePr>
    <w:tblStylePr w:type="band1Vert">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tblStylePr w:type="band1Horz">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style>
  <w:style w:type="numbering" w:customStyle="1" w:styleId="NormalWhiteBullet">
    <w:name w:val="Normal White Bullet"/>
    <w:uiPriority w:val="99"/>
    <w:rsid w:val="00F7050D"/>
    <w:pPr>
      <w:numPr>
        <w:numId w:val="17"/>
      </w:numPr>
    </w:pPr>
  </w:style>
  <w:style w:type="paragraph" w:customStyle="1" w:styleId="TableTextNormalWhiteBullet">
    <w:name w:val="Table Text Normal White Bullet"/>
    <w:basedOn w:val="Normal"/>
    <w:uiPriority w:val="99"/>
    <w:qFormat/>
    <w:rsid w:val="00F7050D"/>
    <w:pPr>
      <w:numPr>
        <w:numId w:val="17"/>
      </w:numPr>
      <w:kinsoku w:val="0"/>
      <w:overflowPunct w:val="0"/>
      <w:autoSpaceDE w:val="0"/>
      <w:autoSpaceDN w:val="0"/>
      <w:adjustRightInd w:val="0"/>
      <w:snapToGrid w:val="0"/>
      <w:spacing w:before="40" w:after="40" w:line="240" w:lineRule="auto"/>
      <w:jc w:val="left"/>
    </w:pPr>
    <w:rPr>
      <w:rFonts w:asciiTheme="minorHAnsi" w:hAnsiTheme="minorHAnsi" w:cs="Arial"/>
      <w:snapToGrid w:val="0"/>
      <w:color w:val="FFFFFF" w:themeColor="background1"/>
      <w:lang w:eastAsia="en-US"/>
    </w:rPr>
  </w:style>
  <w:style w:type="paragraph" w:styleId="ListContinue">
    <w:name w:val="List Continue"/>
    <w:basedOn w:val="Normal"/>
    <w:semiHidden/>
    <w:rsid w:val="00981EB7"/>
    <w:pPr>
      <w:kinsoku w:val="0"/>
      <w:overflowPunct w:val="0"/>
      <w:autoSpaceDE w:val="0"/>
      <w:autoSpaceDN w:val="0"/>
      <w:adjustRightInd w:val="0"/>
      <w:snapToGrid w:val="0"/>
      <w:spacing w:after="120" w:line="240" w:lineRule="auto"/>
      <w:ind w:left="283"/>
      <w:contextualSpacing/>
      <w:jc w:val="left"/>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6E1"/>
    <w:rPr>
      <w:i/>
      <w:iCs/>
    </w:rPr>
  </w:style>
  <w:style w:type="table" w:customStyle="1" w:styleId="SmartTextTable5">
    <w:name w:val="Smart Text Table5"/>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578AE"/>
  </w:style>
  <w:style w:type="table" w:customStyle="1" w:styleId="SmartTextTable7">
    <w:name w:val="Smart Text Table7"/>
    <w:basedOn w:val="TableNormal"/>
    <w:next w:val="TableGrid"/>
    <w:uiPriority w:val="59"/>
    <w:rsid w:val="005F262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C53E3"/>
    <w:pPr>
      <w:spacing w:after="0" w:line="240" w:lineRule="auto"/>
    </w:pPr>
    <w:tblPr>
      <w:tblStyleRowBandSize w:val="1"/>
      <w:tblStyleColBandSize w:val="1"/>
      <w:tblBorders>
        <w:top w:val="single" w:sz="4" w:space="0" w:color="0E3044" w:themeColor="accent2"/>
        <w:left w:val="single" w:sz="4" w:space="0" w:color="0E3044" w:themeColor="accent2"/>
        <w:bottom w:val="single" w:sz="4" w:space="0" w:color="0E3044" w:themeColor="accent2"/>
        <w:right w:val="single" w:sz="4" w:space="0" w:color="0E3044" w:themeColor="accent2"/>
      </w:tblBorders>
    </w:tblPr>
    <w:tblStylePr w:type="firstRow">
      <w:rPr>
        <w:b/>
        <w:bCs/>
        <w:color w:val="FFFFFF" w:themeColor="background1"/>
      </w:rPr>
      <w:tblPr/>
      <w:tcPr>
        <w:shd w:val="clear" w:color="auto" w:fill="0E3044" w:themeFill="accent2"/>
      </w:tcPr>
    </w:tblStylePr>
    <w:tblStylePr w:type="lastRow">
      <w:rPr>
        <w:b/>
        <w:bCs/>
      </w:rPr>
      <w:tblPr/>
      <w:tcPr>
        <w:tcBorders>
          <w:top w:val="double" w:sz="4" w:space="0" w:color="0E3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044" w:themeColor="accent2"/>
          <w:right w:val="single" w:sz="4" w:space="0" w:color="0E3044" w:themeColor="accent2"/>
        </w:tcBorders>
      </w:tcPr>
    </w:tblStylePr>
    <w:tblStylePr w:type="band1Horz">
      <w:tblPr/>
      <w:tcPr>
        <w:tcBorders>
          <w:top w:val="single" w:sz="4" w:space="0" w:color="0E3044" w:themeColor="accent2"/>
          <w:bottom w:val="single" w:sz="4" w:space="0" w:color="0E3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044" w:themeColor="accent2"/>
          <w:left w:val="nil"/>
        </w:tcBorders>
      </w:tcPr>
    </w:tblStylePr>
    <w:tblStylePr w:type="swCell">
      <w:tblPr/>
      <w:tcPr>
        <w:tcBorders>
          <w:top w:val="double" w:sz="4" w:space="0" w:color="0E3044" w:themeColor="accent2"/>
          <w:right w:val="nil"/>
        </w:tcBorders>
      </w:tcPr>
    </w:tblStylePr>
  </w:style>
  <w:style w:type="paragraph" w:styleId="Subtitle">
    <w:name w:val="Subtitle"/>
    <w:basedOn w:val="Normal"/>
    <w:next w:val="Normal"/>
    <w:link w:val="SubtitleChar"/>
    <w:uiPriority w:val="11"/>
    <w:qFormat/>
    <w:rsid w:val="000C43BA"/>
    <w:pPr>
      <w:numPr>
        <w:ilvl w:val="1"/>
      </w:numPr>
      <w:spacing w:after="160"/>
      <w:ind w:left="709" w:hanging="709"/>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3BA"/>
    <w:rPr>
      <w:rFonts w:eastAsiaTheme="minorEastAsia"/>
      <w:color w:val="5A5A5A" w:themeColor="text1" w:themeTint="A5"/>
      <w:spacing w:val="15"/>
      <w:lang w:eastAsia="en-AU"/>
    </w:rPr>
  </w:style>
  <w:style w:type="table" w:styleId="ListTable3-Accent1">
    <w:name w:val="List Table 3 Accent 1"/>
    <w:basedOn w:val="TableNormal"/>
    <w:uiPriority w:val="48"/>
    <w:rsid w:val="00854FF8"/>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D46714"/>
    <w:rPr>
      <w:b w:val="0"/>
      <w:color w:val="74000E" w:themeColor="accent1"/>
      <w:sz w:val="48"/>
    </w:rPr>
  </w:style>
  <w:style w:type="paragraph" w:customStyle="1" w:styleId="Glossaryterm">
    <w:name w:val="Glossary term"/>
    <w:basedOn w:val="Normal"/>
    <w:qFormat/>
    <w:rsid w:val="004A5231"/>
    <w:pPr>
      <w:spacing w:after="0"/>
    </w:pPr>
    <w:rPr>
      <w:color w:val="74000E" w:themeColor="accent1"/>
    </w:rPr>
  </w:style>
  <w:style w:type="paragraph" w:styleId="TableofFigures">
    <w:name w:val="table of figures"/>
    <w:basedOn w:val="Normal"/>
    <w:next w:val="Normal"/>
    <w:uiPriority w:val="99"/>
    <w:unhideWhenUsed/>
    <w:rsid w:val="00AC52DA"/>
    <w:pPr>
      <w:spacing w:after="0"/>
    </w:pPr>
  </w:style>
  <w:style w:type="table" w:styleId="ListTable3-Accent5">
    <w:name w:val="List Table 3 Accent 5"/>
    <w:basedOn w:val="TableNormal"/>
    <w:uiPriority w:val="48"/>
    <w:rsid w:val="00FE29EA"/>
    <w:pPr>
      <w:spacing w:after="0" w:line="240" w:lineRule="auto"/>
    </w:pPr>
    <w:tblPr>
      <w:tblStyleRowBandSize w:val="1"/>
      <w:tblStyleColBandSize w:val="1"/>
      <w:tblBorders>
        <w:top w:val="single" w:sz="4" w:space="0" w:color="510B17" w:themeColor="accent5"/>
        <w:left w:val="single" w:sz="4" w:space="0" w:color="510B17" w:themeColor="accent5"/>
        <w:bottom w:val="single" w:sz="4" w:space="0" w:color="510B17" w:themeColor="accent5"/>
        <w:right w:val="single" w:sz="4" w:space="0" w:color="510B17" w:themeColor="accent5"/>
      </w:tblBorders>
    </w:tblPr>
    <w:tblStylePr w:type="firstRow">
      <w:rPr>
        <w:b/>
        <w:bCs/>
        <w:color w:val="FFFFFF" w:themeColor="background1"/>
      </w:rPr>
      <w:tblPr/>
      <w:tcPr>
        <w:shd w:val="clear" w:color="auto" w:fill="510B17" w:themeFill="accent5"/>
      </w:tcPr>
    </w:tblStylePr>
    <w:tblStylePr w:type="lastRow">
      <w:rPr>
        <w:b/>
        <w:bCs/>
      </w:rPr>
      <w:tblPr/>
      <w:tcPr>
        <w:tcBorders>
          <w:top w:val="double" w:sz="4" w:space="0" w:color="510B1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B17" w:themeColor="accent5"/>
          <w:right w:val="single" w:sz="4" w:space="0" w:color="510B17" w:themeColor="accent5"/>
        </w:tcBorders>
      </w:tcPr>
    </w:tblStylePr>
    <w:tblStylePr w:type="band1Horz">
      <w:tblPr/>
      <w:tcPr>
        <w:tcBorders>
          <w:top w:val="single" w:sz="4" w:space="0" w:color="510B17" w:themeColor="accent5"/>
          <w:bottom w:val="single" w:sz="4" w:space="0" w:color="510B1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B17" w:themeColor="accent5"/>
          <w:left w:val="nil"/>
        </w:tcBorders>
      </w:tcPr>
    </w:tblStylePr>
    <w:tblStylePr w:type="swCell">
      <w:tblPr/>
      <w:tcPr>
        <w:tcBorders>
          <w:top w:val="double" w:sz="4" w:space="0" w:color="510B17" w:themeColor="accent5"/>
          <w:right w:val="nil"/>
        </w:tcBorders>
      </w:tcPr>
    </w:tblStylePr>
  </w:style>
  <w:style w:type="character" w:styleId="FollowedHyperlink">
    <w:name w:val="FollowedHyperlink"/>
    <w:basedOn w:val="DefaultParagraphFont"/>
    <w:semiHidden/>
    <w:unhideWhenUsed/>
    <w:rsid w:val="00D8603B"/>
    <w:rPr>
      <w:color w:val="954F72" w:themeColor="followedHyperlink"/>
      <w:u w:val="single"/>
    </w:rPr>
  </w:style>
  <w:style w:type="paragraph" w:styleId="BodyText">
    <w:name w:val="Body Text"/>
    <w:basedOn w:val="Normal"/>
    <w:link w:val="BodyTextChar"/>
    <w:rsid w:val="00620E54"/>
    <w:pPr>
      <w:tabs>
        <w:tab w:val="num" w:pos="850"/>
      </w:tabs>
      <w:spacing w:before="160" w:after="160" w:line="300" w:lineRule="atLeast"/>
      <w:ind w:left="850" w:hanging="850"/>
    </w:pPr>
    <w:rPr>
      <w:color w:val="auto"/>
      <w:lang w:eastAsia="en-US"/>
    </w:rPr>
  </w:style>
  <w:style w:type="character" w:customStyle="1" w:styleId="BodyTextChar">
    <w:name w:val="Body Text Char"/>
    <w:basedOn w:val="DefaultParagraphFont"/>
    <w:link w:val="BodyText"/>
    <w:rsid w:val="00620E54"/>
    <w:rPr>
      <w:rFonts w:ascii="Arial" w:eastAsia="Times New Roman" w:hAnsi="Arial" w:cs="Times New Roman"/>
      <w:sz w:val="20"/>
      <w:szCs w:val="20"/>
    </w:rPr>
  </w:style>
  <w:style w:type="paragraph" w:styleId="FootnoteText">
    <w:name w:val="footnote text"/>
    <w:basedOn w:val="Normal"/>
    <w:link w:val="FootnoteTextChar"/>
    <w:rsid w:val="00620E54"/>
    <w:pPr>
      <w:spacing w:before="160" w:line="300" w:lineRule="atLeast"/>
    </w:pPr>
    <w:rPr>
      <w:color w:val="auto"/>
      <w:sz w:val="18"/>
      <w:lang w:eastAsia="en-US"/>
    </w:rPr>
  </w:style>
  <w:style w:type="character" w:customStyle="1" w:styleId="FootnoteTextChar">
    <w:name w:val="Footnote Text Char"/>
    <w:basedOn w:val="DefaultParagraphFont"/>
    <w:link w:val="FootnoteText"/>
    <w:rsid w:val="00620E54"/>
    <w:rPr>
      <w:rFonts w:ascii="Arial" w:eastAsia="Times New Roman" w:hAnsi="Arial" w:cs="Times New Roman"/>
      <w:sz w:val="18"/>
      <w:szCs w:val="20"/>
    </w:rPr>
  </w:style>
  <w:style w:type="paragraph" w:customStyle="1" w:styleId="ReportTitle">
    <w:name w:val="Report Title"/>
    <w:basedOn w:val="Normal"/>
    <w:rsid w:val="00620E54"/>
    <w:pPr>
      <w:spacing w:before="4791" w:after="720" w:line="300" w:lineRule="atLeast"/>
      <w:jc w:val="center"/>
    </w:pPr>
    <w:rPr>
      <w:b/>
      <w:caps/>
      <w:color w:val="auto"/>
      <w:sz w:val="32"/>
      <w:lang w:eastAsia="en-US"/>
    </w:rPr>
  </w:style>
  <w:style w:type="paragraph" w:customStyle="1" w:styleId="signaturename">
    <w:name w:val="signature name"/>
    <w:basedOn w:val="Normal"/>
    <w:next w:val="Normal"/>
    <w:rsid w:val="00620E54"/>
    <w:pPr>
      <w:spacing w:before="1200" w:after="0" w:line="300" w:lineRule="atLeast"/>
    </w:pPr>
    <w:rPr>
      <w:color w:val="auto"/>
      <w:lang w:eastAsia="en-US"/>
    </w:rPr>
  </w:style>
  <w:style w:type="paragraph" w:customStyle="1" w:styleId="signaturetitle">
    <w:name w:val="signature title"/>
    <w:basedOn w:val="Normal"/>
    <w:next w:val="Normal"/>
    <w:rsid w:val="00620E54"/>
    <w:pPr>
      <w:spacing w:before="240" w:after="0" w:line="300" w:lineRule="atLeast"/>
    </w:pPr>
    <w:rPr>
      <w:color w:val="auto"/>
      <w:lang w:eastAsia="en-US"/>
    </w:rPr>
  </w:style>
  <w:style w:type="paragraph" w:customStyle="1" w:styleId="table">
    <w:name w:val="table"/>
    <w:basedOn w:val="Normal"/>
    <w:rsid w:val="00620E54"/>
    <w:pPr>
      <w:spacing w:before="100" w:after="160" w:line="300" w:lineRule="atLeast"/>
      <w:ind w:left="113"/>
    </w:pPr>
    <w:rPr>
      <w:color w:val="auto"/>
      <w:lang w:eastAsia="en-US"/>
    </w:rPr>
  </w:style>
  <w:style w:type="paragraph" w:customStyle="1" w:styleId="TableofContentsTitle">
    <w:name w:val="Table of Contents Title"/>
    <w:basedOn w:val="Normal"/>
    <w:next w:val="Normal"/>
    <w:rsid w:val="00620E54"/>
    <w:pPr>
      <w:spacing w:before="160" w:after="160" w:line="300" w:lineRule="atLeast"/>
    </w:pPr>
    <w:rPr>
      <w:b/>
      <w:caps/>
      <w:color w:val="auto"/>
      <w:sz w:val="28"/>
      <w:lang w:eastAsia="en-US"/>
    </w:rPr>
  </w:style>
  <w:style w:type="paragraph" w:customStyle="1" w:styleId="TableText">
    <w:name w:val="Table Text"/>
    <w:basedOn w:val="BodyText"/>
    <w:rsid w:val="00620E54"/>
    <w:pPr>
      <w:tabs>
        <w:tab w:val="clear" w:pos="850"/>
      </w:tabs>
      <w:spacing w:before="60" w:after="60"/>
      <w:ind w:left="0" w:firstLine="0"/>
    </w:pPr>
  </w:style>
  <w:style w:type="paragraph" w:styleId="TOC5">
    <w:name w:val="toc 5"/>
    <w:basedOn w:val="Normal"/>
    <w:next w:val="Normal"/>
    <w:rsid w:val="00620E54"/>
    <w:pPr>
      <w:spacing w:after="0"/>
      <w:ind w:left="800"/>
      <w:jc w:val="left"/>
    </w:pPr>
    <w:rPr>
      <w:rFonts w:asciiTheme="minorHAnsi" w:hAnsiTheme="minorHAnsi" w:cstheme="minorHAnsi"/>
    </w:rPr>
  </w:style>
  <w:style w:type="paragraph" w:styleId="TOC6">
    <w:name w:val="toc 6"/>
    <w:basedOn w:val="Normal"/>
    <w:next w:val="Normal"/>
    <w:rsid w:val="00620E54"/>
    <w:pPr>
      <w:spacing w:after="0"/>
      <w:ind w:left="1000"/>
      <w:jc w:val="left"/>
    </w:pPr>
    <w:rPr>
      <w:rFonts w:asciiTheme="minorHAnsi" w:hAnsiTheme="minorHAnsi" w:cstheme="minorHAnsi"/>
    </w:rPr>
  </w:style>
  <w:style w:type="paragraph" w:styleId="TOC7">
    <w:name w:val="toc 7"/>
    <w:basedOn w:val="Normal"/>
    <w:next w:val="Normal"/>
    <w:rsid w:val="00620E54"/>
    <w:pPr>
      <w:spacing w:after="0"/>
      <w:ind w:left="1200"/>
      <w:jc w:val="left"/>
    </w:pPr>
    <w:rPr>
      <w:rFonts w:asciiTheme="minorHAnsi" w:hAnsiTheme="minorHAnsi" w:cstheme="minorHAnsi"/>
    </w:rPr>
  </w:style>
  <w:style w:type="paragraph" w:styleId="TOC8">
    <w:name w:val="toc 8"/>
    <w:basedOn w:val="Normal"/>
    <w:next w:val="Normal"/>
    <w:rsid w:val="00620E54"/>
    <w:pPr>
      <w:spacing w:after="0"/>
      <w:ind w:left="1400"/>
      <w:jc w:val="left"/>
    </w:pPr>
    <w:rPr>
      <w:rFonts w:asciiTheme="minorHAnsi" w:hAnsiTheme="minorHAnsi" w:cstheme="minorHAnsi"/>
    </w:rPr>
  </w:style>
  <w:style w:type="paragraph" w:styleId="TOC9">
    <w:name w:val="toc 9"/>
    <w:basedOn w:val="Normal"/>
    <w:next w:val="Normal"/>
    <w:rsid w:val="00620E54"/>
    <w:pPr>
      <w:spacing w:after="0"/>
      <w:ind w:left="1600"/>
      <w:jc w:val="left"/>
    </w:pPr>
    <w:rPr>
      <w:rFonts w:asciiTheme="minorHAnsi" w:hAnsiTheme="minorHAnsi" w:cstheme="minorHAnsi"/>
    </w:rPr>
  </w:style>
  <w:style w:type="paragraph" w:customStyle="1" w:styleId="Dash">
    <w:name w:val="Dash"/>
    <w:basedOn w:val="Normal"/>
    <w:rsid w:val="00620E54"/>
    <w:pPr>
      <w:numPr>
        <w:ilvl w:val="1"/>
        <w:numId w:val="22"/>
      </w:numPr>
      <w:spacing w:before="160" w:after="160" w:line="300" w:lineRule="atLeast"/>
    </w:pPr>
    <w:rPr>
      <w:color w:val="auto"/>
      <w:lang w:eastAsia="en-US"/>
    </w:rPr>
  </w:style>
  <w:style w:type="paragraph" w:customStyle="1" w:styleId="DoubleDot">
    <w:name w:val="Double Dot"/>
    <w:basedOn w:val="Normal"/>
    <w:rsid w:val="00620E54"/>
    <w:pPr>
      <w:numPr>
        <w:ilvl w:val="2"/>
        <w:numId w:val="22"/>
      </w:numPr>
      <w:tabs>
        <w:tab w:val="num" w:pos="2552"/>
      </w:tabs>
      <w:spacing w:before="160" w:after="160" w:line="300" w:lineRule="atLeast"/>
    </w:pPr>
    <w:rPr>
      <w:color w:val="auto"/>
      <w:lang w:eastAsia="en-US"/>
    </w:rPr>
  </w:style>
  <w:style w:type="table" w:customStyle="1" w:styleId="StdTable">
    <w:name w:val="Std Table"/>
    <w:basedOn w:val="TableNormal"/>
    <w:rsid w:val="00620E54"/>
    <w:pPr>
      <w:spacing w:before="120" w:after="120" w:line="240" w:lineRule="auto"/>
    </w:pPr>
    <w:rPr>
      <w:rFonts w:ascii="Trebuchet MS" w:eastAsia="Times New Roman" w:hAnsi="Trebuchet MS" w:cs="Times New Roman"/>
      <w:sz w:val="20"/>
      <w:szCs w:val="20"/>
      <w:lang w:eastAsia="en-AU"/>
    </w:rPr>
    <w:tblPr>
      <w:tblBorders>
        <w:top w:val="double" w:sz="4" w:space="0" w:color="auto"/>
        <w:left w:val="double" w:sz="4" w:space="0" w:color="auto"/>
        <w:bottom w:val="double" w:sz="4" w:space="0" w:color="auto"/>
        <w:right w:val="double" w:sz="4" w:space="0" w:color="auto"/>
      </w:tblBorders>
    </w:tblPr>
    <w:tblStylePr w:type="firstRow">
      <w:pPr>
        <w:wordWrap/>
        <w:spacing w:beforeLines="0"/>
        <w:jc w:val="center"/>
      </w:pPr>
      <w:rPr>
        <w:rFonts w:ascii="Univers 55" w:hAnsi="Univers 55"/>
        <w:b/>
        <w:i w:val="0"/>
        <w:sz w:val="24"/>
        <w:szCs w:val="24"/>
      </w:rPr>
    </w:tblStylePr>
  </w:style>
  <w:style w:type="paragraph" w:customStyle="1" w:styleId="NoNumber">
    <w:name w:val="No Number"/>
    <w:basedOn w:val="Normal"/>
    <w:rsid w:val="00620E54"/>
    <w:pPr>
      <w:spacing w:before="160" w:after="160" w:line="300" w:lineRule="atLeast"/>
      <w:ind w:left="851"/>
    </w:pPr>
    <w:rPr>
      <w:color w:val="auto"/>
      <w:lang w:eastAsia="en-US"/>
    </w:rPr>
  </w:style>
  <w:style w:type="paragraph" w:customStyle="1" w:styleId="Appendix">
    <w:name w:val="Appendix"/>
    <w:basedOn w:val="Normal"/>
    <w:next w:val="BodyText"/>
    <w:rsid w:val="00620E54"/>
    <w:pPr>
      <w:spacing w:before="160" w:after="160" w:line="300" w:lineRule="atLeast"/>
    </w:pPr>
    <w:rPr>
      <w:b/>
      <w:color w:val="auto"/>
      <w:sz w:val="28"/>
      <w:szCs w:val="28"/>
      <w:lang w:eastAsia="en-US"/>
    </w:rPr>
  </w:style>
  <w:style w:type="paragraph" w:styleId="BodyText2">
    <w:name w:val="Body Text 2"/>
    <w:basedOn w:val="Normal"/>
    <w:link w:val="BodyText2Char"/>
    <w:rsid w:val="00620E54"/>
    <w:pPr>
      <w:tabs>
        <w:tab w:val="num" w:pos="850"/>
      </w:tabs>
      <w:spacing w:before="160" w:after="160" w:line="300" w:lineRule="atLeast"/>
      <w:ind w:left="850" w:hanging="850"/>
    </w:pPr>
    <w:rPr>
      <w:color w:val="auto"/>
      <w:lang w:eastAsia="en-US"/>
    </w:rPr>
  </w:style>
  <w:style w:type="character" w:customStyle="1" w:styleId="BodyText2Char">
    <w:name w:val="Body Text 2 Char"/>
    <w:basedOn w:val="DefaultParagraphFont"/>
    <w:link w:val="BodyText2"/>
    <w:rsid w:val="00620E54"/>
    <w:rPr>
      <w:rFonts w:ascii="Arial" w:eastAsia="Times New Roman" w:hAnsi="Arial" w:cs="Times New Roman"/>
      <w:sz w:val="20"/>
      <w:szCs w:val="20"/>
    </w:rPr>
  </w:style>
  <w:style w:type="paragraph" w:customStyle="1" w:styleId="NumberedParagraph">
    <w:name w:val="Numbered Paragraph"/>
    <w:basedOn w:val="Normal"/>
    <w:rsid w:val="00620E54"/>
    <w:pPr>
      <w:tabs>
        <w:tab w:val="num" w:pos="850"/>
        <w:tab w:val="right" w:pos="9020"/>
      </w:tabs>
      <w:spacing w:before="160" w:after="160" w:line="300" w:lineRule="atLeast"/>
      <w:ind w:left="850" w:hanging="850"/>
      <w:jc w:val="right"/>
    </w:pPr>
    <w:rPr>
      <w:color w:val="auto"/>
      <w:lang w:eastAsia="en-US"/>
    </w:rPr>
  </w:style>
  <w:style w:type="paragraph" w:customStyle="1" w:styleId="SinglePara">
    <w:name w:val="Single Para"/>
    <w:basedOn w:val="Normal"/>
    <w:rsid w:val="00620E54"/>
    <w:pPr>
      <w:spacing w:after="0" w:line="300" w:lineRule="atLeast"/>
      <w:jc w:val="left"/>
    </w:pPr>
    <w:rPr>
      <w:color w:val="auto"/>
      <w:lang w:eastAsia="en-US"/>
    </w:rPr>
  </w:style>
  <w:style w:type="paragraph" w:customStyle="1" w:styleId="SecurityClassificationHeader">
    <w:name w:val="Security Classification Header"/>
    <w:link w:val="SecurityClassificationHead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HeaderChar">
    <w:name w:val="Security Classification Header Char"/>
    <w:basedOn w:val="HeaderChar"/>
    <w:link w:val="SecurityClassificationHeader"/>
    <w:rsid w:val="00620E54"/>
    <w:rPr>
      <w:rFonts w:ascii="Arial" w:eastAsia="Times New Roman" w:hAnsi="Arial" w:cs="Times New Roman"/>
      <w:b/>
      <w:caps/>
      <w:noProof/>
      <w:color w:val="000000" w:themeColor="text1"/>
      <w:sz w:val="24"/>
      <w:szCs w:val="20"/>
      <w:lang w:eastAsia="en-AU"/>
    </w:rPr>
  </w:style>
  <w:style w:type="paragraph" w:customStyle="1" w:styleId="SecurityClassificationFooter">
    <w:name w:val="Security Classification Footer"/>
    <w:link w:val="SecurityClassificationFooterChar"/>
    <w:rsid w:val="00620E54"/>
    <w:pPr>
      <w:spacing w:before="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FooterChar">
    <w:name w:val="Security Classification Footer Char"/>
    <w:basedOn w:val="HeaderChar"/>
    <w:link w:val="SecurityClassificationFooter"/>
    <w:rsid w:val="00620E54"/>
    <w:rPr>
      <w:rFonts w:ascii="Arial" w:eastAsia="Times New Roman" w:hAnsi="Arial" w:cs="Times New Roman"/>
      <w:b/>
      <w:caps/>
      <w:noProof/>
      <w:color w:val="000000" w:themeColor="text1"/>
      <w:sz w:val="24"/>
      <w:szCs w:val="20"/>
      <w:lang w:eastAsia="en-AU"/>
    </w:rPr>
  </w:style>
  <w:style w:type="paragraph" w:customStyle="1" w:styleId="DLMSecurityHeader">
    <w:name w:val="DLM Security Header"/>
    <w:link w:val="DLMSecurityHeaderChar"/>
    <w:rsid w:val="00620E54"/>
    <w:pPr>
      <w:spacing w:before="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HeaderChar">
    <w:name w:val="DLM Security Header Char"/>
    <w:basedOn w:val="HeaderChar"/>
    <w:link w:val="DLMSecurityHeader"/>
    <w:rsid w:val="00620E54"/>
    <w:rPr>
      <w:rFonts w:ascii="Arial" w:eastAsia="Times New Roman" w:hAnsi="Arial" w:cs="Times New Roman"/>
      <w:b/>
      <w:caps/>
      <w:noProof/>
      <w:color w:val="000000" w:themeColor="text1"/>
      <w:sz w:val="24"/>
      <w:szCs w:val="20"/>
      <w:lang w:eastAsia="en-AU"/>
    </w:rPr>
  </w:style>
  <w:style w:type="paragraph" w:customStyle="1" w:styleId="DLMSecurityFooter">
    <w:name w:val="DLM Security Footer"/>
    <w:link w:val="DLMSecurityFoot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FooterChar">
    <w:name w:val="DLM Security Footer Char"/>
    <w:basedOn w:val="HeaderChar"/>
    <w:link w:val="DLMSecurityFooter"/>
    <w:rsid w:val="00620E54"/>
    <w:rPr>
      <w:rFonts w:ascii="Arial" w:eastAsia="Times New Roman" w:hAnsi="Arial" w:cs="Times New Roman"/>
      <w:b/>
      <w:caps/>
      <w:noProof/>
      <w:color w:val="000000" w:themeColor="text1"/>
      <w:sz w:val="24"/>
      <w:szCs w:val="20"/>
      <w:lang w:eastAsia="en-AU"/>
    </w:rPr>
  </w:style>
  <w:style w:type="numbering" w:customStyle="1" w:styleId="Style3">
    <w:name w:val="Style3"/>
    <w:uiPriority w:val="99"/>
    <w:rsid w:val="00620E54"/>
    <w:pPr>
      <w:numPr>
        <w:numId w:val="19"/>
      </w:numPr>
    </w:pPr>
  </w:style>
  <w:style w:type="paragraph" w:customStyle="1" w:styleId="Tabletitle">
    <w:name w:val="Table title"/>
    <w:basedOn w:val="TableText"/>
    <w:rsid w:val="00620E54"/>
    <w:pPr>
      <w:numPr>
        <w:ilvl w:val="12"/>
      </w:numPr>
      <w:spacing w:line="300" w:lineRule="exact"/>
      <w:jc w:val="left"/>
    </w:pPr>
    <w:rPr>
      <w:rFonts w:eastAsiaTheme="minorEastAsia"/>
      <w:b/>
      <w:color w:val="FFFFFF"/>
      <w:lang w:val="en-GB" w:eastAsia="en-AU"/>
    </w:rPr>
  </w:style>
  <w:style w:type="paragraph" w:customStyle="1" w:styleId="MCStable">
    <w:name w:val="MCStable"/>
    <w:basedOn w:val="TableText"/>
    <w:rsid w:val="00620E54"/>
    <w:pPr>
      <w:tabs>
        <w:tab w:val="decimal" w:pos="1328"/>
      </w:tabs>
      <w:spacing w:line="240" w:lineRule="auto"/>
      <w:jc w:val="left"/>
    </w:pPr>
    <w:rPr>
      <w:rFonts w:eastAsiaTheme="minorEastAsia" w:cs="Arial"/>
      <w:sz w:val="18"/>
      <w:szCs w:val="18"/>
    </w:rPr>
  </w:style>
  <w:style w:type="paragraph" w:customStyle="1" w:styleId="TableBodyText">
    <w:name w:val="TableBodyText"/>
    <w:basedOn w:val="Normal"/>
    <w:next w:val="Normal"/>
    <w:rsid w:val="00620E54"/>
    <w:pPr>
      <w:spacing w:before="40" w:after="40" w:line="240" w:lineRule="auto"/>
      <w:jc w:val="left"/>
    </w:pPr>
    <w:rPr>
      <w:rFonts w:eastAsiaTheme="minorEastAsia"/>
      <w:sz w:val="18"/>
    </w:rPr>
  </w:style>
  <w:style w:type="paragraph" w:customStyle="1" w:styleId="TableHeading">
    <w:name w:val="Table Heading"/>
    <w:basedOn w:val="Normal"/>
    <w:next w:val="Normal"/>
    <w:rsid w:val="00620E54"/>
    <w:pPr>
      <w:keepNext/>
      <w:spacing w:before="240" w:after="120" w:line="240" w:lineRule="auto"/>
      <w:jc w:val="left"/>
    </w:pPr>
    <w:rPr>
      <w:rFonts w:ascii="Trebuchet MS" w:eastAsiaTheme="minorEastAsia" w:hAnsi="Trebuchet MS"/>
      <w:color w:val="800000"/>
      <w:sz w:val="24"/>
    </w:rPr>
  </w:style>
  <w:style w:type="paragraph" w:customStyle="1" w:styleId="Overview">
    <w:name w:val="Overview"/>
    <w:basedOn w:val="BodyText2"/>
    <w:rsid w:val="00620E54"/>
    <w:pPr>
      <w:tabs>
        <w:tab w:val="clear" w:pos="850"/>
      </w:tabs>
      <w:spacing w:before="240" w:after="240" w:line="360" w:lineRule="auto"/>
      <w:ind w:left="0" w:firstLine="0"/>
      <w:jc w:val="left"/>
    </w:pPr>
    <w:rPr>
      <w:rFonts w:ascii="Times New Roman" w:eastAsiaTheme="minorEastAsia" w:hAnsi="Times New Roman" w:cs="Arial"/>
      <w:sz w:val="24"/>
      <w:lang w:val="en-GB" w:eastAsia="en-AU"/>
    </w:rPr>
  </w:style>
  <w:style w:type="paragraph" w:customStyle="1" w:styleId="Subheading">
    <w:name w:val="Subheading"/>
    <w:basedOn w:val="Heading2"/>
    <w:rsid w:val="00620E54"/>
    <w:pPr>
      <w:numPr>
        <w:ilvl w:val="0"/>
        <w:numId w:val="0"/>
      </w:numPr>
      <w:tabs>
        <w:tab w:val="clear" w:pos="709"/>
      </w:tabs>
      <w:outlineLvl w:val="9"/>
    </w:pPr>
    <w:rPr>
      <w:rFonts w:ascii="Times New Roman" w:eastAsiaTheme="minorEastAsia" w:hAnsi="Times New Roman" w:cs="Times New Roman"/>
      <w:bCs w:val="0"/>
      <w:iCs w:val="0"/>
      <w:color w:val="800000"/>
      <w:sz w:val="24"/>
      <w:szCs w:val="20"/>
      <w:lang w:val="en-US"/>
    </w:rPr>
  </w:style>
  <w:style w:type="paragraph" w:customStyle="1" w:styleId="StyleHeading1Arial">
    <w:name w:val="Style Heading 1 + Arial"/>
    <w:basedOn w:val="Heading1"/>
    <w:link w:val="StyleHeading1ArialChar"/>
    <w:rsid w:val="00620E54"/>
    <w:pPr>
      <w:pageBreakBefore/>
      <w:tabs>
        <w:tab w:val="clear" w:pos="709"/>
        <w:tab w:val="num" w:pos="850"/>
      </w:tabs>
      <w:spacing w:before="240" w:after="240" w:line="300" w:lineRule="atLeast"/>
      <w:ind w:left="851" w:hanging="851"/>
      <w:jc w:val="both"/>
    </w:pPr>
    <w:rPr>
      <w:rFonts w:ascii="Arial" w:eastAsiaTheme="minorEastAsia" w:hAnsi="Arial" w:cs="Times New Roman"/>
      <w:color w:val="auto"/>
      <w:kern w:val="0"/>
      <w:sz w:val="28"/>
      <w:szCs w:val="20"/>
      <w:lang w:eastAsia="en-US"/>
    </w:rPr>
  </w:style>
  <w:style w:type="character" w:customStyle="1" w:styleId="StyleHeading1ArialChar">
    <w:name w:val="Style Heading 1 + Arial Char"/>
    <w:link w:val="StyleHeading1Arial"/>
    <w:rsid w:val="00620E54"/>
    <w:rPr>
      <w:rFonts w:ascii="Arial" w:eastAsiaTheme="minorEastAsia" w:hAnsi="Arial" w:cs="Times New Roman"/>
      <w:b/>
      <w:bCs/>
      <w:sz w:val="28"/>
      <w:szCs w:val="20"/>
    </w:rPr>
  </w:style>
  <w:style w:type="numbering" w:customStyle="1" w:styleId="Style1">
    <w:name w:val="Style1"/>
    <w:uiPriority w:val="99"/>
    <w:rsid w:val="00620E54"/>
    <w:pPr>
      <w:numPr>
        <w:numId w:val="20"/>
      </w:numPr>
    </w:pPr>
  </w:style>
  <w:style w:type="numbering" w:customStyle="1" w:styleId="Style2">
    <w:name w:val="Style2"/>
    <w:uiPriority w:val="99"/>
    <w:rsid w:val="00620E54"/>
    <w:pPr>
      <w:numPr>
        <w:numId w:val="21"/>
      </w:numPr>
    </w:pPr>
  </w:style>
  <w:style w:type="character" w:styleId="Strong">
    <w:name w:val="Strong"/>
    <w:basedOn w:val="DefaultParagraphFont"/>
    <w:uiPriority w:val="1"/>
    <w:qFormat/>
    <w:rsid w:val="00620E54"/>
    <w:rPr>
      <w:b/>
      <w:bCs/>
    </w:rPr>
  </w:style>
  <w:style w:type="table" w:customStyle="1" w:styleId="TableGrid1">
    <w:name w:val="Table Grid1"/>
    <w:basedOn w:val="TableNormal"/>
    <w:next w:val="TableGrid"/>
    <w:rsid w:val="00620E54"/>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553CF"/>
    <w:pPr>
      <w:spacing w:before="160" w:after="120" w:line="300" w:lineRule="atLeast"/>
      <w:ind w:left="283"/>
    </w:pPr>
    <w:rPr>
      <w:color w:val="auto"/>
      <w:lang w:eastAsia="en-US"/>
    </w:rPr>
  </w:style>
  <w:style w:type="character" w:customStyle="1" w:styleId="BodyTextIndentChar">
    <w:name w:val="Body Text Indent Char"/>
    <w:basedOn w:val="DefaultParagraphFont"/>
    <w:link w:val="BodyTextIndent"/>
    <w:rsid w:val="00B553CF"/>
    <w:rPr>
      <w:rFonts w:ascii="Arial" w:eastAsia="Times New Roman" w:hAnsi="Arial" w:cs="Times New Roman"/>
      <w:sz w:val="20"/>
      <w:szCs w:val="20"/>
    </w:rPr>
  </w:style>
  <w:style w:type="paragraph" w:customStyle="1" w:styleId="Default">
    <w:name w:val="Default"/>
    <w:rsid w:val="00B553CF"/>
    <w:pPr>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styleId="z-BottomofForm">
    <w:name w:val="HTML Bottom of Form"/>
    <w:basedOn w:val="Normal"/>
    <w:next w:val="Normal"/>
    <w:link w:val="z-BottomofFormChar"/>
    <w:hidden/>
    <w:uiPriority w:val="99"/>
    <w:unhideWhenUsed/>
    <w:rsid w:val="00B553CF"/>
    <w:pPr>
      <w:pBdr>
        <w:top w:val="single" w:sz="6" w:space="1" w:color="auto"/>
      </w:pBdr>
      <w:spacing w:after="0" w:line="240" w:lineRule="auto"/>
      <w:jc w:val="center"/>
    </w:pPr>
    <w:rPr>
      <w:rFonts w:cs="Arial"/>
      <w:vanish/>
      <w:color w:val="auto"/>
      <w:sz w:val="16"/>
      <w:szCs w:val="16"/>
    </w:rPr>
  </w:style>
  <w:style w:type="character" w:customStyle="1" w:styleId="z-BottomofFormChar">
    <w:name w:val="z-Bottom of Form Char"/>
    <w:basedOn w:val="DefaultParagraphFont"/>
    <w:link w:val="z-BottomofForm"/>
    <w:uiPriority w:val="99"/>
    <w:rsid w:val="00B553CF"/>
    <w:rPr>
      <w:rFonts w:ascii="Arial" w:eastAsia="Times New Roman" w:hAnsi="Arial" w:cs="Arial"/>
      <w:vanish/>
      <w:sz w:val="16"/>
      <w:szCs w:val="16"/>
      <w:lang w:eastAsia="en-AU"/>
    </w:rPr>
  </w:style>
  <w:style w:type="paragraph" w:styleId="EndnoteText">
    <w:name w:val="endnote text"/>
    <w:basedOn w:val="Normal"/>
    <w:link w:val="EndnoteTextChar"/>
    <w:rsid w:val="00B553CF"/>
    <w:pPr>
      <w:spacing w:after="0" w:line="240" w:lineRule="auto"/>
    </w:pPr>
    <w:rPr>
      <w:color w:val="auto"/>
      <w:lang w:eastAsia="en-US"/>
    </w:rPr>
  </w:style>
  <w:style w:type="character" w:customStyle="1" w:styleId="EndnoteTextChar">
    <w:name w:val="Endnote Text Char"/>
    <w:basedOn w:val="DefaultParagraphFont"/>
    <w:link w:val="EndnoteText"/>
    <w:rsid w:val="00B553CF"/>
    <w:rPr>
      <w:rFonts w:ascii="Arial" w:eastAsia="Times New Roman" w:hAnsi="Arial" w:cs="Times New Roman"/>
      <w:sz w:val="20"/>
      <w:szCs w:val="20"/>
    </w:rPr>
  </w:style>
  <w:style w:type="character" w:styleId="EndnoteReference">
    <w:name w:val="endnote reference"/>
    <w:basedOn w:val="DefaultParagraphFont"/>
    <w:rsid w:val="00B553CF"/>
    <w:rPr>
      <w:vertAlign w:val="superscript"/>
    </w:rPr>
  </w:style>
  <w:style w:type="character" w:styleId="SubtleEmphasis">
    <w:name w:val="Subtle Emphasis"/>
    <w:basedOn w:val="DefaultParagraphFont"/>
    <w:uiPriority w:val="19"/>
    <w:qFormat/>
    <w:rsid w:val="00296E7E"/>
    <w:rPr>
      <w:i/>
      <w:iCs/>
      <w:color w:val="404040" w:themeColor="text1" w:themeTint="BF"/>
    </w:rPr>
  </w:style>
  <w:style w:type="table" w:styleId="ListTable5Dark-Accent1">
    <w:name w:val="List Table 5 Dark Accent 1"/>
    <w:basedOn w:val="TableNormal"/>
    <w:uiPriority w:val="50"/>
    <w:rsid w:val="002044E7"/>
    <w:pPr>
      <w:spacing w:after="0" w:line="240" w:lineRule="auto"/>
    </w:pPr>
    <w:rPr>
      <w:color w:val="FFFFFF" w:themeColor="background1"/>
    </w:rPr>
    <w:tblPr>
      <w:tblStyleRowBandSize w:val="1"/>
      <w:tblStyleColBandSize w:val="1"/>
      <w:tblBorders>
        <w:top w:val="single" w:sz="24" w:space="0" w:color="74000E" w:themeColor="accent1"/>
        <w:left w:val="single" w:sz="24" w:space="0" w:color="74000E" w:themeColor="accent1"/>
        <w:bottom w:val="single" w:sz="24" w:space="0" w:color="74000E" w:themeColor="accent1"/>
        <w:right w:val="single" w:sz="24" w:space="0" w:color="74000E" w:themeColor="accent1"/>
      </w:tblBorders>
    </w:tblPr>
    <w:tcPr>
      <w:shd w:val="clear" w:color="auto" w:fill="7400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BoxBullet">
    <w:name w:val="Box Bullet"/>
    <w:basedOn w:val="Normal"/>
    <w:rsid w:val="003F6D30"/>
    <w:pPr>
      <w:tabs>
        <w:tab w:val="num" w:pos="283"/>
      </w:tabs>
      <w:spacing w:before="120" w:after="120" w:line="240" w:lineRule="auto"/>
      <w:ind w:left="283" w:hanging="283"/>
    </w:pPr>
  </w:style>
  <w:style w:type="paragraph" w:customStyle="1" w:styleId="BoxDash">
    <w:name w:val="Box Dash"/>
    <w:basedOn w:val="Normal"/>
    <w:rsid w:val="003F6D30"/>
    <w:pPr>
      <w:tabs>
        <w:tab w:val="num" w:pos="567"/>
      </w:tabs>
      <w:ind w:left="567" w:hanging="284"/>
    </w:pPr>
  </w:style>
  <w:style w:type="paragraph" w:customStyle="1" w:styleId="Heading1-Numbered">
    <w:name w:val="Heading 1 - Numbered"/>
    <w:basedOn w:val="Heading1"/>
    <w:rsid w:val="003F6D30"/>
    <w:pPr>
      <w:numPr>
        <w:numId w:val="0"/>
      </w:numPr>
      <w:tabs>
        <w:tab w:val="num" w:pos="709"/>
      </w:tabs>
      <w:ind w:left="709" w:hanging="709"/>
    </w:pPr>
    <w:rPr>
      <w:smallCaps/>
      <w:color w:val="9B0014"/>
    </w:rPr>
  </w:style>
  <w:style w:type="paragraph" w:customStyle="1" w:styleId="Heading2-Numbered">
    <w:name w:val="Heading 2 - Numbered"/>
    <w:basedOn w:val="Heading2"/>
    <w:rsid w:val="003F6D30"/>
    <w:pPr>
      <w:numPr>
        <w:ilvl w:val="0"/>
        <w:numId w:val="0"/>
      </w:numPr>
      <w:tabs>
        <w:tab w:val="clear" w:pos="709"/>
      </w:tabs>
      <w:spacing w:before="360"/>
      <w:ind w:left="709" w:hanging="709"/>
    </w:pPr>
    <w:rPr>
      <w:iCs w:val="0"/>
      <w:smallCaps/>
      <w:color w:val="9B0014"/>
      <w:sz w:val="28"/>
      <w:szCs w:val="26"/>
    </w:rPr>
  </w:style>
  <w:style w:type="paragraph" w:customStyle="1" w:styleId="AlphaParagraph">
    <w:name w:val="Alpha Paragraph"/>
    <w:basedOn w:val="Normal"/>
    <w:rsid w:val="00B42356"/>
    <w:pPr>
      <w:tabs>
        <w:tab w:val="num" w:pos="567"/>
      </w:tabs>
      <w:ind w:left="567" w:hanging="567"/>
    </w:pPr>
  </w:style>
  <w:style w:type="paragraph" w:customStyle="1" w:styleId="ChartandTableFootnoteAlpha">
    <w:name w:val="Chart and Table Footnote Alpha"/>
    <w:rsid w:val="00B42356"/>
    <w:pPr>
      <w:spacing w:after="0" w:line="240" w:lineRule="auto"/>
      <w:ind w:left="360" w:hanging="360"/>
    </w:pPr>
    <w:rPr>
      <w:rFonts w:ascii="Arial" w:eastAsia="Times New Roman" w:hAnsi="Arial" w:cs="Times New Roman"/>
      <w:color w:val="000000"/>
      <w:sz w:val="16"/>
      <w:szCs w:val="16"/>
      <w:lang w:eastAsia="en-AU"/>
    </w:rPr>
  </w:style>
  <w:style w:type="paragraph" w:customStyle="1" w:styleId="ChartorTableNote">
    <w:name w:val="Chart or Table Note"/>
    <w:next w:val="Normal"/>
    <w:rsid w:val="00DA4261"/>
    <w:pPr>
      <w:tabs>
        <w:tab w:val="left" w:pos="284"/>
      </w:tabs>
      <w:spacing w:after="0" w:line="240" w:lineRule="auto"/>
    </w:pPr>
    <w:rPr>
      <w:rFonts w:ascii="Arial" w:eastAsia="Times New Roman" w:hAnsi="Arial" w:cs="Times New Roman"/>
      <w:color w:val="000000"/>
      <w:sz w:val="16"/>
      <w:szCs w:val="20"/>
      <w:lang w:eastAsia="en-AU"/>
    </w:rPr>
  </w:style>
  <w:style w:type="character" w:customStyle="1" w:styleId="Italic">
    <w:name w:val="Italic"/>
    <w:rsid w:val="00DA4261"/>
    <w:rPr>
      <w:i/>
    </w:rPr>
  </w:style>
  <w:style w:type="paragraph" w:styleId="NormalIndent">
    <w:name w:val="Normal Indent"/>
    <w:basedOn w:val="Normal"/>
    <w:rsid w:val="000C4927"/>
    <w:pPr>
      <w:tabs>
        <w:tab w:val="left" w:pos="1134"/>
      </w:tabs>
      <w:ind w:left="1134" w:hanging="425"/>
    </w:pPr>
  </w:style>
  <w:style w:type="character" w:styleId="UnresolvedMention">
    <w:name w:val="Unresolved Mention"/>
    <w:basedOn w:val="DefaultParagraphFont"/>
    <w:uiPriority w:val="99"/>
    <w:unhideWhenUsed/>
    <w:rsid w:val="00B953FC"/>
    <w:rPr>
      <w:color w:val="605E5C"/>
      <w:shd w:val="clear" w:color="auto" w:fill="E1DFDD"/>
    </w:rPr>
  </w:style>
  <w:style w:type="character" w:styleId="Mention">
    <w:name w:val="Mention"/>
    <w:basedOn w:val="DefaultParagraphFont"/>
    <w:uiPriority w:val="99"/>
    <w:unhideWhenUsed/>
    <w:rsid w:val="00B953FC"/>
    <w:rPr>
      <w:color w:val="2B579A"/>
      <w:shd w:val="clear" w:color="auto" w:fill="E1DFDD"/>
    </w:rPr>
  </w:style>
  <w:style w:type="character" w:customStyle="1" w:styleId="NoSpacingChar">
    <w:name w:val="No Spacing Char"/>
    <w:basedOn w:val="DefaultParagraphFont"/>
    <w:link w:val="NoSpacing"/>
    <w:rsid w:val="0029207C"/>
    <w:rPr>
      <w:rFonts w:ascii="Arial" w:eastAsia="Times New Roman" w:hAnsi="Arial" w:cs="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406">
      <w:bodyDiv w:val="1"/>
      <w:marLeft w:val="0"/>
      <w:marRight w:val="0"/>
      <w:marTop w:val="0"/>
      <w:marBottom w:val="0"/>
      <w:divBdr>
        <w:top w:val="none" w:sz="0" w:space="0" w:color="auto"/>
        <w:left w:val="none" w:sz="0" w:space="0" w:color="auto"/>
        <w:bottom w:val="none" w:sz="0" w:space="0" w:color="auto"/>
        <w:right w:val="none" w:sz="0" w:space="0" w:color="auto"/>
      </w:divBdr>
    </w:div>
    <w:div w:id="29035272">
      <w:bodyDiv w:val="1"/>
      <w:marLeft w:val="0"/>
      <w:marRight w:val="0"/>
      <w:marTop w:val="0"/>
      <w:marBottom w:val="0"/>
      <w:divBdr>
        <w:top w:val="none" w:sz="0" w:space="0" w:color="auto"/>
        <w:left w:val="none" w:sz="0" w:space="0" w:color="auto"/>
        <w:bottom w:val="none" w:sz="0" w:space="0" w:color="auto"/>
        <w:right w:val="none" w:sz="0" w:space="0" w:color="auto"/>
      </w:divBdr>
    </w:div>
    <w:div w:id="49618886">
      <w:bodyDiv w:val="1"/>
      <w:marLeft w:val="0"/>
      <w:marRight w:val="0"/>
      <w:marTop w:val="0"/>
      <w:marBottom w:val="0"/>
      <w:divBdr>
        <w:top w:val="none" w:sz="0" w:space="0" w:color="auto"/>
        <w:left w:val="none" w:sz="0" w:space="0" w:color="auto"/>
        <w:bottom w:val="none" w:sz="0" w:space="0" w:color="auto"/>
        <w:right w:val="none" w:sz="0" w:space="0" w:color="auto"/>
      </w:divBdr>
    </w:div>
    <w:div w:id="56822502">
      <w:bodyDiv w:val="1"/>
      <w:marLeft w:val="0"/>
      <w:marRight w:val="0"/>
      <w:marTop w:val="0"/>
      <w:marBottom w:val="0"/>
      <w:divBdr>
        <w:top w:val="none" w:sz="0" w:space="0" w:color="auto"/>
        <w:left w:val="none" w:sz="0" w:space="0" w:color="auto"/>
        <w:bottom w:val="none" w:sz="0" w:space="0" w:color="auto"/>
        <w:right w:val="none" w:sz="0" w:space="0" w:color="auto"/>
      </w:divBdr>
    </w:div>
    <w:div w:id="66458534">
      <w:bodyDiv w:val="1"/>
      <w:marLeft w:val="0"/>
      <w:marRight w:val="0"/>
      <w:marTop w:val="0"/>
      <w:marBottom w:val="0"/>
      <w:divBdr>
        <w:top w:val="none" w:sz="0" w:space="0" w:color="auto"/>
        <w:left w:val="none" w:sz="0" w:space="0" w:color="auto"/>
        <w:bottom w:val="none" w:sz="0" w:space="0" w:color="auto"/>
        <w:right w:val="none" w:sz="0" w:space="0" w:color="auto"/>
      </w:divBdr>
    </w:div>
    <w:div w:id="80106715">
      <w:bodyDiv w:val="1"/>
      <w:marLeft w:val="0"/>
      <w:marRight w:val="0"/>
      <w:marTop w:val="0"/>
      <w:marBottom w:val="0"/>
      <w:divBdr>
        <w:top w:val="none" w:sz="0" w:space="0" w:color="auto"/>
        <w:left w:val="none" w:sz="0" w:space="0" w:color="auto"/>
        <w:bottom w:val="none" w:sz="0" w:space="0" w:color="auto"/>
        <w:right w:val="none" w:sz="0" w:space="0" w:color="auto"/>
      </w:divBdr>
    </w:div>
    <w:div w:id="93745103">
      <w:bodyDiv w:val="1"/>
      <w:marLeft w:val="0"/>
      <w:marRight w:val="0"/>
      <w:marTop w:val="0"/>
      <w:marBottom w:val="0"/>
      <w:divBdr>
        <w:top w:val="none" w:sz="0" w:space="0" w:color="auto"/>
        <w:left w:val="none" w:sz="0" w:space="0" w:color="auto"/>
        <w:bottom w:val="none" w:sz="0" w:space="0" w:color="auto"/>
        <w:right w:val="none" w:sz="0" w:space="0" w:color="auto"/>
      </w:divBdr>
    </w:div>
    <w:div w:id="111941730">
      <w:bodyDiv w:val="1"/>
      <w:marLeft w:val="0"/>
      <w:marRight w:val="0"/>
      <w:marTop w:val="0"/>
      <w:marBottom w:val="0"/>
      <w:divBdr>
        <w:top w:val="none" w:sz="0" w:space="0" w:color="auto"/>
        <w:left w:val="none" w:sz="0" w:space="0" w:color="auto"/>
        <w:bottom w:val="none" w:sz="0" w:space="0" w:color="auto"/>
        <w:right w:val="none" w:sz="0" w:space="0" w:color="auto"/>
      </w:divBdr>
    </w:div>
    <w:div w:id="137575651">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82326432">
      <w:bodyDiv w:val="1"/>
      <w:marLeft w:val="0"/>
      <w:marRight w:val="0"/>
      <w:marTop w:val="0"/>
      <w:marBottom w:val="0"/>
      <w:divBdr>
        <w:top w:val="none" w:sz="0" w:space="0" w:color="auto"/>
        <w:left w:val="none" w:sz="0" w:space="0" w:color="auto"/>
        <w:bottom w:val="none" w:sz="0" w:space="0" w:color="auto"/>
        <w:right w:val="none" w:sz="0" w:space="0" w:color="auto"/>
      </w:divBdr>
    </w:div>
    <w:div w:id="201094898">
      <w:bodyDiv w:val="1"/>
      <w:marLeft w:val="0"/>
      <w:marRight w:val="0"/>
      <w:marTop w:val="0"/>
      <w:marBottom w:val="0"/>
      <w:divBdr>
        <w:top w:val="none" w:sz="0" w:space="0" w:color="auto"/>
        <w:left w:val="none" w:sz="0" w:space="0" w:color="auto"/>
        <w:bottom w:val="none" w:sz="0" w:space="0" w:color="auto"/>
        <w:right w:val="none" w:sz="0" w:space="0" w:color="auto"/>
      </w:divBdr>
    </w:div>
    <w:div w:id="205456186">
      <w:bodyDiv w:val="1"/>
      <w:marLeft w:val="0"/>
      <w:marRight w:val="0"/>
      <w:marTop w:val="0"/>
      <w:marBottom w:val="0"/>
      <w:divBdr>
        <w:top w:val="none" w:sz="0" w:space="0" w:color="auto"/>
        <w:left w:val="none" w:sz="0" w:space="0" w:color="auto"/>
        <w:bottom w:val="none" w:sz="0" w:space="0" w:color="auto"/>
        <w:right w:val="none" w:sz="0" w:space="0" w:color="auto"/>
      </w:divBdr>
    </w:div>
    <w:div w:id="217059833">
      <w:bodyDiv w:val="1"/>
      <w:marLeft w:val="0"/>
      <w:marRight w:val="0"/>
      <w:marTop w:val="0"/>
      <w:marBottom w:val="0"/>
      <w:divBdr>
        <w:top w:val="none" w:sz="0" w:space="0" w:color="auto"/>
        <w:left w:val="none" w:sz="0" w:space="0" w:color="auto"/>
        <w:bottom w:val="none" w:sz="0" w:space="0" w:color="auto"/>
        <w:right w:val="none" w:sz="0" w:space="0" w:color="auto"/>
      </w:divBdr>
    </w:div>
    <w:div w:id="232930231">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75480383">
      <w:bodyDiv w:val="1"/>
      <w:marLeft w:val="0"/>
      <w:marRight w:val="0"/>
      <w:marTop w:val="0"/>
      <w:marBottom w:val="0"/>
      <w:divBdr>
        <w:top w:val="none" w:sz="0" w:space="0" w:color="auto"/>
        <w:left w:val="none" w:sz="0" w:space="0" w:color="auto"/>
        <w:bottom w:val="none" w:sz="0" w:space="0" w:color="auto"/>
        <w:right w:val="none" w:sz="0" w:space="0" w:color="auto"/>
      </w:divBdr>
    </w:div>
    <w:div w:id="280303180">
      <w:bodyDiv w:val="1"/>
      <w:marLeft w:val="0"/>
      <w:marRight w:val="0"/>
      <w:marTop w:val="0"/>
      <w:marBottom w:val="0"/>
      <w:divBdr>
        <w:top w:val="none" w:sz="0" w:space="0" w:color="auto"/>
        <w:left w:val="none" w:sz="0" w:space="0" w:color="auto"/>
        <w:bottom w:val="none" w:sz="0" w:space="0" w:color="auto"/>
        <w:right w:val="none" w:sz="0" w:space="0" w:color="auto"/>
      </w:divBdr>
    </w:div>
    <w:div w:id="283973906">
      <w:bodyDiv w:val="1"/>
      <w:marLeft w:val="0"/>
      <w:marRight w:val="0"/>
      <w:marTop w:val="0"/>
      <w:marBottom w:val="0"/>
      <w:divBdr>
        <w:top w:val="none" w:sz="0" w:space="0" w:color="auto"/>
        <w:left w:val="none" w:sz="0" w:space="0" w:color="auto"/>
        <w:bottom w:val="none" w:sz="0" w:space="0" w:color="auto"/>
        <w:right w:val="none" w:sz="0" w:space="0" w:color="auto"/>
      </w:divBdr>
    </w:div>
    <w:div w:id="287512458">
      <w:bodyDiv w:val="1"/>
      <w:marLeft w:val="0"/>
      <w:marRight w:val="0"/>
      <w:marTop w:val="0"/>
      <w:marBottom w:val="0"/>
      <w:divBdr>
        <w:top w:val="none" w:sz="0" w:space="0" w:color="auto"/>
        <w:left w:val="none" w:sz="0" w:space="0" w:color="auto"/>
        <w:bottom w:val="none" w:sz="0" w:space="0" w:color="auto"/>
        <w:right w:val="none" w:sz="0" w:space="0" w:color="auto"/>
      </w:divBdr>
    </w:div>
    <w:div w:id="300501462">
      <w:bodyDiv w:val="1"/>
      <w:marLeft w:val="0"/>
      <w:marRight w:val="0"/>
      <w:marTop w:val="0"/>
      <w:marBottom w:val="0"/>
      <w:divBdr>
        <w:top w:val="none" w:sz="0" w:space="0" w:color="auto"/>
        <w:left w:val="none" w:sz="0" w:space="0" w:color="auto"/>
        <w:bottom w:val="none" w:sz="0" w:space="0" w:color="auto"/>
        <w:right w:val="none" w:sz="0" w:space="0" w:color="auto"/>
      </w:divBdr>
    </w:div>
    <w:div w:id="314991175">
      <w:bodyDiv w:val="1"/>
      <w:marLeft w:val="0"/>
      <w:marRight w:val="0"/>
      <w:marTop w:val="0"/>
      <w:marBottom w:val="0"/>
      <w:divBdr>
        <w:top w:val="none" w:sz="0" w:space="0" w:color="auto"/>
        <w:left w:val="none" w:sz="0" w:space="0" w:color="auto"/>
        <w:bottom w:val="none" w:sz="0" w:space="0" w:color="auto"/>
        <w:right w:val="none" w:sz="0" w:space="0" w:color="auto"/>
      </w:divBdr>
    </w:div>
    <w:div w:id="323358630">
      <w:bodyDiv w:val="1"/>
      <w:marLeft w:val="0"/>
      <w:marRight w:val="0"/>
      <w:marTop w:val="0"/>
      <w:marBottom w:val="0"/>
      <w:divBdr>
        <w:top w:val="none" w:sz="0" w:space="0" w:color="auto"/>
        <w:left w:val="none" w:sz="0" w:space="0" w:color="auto"/>
        <w:bottom w:val="none" w:sz="0" w:space="0" w:color="auto"/>
        <w:right w:val="none" w:sz="0" w:space="0" w:color="auto"/>
      </w:divBdr>
    </w:div>
    <w:div w:id="325742624">
      <w:bodyDiv w:val="1"/>
      <w:marLeft w:val="0"/>
      <w:marRight w:val="0"/>
      <w:marTop w:val="0"/>
      <w:marBottom w:val="0"/>
      <w:divBdr>
        <w:top w:val="none" w:sz="0" w:space="0" w:color="auto"/>
        <w:left w:val="none" w:sz="0" w:space="0" w:color="auto"/>
        <w:bottom w:val="none" w:sz="0" w:space="0" w:color="auto"/>
        <w:right w:val="none" w:sz="0" w:space="0" w:color="auto"/>
      </w:divBdr>
    </w:div>
    <w:div w:id="347683596">
      <w:bodyDiv w:val="1"/>
      <w:marLeft w:val="0"/>
      <w:marRight w:val="0"/>
      <w:marTop w:val="0"/>
      <w:marBottom w:val="0"/>
      <w:divBdr>
        <w:top w:val="none" w:sz="0" w:space="0" w:color="auto"/>
        <w:left w:val="none" w:sz="0" w:space="0" w:color="auto"/>
        <w:bottom w:val="none" w:sz="0" w:space="0" w:color="auto"/>
        <w:right w:val="none" w:sz="0" w:space="0" w:color="auto"/>
      </w:divBdr>
    </w:div>
    <w:div w:id="391850906">
      <w:bodyDiv w:val="1"/>
      <w:marLeft w:val="0"/>
      <w:marRight w:val="0"/>
      <w:marTop w:val="0"/>
      <w:marBottom w:val="0"/>
      <w:divBdr>
        <w:top w:val="none" w:sz="0" w:space="0" w:color="auto"/>
        <w:left w:val="none" w:sz="0" w:space="0" w:color="auto"/>
        <w:bottom w:val="none" w:sz="0" w:space="0" w:color="auto"/>
        <w:right w:val="none" w:sz="0" w:space="0" w:color="auto"/>
      </w:divBdr>
      <w:divsChild>
        <w:div w:id="1877699048">
          <w:marLeft w:val="0"/>
          <w:marRight w:val="0"/>
          <w:marTop w:val="0"/>
          <w:marBottom w:val="0"/>
          <w:divBdr>
            <w:top w:val="none" w:sz="0" w:space="0" w:color="auto"/>
            <w:left w:val="none" w:sz="0" w:space="0" w:color="auto"/>
            <w:bottom w:val="none" w:sz="0" w:space="0" w:color="auto"/>
            <w:right w:val="none" w:sz="0" w:space="0" w:color="auto"/>
          </w:divBdr>
          <w:divsChild>
            <w:div w:id="57674696">
              <w:marLeft w:val="0"/>
              <w:marRight w:val="0"/>
              <w:marTop w:val="0"/>
              <w:marBottom w:val="0"/>
              <w:divBdr>
                <w:top w:val="none" w:sz="0" w:space="0" w:color="auto"/>
                <w:left w:val="none" w:sz="0" w:space="0" w:color="auto"/>
                <w:bottom w:val="none" w:sz="0" w:space="0" w:color="auto"/>
                <w:right w:val="none" w:sz="0" w:space="0" w:color="auto"/>
              </w:divBdr>
              <w:divsChild>
                <w:div w:id="823396669">
                  <w:marLeft w:val="-75"/>
                  <w:marRight w:val="-75"/>
                  <w:marTop w:val="0"/>
                  <w:marBottom w:val="0"/>
                  <w:divBdr>
                    <w:top w:val="none" w:sz="0" w:space="0" w:color="auto"/>
                    <w:left w:val="none" w:sz="0" w:space="0" w:color="auto"/>
                    <w:bottom w:val="none" w:sz="0" w:space="0" w:color="auto"/>
                    <w:right w:val="none" w:sz="0" w:space="0" w:color="auto"/>
                  </w:divBdr>
                  <w:divsChild>
                    <w:div w:id="381485688">
                      <w:marLeft w:val="0"/>
                      <w:marRight w:val="0"/>
                      <w:marTop w:val="0"/>
                      <w:marBottom w:val="0"/>
                      <w:divBdr>
                        <w:top w:val="none" w:sz="0" w:space="0" w:color="auto"/>
                        <w:left w:val="none" w:sz="0" w:space="0" w:color="auto"/>
                        <w:bottom w:val="none" w:sz="0" w:space="0" w:color="auto"/>
                        <w:right w:val="none" w:sz="0" w:space="0" w:color="auto"/>
                      </w:divBdr>
                      <w:divsChild>
                        <w:div w:id="1426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08833">
      <w:bodyDiv w:val="1"/>
      <w:marLeft w:val="0"/>
      <w:marRight w:val="0"/>
      <w:marTop w:val="0"/>
      <w:marBottom w:val="0"/>
      <w:divBdr>
        <w:top w:val="none" w:sz="0" w:space="0" w:color="auto"/>
        <w:left w:val="none" w:sz="0" w:space="0" w:color="auto"/>
        <w:bottom w:val="none" w:sz="0" w:space="0" w:color="auto"/>
        <w:right w:val="none" w:sz="0" w:space="0" w:color="auto"/>
      </w:divBdr>
    </w:div>
    <w:div w:id="398941498">
      <w:bodyDiv w:val="1"/>
      <w:marLeft w:val="0"/>
      <w:marRight w:val="0"/>
      <w:marTop w:val="0"/>
      <w:marBottom w:val="0"/>
      <w:divBdr>
        <w:top w:val="none" w:sz="0" w:space="0" w:color="auto"/>
        <w:left w:val="none" w:sz="0" w:space="0" w:color="auto"/>
        <w:bottom w:val="none" w:sz="0" w:space="0" w:color="auto"/>
        <w:right w:val="none" w:sz="0" w:space="0" w:color="auto"/>
      </w:divBdr>
    </w:div>
    <w:div w:id="421608356">
      <w:bodyDiv w:val="1"/>
      <w:marLeft w:val="0"/>
      <w:marRight w:val="0"/>
      <w:marTop w:val="0"/>
      <w:marBottom w:val="0"/>
      <w:divBdr>
        <w:top w:val="none" w:sz="0" w:space="0" w:color="auto"/>
        <w:left w:val="none" w:sz="0" w:space="0" w:color="auto"/>
        <w:bottom w:val="none" w:sz="0" w:space="0" w:color="auto"/>
        <w:right w:val="none" w:sz="0" w:space="0" w:color="auto"/>
      </w:divBdr>
    </w:div>
    <w:div w:id="453330257">
      <w:bodyDiv w:val="1"/>
      <w:marLeft w:val="0"/>
      <w:marRight w:val="0"/>
      <w:marTop w:val="0"/>
      <w:marBottom w:val="0"/>
      <w:divBdr>
        <w:top w:val="none" w:sz="0" w:space="0" w:color="auto"/>
        <w:left w:val="none" w:sz="0" w:space="0" w:color="auto"/>
        <w:bottom w:val="none" w:sz="0" w:space="0" w:color="auto"/>
        <w:right w:val="none" w:sz="0" w:space="0" w:color="auto"/>
      </w:divBdr>
    </w:div>
    <w:div w:id="460416187">
      <w:bodyDiv w:val="1"/>
      <w:marLeft w:val="0"/>
      <w:marRight w:val="0"/>
      <w:marTop w:val="0"/>
      <w:marBottom w:val="0"/>
      <w:divBdr>
        <w:top w:val="none" w:sz="0" w:space="0" w:color="auto"/>
        <w:left w:val="none" w:sz="0" w:space="0" w:color="auto"/>
        <w:bottom w:val="none" w:sz="0" w:space="0" w:color="auto"/>
        <w:right w:val="none" w:sz="0" w:space="0" w:color="auto"/>
      </w:divBdr>
    </w:div>
    <w:div w:id="469791382">
      <w:bodyDiv w:val="1"/>
      <w:marLeft w:val="0"/>
      <w:marRight w:val="0"/>
      <w:marTop w:val="0"/>
      <w:marBottom w:val="0"/>
      <w:divBdr>
        <w:top w:val="none" w:sz="0" w:space="0" w:color="auto"/>
        <w:left w:val="none" w:sz="0" w:space="0" w:color="auto"/>
        <w:bottom w:val="none" w:sz="0" w:space="0" w:color="auto"/>
        <w:right w:val="none" w:sz="0" w:space="0" w:color="auto"/>
      </w:divBdr>
    </w:div>
    <w:div w:id="503473595">
      <w:bodyDiv w:val="1"/>
      <w:marLeft w:val="0"/>
      <w:marRight w:val="0"/>
      <w:marTop w:val="0"/>
      <w:marBottom w:val="0"/>
      <w:divBdr>
        <w:top w:val="none" w:sz="0" w:space="0" w:color="auto"/>
        <w:left w:val="none" w:sz="0" w:space="0" w:color="auto"/>
        <w:bottom w:val="none" w:sz="0" w:space="0" w:color="auto"/>
        <w:right w:val="none" w:sz="0" w:space="0" w:color="auto"/>
      </w:divBdr>
    </w:div>
    <w:div w:id="505290872">
      <w:bodyDiv w:val="1"/>
      <w:marLeft w:val="0"/>
      <w:marRight w:val="0"/>
      <w:marTop w:val="0"/>
      <w:marBottom w:val="0"/>
      <w:divBdr>
        <w:top w:val="none" w:sz="0" w:space="0" w:color="auto"/>
        <w:left w:val="none" w:sz="0" w:space="0" w:color="auto"/>
        <w:bottom w:val="none" w:sz="0" w:space="0" w:color="auto"/>
        <w:right w:val="none" w:sz="0" w:space="0" w:color="auto"/>
      </w:divBdr>
    </w:div>
    <w:div w:id="507671081">
      <w:bodyDiv w:val="1"/>
      <w:marLeft w:val="0"/>
      <w:marRight w:val="0"/>
      <w:marTop w:val="0"/>
      <w:marBottom w:val="0"/>
      <w:divBdr>
        <w:top w:val="none" w:sz="0" w:space="0" w:color="auto"/>
        <w:left w:val="none" w:sz="0" w:space="0" w:color="auto"/>
        <w:bottom w:val="none" w:sz="0" w:space="0" w:color="auto"/>
        <w:right w:val="none" w:sz="0" w:space="0" w:color="auto"/>
      </w:divBdr>
    </w:div>
    <w:div w:id="509952851">
      <w:bodyDiv w:val="1"/>
      <w:marLeft w:val="0"/>
      <w:marRight w:val="0"/>
      <w:marTop w:val="0"/>
      <w:marBottom w:val="0"/>
      <w:divBdr>
        <w:top w:val="none" w:sz="0" w:space="0" w:color="auto"/>
        <w:left w:val="none" w:sz="0" w:space="0" w:color="auto"/>
        <w:bottom w:val="none" w:sz="0" w:space="0" w:color="auto"/>
        <w:right w:val="none" w:sz="0" w:space="0" w:color="auto"/>
      </w:divBdr>
    </w:div>
    <w:div w:id="523634461">
      <w:bodyDiv w:val="1"/>
      <w:marLeft w:val="0"/>
      <w:marRight w:val="0"/>
      <w:marTop w:val="0"/>
      <w:marBottom w:val="0"/>
      <w:divBdr>
        <w:top w:val="none" w:sz="0" w:space="0" w:color="auto"/>
        <w:left w:val="none" w:sz="0" w:space="0" w:color="auto"/>
        <w:bottom w:val="none" w:sz="0" w:space="0" w:color="auto"/>
        <w:right w:val="none" w:sz="0" w:space="0" w:color="auto"/>
      </w:divBdr>
    </w:div>
    <w:div w:id="535390557">
      <w:bodyDiv w:val="1"/>
      <w:marLeft w:val="0"/>
      <w:marRight w:val="0"/>
      <w:marTop w:val="0"/>
      <w:marBottom w:val="0"/>
      <w:divBdr>
        <w:top w:val="none" w:sz="0" w:space="0" w:color="auto"/>
        <w:left w:val="none" w:sz="0" w:space="0" w:color="auto"/>
        <w:bottom w:val="none" w:sz="0" w:space="0" w:color="auto"/>
        <w:right w:val="none" w:sz="0" w:space="0" w:color="auto"/>
      </w:divBdr>
    </w:div>
    <w:div w:id="540245399">
      <w:bodyDiv w:val="1"/>
      <w:marLeft w:val="0"/>
      <w:marRight w:val="0"/>
      <w:marTop w:val="0"/>
      <w:marBottom w:val="0"/>
      <w:divBdr>
        <w:top w:val="none" w:sz="0" w:space="0" w:color="auto"/>
        <w:left w:val="none" w:sz="0" w:space="0" w:color="auto"/>
        <w:bottom w:val="none" w:sz="0" w:space="0" w:color="auto"/>
        <w:right w:val="none" w:sz="0" w:space="0" w:color="auto"/>
      </w:divBdr>
    </w:div>
    <w:div w:id="555705139">
      <w:bodyDiv w:val="1"/>
      <w:marLeft w:val="0"/>
      <w:marRight w:val="0"/>
      <w:marTop w:val="0"/>
      <w:marBottom w:val="0"/>
      <w:divBdr>
        <w:top w:val="none" w:sz="0" w:space="0" w:color="auto"/>
        <w:left w:val="none" w:sz="0" w:space="0" w:color="auto"/>
        <w:bottom w:val="none" w:sz="0" w:space="0" w:color="auto"/>
        <w:right w:val="none" w:sz="0" w:space="0" w:color="auto"/>
      </w:divBdr>
    </w:div>
    <w:div w:id="565342371">
      <w:bodyDiv w:val="1"/>
      <w:marLeft w:val="0"/>
      <w:marRight w:val="0"/>
      <w:marTop w:val="0"/>
      <w:marBottom w:val="0"/>
      <w:divBdr>
        <w:top w:val="none" w:sz="0" w:space="0" w:color="auto"/>
        <w:left w:val="none" w:sz="0" w:space="0" w:color="auto"/>
        <w:bottom w:val="none" w:sz="0" w:space="0" w:color="auto"/>
        <w:right w:val="none" w:sz="0" w:space="0" w:color="auto"/>
      </w:divBdr>
    </w:div>
    <w:div w:id="566651922">
      <w:bodyDiv w:val="1"/>
      <w:marLeft w:val="0"/>
      <w:marRight w:val="0"/>
      <w:marTop w:val="0"/>
      <w:marBottom w:val="0"/>
      <w:divBdr>
        <w:top w:val="none" w:sz="0" w:space="0" w:color="auto"/>
        <w:left w:val="none" w:sz="0" w:space="0" w:color="auto"/>
        <w:bottom w:val="none" w:sz="0" w:space="0" w:color="auto"/>
        <w:right w:val="none" w:sz="0" w:space="0" w:color="auto"/>
      </w:divBdr>
    </w:div>
    <w:div w:id="577979630">
      <w:bodyDiv w:val="1"/>
      <w:marLeft w:val="0"/>
      <w:marRight w:val="0"/>
      <w:marTop w:val="0"/>
      <w:marBottom w:val="0"/>
      <w:divBdr>
        <w:top w:val="none" w:sz="0" w:space="0" w:color="auto"/>
        <w:left w:val="none" w:sz="0" w:space="0" w:color="auto"/>
        <w:bottom w:val="none" w:sz="0" w:space="0" w:color="auto"/>
        <w:right w:val="none" w:sz="0" w:space="0" w:color="auto"/>
      </w:divBdr>
    </w:div>
    <w:div w:id="584073836">
      <w:bodyDiv w:val="1"/>
      <w:marLeft w:val="0"/>
      <w:marRight w:val="0"/>
      <w:marTop w:val="0"/>
      <w:marBottom w:val="0"/>
      <w:divBdr>
        <w:top w:val="none" w:sz="0" w:space="0" w:color="auto"/>
        <w:left w:val="none" w:sz="0" w:space="0" w:color="auto"/>
        <w:bottom w:val="none" w:sz="0" w:space="0" w:color="auto"/>
        <w:right w:val="none" w:sz="0" w:space="0" w:color="auto"/>
      </w:divBdr>
    </w:div>
    <w:div w:id="599222992">
      <w:bodyDiv w:val="1"/>
      <w:marLeft w:val="0"/>
      <w:marRight w:val="0"/>
      <w:marTop w:val="0"/>
      <w:marBottom w:val="0"/>
      <w:divBdr>
        <w:top w:val="none" w:sz="0" w:space="0" w:color="auto"/>
        <w:left w:val="none" w:sz="0" w:space="0" w:color="auto"/>
        <w:bottom w:val="none" w:sz="0" w:space="0" w:color="auto"/>
        <w:right w:val="none" w:sz="0" w:space="0" w:color="auto"/>
      </w:divBdr>
    </w:div>
    <w:div w:id="604770969">
      <w:bodyDiv w:val="1"/>
      <w:marLeft w:val="0"/>
      <w:marRight w:val="0"/>
      <w:marTop w:val="0"/>
      <w:marBottom w:val="0"/>
      <w:divBdr>
        <w:top w:val="none" w:sz="0" w:space="0" w:color="auto"/>
        <w:left w:val="none" w:sz="0" w:space="0" w:color="auto"/>
        <w:bottom w:val="none" w:sz="0" w:space="0" w:color="auto"/>
        <w:right w:val="none" w:sz="0" w:space="0" w:color="auto"/>
      </w:divBdr>
    </w:div>
    <w:div w:id="610481658">
      <w:bodyDiv w:val="1"/>
      <w:marLeft w:val="0"/>
      <w:marRight w:val="0"/>
      <w:marTop w:val="0"/>
      <w:marBottom w:val="0"/>
      <w:divBdr>
        <w:top w:val="none" w:sz="0" w:space="0" w:color="auto"/>
        <w:left w:val="none" w:sz="0" w:space="0" w:color="auto"/>
        <w:bottom w:val="none" w:sz="0" w:space="0" w:color="auto"/>
        <w:right w:val="none" w:sz="0" w:space="0" w:color="auto"/>
      </w:divBdr>
    </w:div>
    <w:div w:id="617026062">
      <w:bodyDiv w:val="1"/>
      <w:marLeft w:val="0"/>
      <w:marRight w:val="0"/>
      <w:marTop w:val="0"/>
      <w:marBottom w:val="0"/>
      <w:divBdr>
        <w:top w:val="none" w:sz="0" w:space="0" w:color="auto"/>
        <w:left w:val="none" w:sz="0" w:space="0" w:color="auto"/>
        <w:bottom w:val="none" w:sz="0" w:space="0" w:color="auto"/>
        <w:right w:val="none" w:sz="0" w:space="0" w:color="auto"/>
      </w:divBdr>
    </w:div>
    <w:div w:id="621150943">
      <w:bodyDiv w:val="1"/>
      <w:marLeft w:val="0"/>
      <w:marRight w:val="0"/>
      <w:marTop w:val="0"/>
      <w:marBottom w:val="0"/>
      <w:divBdr>
        <w:top w:val="none" w:sz="0" w:space="0" w:color="auto"/>
        <w:left w:val="none" w:sz="0" w:space="0" w:color="auto"/>
        <w:bottom w:val="none" w:sz="0" w:space="0" w:color="auto"/>
        <w:right w:val="none" w:sz="0" w:space="0" w:color="auto"/>
      </w:divBdr>
    </w:div>
    <w:div w:id="636836336">
      <w:bodyDiv w:val="1"/>
      <w:marLeft w:val="0"/>
      <w:marRight w:val="0"/>
      <w:marTop w:val="0"/>
      <w:marBottom w:val="0"/>
      <w:divBdr>
        <w:top w:val="none" w:sz="0" w:space="0" w:color="auto"/>
        <w:left w:val="none" w:sz="0" w:space="0" w:color="auto"/>
        <w:bottom w:val="none" w:sz="0" w:space="0" w:color="auto"/>
        <w:right w:val="none" w:sz="0" w:space="0" w:color="auto"/>
      </w:divBdr>
    </w:div>
    <w:div w:id="683047947">
      <w:bodyDiv w:val="1"/>
      <w:marLeft w:val="0"/>
      <w:marRight w:val="0"/>
      <w:marTop w:val="0"/>
      <w:marBottom w:val="0"/>
      <w:divBdr>
        <w:top w:val="none" w:sz="0" w:space="0" w:color="auto"/>
        <w:left w:val="none" w:sz="0" w:space="0" w:color="auto"/>
        <w:bottom w:val="none" w:sz="0" w:space="0" w:color="auto"/>
        <w:right w:val="none" w:sz="0" w:space="0" w:color="auto"/>
      </w:divBdr>
    </w:div>
    <w:div w:id="691106044">
      <w:bodyDiv w:val="1"/>
      <w:marLeft w:val="0"/>
      <w:marRight w:val="0"/>
      <w:marTop w:val="0"/>
      <w:marBottom w:val="0"/>
      <w:divBdr>
        <w:top w:val="none" w:sz="0" w:space="0" w:color="auto"/>
        <w:left w:val="none" w:sz="0" w:space="0" w:color="auto"/>
        <w:bottom w:val="none" w:sz="0" w:space="0" w:color="auto"/>
        <w:right w:val="none" w:sz="0" w:space="0" w:color="auto"/>
      </w:divBdr>
    </w:div>
    <w:div w:id="709307393">
      <w:bodyDiv w:val="1"/>
      <w:marLeft w:val="0"/>
      <w:marRight w:val="0"/>
      <w:marTop w:val="0"/>
      <w:marBottom w:val="0"/>
      <w:divBdr>
        <w:top w:val="none" w:sz="0" w:space="0" w:color="auto"/>
        <w:left w:val="none" w:sz="0" w:space="0" w:color="auto"/>
        <w:bottom w:val="none" w:sz="0" w:space="0" w:color="auto"/>
        <w:right w:val="none" w:sz="0" w:space="0" w:color="auto"/>
      </w:divBdr>
    </w:div>
    <w:div w:id="712651526">
      <w:bodyDiv w:val="1"/>
      <w:marLeft w:val="0"/>
      <w:marRight w:val="0"/>
      <w:marTop w:val="0"/>
      <w:marBottom w:val="0"/>
      <w:divBdr>
        <w:top w:val="none" w:sz="0" w:space="0" w:color="auto"/>
        <w:left w:val="none" w:sz="0" w:space="0" w:color="auto"/>
        <w:bottom w:val="none" w:sz="0" w:space="0" w:color="auto"/>
        <w:right w:val="none" w:sz="0" w:space="0" w:color="auto"/>
      </w:divBdr>
    </w:div>
    <w:div w:id="728849335">
      <w:bodyDiv w:val="1"/>
      <w:marLeft w:val="0"/>
      <w:marRight w:val="0"/>
      <w:marTop w:val="0"/>
      <w:marBottom w:val="0"/>
      <w:divBdr>
        <w:top w:val="none" w:sz="0" w:space="0" w:color="auto"/>
        <w:left w:val="none" w:sz="0" w:space="0" w:color="auto"/>
        <w:bottom w:val="none" w:sz="0" w:space="0" w:color="auto"/>
        <w:right w:val="none" w:sz="0" w:space="0" w:color="auto"/>
      </w:divBdr>
    </w:div>
    <w:div w:id="738402199">
      <w:bodyDiv w:val="1"/>
      <w:marLeft w:val="0"/>
      <w:marRight w:val="0"/>
      <w:marTop w:val="0"/>
      <w:marBottom w:val="0"/>
      <w:divBdr>
        <w:top w:val="none" w:sz="0" w:space="0" w:color="auto"/>
        <w:left w:val="none" w:sz="0" w:space="0" w:color="auto"/>
        <w:bottom w:val="none" w:sz="0" w:space="0" w:color="auto"/>
        <w:right w:val="none" w:sz="0" w:space="0" w:color="auto"/>
      </w:divBdr>
    </w:div>
    <w:div w:id="758716861">
      <w:bodyDiv w:val="1"/>
      <w:marLeft w:val="0"/>
      <w:marRight w:val="0"/>
      <w:marTop w:val="0"/>
      <w:marBottom w:val="0"/>
      <w:divBdr>
        <w:top w:val="none" w:sz="0" w:space="0" w:color="auto"/>
        <w:left w:val="none" w:sz="0" w:space="0" w:color="auto"/>
        <w:bottom w:val="none" w:sz="0" w:space="0" w:color="auto"/>
        <w:right w:val="none" w:sz="0" w:space="0" w:color="auto"/>
      </w:divBdr>
    </w:div>
    <w:div w:id="759569947">
      <w:bodyDiv w:val="1"/>
      <w:marLeft w:val="0"/>
      <w:marRight w:val="0"/>
      <w:marTop w:val="0"/>
      <w:marBottom w:val="0"/>
      <w:divBdr>
        <w:top w:val="none" w:sz="0" w:space="0" w:color="auto"/>
        <w:left w:val="none" w:sz="0" w:space="0" w:color="auto"/>
        <w:bottom w:val="none" w:sz="0" w:space="0" w:color="auto"/>
        <w:right w:val="none" w:sz="0" w:space="0" w:color="auto"/>
      </w:divBdr>
    </w:div>
    <w:div w:id="762461445">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94755868">
      <w:bodyDiv w:val="1"/>
      <w:marLeft w:val="0"/>
      <w:marRight w:val="0"/>
      <w:marTop w:val="0"/>
      <w:marBottom w:val="0"/>
      <w:divBdr>
        <w:top w:val="none" w:sz="0" w:space="0" w:color="auto"/>
        <w:left w:val="none" w:sz="0" w:space="0" w:color="auto"/>
        <w:bottom w:val="none" w:sz="0" w:space="0" w:color="auto"/>
        <w:right w:val="none" w:sz="0" w:space="0" w:color="auto"/>
      </w:divBdr>
    </w:div>
    <w:div w:id="811873392">
      <w:bodyDiv w:val="1"/>
      <w:marLeft w:val="0"/>
      <w:marRight w:val="0"/>
      <w:marTop w:val="0"/>
      <w:marBottom w:val="0"/>
      <w:divBdr>
        <w:top w:val="none" w:sz="0" w:space="0" w:color="auto"/>
        <w:left w:val="none" w:sz="0" w:space="0" w:color="auto"/>
        <w:bottom w:val="none" w:sz="0" w:space="0" w:color="auto"/>
        <w:right w:val="none" w:sz="0" w:space="0" w:color="auto"/>
      </w:divBdr>
    </w:div>
    <w:div w:id="822357325">
      <w:bodyDiv w:val="1"/>
      <w:marLeft w:val="0"/>
      <w:marRight w:val="0"/>
      <w:marTop w:val="0"/>
      <w:marBottom w:val="0"/>
      <w:divBdr>
        <w:top w:val="none" w:sz="0" w:space="0" w:color="auto"/>
        <w:left w:val="none" w:sz="0" w:space="0" w:color="auto"/>
        <w:bottom w:val="none" w:sz="0" w:space="0" w:color="auto"/>
        <w:right w:val="none" w:sz="0" w:space="0" w:color="auto"/>
      </w:divBdr>
    </w:div>
    <w:div w:id="823855862">
      <w:bodyDiv w:val="1"/>
      <w:marLeft w:val="0"/>
      <w:marRight w:val="0"/>
      <w:marTop w:val="0"/>
      <w:marBottom w:val="0"/>
      <w:divBdr>
        <w:top w:val="none" w:sz="0" w:space="0" w:color="auto"/>
        <w:left w:val="none" w:sz="0" w:space="0" w:color="auto"/>
        <w:bottom w:val="none" w:sz="0" w:space="0" w:color="auto"/>
        <w:right w:val="none" w:sz="0" w:space="0" w:color="auto"/>
      </w:divBdr>
    </w:div>
    <w:div w:id="834339170">
      <w:bodyDiv w:val="1"/>
      <w:marLeft w:val="0"/>
      <w:marRight w:val="0"/>
      <w:marTop w:val="0"/>
      <w:marBottom w:val="0"/>
      <w:divBdr>
        <w:top w:val="none" w:sz="0" w:space="0" w:color="auto"/>
        <w:left w:val="none" w:sz="0" w:space="0" w:color="auto"/>
        <w:bottom w:val="none" w:sz="0" w:space="0" w:color="auto"/>
        <w:right w:val="none" w:sz="0" w:space="0" w:color="auto"/>
      </w:divBdr>
    </w:div>
    <w:div w:id="876814664">
      <w:bodyDiv w:val="1"/>
      <w:marLeft w:val="0"/>
      <w:marRight w:val="0"/>
      <w:marTop w:val="0"/>
      <w:marBottom w:val="0"/>
      <w:divBdr>
        <w:top w:val="none" w:sz="0" w:space="0" w:color="auto"/>
        <w:left w:val="none" w:sz="0" w:space="0" w:color="auto"/>
        <w:bottom w:val="none" w:sz="0" w:space="0" w:color="auto"/>
        <w:right w:val="none" w:sz="0" w:space="0" w:color="auto"/>
      </w:divBdr>
    </w:div>
    <w:div w:id="881748771">
      <w:bodyDiv w:val="1"/>
      <w:marLeft w:val="0"/>
      <w:marRight w:val="0"/>
      <w:marTop w:val="0"/>
      <w:marBottom w:val="0"/>
      <w:divBdr>
        <w:top w:val="none" w:sz="0" w:space="0" w:color="auto"/>
        <w:left w:val="none" w:sz="0" w:space="0" w:color="auto"/>
        <w:bottom w:val="none" w:sz="0" w:space="0" w:color="auto"/>
        <w:right w:val="none" w:sz="0" w:space="0" w:color="auto"/>
      </w:divBdr>
    </w:div>
    <w:div w:id="891312652">
      <w:bodyDiv w:val="1"/>
      <w:marLeft w:val="0"/>
      <w:marRight w:val="0"/>
      <w:marTop w:val="0"/>
      <w:marBottom w:val="0"/>
      <w:divBdr>
        <w:top w:val="none" w:sz="0" w:space="0" w:color="auto"/>
        <w:left w:val="none" w:sz="0" w:space="0" w:color="auto"/>
        <w:bottom w:val="none" w:sz="0" w:space="0" w:color="auto"/>
        <w:right w:val="none" w:sz="0" w:space="0" w:color="auto"/>
      </w:divBdr>
    </w:div>
    <w:div w:id="900022481">
      <w:bodyDiv w:val="1"/>
      <w:marLeft w:val="0"/>
      <w:marRight w:val="0"/>
      <w:marTop w:val="0"/>
      <w:marBottom w:val="0"/>
      <w:divBdr>
        <w:top w:val="none" w:sz="0" w:space="0" w:color="auto"/>
        <w:left w:val="none" w:sz="0" w:space="0" w:color="auto"/>
        <w:bottom w:val="none" w:sz="0" w:space="0" w:color="auto"/>
        <w:right w:val="none" w:sz="0" w:space="0" w:color="auto"/>
      </w:divBdr>
    </w:div>
    <w:div w:id="901215595">
      <w:bodyDiv w:val="1"/>
      <w:marLeft w:val="0"/>
      <w:marRight w:val="0"/>
      <w:marTop w:val="0"/>
      <w:marBottom w:val="0"/>
      <w:divBdr>
        <w:top w:val="none" w:sz="0" w:space="0" w:color="auto"/>
        <w:left w:val="none" w:sz="0" w:space="0" w:color="auto"/>
        <w:bottom w:val="none" w:sz="0" w:space="0" w:color="auto"/>
        <w:right w:val="none" w:sz="0" w:space="0" w:color="auto"/>
      </w:divBdr>
    </w:div>
    <w:div w:id="902259194">
      <w:bodyDiv w:val="1"/>
      <w:marLeft w:val="0"/>
      <w:marRight w:val="0"/>
      <w:marTop w:val="0"/>
      <w:marBottom w:val="0"/>
      <w:divBdr>
        <w:top w:val="none" w:sz="0" w:space="0" w:color="auto"/>
        <w:left w:val="none" w:sz="0" w:space="0" w:color="auto"/>
        <w:bottom w:val="none" w:sz="0" w:space="0" w:color="auto"/>
        <w:right w:val="none" w:sz="0" w:space="0" w:color="auto"/>
      </w:divBdr>
    </w:div>
    <w:div w:id="905144721">
      <w:bodyDiv w:val="1"/>
      <w:marLeft w:val="0"/>
      <w:marRight w:val="0"/>
      <w:marTop w:val="0"/>
      <w:marBottom w:val="0"/>
      <w:divBdr>
        <w:top w:val="none" w:sz="0" w:space="0" w:color="auto"/>
        <w:left w:val="none" w:sz="0" w:space="0" w:color="auto"/>
        <w:bottom w:val="none" w:sz="0" w:space="0" w:color="auto"/>
        <w:right w:val="none" w:sz="0" w:space="0" w:color="auto"/>
      </w:divBdr>
      <w:divsChild>
        <w:div w:id="1933707906">
          <w:marLeft w:val="0"/>
          <w:marRight w:val="0"/>
          <w:marTop w:val="0"/>
          <w:marBottom w:val="0"/>
          <w:divBdr>
            <w:top w:val="none" w:sz="0" w:space="0" w:color="auto"/>
            <w:left w:val="none" w:sz="0" w:space="0" w:color="auto"/>
            <w:bottom w:val="none" w:sz="0" w:space="0" w:color="auto"/>
            <w:right w:val="none" w:sz="0" w:space="0" w:color="auto"/>
          </w:divBdr>
          <w:divsChild>
            <w:div w:id="662855623">
              <w:marLeft w:val="0"/>
              <w:marRight w:val="0"/>
              <w:marTop w:val="0"/>
              <w:marBottom w:val="0"/>
              <w:divBdr>
                <w:top w:val="none" w:sz="0" w:space="0" w:color="auto"/>
                <w:left w:val="none" w:sz="0" w:space="0" w:color="auto"/>
                <w:bottom w:val="none" w:sz="0" w:space="0" w:color="auto"/>
                <w:right w:val="none" w:sz="0" w:space="0" w:color="auto"/>
              </w:divBdr>
              <w:divsChild>
                <w:div w:id="18512161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28584349">
      <w:bodyDiv w:val="1"/>
      <w:marLeft w:val="0"/>
      <w:marRight w:val="0"/>
      <w:marTop w:val="0"/>
      <w:marBottom w:val="0"/>
      <w:divBdr>
        <w:top w:val="none" w:sz="0" w:space="0" w:color="auto"/>
        <w:left w:val="none" w:sz="0" w:space="0" w:color="auto"/>
        <w:bottom w:val="none" w:sz="0" w:space="0" w:color="auto"/>
        <w:right w:val="none" w:sz="0" w:space="0" w:color="auto"/>
      </w:divBdr>
    </w:div>
    <w:div w:id="939800916">
      <w:bodyDiv w:val="1"/>
      <w:marLeft w:val="0"/>
      <w:marRight w:val="0"/>
      <w:marTop w:val="0"/>
      <w:marBottom w:val="0"/>
      <w:divBdr>
        <w:top w:val="none" w:sz="0" w:space="0" w:color="auto"/>
        <w:left w:val="none" w:sz="0" w:space="0" w:color="auto"/>
        <w:bottom w:val="none" w:sz="0" w:space="0" w:color="auto"/>
        <w:right w:val="none" w:sz="0" w:space="0" w:color="auto"/>
      </w:divBdr>
    </w:div>
    <w:div w:id="941836046">
      <w:bodyDiv w:val="1"/>
      <w:marLeft w:val="0"/>
      <w:marRight w:val="0"/>
      <w:marTop w:val="0"/>
      <w:marBottom w:val="0"/>
      <w:divBdr>
        <w:top w:val="none" w:sz="0" w:space="0" w:color="auto"/>
        <w:left w:val="none" w:sz="0" w:space="0" w:color="auto"/>
        <w:bottom w:val="none" w:sz="0" w:space="0" w:color="auto"/>
        <w:right w:val="none" w:sz="0" w:space="0" w:color="auto"/>
      </w:divBdr>
    </w:div>
    <w:div w:id="947590416">
      <w:bodyDiv w:val="1"/>
      <w:marLeft w:val="0"/>
      <w:marRight w:val="0"/>
      <w:marTop w:val="0"/>
      <w:marBottom w:val="0"/>
      <w:divBdr>
        <w:top w:val="none" w:sz="0" w:space="0" w:color="auto"/>
        <w:left w:val="none" w:sz="0" w:space="0" w:color="auto"/>
        <w:bottom w:val="none" w:sz="0" w:space="0" w:color="auto"/>
        <w:right w:val="none" w:sz="0" w:space="0" w:color="auto"/>
      </w:divBdr>
    </w:div>
    <w:div w:id="9537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072478">
          <w:marLeft w:val="0"/>
          <w:marRight w:val="0"/>
          <w:marTop w:val="0"/>
          <w:marBottom w:val="0"/>
          <w:divBdr>
            <w:top w:val="none" w:sz="0" w:space="0" w:color="auto"/>
            <w:left w:val="none" w:sz="0" w:space="0" w:color="auto"/>
            <w:bottom w:val="none" w:sz="0" w:space="0" w:color="auto"/>
            <w:right w:val="none" w:sz="0" w:space="0" w:color="auto"/>
          </w:divBdr>
          <w:divsChild>
            <w:div w:id="1104181383">
              <w:marLeft w:val="0"/>
              <w:marRight w:val="0"/>
              <w:marTop w:val="0"/>
              <w:marBottom w:val="0"/>
              <w:divBdr>
                <w:top w:val="none" w:sz="0" w:space="0" w:color="auto"/>
                <w:left w:val="none" w:sz="0" w:space="0" w:color="auto"/>
                <w:bottom w:val="none" w:sz="0" w:space="0" w:color="auto"/>
                <w:right w:val="none" w:sz="0" w:space="0" w:color="auto"/>
              </w:divBdr>
              <w:divsChild>
                <w:div w:id="1693989910">
                  <w:marLeft w:val="-75"/>
                  <w:marRight w:val="-75"/>
                  <w:marTop w:val="0"/>
                  <w:marBottom w:val="0"/>
                  <w:divBdr>
                    <w:top w:val="none" w:sz="0" w:space="0" w:color="auto"/>
                    <w:left w:val="none" w:sz="0" w:space="0" w:color="auto"/>
                    <w:bottom w:val="none" w:sz="0" w:space="0" w:color="auto"/>
                    <w:right w:val="none" w:sz="0" w:space="0" w:color="auto"/>
                  </w:divBdr>
                  <w:divsChild>
                    <w:div w:id="913008730">
                      <w:marLeft w:val="0"/>
                      <w:marRight w:val="0"/>
                      <w:marTop w:val="0"/>
                      <w:marBottom w:val="0"/>
                      <w:divBdr>
                        <w:top w:val="none" w:sz="0" w:space="0" w:color="auto"/>
                        <w:left w:val="none" w:sz="0" w:space="0" w:color="auto"/>
                        <w:bottom w:val="none" w:sz="0" w:space="0" w:color="auto"/>
                        <w:right w:val="none" w:sz="0" w:space="0" w:color="auto"/>
                      </w:divBdr>
                      <w:divsChild>
                        <w:div w:id="1764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5461">
      <w:bodyDiv w:val="1"/>
      <w:marLeft w:val="0"/>
      <w:marRight w:val="0"/>
      <w:marTop w:val="0"/>
      <w:marBottom w:val="0"/>
      <w:divBdr>
        <w:top w:val="none" w:sz="0" w:space="0" w:color="auto"/>
        <w:left w:val="none" w:sz="0" w:space="0" w:color="auto"/>
        <w:bottom w:val="none" w:sz="0" w:space="0" w:color="auto"/>
        <w:right w:val="none" w:sz="0" w:space="0" w:color="auto"/>
      </w:divBdr>
    </w:div>
    <w:div w:id="971859962">
      <w:bodyDiv w:val="1"/>
      <w:marLeft w:val="0"/>
      <w:marRight w:val="0"/>
      <w:marTop w:val="0"/>
      <w:marBottom w:val="0"/>
      <w:divBdr>
        <w:top w:val="none" w:sz="0" w:space="0" w:color="auto"/>
        <w:left w:val="none" w:sz="0" w:space="0" w:color="auto"/>
        <w:bottom w:val="none" w:sz="0" w:space="0" w:color="auto"/>
        <w:right w:val="none" w:sz="0" w:space="0" w:color="auto"/>
      </w:divBdr>
    </w:div>
    <w:div w:id="986395868">
      <w:bodyDiv w:val="1"/>
      <w:marLeft w:val="0"/>
      <w:marRight w:val="0"/>
      <w:marTop w:val="0"/>
      <w:marBottom w:val="0"/>
      <w:divBdr>
        <w:top w:val="none" w:sz="0" w:space="0" w:color="auto"/>
        <w:left w:val="none" w:sz="0" w:space="0" w:color="auto"/>
        <w:bottom w:val="none" w:sz="0" w:space="0" w:color="auto"/>
        <w:right w:val="none" w:sz="0" w:space="0" w:color="auto"/>
      </w:divBdr>
    </w:div>
    <w:div w:id="1020814598">
      <w:bodyDiv w:val="1"/>
      <w:marLeft w:val="0"/>
      <w:marRight w:val="0"/>
      <w:marTop w:val="0"/>
      <w:marBottom w:val="0"/>
      <w:divBdr>
        <w:top w:val="none" w:sz="0" w:space="0" w:color="auto"/>
        <w:left w:val="none" w:sz="0" w:space="0" w:color="auto"/>
        <w:bottom w:val="none" w:sz="0" w:space="0" w:color="auto"/>
        <w:right w:val="none" w:sz="0" w:space="0" w:color="auto"/>
      </w:divBdr>
    </w:div>
    <w:div w:id="1023826236">
      <w:bodyDiv w:val="1"/>
      <w:marLeft w:val="0"/>
      <w:marRight w:val="0"/>
      <w:marTop w:val="0"/>
      <w:marBottom w:val="0"/>
      <w:divBdr>
        <w:top w:val="none" w:sz="0" w:space="0" w:color="auto"/>
        <w:left w:val="none" w:sz="0" w:space="0" w:color="auto"/>
        <w:bottom w:val="none" w:sz="0" w:space="0" w:color="auto"/>
        <w:right w:val="none" w:sz="0" w:space="0" w:color="auto"/>
      </w:divBdr>
    </w:div>
    <w:div w:id="1030913909">
      <w:bodyDiv w:val="1"/>
      <w:marLeft w:val="0"/>
      <w:marRight w:val="0"/>
      <w:marTop w:val="0"/>
      <w:marBottom w:val="0"/>
      <w:divBdr>
        <w:top w:val="none" w:sz="0" w:space="0" w:color="auto"/>
        <w:left w:val="none" w:sz="0" w:space="0" w:color="auto"/>
        <w:bottom w:val="none" w:sz="0" w:space="0" w:color="auto"/>
        <w:right w:val="none" w:sz="0" w:space="0" w:color="auto"/>
      </w:divBdr>
    </w:div>
    <w:div w:id="1035540811">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sChild>
        <w:div w:id="430663972">
          <w:marLeft w:val="0"/>
          <w:marRight w:val="0"/>
          <w:marTop w:val="0"/>
          <w:marBottom w:val="0"/>
          <w:divBdr>
            <w:top w:val="none" w:sz="0" w:space="0" w:color="auto"/>
            <w:left w:val="none" w:sz="0" w:space="0" w:color="auto"/>
            <w:bottom w:val="none" w:sz="0" w:space="0" w:color="auto"/>
            <w:right w:val="none" w:sz="0" w:space="0" w:color="auto"/>
          </w:divBdr>
          <w:divsChild>
            <w:div w:id="154147719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091776579">
      <w:bodyDiv w:val="1"/>
      <w:marLeft w:val="0"/>
      <w:marRight w:val="0"/>
      <w:marTop w:val="0"/>
      <w:marBottom w:val="0"/>
      <w:divBdr>
        <w:top w:val="none" w:sz="0" w:space="0" w:color="auto"/>
        <w:left w:val="none" w:sz="0" w:space="0" w:color="auto"/>
        <w:bottom w:val="none" w:sz="0" w:space="0" w:color="auto"/>
        <w:right w:val="none" w:sz="0" w:space="0" w:color="auto"/>
      </w:divBdr>
    </w:div>
    <w:div w:id="1093937608">
      <w:bodyDiv w:val="1"/>
      <w:marLeft w:val="0"/>
      <w:marRight w:val="0"/>
      <w:marTop w:val="0"/>
      <w:marBottom w:val="0"/>
      <w:divBdr>
        <w:top w:val="none" w:sz="0" w:space="0" w:color="auto"/>
        <w:left w:val="none" w:sz="0" w:space="0" w:color="auto"/>
        <w:bottom w:val="none" w:sz="0" w:space="0" w:color="auto"/>
        <w:right w:val="none" w:sz="0" w:space="0" w:color="auto"/>
      </w:divBdr>
    </w:div>
    <w:div w:id="1133013684">
      <w:bodyDiv w:val="1"/>
      <w:marLeft w:val="0"/>
      <w:marRight w:val="0"/>
      <w:marTop w:val="0"/>
      <w:marBottom w:val="0"/>
      <w:divBdr>
        <w:top w:val="none" w:sz="0" w:space="0" w:color="auto"/>
        <w:left w:val="none" w:sz="0" w:space="0" w:color="auto"/>
        <w:bottom w:val="none" w:sz="0" w:space="0" w:color="auto"/>
        <w:right w:val="none" w:sz="0" w:space="0" w:color="auto"/>
      </w:divBdr>
    </w:div>
    <w:div w:id="1170483349">
      <w:bodyDiv w:val="1"/>
      <w:marLeft w:val="0"/>
      <w:marRight w:val="0"/>
      <w:marTop w:val="0"/>
      <w:marBottom w:val="0"/>
      <w:divBdr>
        <w:top w:val="none" w:sz="0" w:space="0" w:color="auto"/>
        <w:left w:val="none" w:sz="0" w:space="0" w:color="auto"/>
        <w:bottom w:val="none" w:sz="0" w:space="0" w:color="auto"/>
        <w:right w:val="none" w:sz="0" w:space="0" w:color="auto"/>
      </w:divBdr>
    </w:div>
    <w:div w:id="1206059961">
      <w:bodyDiv w:val="1"/>
      <w:marLeft w:val="0"/>
      <w:marRight w:val="0"/>
      <w:marTop w:val="0"/>
      <w:marBottom w:val="0"/>
      <w:divBdr>
        <w:top w:val="none" w:sz="0" w:space="0" w:color="auto"/>
        <w:left w:val="none" w:sz="0" w:space="0" w:color="auto"/>
        <w:bottom w:val="none" w:sz="0" w:space="0" w:color="auto"/>
        <w:right w:val="none" w:sz="0" w:space="0" w:color="auto"/>
      </w:divBdr>
    </w:div>
    <w:div w:id="1220674378">
      <w:bodyDiv w:val="1"/>
      <w:marLeft w:val="0"/>
      <w:marRight w:val="0"/>
      <w:marTop w:val="0"/>
      <w:marBottom w:val="0"/>
      <w:divBdr>
        <w:top w:val="none" w:sz="0" w:space="0" w:color="auto"/>
        <w:left w:val="none" w:sz="0" w:space="0" w:color="auto"/>
        <w:bottom w:val="none" w:sz="0" w:space="0" w:color="auto"/>
        <w:right w:val="none" w:sz="0" w:space="0" w:color="auto"/>
      </w:divBdr>
      <w:divsChild>
        <w:div w:id="681395370">
          <w:marLeft w:val="0"/>
          <w:marRight w:val="0"/>
          <w:marTop w:val="0"/>
          <w:marBottom w:val="0"/>
          <w:divBdr>
            <w:top w:val="none" w:sz="0" w:space="0" w:color="auto"/>
            <w:left w:val="none" w:sz="0" w:space="0" w:color="auto"/>
            <w:bottom w:val="none" w:sz="0" w:space="0" w:color="auto"/>
            <w:right w:val="none" w:sz="0" w:space="0" w:color="auto"/>
          </w:divBdr>
          <w:divsChild>
            <w:div w:id="195974444">
              <w:marLeft w:val="0"/>
              <w:marRight w:val="0"/>
              <w:marTop w:val="0"/>
              <w:marBottom w:val="0"/>
              <w:divBdr>
                <w:top w:val="none" w:sz="0" w:space="0" w:color="auto"/>
                <w:left w:val="none" w:sz="0" w:space="0" w:color="auto"/>
                <w:bottom w:val="none" w:sz="0" w:space="0" w:color="auto"/>
                <w:right w:val="none" w:sz="0" w:space="0" w:color="auto"/>
              </w:divBdr>
              <w:divsChild>
                <w:div w:id="1468206328">
                  <w:marLeft w:val="0"/>
                  <w:marRight w:val="0"/>
                  <w:marTop w:val="0"/>
                  <w:marBottom w:val="0"/>
                  <w:divBdr>
                    <w:top w:val="none" w:sz="0" w:space="0" w:color="auto"/>
                    <w:left w:val="none" w:sz="0" w:space="0" w:color="auto"/>
                    <w:bottom w:val="none" w:sz="0" w:space="0" w:color="auto"/>
                    <w:right w:val="none" w:sz="0" w:space="0" w:color="auto"/>
                  </w:divBdr>
                  <w:divsChild>
                    <w:div w:id="195048567">
                      <w:marLeft w:val="0"/>
                      <w:marRight w:val="0"/>
                      <w:marTop w:val="0"/>
                      <w:marBottom w:val="0"/>
                      <w:divBdr>
                        <w:top w:val="none" w:sz="0" w:space="0" w:color="auto"/>
                        <w:left w:val="none" w:sz="0" w:space="0" w:color="auto"/>
                        <w:bottom w:val="none" w:sz="0" w:space="0" w:color="auto"/>
                        <w:right w:val="none" w:sz="0" w:space="0" w:color="auto"/>
                      </w:divBdr>
                      <w:divsChild>
                        <w:div w:id="1378119905">
                          <w:marLeft w:val="0"/>
                          <w:marRight w:val="0"/>
                          <w:marTop w:val="0"/>
                          <w:marBottom w:val="0"/>
                          <w:divBdr>
                            <w:top w:val="none" w:sz="0" w:space="0" w:color="auto"/>
                            <w:left w:val="none" w:sz="0" w:space="0" w:color="auto"/>
                            <w:bottom w:val="none" w:sz="0" w:space="0" w:color="auto"/>
                            <w:right w:val="none" w:sz="0" w:space="0" w:color="auto"/>
                          </w:divBdr>
                          <w:divsChild>
                            <w:div w:id="1762797740">
                              <w:marLeft w:val="0"/>
                              <w:marRight w:val="0"/>
                              <w:marTop w:val="0"/>
                              <w:marBottom w:val="0"/>
                              <w:divBdr>
                                <w:top w:val="none" w:sz="0" w:space="0" w:color="auto"/>
                                <w:left w:val="none" w:sz="0" w:space="0" w:color="auto"/>
                                <w:bottom w:val="none" w:sz="0" w:space="0" w:color="auto"/>
                                <w:right w:val="none" w:sz="0" w:space="0" w:color="auto"/>
                              </w:divBdr>
                              <w:divsChild>
                                <w:div w:id="345061636">
                                  <w:marLeft w:val="0"/>
                                  <w:marRight w:val="0"/>
                                  <w:marTop w:val="0"/>
                                  <w:marBottom w:val="0"/>
                                  <w:divBdr>
                                    <w:top w:val="none" w:sz="0" w:space="0" w:color="auto"/>
                                    <w:left w:val="none" w:sz="0" w:space="0" w:color="auto"/>
                                    <w:bottom w:val="none" w:sz="0" w:space="0" w:color="auto"/>
                                    <w:right w:val="none" w:sz="0" w:space="0" w:color="auto"/>
                                  </w:divBdr>
                                  <w:divsChild>
                                    <w:div w:id="365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7757">
      <w:bodyDiv w:val="1"/>
      <w:marLeft w:val="0"/>
      <w:marRight w:val="0"/>
      <w:marTop w:val="0"/>
      <w:marBottom w:val="0"/>
      <w:divBdr>
        <w:top w:val="none" w:sz="0" w:space="0" w:color="auto"/>
        <w:left w:val="none" w:sz="0" w:space="0" w:color="auto"/>
        <w:bottom w:val="none" w:sz="0" w:space="0" w:color="auto"/>
        <w:right w:val="none" w:sz="0" w:space="0" w:color="auto"/>
      </w:divBdr>
    </w:div>
    <w:div w:id="1227689533">
      <w:bodyDiv w:val="1"/>
      <w:marLeft w:val="0"/>
      <w:marRight w:val="0"/>
      <w:marTop w:val="0"/>
      <w:marBottom w:val="0"/>
      <w:divBdr>
        <w:top w:val="none" w:sz="0" w:space="0" w:color="auto"/>
        <w:left w:val="none" w:sz="0" w:space="0" w:color="auto"/>
        <w:bottom w:val="none" w:sz="0" w:space="0" w:color="auto"/>
        <w:right w:val="none" w:sz="0" w:space="0" w:color="auto"/>
      </w:divBdr>
    </w:div>
    <w:div w:id="1236361307">
      <w:bodyDiv w:val="1"/>
      <w:marLeft w:val="0"/>
      <w:marRight w:val="0"/>
      <w:marTop w:val="0"/>
      <w:marBottom w:val="0"/>
      <w:divBdr>
        <w:top w:val="none" w:sz="0" w:space="0" w:color="auto"/>
        <w:left w:val="none" w:sz="0" w:space="0" w:color="auto"/>
        <w:bottom w:val="none" w:sz="0" w:space="0" w:color="auto"/>
        <w:right w:val="none" w:sz="0" w:space="0" w:color="auto"/>
      </w:divBdr>
    </w:div>
    <w:div w:id="1241603470">
      <w:bodyDiv w:val="1"/>
      <w:marLeft w:val="0"/>
      <w:marRight w:val="0"/>
      <w:marTop w:val="0"/>
      <w:marBottom w:val="0"/>
      <w:divBdr>
        <w:top w:val="none" w:sz="0" w:space="0" w:color="auto"/>
        <w:left w:val="none" w:sz="0" w:space="0" w:color="auto"/>
        <w:bottom w:val="none" w:sz="0" w:space="0" w:color="auto"/>
        <w:right w:val="none" w:sz="0" w:space="0" w:color="auto"/>
      </w:divBdr>
      <w:divsChild>
        <w:div w:id="304823913">
          <w:marLeft w:val="0"/>
          <w:marRight w:val="0"/>
          <w:marTop w:val="0"/>
          <w:marBottom w:val="0"/>
          <w:divBdr>
            <w:top w:val="none" w:sz="0" w:space="0" w:color="auto"/>
            <w:left w:val="none" w:sz="0" w:space="0" w:color="auto"/>
            <w:bottom w:val="none" w:sz="0" w:space="0" w:color="auto"/>
            <w:right w:val="none" w:sz="0" w:space="0" w:color="auto"/>
          </w:divBdr>
          <w:divsChild>
            <w:div w:id="1732575833">
              <w:marLeft w:val="0"/>
              <w:marRight w:val="0"/>
              <w:marTop w:val="0"/>
              <w:marBottom w:val="0"/>
              <w:divBdr>
                <w:top w:val="none" w:sz="0" w:space="0" w:color="auto"/>
                <w:left w:val="none" w:sz="0" w:space="0" w:color="auto"/>
                <w:bottom w:val="none" w:sz="0" w:space="0" w:color="auto"/>
                <w:right w:val="none" w:sz="0" w:space="0" w:color="auto"/>
              </w:divBdr>
              <w:divsChild>
                <w:div w:id="1579167867">
                  <w:marLeft w:val="-75"/>
                  <w:marRight w:val="-75"/>
                  <w:marTop w:val="0"/>
                  <w:marBottom w:val="0"/>
                  <w:divBdr>
                    <w:top w:val="none" w:sz="0" w:space="0" w:color="auto"/>
                    <w:left w:val="none" w:sz="0" w:space="0" w:color="auto"/>
                    <w:bottom w:val="none" w:sz="0" w:space="0" w:color="auto"/>
                    <w:right w:val="none" w:sz="0" w:space="0" w:color="auto"/>
                  </w:divBdr>
                  <w:divsChild>
                    <w:div w:id="2013952882">
                      <w:marLeft w:val="0"/>
                      <w:marRight w:val="0"/>
                      <w:marTop w:val="0"/>
                      <w:marBottom w:val="0"/>
                      <w:divBdr>
                        <w:top w:val="none" w:sz="0" w:space="0" w:color="auto"/>
                        <w:left w:val="none" w:sz="0" w:space="0" w:color="auto"/>
                        <w:bottom w:val="none" w:sz="0" w:space="0" w:color="auto"/>
                        <w:right w:val="none" w:sz="0" w:space="0" w:color="auto"/>
                      </w:divBdr>
                      <w:divsChild>
                        <w:div w:id="399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3627">
      <w:bodyDiv w:val="1"/>
      <w:marLeft w:val="0"/>
      <w:marRight w:val="0"/>
      <w:marTop w:val="0"/>
      <w:marBottom w:val="0"/>
      <w:divBdr>
        <w:top w:val="none" w:sz="0" w:space="0" w:color="auto"/>
        <w:left w:val="none" w:sz="0" w:space="0" w:color="auto"/>
        <w:bottom w:val="none" w:sz="0" w:space="0" w:color="auto"/>
        <w:right w:val="none" w:sz="0" w:space="0" w:color="auto"/>
      </w:divBdr>
    </w:div>
    <w:div w:id="1253585293">
      <w:bodyDiv w:val="1"/>
      <w:marLeft w:val="0"/>
      <w:marRight w:val="0"/>
      <w:marTop w:val="0"/>
      <w:marBottom w:val="0"/>
      <w:divBdr>
        <w:top w:val="none" w:sz="0" w:space="0" w:color="auto"/>
        <w:left w:val="none" w:sz="0" w:space="0" w:color="auto"/>
        <w:bottom w:val="none" w:sz="0" w:space="0" w:color="auto"/>
        <w:right w:val="none" w:sz="0" w:space="0" w:color="auto"/>
      </w:divBdr>
    </w:div>
    <w:div w:id="1254977089">
      <w:bodyDiv w:val="1"/>
      <w:marLeft w:val="0"/>
      <w:marRight w:val="0"/>
      <w:marTop w:val="0"/>
      <w:marBottom w:val="0"/>
      <w:divBdr>
        <w:top w:val="none" w:sz="0" w:space="0" w:color="auto"/>
        <w:left w:val="none" w:sz="0" w:space="0" w:color="auto"/>
        <w:bottom w:val="none" w:sz="0" w:space="0" w:color="auto"/>
        <w:right w:val="none" w:sz="0" w:space="0" w:color="auto"/>
      </w:divBdr>
    </w:div>
    <w:div w:id="1272857943">
      <w:bodyDiv w:val="1"/>
      <w:marLeft w:val="0"/>
      <w:marRight w:val="0"/>
      <w:marTop w:val="0"/>
      <w:marBottom w:val="0"/>
      <w:divBdr>
        <w:top w:val="none" w:sz="0" w:space="0" w:color="auto"/>
        <w:left w:val="none" w:sz="0" w:space="0" w:color="auto"/>
        <w:bottom w:val="none" w:sz="0" w:space="0" w:color="auto"/>
        <w:right w:val="none" w:sz="0" w:space="0" w:color="auto"/>
      </w:divBdr>
    </w:div>
    <w:div w:id="1275479462">
      <w:bodyDiv w:val="1"/>
      <w:marLeft w:val="0"/>
      <w:marRight w:val="0"/>
      <w:marTop w:val="0"/>
      <w:marBottom w:val="0"/>
      <w:divBdr>
        <w:top w:val="none" w:sz="0" w:space="0" w:color="auto"/>
        <w:left w:val="none" w:sz="0" w:space="0" w:color="auto"/>
        <w:bottom w:val="none" w:sz="0" w:space="0" w:color="auto"/>
        <w:right w:val="none" w:sz="0" w:space="0" w:color="auto"/>
      </w:divBdr>
    </w:div>
    <w:div w:id="1284727531">
      <w:bodyDiv w:val="1"/>
      <w:marLeft w:val="0"/>
      <w:marRight w:val="0"/>
      <w:marTop w:val="0"/>
      <w:marBottom w:val="0"/>
      <w:divBdr>
        <w:top w:val="none" w:sz="0" w:space="0" w:color="auto"/>
        <w:left w:val="none" w:sz="0" w:space="0" w:color="auto"/>
        <w:bottom w:val="none" w:sz="0" w:space="0" w:color="auto"/>
        <w:right w:val="none" w:sz="0" w:space="0" w:color="auto"/>
      </w:divBdr>
    </w:div>
    <w:div w:id="1284964795">
      <w:bodyDiv w:val="1"/>
      <w:marLeft w:val="0"/>
      <w:marRight w:val="0"/>
      <w:marTop w:val="0"/>
      <w:marBottom w:val="0"/>
      <w:divBdr>
        <w:top w:val="none" w:sz="0" w:space="0" w:color="auto"/>
        <w:left w:val="none" w:sz="0" w:space="0" w:color="auto"/>
        <w:bottom w:val="none" w:sz="0" w:space="0" w:color="auto"/>
        <w:right w:val="none" w:sz="0" w:space="0" w:color="auto"/>
      </w:divBdr>
    </w:div>
    <w:div w:id="1296637965">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22536503">
      <w:bodyDiv w:val="1"/>
      <w:marLeft w:val="0"/>
      <w:marRight w:val="0"/>
      <w:marTop w:val="0"/>
      <w:marBottom w:val="0"/>
      <w:divBdr>
        <w:top w:val="none" w:sz="0" w:space="0" w:color="auto"/>
        <w:left w:val="none" w:sz="0" w:space="0" w:color="auto"/>
        <w:bottom w:val="none" w:sz="0" w:space="0" w:color="auto"/>
        <w:right w:val="none" w:sz="0" w:space="0" w:color="auto"/>
      </w:divBdr>
    </w:div>
    <w:div w:id="1350989643">
      <w:bodyDiv w:val="1"/>
      <w:marLeft w:val="0"/>
      <w:marRight w:val="0"/>
      <w:marTop w:val="0"/>
      <w:marBottom w:val="0"/>
      <w:divBdr>
        <w:top w:val="none" w:sz="0" w:space="0" w:color="auto"/>
        <w:left w:val="none" w:sz="0" w:space="0" w:color="auto"/>
        <w:bottom w:val="none" w:sz="0" w:space="0" w:color="auto"/>
        <w:right w:val="none" w:sz="0" w:space="0" w:color="auto"/>
      </w:divBdr>
    </w:div>
    <w:div w:id="1383098224">
      <w:bodyDiv w:val="1"/>
      <w:marLeft w:val="0"/>
      <w:marRight w:val="0"/>
      <w:marTop w:val="0"/>
      <w:marBottom w:val="0"/>
      <w:divBdr>
        <w:top w:val="none" w:sz="0" w:space="0" w:color="auto"/>
        <w:left w:val="none" w:sz="0" w:space="0" w:color="auto"/>
        <w:bottom w:val="none" w:sz="0" w:space="0" w:color="auto"/>
        <w:right w:val="none" w:sz="0" w:space="0" w:color="auto"/>
      </w:divBdr>
    </w:div>
    <w:div w:id="1383867268">
      <w:bodyDiv w:val="1"/>
      <w:marLeft w:val="0"/>
      <w:marRight w:val="0"/>
      <w:marTop w:val="0"/>
      <w:marBottom w:val="0"/>
      <w:divBdr>
        <w:top w:val="none" w:sz="0" w:space="0" w:color="auto"/>
        <w:left w:val="none" w:sz="0" w:space="0" w:color="auto"/>
        <w:bottom w:val="none" w:sz="0" w:space="0" w:color="auto"/>
        <w:right w:val="none" w:sz="0" w:space="0" w:color="auto"/>
      </w:divBdr>
    </w:div>
    <w:div w:id="1388605763">
      <w:bodyDiv w:val="1"/>
      <w:marLeft w:val="0"/>
      <w:marRight w:val="0"/>
      <w:marTop w:val="0"/>
      <w:marBottom w:val="0"/>
      <w:divBdr>
        <w:top w:val="none" w:sz="0" w:space="0" w:color="auto"/>
        <w:left w:val="none" w:sz="0" w:space="0" w:color="auto"/>
        <w:bottom w:val="none" w:sz="0" w:space="0" w:color="auto"/>
        <w:right w:val="none" w:sz="0" w:space="0" w:color="auto"/>
      </w:divBdr>
    </w:div>
    <w:div w:id="1399328033">
      <w:bodyDiv w:val="1"/>
      <w:marLeft w:val="0"/>
      <w:marRight w:val="0"/>
      <w:marTop w:val="0"/>
      <w:marBottom w:val="0"/>
      <w:divBdr>
        <w:top w:val="none" w:sz="0" w:space="0" w:color="auto"/>
        <w:left w:val="none" w:sz="0" w:space="0" w:color="auto"/>
        <w:bottom w:val="none" w:sz="0" w:space="0" w:color="auto"/>
        <w:right w:val="none" w:sz="0" w:space="0" w:color="auto"/>
      </w:divBdr>
    </w:div>
    <w:div w:id="1403214600">
      <w:bodyDiv w:val="1"/>
      <w:marLeft w:val="0"/>
      <w:marRight w:val="0"/>
      <w:marTop w:val="0"/>
      <w:marBottom w:val="0"/>
      <w:divBdr>
        <w:top w:val="none" w:sz="0" w:space="0" w:color="auto"/>
        <w:left w:val="none" w:sz="0" w:space="0" w:color="auto"/>
        <w:bottom w:val="none" w:sz="0" w:space="0" w:color="auto"/>
        <w:right w:val="none" w:sz="0" w:space="0" w:color="auto"/>
      </w:divBdr>
    </w:div>
    <w:div w:id="1415200661">
      <w:bodyDiv w:val="1"/>
      <w:marLeft w:val="0"/>
      <w:marRight w:val="0"/>
      <w:marTop w:val="0"/>
      <w:marBottom w:val="0"/>
      <w:divBdr>
        <w:top w:val="none" w:sz="0" w:space="0" w:color="auto"/>
        <w:left w:val="none" w:sz="0" w:space="0" w:color="auto"/>
        <w:bottom w:val="none" w:sz="0" w:space="0" w:color="auto"/>
        <w:right w:val="none" w:sz="0" w:space="0" w:color="auto"/>
      </w:divBdr>
    </w:div>
    <w:div w:id="1423867661">
      <w:bodyDiv w:val="1"/>
      <w:marLeft w:val="0"/>
      <w:marRight w:val="0"/>
      <w:marTop w:val="0"/>
      <w:marBottom w:val="0"/>
      <w:divBdr>
        <w:top w:val="none" w:sz="0" w:space="0" w:color="auto"/>
        <w:left w:val="none" w:sz="0" w:space="0" w:color="auto"/>
        <w:bottom w:val="none" w:sz="0" w:space="0" w:color="auto"/>
        <w:right w:val="none" w:sz="0" w:space="0" w:color="auto"/>
      </w:divBdr>
    </w:div>
    <w:div w:id="1444887511">
      <w:bodyDiv w:val="1"/>
      <w:marLeft w:val="0"/>
      <w:marRight w:val="0"/>
      <w:marTop w:val="0"/>
      <w:marBottom w:val="0"/>
      <w:divBdr>
        <w:top w:val="none" w:sz="0" w:space="0" w:color="auto"/>
        <w:left w:val="none" w:sz="0" w:space="0" w:color="auto"/>
        <w:bottom w:val="none" w:sz="0" w:space="0" w:color="auto"/>
        <w:right w:val="none" w:sz="0" w:space="0" w:color="auto"/>
      </w:divBdr>
    </w:div>
    <w:div w:id="1451784815">
      <w:bodyDiv w:val="1"/>
      <w:marLeft w:val="0"/>
      <w:marRight w:val="0"/>
      <w:marTop w:val="0"/>
      <w:marBottom w:val="0"/>
      <w:divBdr>
        <w:top w:val="none" w:sz="0" w:space="0" w:color="auto"/>
        <w:left w:val="none" w:sz="0" w:space="0" w:color="auto"/>
        <w:bottom w:val="none" w:sz="0" w:space="0" w:color="auto"/>
        <w:right w:val="none" w:sz="0" w:space="0" w:color="auto"/>
      </w:divBdr>
    </w:div>
    <w:div w:id="1459031841">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73450626">
      <w:bodyDiv w:val="1"/>
      <w:marLeft w:val="0"/>
      <w:marRight w:val="0"/>
      <w:marTop w:val="0"/>
      <w:marBottom w:val="0"/>
      <w:divBdr>
        <w:top w:val="none" w:sz="0" w:space="0" w:color="auto"/>
        <w:left w:val="none" w:sz="0" w:space="0" w:color="auto"/>
        <w:bottom w:val="none" w:sz="0" w:space="0" w:color="auto"/>
        <w:right w:val="none" w:sz="0" w:space="0" w:color="auto"/>
      </w:divBdr>
    </w:div>
    <w:div w:id="1487697780">
      <w:bodyDiv w:val="1"/>
      <w:marLeft w:val="0"/>
      <w:marRight w:val="0"/>
      <w:marTop w:val="0"/>
      <w:marBottom w:val="0"/>
      <w:divBdr>
        <w:top w:val="none" w:sz="0" w:space="0" w:color="auto"/>
        <w:left w:val="none" w:sz="0" w:space="0" w:color="auto"/>
        <w:bottom w:val="none" w:sz="0" w:space="0" w:color="auto"/>
        <w:right w:val="none" w:sz="0" w:space="0" w:color="auto"/>
      </w:divBdr>
    </w:div>
    <w:div w:id="1515222387">
      <w:bodyDiv w:val="1"/>
      <w:marLeft w:val="0"/>
      <w:marRight w:val="0"/>
      <w:marTop w:val="0"/>
      <w:marBottom w:val="0"/>
      <w:divBdr>
        <w:top w:val="none" w:sz="0" w:space="0" w:color="auto"/>
        <w:left w:val="none" w:sz="0" w:space="0" w:color="auto"/>
        <w:bottom w:val="none" w:sz="0" w:space="0" w:color="auto"/>
        <w:right w:val="none" w:sz="0" w:space="0" w:color="auto"/>
      </w:divBdr>
    </w:div>
    <w:div w:id="1529176342">
      <w:bodyDiv w:val="1"/>
      <w:marLeft w:val="0"/>
      <w:marRight w:val="0"/>
      <w:marTop w:val="0"/>
      <w:marBottom w:val="0"/>
      <w:divBdr>
        <w:top w:val="none" w:sz="0" w:space="0" w:color="auto"/>
        <w:left w:val="none" w:sz="0" w:space="0" w:color="auto"/>
        <w:bottom w:val="none" w:sz="0" w:space="0" w:color="auto"/>
        <w:right w:val="none" w:sz="0" w:space="0" w:color="auto"/>
      </w:divBdr>
    </w:div>
    <w:div w:id="1536194352">
      <w:bodyDiv w:val="1"/>
      <w:marLeft w:val="0"/>
      <w:marRight w:val="0"/>
      <w:marTop w:val="0"/>
      <w:marBottom w:val="0"/>
      <w:divBdr>
        <w:top w:val="none" w:sz="0" w:space="0" w:color="auto"/>
        <w:left w:val="none" w:sz="0" w:space="0" w:color="auto"/>
        <w:bottom w:val="none" w:sz="0" w:space="0" w:color="auto"/>
        <w:right w:val="none" w:sz="0" w:space="0" w:color="auto"/>
      </w:divBdr>
    </w:div>
    <w:div w:id="1565333215">
      <w:bodyDiv w:val="1"/>
      <w:marLeft w:val="0"/>
      <w:marRight w:val="0"/>
      <w:marTop w:val="0"/>
      <w:marBottom w:val="0"/>
      <w:divBdr>
        <w:top w:val="none" w:sz="0" w:space="0" w:color="auto"/>
        <w:left w:val="none" w:sz="0" w:space="0" w:color="auto"/>
        <w:bottom w:val="none" w:sz="0" w:space="0" w:color="auto"/>
        <w:right w:val="none" w:sz="0" w:space="0" w:color="auto"/>
      </w:divBdr>
    </w:div>
    <w:div w:id="1566141871">
      <w:bodyDiv w:val="1"/>
      <w:marLeft w:val="0"/>
      <w:marRight w:val="0"/>
      <w:marTop w:val="0"/>
      <w:marBottom w:val="0"/>
      <w:divBdr>
        <w:top w:val="none" w:sz="0" w:space="0" w:color="auto"/>
        <w:left w:val="none" w:sz="0" w:space="0" w:color="auto"/>
        <w:bottom w:val="none" w:sz="0" w:space="0" w:color="auto"/>
        <w:right w:val="none" w:sz="0" w:space="0" w:color="auto"/>
      </w:divBdr>
    </w:div>
    <w:div w:id="1578782778">
      <w:bodyDiv w:val="1"/>
      <w:marLeft w:val="0"/>
      <w:marRight w:val="0"/>
      <w:marTop w:val="0"/>
      <w:marBottom w:val="0"/>
      <w:divBdr>
        <w:top w:val="none" w:sz="0" w:space="0" w:color="auto"/>
        <w:left w:val="none" w:sz="0" w:space="0" w:color="auto"/>
        <w:bottom w:val="none" w:sz="0" w:space="0" w:color="auto"/>
        <w:right w:val="none" w:sz="0" w:space="0" w:color="auto"/>
      </w:divBdr>
    </w:div>
    <w:div w:id="1586259366">
      <w:bodyDiv w:val="1"/>
      <w:marLeft w:val="0"/>
      <w:marRight w:val="0"/>
      <w:marTop w:val="0"/>
      <w:marBottom w:val="0"/>
      <w:divBdr>
        <w:top w:val="none" w:sz="0" w:space="0" w:color="auto"/>
        <w:left w:val="none" w:sz="0" w:space="0" w:color="auto"/>
        <w:bottom w:val="none" w:sz="0" w:space="0" w:color="auto"/>
        <w:right w:val="none" w:sz="0" w:space="0" w:color="auto"/>
      </w:divBdr>
    </w:div>
    <w:div w:id="1653172094">
      <w:bodyDiv w:val="1"/>
      <w:marLeft w:val="0"/>
      <w:marRight w:val="0"/>
      <w:marTop w:val="0"/>
      <w:marBottom w:val="0"/>
      <w:divBdr>
        <w:top w:val="none" w:sz="0" w:space="0" w:color="auto"/>
        <w:left w:val="none" w:sz="0" w:space="0" w:color="auto"/>
        <w:bottom w:val="none" w:sz="0" w:space="0" w:color="auto"/>
        <w:right w:val="none" w:sz="0" w:space="0" w:color="auto"/>
      </w:divBdr>
    </w:div>
    <w:div w:id="1660039993">
      <w:bodyDiv w:val="1"/>
      <w:marLeft w:val="0"/>
      <w:marRight w:val="0"/>
      <w:marTop w:val="0"/>
      <w:marBottom w:val="0"/>
      <w:divBdr>
        <w:top w:val="none" w:sz="0" w:space="0" w:color="auto"/>
        <w:left w:val="none" w:sz="0" w:space="0" w:color="auto"/>
        <w:bottom w:val="none" w:sz="0" w:space="0" w:color="auto"/>
        <w:right w:val="none" w:sz="0" w:space="0" w:color="auto"/>
      </w:divBdr>
    </w:div>
    <w:div w:id="1663464272">
      <w:bodyDiv w:val="1"/>
      <w:marLeft w:val="0"/>
      <w:marRight w:val="0"/>
      <w:marTop w:val="0"/>
      <w:marBottom w:val="0"/>
      <w:divBdr>
        <w:top w:val="none" w:sz="0" w:space="0" w:color="auto"/>
        <w:left w:val="none" w:sz="0" w:space="0" w:color="auto"/>
        <w:bottom w:val="none" w:sz="0" w:space="0" w:color="auto"/>
        <w:right w:val="none" w:sz="0" w:space="0" w:color="auto"/>
      </w:divBdr>
    </w:div>
    <w:div w:id="1668553147">
      <w:bodyDiv w:val="1"/>
      <w:marLeft w:val="0"/>
      <w:marRight w:val="0"/>
      <w:marTop w:val="0"/>
      <w:marBottom w:val="0"/>
      <w:divBdr>
        <w:top w:val="none" w:sz="0" w:space="0" w:color="auto"/>
        <w:left w:val="none" w:sz="0" w:space="0" w:color="auto"/>
        <w:bottom w:val="none" w:sz="0" w:space="0" w:color="auto"/>
        <w:right w:val="none" w:sz="0" w:space="0" w:color="auto"/>
      </w:divBdr>
    </w:div>
    <w:div w:id="1680081198">
      <w:bodyDiv w:val="1"/>
      <w:marLeft w:val="0"/>
      <w:marRight w:val="0"/>
      <w:marTop w:val="0"/>
      <w:marBottom w:val="0"/>
      <w:divBdr>
        <w:top w:val="none" w:sz="0" w:space="0" w:color="auto"/>
        <w:left w:val="none" w:sz="0" w:space="0" w:color="auto"/>
        <w:bottom w:val="none" w:sz="0" w:space="0" w:color="auto"/>
        <w:right w:val="none" w:sz="0" w:space="0" w:color="auto"/>
      </w:divBdr>
    </w:div>
    <w:div w:id="1684084785">
      <w:bodyDiv w:val="1"/>
      <w:marLeft w:val="0"/>
      <w:marRight w:val="0"/>
      <w:marTop w:val="0"/>
      <w:marBottom w:val="0"/>
      <w:divBdr>
        <w:top w:val="none" w:sz="0" w:space="0" w:color="auto"/>
        <w:left w:val="none" w:sz="0" w:space="0" w:color="auto"/>
        <w:bottom w:val="none" w:sz="0" w:space="0" w:color="auto"/>
        <w:right w:val="none" w:sz="0" w:space="0" w:color="auto"/>
      </w:divBdr>
    </w:div>
    <w:div w:id="1747528921">
      <w:bodyDiv w:val="1"/>
      <w:marLeft w:val="0"/>
      <w:marRight w:val="0"/>
      <w:marTop w:val="0"/>
      <w:marBottom w:val="0"/>
      <w:divBdr>
        <w:top w:val="none" w:sz="0" w:space="0" w:color="auto"/>
        <w:left w:val="none" w:sz="0" w:space="0" w:color="auto"/>
        <w:bottom w:val="none" w:sz="0" w:space="0" w:color="auto"/>
        <w:right w:val="none" w:sz="0" w:space="0" w:color="auto"/>
      </w:divBdr>
    </w:div>
    <w:div w:id="1763991924">
      <w:bodyDiv w:val="1"/>
      <w:marLeft w:val="0"/>
      <w:marRight w:val="0"/>
      <w:marTop w:val="0"/>
      <w:marBottom w:val="0"/>
      <w:divBdr>
        <w:top w:val="none" w:sz="0" w:space="0" w:color="auto"/>
        <w:left w:val="none" w:sz="0" w:space="0" w:color="auto"/>
        <w:bottom w:val="none" w:sz="0" w:space="0" w:color="auto"/>
        <w:right w:val="none" w:sz="0" w:space="0" w:color="auto"/>
      </w:divBdr>
    </w:div>
    <w:div w:id="1772822598">
      <w:bodyDiv w:val="1"/>
      <w:marLeft w:val="0"/>
      <w:marRight w:val="0"/>
      <w:marTop w:val="0"/>
      <w:marBottom w:val="0"/>
      <w:divBdr>
        <w:top w:val="none" w:sz="0" w:space="0" w:color="auto"/>
        <w:left w:val="none" w:sz="0" w:space="0" w:color="auto"/>
        <w:bottom w:val="none" w:sz="0" w:space="0" w:color="auto"/>
        <w:right w:val="none" w:sz="0" w:space="0" w:color="auto"/>
      </w:divBdr>
    </w:div>
    <w:div w:id="1798374007">
      <w:bodyDiv w:val="1"/>
      <w:marLeft w:val="0"/>
      <w:marRight w:val="0"/>
      <w:marTop w:val="0"/>
      <w:marBottom w:val="0"/>
      <w:divBdr>
        <w:top w:val="none" w:sz="0" w:space="0" w:color="auto"/>
        <w:left w:val="none" w:sz="0" w:space="0" w:color="auto"/>
        <w:bottom w:val="none" w:sz="0" w:space="0" w:color="auto"/>
        <w:right w:val="none" w:sz="0" w:space="0" w:color="auto"/>
      </w:divBdr>
    </w:div>
    <w:div w:id="1807626977">
      <w:bodyDiv w:val="1"/>
      <w:marLeft w:val="0"/>
      <w:marRight w:val="0"/>
      <w:marTop w:val="0"/>
      <w:marBottom w:val="0"/>
      <w:divBdr>
        <w:top w:val="none" w:sz="0" w:space="0" w:color="auto"/>
        <w:left w:val="none" w:sz="0" w:space="0" w:color="auto"/>
        <w:bottom w:val="none" w:sz="0" w:space="0" w:color="auto"/>
        <w:right w:val="none" w:sz="0" w:space="0" w:color="auto"/>
      </w:divBdr>
    </w:div>
    <w:div w:id="1822310944">
      <w:bodyDiv w:val="1"/>
      <w:marLeft w:val="0"/>
      <w:marRight w:val="0"/>
      <w:marTop w:val="0"/>
      <w:marBottom w:val="0"/>
      <w:divBdr>
        <w:top w:val="none" w:sz="0" w:space="0" w:color="auto"/>
        <w:left w:val="none" w:sz="0" w:space="0" w:color="auto"/>
        <w:bottom w:val="none" w:sz="0" w:space="0" w:color="auto"/>
        <w:right w:val="none" w:sz="0" w:space="0" w:color="auto"/>
      </w:divBdr>
    </w:div>
    <w:div w:id="1826773924">
      <w:bodyDiv w:val="1"/>
      <w:marLeft w:val="0"/>
      <w:marRight w:val="0"/>
      <w:marTop w:val="0"/>
      <w:marBottom w:val="0"/>
      <w:divBdr>
        <w:top w:val="none" w:sz="0" w:space="0" w:color="auto"/>
        <w:left w:val="none" w:sz="0" w:space="0" w:color="auto"/>
        <w:bottom w:val="none" w:sz="0" w:space="0" w:color="auto"/>
        <w:right w:val="none" w:sz="0" w:space="0" w:color="auto"/>
      </w:divBdr>
    </w:div>
    <w:div w:id="1856728444">
      <w:bodyDiv w:val="1"/>
      <w:marLeft w:val="0"/>
      <w:marRight w:val="0"/>
      <w:marTop w:val="0"/>
      <w:marBottom w:val="0"/>
      <w:divBdr>
        <w:top w:val="none" w:sz="0" w:space="0" w:color="auto"/>
        <w:left w:val="none" w:sz="0" w:space="0" w:color="auto"/>
        <w:bottom w:val="none" w:sz="0" w:space="0" w:color="auto"/>
        <w:right w:val="none" w:sz="0" w:space="0" w:color="auto"/>
      </w:divBdr>
    </w:div>
    <w:div w:id="1881473701">
      <w:bodyDiv w:val="1"/>
      <w:marLeft w:val="0"/>
      <w:marRight w:val="0"/>
      <w:marTop w:val="0"/>
      <w:marBottom w:val="0"/>
      <w:divBdr>
        <w:top w:val="none" w:sz="0" w:space="0" w:color="auto"/>
        <w:left w:val="none" w:sz="0" w:space="0" w:color="auto"/>
        <w:bottom w:val="none" w:sz="0" w:space="0" w:color="auto"/>
        <w:right w:val="none" w:sz="0" w:space="0" w:color="auto"/>
      </w:divBdr>
    </w:div>
    <w:div w:id="1882208704">
      <w:bodyDiv w:val="1"/>
      <w:marLeft w:val="0"/>
      <w:marRight w:val="0"/>
      <w:marTop w:val="0"/>
      <w:marBottom w:val="0"/>
      <w:divBdr>
        <w:top w:val="none" w:sz="0" w:space="0" w:color="auto"/>
        <w:left w:val="none" w:sz="0" w:space="0" w:color="auto"/>
        <w:bottom w:val="none" w:sz="0" w:space="0" w:color="auto"/>
        <w:right w:val="none" w:sz="0" w:space="0" w:color="auto"/>
      </w:divBdr>
    </w:div>
    <w:div w:id="1885096841">
      <w:bodyDiv w:val="1"/>
      <w:marLeft w:val="0"/>
      <w:marRight w:val="0"/>
      <w:marTop w:val="0"/>
      <w:marBottom w:val="0"/>
      <w:divBdr>
        <w:top w:val="none" w:sz="0" w:space="0" w:color="auto"/>
        <w:left w:val="none" w:sz="0" w:space="0" w:color="auto"/>
        <w:bottom w:val="none" w:sz="0" w:space="0" w:color="auto"/>
        <w:right w:val="none" w:sz="0" w:space="0" w:color="auto"/>
      </w:divBdr>
    </w:div>
    <w:div w:id="1888879780">
      <w:bodyDiv w:val="1"/>
      <w:marLeft w:val="0"/>
      <w:marRight w:val="0"/>
      <w:marTop w:val="0"/>
      <w:marBottom w:val="0"/>
      <w:divBdr>
        <w:top w:val="none" w:sz="0" w:space="0" w:color="auto"/>
        <w:left w:val="none" w:sz="0" w:space="0" w:color="auto"/>
        <w:bottom w:val="none" w:sz="0" w:space="0" w:color="auto"/>
        <w:right w:val="none" w:sz="0" w:space="0" w:color="auto"/>
      </w:divBdr>
    </w:div>
    <w:div w:id="1899826752">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09461638">
      <w:bodyDiv w:val="1"/>
      <w:marLeft w:val="0"/>
      <w:marRight w:val="0"/>
      <w:marTop w:val="0"/>
      <w:marBottom w:val="0"/>
      <w:divBdr>
        <w:top w:val="none" w:sz="0" w:space="0" w:color="auto"/>
        <w:left w:val="none" w:sz="0" w:space="0" w:color="auto"/>
        <w:bottom w:val="none" w:sz="0" w:space="0" w:color="auto"/>
        <w:right w:val="none" w:sz="0" w:space="0" w:color="auto"/>
      </w:divBdr>
    </w:div>
    <w:div w:id="1909535488">
      <w:bodyDiv w:val="1"/>
      <w:marLeft w:val="0"/>
      <w:marRight w:val="0"/>
      <w:marTop w:val="0"/>
      <w:marBottom w:val="0"/>
      <w:divBdr>
        <w:top w:val="none" w:sz="0" w:space="0" w:color="auto"/>
        <w:left w:val="none" w:sz="0" w:space="0" w:color="auto"/>
        <w:bottom w:val="none" w:sz="0" w:space="0" w:color="auto"/>
        <w:right w:val="none" w:sz="0" w:space="0" w:color="auto"/>
      </w:divBdr>
    </w:div>
    <w:div w:id="1927611490">
      <w:bodyDiv w:val="1"/>
      <w:marLeft w:val="0"/>
      <w:marRight w:val="0"/>
      <w:marTop w:val="0"/>
      <w:marBottom w:val="0"/>
      <w:divBdr>
        <w:top w:val="none" w:sz="0" w:space="0" w:color="auto"/>
        <w:left w:val="none" w:sz="0" w:space="0" w:color="auto"/>
        <w:bottom w:val="none" w:sz="0" w:space="0" w:color="auto"/>
        <w:right w:val="none" w:sz="0" w:space="0" w:color="auto"/>
      </w:divBdr>
    </w:div>
    <w:div w:id="1928077352">
      <w:bodyDiv w:val="1"/>
      <w:marLeft w:val="0"/>
      <w:marRight w:val="0"/>
      <w:marTop w:val="0"/>
      <w:marBottom w:val="0"/>
      <w:divBdr>
        <w:top w:val="none" w:sz="0" w:space="0" w:color="auto"/>
        <w:left w:val="none" w:sz="0" w:space="0" w:color="auto"/>
        <w:bottom w:val="none" w:sz="0" w:space="0" w:color="auto"/>
        <w:right w:val="none" w:sz="0" w:space="0" w:color="auto"/>
      </w:divBdr>
    </w:div>
    <w:div w:id="1946814316">
      <w:bodyDiv w:val="1"/>
      <w:marLeft w:val="0"/>
      <w:marRight w:val="0"/>
      <w:marTop w:val="0"/>
      <w:marBottom w:val="0"/>
      <w:divBdr>
        <w:top w:val="none" w:sz="0" w:space="0" w:color="auto"/>
        <w:left w:val="none" w:sz="0" w:space="0" w:color="auto"/>
        <w:bottom w:val="none" w:sz="0" w:space="0" w:color="auto"/>
        <w:right w:val="none" w:sz="0" w:space="0" w:color="auto"/>
      </w:divBdr>
    </w:div>
    <w:div w:id="1959333580">
      <w:bodyDiv w:val="1"/>
      <w:marLeft w:val="0"/>
      <w:marRight w:val="0"/>
      <w:marTop w:val="0"/>
      <w:marBottom w:val="0"/>
      <w:divBdr>
        <w:top w:val="none" w:sz="0" w:space="0" w:color="auto"/>
        <w:left w:val="none" w:sz="0" w:space="0" w:color="auto"/>
        <w:bottom w:val="none" w:sz="0" w:space="0" w:color="auto"/>
        <w:right w:val="none" w:sz="0" w:space="0" w:color="auto"/>
      </w:divBdr>
    </w:div>
    <w:div w:id="1964312354">
      <w:bodyDiv w:val="1"/>
      <w:marLeft w:val="0"/>
      <w:marRight w:val="0"/>
      <w:marTop w:val="0"/>
      <w:marBottom w:val="0"/>
      <w:divBdr>
        <w:top w:val="none" w:sz="0" w:space="0" w:color="auto"/>
        <w:left w:val="none" w:sz="0" w:space="0" w:color="auto"/>
        <w:bottom w:val="none" w:sz="0" w:space="0" w:color="auto"/>
        <w:right w:val="none" w:sz="0" w:space="0" w:color="auto"/>
      </w:divBdr>
    </w:div>
    <w:div w:id="2033259682">
      <w:bodyDiv w:val="1"/>
      <w:marLeft w:val="0"/>
      <w:marRight w:val="0"/>
      <w:marTop w:val="0"/>
      <w:marBottom w:val="0"/>
      <w:divBdr>
        <w:top w:val="none" w:sz="0" w:space="0" w:color="auto"/>
        <w:left w:val="none" w:sz="0" w:space="0" w:color="auto"/>
        <w:bottom w:val="none" w:sz="0" w:space="0" w:color="auto"/>
        <w:right w:val="none" w:sz="0" w:space="0" w:color="auto"/>
      </w:divBdr>
    </w:div>
    <w:div w:id="2056276982">
      <w:bodyDiv w:val="1"/>
      <w:marLeft w:val="0"/>
      <w:marRight w:val="0"/>
      <w:marTop w:val="0"/>
      <w:marBottom w:val="0"/>
      <w:divBdr>
        <w:top w:val="none" w:sz="0" w:space="0" w:color="auto"/>
        <w:left w:val="none" w:sz="0" w:space="0" w:color="auto"/>
        <w:bottom w:val="none" w:sz="0" w:space="0" w:color="auto"/>
        <w:right w:val="none" w:sz="0" w:space="0" w:color="auto"/>
      </w:divBdr>
    </w:div>
    <w:div w:id="2056930928">
      <w:bodyDiv w:val="1"/>
      <w:marLeft w:val="0"/>
      <w:marRight w:val="0"/>
      <w:marTop w:val="0"/>
      <w:marBottom w:val="0"/>
      <w:divBdr>
        <w:top w:val="none" w:sz="0" w:space="0" w:color="auto"/>
        <w:left w:val="none" w:sz="0" w:space="0" w:color="auto"/>
        <w:bottom w:val="none" w:sz="0" w:space="0" w:color="auto"/>
        <w:right w:val="none" w:sz="0" w:space="0" w:color="auto"/>
      </w:divBdr>
    </w:div>
    <w:div w:id="2060664604">
      <w:bodyDiv w:val="1"/>
      <w:marLeft w:val="0"/>
      <w:marRight w:val="0"/>
      <w:marTop w:val="0"/>
      <w:marBottom w:val="0"/>
      <w:divBdr>
        <w:top w:val="none" w:sz="0" w:space="0" w:color="auto"/>
        <w:left w:val="none" w:sz="0" w:space="0" w:color="auto"/>
        <w:bottom w:val="none" w:sz="0" w:space="0" w:color="auto"/>
        <w:right w:val="none" w:sz="0" w:space="0" w:color="auto"/>
      </w:divBdr>
    </w:div>
    <w:div w:id="2076467848">
      <w:bodyDiv w:val="1"/>
      <w:marLeft w:val="0"/>
      <w:marRight w:val="0"/>
      <w:marTop w:val="0"/>
      <w:marBottom w:val="0"/>
      <w:divBdr>
        <w:top w:val="none" w:sz="0" w:space="0" w:color="auto"/>
        <w:left w:val="none" w:sz="0" w:space="0" w:color="auto"/>
        <w:bottom w:val="none" w:sz="0" w:space="0" w:color="auto"/>
        <w:right w:val="none" w:sz="0" w:space="0" w:color="auto"/>
      </w:divBdr>
    </w:div>
    <w:div w:id="2077434680">
      <w:bodyDiv w:val="1"/>
      <w:marLeft w:val="0"/>
      <w:marRight w:val="0"/>
      <w:marTop w:val="0"/>
      <w:marBottom w:val="0"/>
      <w:divBdr>
        <w:top w:val="none" w:sz="0" w:space="0" w:color="auto"/>
        <w:left w:val="none" w:sz="0" w:space="0" w:color="auto"/>
        <w:bottom w:val="none" w:sz="0" w:space="0" w:color="auto"/>
        <w:right w:val="none" w:sz="0" w:space="0" w:color="auto"/>
      </w:divBdr>
    </w:div>
    <w:div w:id="2080051620">
      <w:bodyDiv w:val="1"/>
      <w:marLeft w:val="0"/>
      <w:marRight w:val="0"/>
      <w:marTop w:val="0"/>
      <w:marBottom w:val="0"/>
      <w:divBdr>
        <w:top w:val="none" w:sz="0" w:space="0" w:color="auto"/>
        <w:left w:val="none" w:sz="0" w:space="0" w:color="auto"/>
        <w:bottom w:val="none" w:sz="0" w:space="0" w:color="auto"/>
        <w:right w:val="none" w:sz="0" w:space="0" w:color="auto"/>
      </w:divBdr>
    </w:div>
    <w:div w:id="2084183537">
      <w:bodyDiv w:val="1"/>
      <w:marLeft w:val="0"/>
      <w:marRight w:val="0"/>
      <w:marTop w:val="0"/>
      <w:marBottom w:val="0"/>
      <w:divBdr>
        <w:top w:val="none" w:sz="0" w:space="0" w:color="auto"/>
        <w:left w:val="none" w:sz="0" w:space="0" w:color="auto"/>
        <w:bottom w:val="none" w:sz="0" w:space="0" w:color="auto"/>
        <w:right w:val="none" w:sz="0" w:space="0" w:color="auto"/>
      </w:divBdr>
    </w:div>
    <w:div w:id="2086563776">
      <w:bodyDiv w:val="1"/>
      <w:marLeft w:val="0"/>
      <w:marRight w:val="0"/>
      <w:marTop w:val="0"/>
      <w:marBottom w:val="0"/>
      <w:divBdr>
        <w:top w:val="none" w:sz="0" w:space="0" w:color="auto"/>
        <w:left w:val="none" w:sz="0" w:space="0" w:color="auto"/>
        <w:bottom w:val="none" w:sz="0" w:space="0" w:color="auto"/>
        <w:right w:val="none" w:sz="0" w:space="0" w:color="auto"/>
      </w:divBdr>
    </w:div>
    <w:div w:id="2094203365">
      <w:bodyDiv w:val="1"/>
      <w:marLeft w:val="0"/>
      <w:marRight w:val="0"/>
      <w:marTop w:val="0"/>
      <w:marBottom w:val="0"/>
      <w:divBdr>
        <w:top w:val="none" w:sz="0" w:space="0" w:color="auto"/>
        <w:left w:val="none" w:sz="0" w:space="0" w:color="auto"/>
        <w:bottom w:val="none" w:sz="0" w:space="0" w:color="auto"/>
        <w:right w:val="none" w:sz="0" w:space="0" w:color="auto"/>
      </w:divBdr>
    </w:div>
    <w:div w:id="2117675186">
      <w:bodyDiv w:val="1"/>
      <w:marLeft w:val="0"/>
      <w:marRight w:val="0"/>
      <w:marTop w:val="0"/>
      <w:marBottom w:val="0"/>
      <w:divBdr>
        <w:top w:val="none" w:sz="0" w:space="0" w:color="auto"/>
        <w:left w:val="none" w:sz="0" w:space="0" w:color="auto"/>
        <w:bottom w:val="none" w:sz="0" w:space="0" w:color="auto"/>
        <w:right w:val="none" w:sz="0" w:space="0" w:color="auto"/>
      </w:divBdr>
    </w:div>
    <w:div w:id="2130196626">
      <w:bodyDiv w:val="1"/>
      <w:marLeft w:val="0"/>
      <w:marRight w:val="0"/>
      <w:marTop w:val="0"/>
      <w:marBottom w:val="0"/>
      <w:divBdr>
        <w:top w:val="none" w:sz="0" w:space="0" w:color="auto"/>
        <w:left w:val="none" w:sz="0" w:space="0" w:color="auto"/>
        <w:bottom w:val="none" w:sz="0" w:space="0" w:color="auto"/>
        <w:right w:val="none" w:sz="0" w:space="0" w:color="auto"/>
      </w:divBdr>
    </w:div>
    <w:div w:id="21323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mailto:aga@aga.gov.au" TargetMode="External"/><Relationship Id="rId26" Type="http://schemas.openxmlformats.org/officeDocument/2006/relationships/image" Target="media/image7.emf"/><Relationship Id="rId39" Type="http://schemas.openxmlformats.org/officeDocument/2006/relationships/image" Target="media/image20.png"/><Relationship Id="rId21" Type="http://schemas.openxmlformats.org/officeDocument/2006/relationships/header" Target="header6.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header" Target="header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9" Type="http://schemas.openxmlformats.org/officeDocument/2006/relationships/image" Target="media/image10.emf"/><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eader" Target="header8.xml"/><Relationship Id="rId8" Type="http://schemas.openxmlformats.org/officeDocument/2006/relationships/header" Target="header2.xml"/><Relationship Id="rId51"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hyperlink" Target="http://www.pmc.gov.au/government/commonwealth-coat-arms"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footer" Target="footer5.xml"/><Relationship Id="rId20" Type="http://schemas.openxmlformats.org/officeDocument/2006/relationships/header" Target="header5.xml"/><Relationship Id="rId41" Type="http://schemas.openxmlformats.org/officeDocument/2006/relationships/image" Target="media/image22.emf"/><Relationship Id="rId54"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svg"/><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ga.gov.au/publications/insura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EDBE3"/>
      </a:dk2>
      <a:lt2>
        <a:srgbClr val="F2D2D5"/>
      </a:lt2>
      <a:accent1>
        <a:srgbClr val="74000E"/>
      </a:accent1>
      <a:accent2>
        <a:srgbClr val="0E3044"/>
      </a:accent2>
      <a:accent3>
        <a:srgbClr val="404547"/>
      </a:accent3>
      <a:accent4>
        <a:srgbClr val="AA6D2C"/>
      </a:accent4>
      <a:accent5>
        <a:srgbClr val="510B17"/>
      </a:accent5>
      <a:accent6>
        <a:srgbClr val="0E4E7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13828</Words>
  <Characters>78825</Characters>
  <Application>Microsoft Office Word</Application>
  <DocSecurity>2</DocSecurity>
  <Lines>656</Lines>
  <Paragraphs>184</Paragraphs>
  <ScaleCrop>false</ScaleCrop>
  <HeadingPairs>
    <vt:vector size="2" baseType="variant">
      <vt:variant>
        <vt:lpstr>Title</vt:lpstr>
      </vt:variant>
      <vt:variant>
        <vt:i4>1</vt:i4>
      </vt:variant>
    </vt:vector>
  </HeadingPairs>
  <TitlesOfParts>
    <vt:vector size="1" baseType="lpstr">
      <vt:lpstr>Twentieth report on the costs of the Australian Government’s Run Off Cover Scheme for medical indemnity insurers</vt:lpstr>
    </vt:vector>
  </TitlesOfParts>
  <Company/>
  <LinksUpToDate>false</LinksUpToDate>
  <CharactersWithSpaces>92469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Twentieth report on the costs of the Australian Government’s Run Off Cover Scheme for medical indemnity insurers</dc:title>
  <dc:subject/>
  <dc:creator>Australian Government</dc:creator>
  <cp:keywords/>
  <dc:description/>
  <cp:lastModifiedBy/>
  <cp:revision>1</cp:revision>
  <dcterms:created xsi:type="dcterms:W3CDTF">2025-06-25T00:30:00Z</dcterms:created>
  <dcterms:modified xsi:type="dcterms:W3CDTF">2025-06-25T00:31:00Z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2025-06-25T00:31:08Z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a0742ae6-ba40-491b-bc8e-8bc74b008d80</vt:lpwstr>
  </property>
  <property fmtid="{D5CDD505-2E9C-101B-9397-08002B2CF9AE}" pid="8" name="MSIP_Label_4f932d64-9ab1-4d9b-81d2-a3a8b82dd47d_ContentBits">
    <vt:lpwstr>0</vt:lpwstr>
  </property>
</Properties>
</file>