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F6577" w14:textId="60BF1530" w:rsidR="00F602EB" w:rsidRPr="002A0F31" w:rsidRDefault="00927425" w:rsidP="00F602EB">
      <w:pPr>
        <w:pStyle w:val="Subheadingcoverpage"/>
        <w:rPr>
          <w:b/>
          <w:color w:val="0E4E77" w:themeColor="accent6"/>
          <w:sz w:val="56"/>
        </w:rPr>
      </w:pPr>
      <w:bookmarkStart w:id="0" w:name="OLE_LINK1"/>
      <w:r w:rsidRPr="002A0F31">
        <w:rPr>
          <w:b/>
          <w:color w:val="0E4E77" w:themeColor="accent6"/>
          <w:sz w:val="56"/>
        </w:rPr>
        <w:t>Fourteenth</w:t>
      </w:r>
      <w:r w:rsidR="00AD0CDB" w:rsidRPr="002A0F31">
        <w:rPr>
          <w:b/>
          <w:color w:val="0E4E77" w:themeColor="accent6"/>
          <w:sz w:val="56"/>
        </w:rPr>
        <w:t xml:space="preserve"> </w:t>
      </w:r>
      <w:r w:rsidR="00F602EB" w:rsidRPr="002A0F31">
        <w:rPr>
          <w:b/>
          <w:color w:val="0E4E77" w:themeColor="accent6"/>
          <w:sz w:val="56"/>
        </w:rPr>
        <w:t>report on the costs of the Australian Government</w:t>
      </w:r>
      <w:r w:rsidR="00621310" w:rsidRPr="002A0F31">
        <w:rPr>
          <w:b/>
          <w:color w:val="0E4E77" w:themeColor="accent6"/>
          <w:sz w:val="56"/>
        </w:rPr>
        <w:t>’</w:t>
      </w:r>
      <w:r w:rsidR="00F602EB" w:rsidRPr="002A0F31">
        <w:rPr>
          <w:b/>
          <w:color w:val="0E4E77" w:themeColor="accent6"/>
          <w:sz w:val="56"/>
        </w:rPr>
        <w:t>s Run</w:t>
      </w:r>
      <w:r w:rsidR="00621310" w:rsidRPr="002A0F31">
        <w:rPr>
          <w:b/>
          <w:color w:val="0E4E77" w:themeColor="accent6"/>
          <w:sz w:val="56"/>
        </w:rPr>
        <w:noBreakHyphen/>
      </w:r>
      <w:r w:rsidR="00F602EB" w:rsidRPr="002A0F31">
        <w:rPr>
          <w:b/>
          <w:color w:val="0E4E77" w:themeColor="accent6"/>
          <w:sz w:val="56"/>
        </w:rPr>
        <w:t>Off Cover Scheme for midwife professional indemnity insurers</w:t>
      </w:r>
    </w:p>
    <w:bookmarkEnd w:id="0"/>
    <w:p w14:paraId="363E132E" w14:textId="77777777" w:rsidR="00F602EB" w:rsidRPr="002A0F31" w:rsidRDefault="00F602EB" w:rsidP="00F602EB">
      <w:pPr>
        <w:rPr>
          <w:rFonts w:cs="Arial"/>
          <w:bCs/>
          <w:snapToGrid w:val="0"/>
          <w:color w:val="74000E" w:themeColor="accent1"/>
          <w:sz w:val="48"/>
          <w:szCs w:val="56"/>
          <w:lang w:eastAsia="en-US"/>
        </w:rPr>
      </w:pPr>
    </w:p>
    <w:p w14:paraId="3F8FF51E" w14:textId="50953524" w:rsidR="00F602EB" w:rsidRPr="00FF334E" w:rsidRDefault="009B2411" w:rsidP="00921D40">
      <w:pPr>
        <w:spacing w:before="480"/>
        <w:ind w:left="-851"/>
        <w:rPr>
          <w:rFonts w:cs="Arial"/>
          <w:bCs/>
          <w:snapToGrid w:val="0"/>
          <w:color w:val="74000E" w:themeColor="accent1"/>
          <w:sz w:val="48"/>
          <w:szCs w:val="56"/>
          <w:lang w:eastAsia="en-US"/>
        </w:rPr>
      </w:pPr>
      <w:r w:rsidRPr="002A0F31">
        <w:rPr>
          <w:rFonts w:cs="Arial"/>
          <w:bCs/>
          <w:snapToGrid w:val="0"/>
          <w:color w:val="74000E" w:themeColor="accent1"/>
          <w:sz w:val="48"/>
          <w:szCs w:val="56"/>
          <w:lang w:eastAsia="en-US"/>
        </w:rPr>
        <w:t>20</w:t>
      </w:r>
      <w:r w:rsidR="00B80C48" w:rsidRPr="002A0F31">
        <w:rPr>
          <w:rFonts w:cs="Arial"/>
          <w:bCs/>
          <w:snapToGrid w:val="0"/>
          <w:color w:val="74000E" w:themeColor="accent1"/>
          <w:sz w:val="48"/>
          <w:szCs w:val="56"/>
          <w:lang w:eastAsia="en-US"/>
        </w:rPr>
        <w:t>2</w:t>
      </w:r>
      <w:r w:rsidR="00927425" w:rsidRPr="002A0F31">
        <w:rPr>
          <w:rFonts w:cs="Arial"/>
          <w:bCs/>
          <w:snapToGrid w:val="0"/>
          <w:color w:val="74000E" w:themeColor="accent1"/>
          <w:sz w:val="48"/>
          <w:szCs w:val="56"/>
          <w:lang w:eastAsia="en-US"/>
        </w:rPr>
        <w:t>3</w:t>
      </w:r>
      <w:r w:rsidR="00621310" w:rsidRPr="002A0F31">
        <w:rPr>
          <w:rFonts w:cs="Arial"/>
          <w:bCs/>
          <w:snapToGrid w:val="0"/>
          <w:color w:val="74000E" w:themeColor="accent1"/>
          <w:sz w:val="48"/>
          <w:szCs w:val="56"/>
          <w:lang w:eastAsia="en-US"/>
        </w:rPr>
        <w:noBreakHyphen/>
      </w:r>
      <w:r w:rsidRPr="002A0F31">
        <w:rPr>
          <w:rFonts w:cs="Arial"/>
          <w:bCs/>
          <w:snapToGrid w:val="0"/>
          <w:color w:val="74000E" w:themeColor="accent1"/>
          <w:sz w:val="48"/>
          <w:szCs w:val="56"/>
          <w:lang w:eastAsia="en-US"/>
        </w:rPr>
        <w:t>2</w:t>
      </w:r>
      <w:r w:rsidR="00927425" w:rsidRPr="002A0F31">
        <w:rPr>
          <w:rFonts w:cs="Arial"/>
          <w:bCs/>
          <w:snapToGrid w:val="0"/>
          <w:color w:val="74000E" w:themeColor="accent1"/>
          <w:sz w:val="48"/>
          <w:szCs w:val="56"/>
          <w:lang w:eastAsia="en-US"/>
        </w:rPr>
        <w:t>4</w:t>
      </w:r>
      <w:r w:rsidR="00F602EB" w:rsidRPr="002A0F31">
        <w:rPr>
          <w:rFonts w:cs="Arial"/>
          <w:bCs/>
          <w:snapToGrid w:val="0"/>
          <w:color w:val="74000E" w:themeColor="accent1"/>
          <w:sz w:val="48"/>
          <w:szCs w:val="56"/>
          <w:lang w:eastAsia="en-US"/>
        </w:rPr>
        <w:t xml:space="preserve"> financial year</w:t>
      </w:r>
    </w:p>
    <w:p w14:paraId="53605A2E" w14:textId="77777777" w:rsidR="008F7491" w:rsidRPr="00FF334E" w:rsidRDefault="008F7491" w:rsidP="008F7491">
      <w:pPr>
        <w:rPr>
          <w:rFonts w:cs="Arial"/>
        </w:rPr>
      </w:pPr>
    </w:p>
    <w:p w14:paraId="617174A3" w14:textId="05DB9143" w:rsidR="004A1583" w:rsidRPr="00FF334E" w:rsidRDefault="004A1583" w:rsidP="008F7491">
      <w:pPr>
        <w:rPr>
          <w:rFonts w:cs="Arial"/>
        </w:rPr>
        <w:sectPr w:rsidR="004A1583" w:rsidRPr="00FF334E" w:rsidSect="004E0548">
          <w:headerReference w:type="even" r:id="rId7"/>
          <w:headerReference w:type="default" r:id="rId8"/>
          <w:footerReference w:type="even" r:id="rId9"/>
          <w:footerReference w:type="default" r:id="rId10"/>
          <w:headerReference w:type="first" r:id="rId11"/>
          <w:pgSz w:w="11906" w:h="16838" w:code="9"/>
          <w:pgMar w:top="2466" w:right="2098" w:bottom="2466" w:left="2098" w:header="2459" w:footer="1899" w:gutter="0"/>
          <w:cols w:space="708"/>
          <w:titlePg/>
          <w:docGrid w:linePitch="360"/>
        </w:sectPr>
      </w:pPr>
    </w:p>
    <w:p w14:paraId="1C07B7EE" w14:textId="77777777" w:rsidR="005A5907" w:rsidRPr="008B2447" w:rsidRDefault="005A5907" w:rsidP="005A5907">
      <w:pPr>
        <w:spacing w:line="240" w:lineRule="auto"/>
        <w:rPr>
          <w:rFonts w:cs="Arial"/>
          <w:color w:val="auto"/>
        </w:rPr>
      </w:pPr>
      <w:r w:rsidRPr="008B2447">
        <w:rPr>
          <w:rFonts w:cs="Arial"/>
          <w:color w:val="auto"/>
        </w:rPr>
        <w:lastRenderedPageBreak/>
        <w:t>© Commonwealth of Australia 2025</w:t>
      </w:r>
    </w:p>
    <w:p w14:paraId="6F27E9DE" w14:textId="282FD558" w:rsidR="005A5907" w:rsidRPr="008B2447" w:rsidRDefault="005A5907" w:rsidP="005A5907">
      <w:pPr>
        <w:spacing w:line="240" w:lineRule="auto"/>
      </w:pPr>
      <w:r w:rsidRPr="008B2447">
        <w:t>ISSN 2652</w:t>
      </w:r>
      <w:r w:rsidRPr="008B2447">
        <w:noBreakHyphen/>
        <w:t>17</w:t>
      </w:r>
      <w:r w:rsidR="00D91E86">
        <w:t>33</w:t>
      </w:r>
      <w:r w:rsidRPr="008B2447">
        <w:t xml:space="preserve"> </w:t>
      </w:r>
    </w:p>
    <w:p w14:paraId="6943E3A1" w14:textId="77777777" w:rsidR="005A5907" w:rsidRPr="008B2447" w:rsidRDefault="005A5907" w:rsidP="005A5907">
      <w:pPr>
        <w:spacing w:line="240" w:lineRule="auto"/>
      </w:pPr>
      <w:r w:rsidRPr="008B2447">
        <w:t>This publication is available for your use under a</w:t>
      </w:r>
      <w:r w:rsidRPr="008B2447">
        <w:rPr>
          <w:rFonts w:cstheme="minorHAnsi"/>
          <w:sz w:val="24"/>
          <w:szCs w:val="24"/>
        </w:rPr>
        <w:t xml:space="preserve"> </w:t>
      </w:r>
      <w:hyperlink r:id="rId12" w:history="1">
        <w:r w:rsidRPr="008B2447">
          <w:rPr>
            <w:rStyle w:val="Hyperlink"/>
            <w:bCs/>
          </w:rPr>
          <w:t>Creative Commons Attribution 4.0 International</w:t>
        </w:r>
      </w:hyperlink>
      <w:r w:rsidRPr="008B2447">
        <w:rPr>
          <w:rFonts w:cstheme="minorHAnsi"/>
          <w:sz w:val="24"/>
          <w:szCs w:val="24"/>
        </w:rPr>
        <w:t xml:space="preserve"> </w:t>
      </w:r>
      <w:r w:rsidRPr="008B2447">
        <w:t xml:space="preserve">licence, with the exception of the Commonwealth Coat of Arms, the Australian Government Actuary logo, photographs, images, third party materials, materials protected by a trademark, signatures and where otherwise stated. The full licence terms are available from </w:t>
      </w:r>
      <w:hyperlink r:id="rId13" w:history="1">
        <w:r w:rsidRPr="008B2447">
          <w:rPr>
            <w:rStyle w:val="Hyperlink"/>
            <w:bCs/>
          </w:rPr>
          <w:t>creativecommons.org/licenses/by/4.0/</w:t>
        </w:r>
        <w:proofErr w:type="spellStart"/>
        <w:r w:rsidRPr="008B2447">
          <w:rPr>
            <w:rStyle w:val="Hyperlink"/>
            <w:bCs/>
          </w:rPr>
          <w:t>legalcode</w:t>
        </w:r>
        <w:proofErr w:type="spellEnd"/>
      </w:hyperlink>
      <w:r w:rsidRPr="008B2447">
        <w:rPr>
          <w:b/>
          <w:bCs/>
        </w:rPr>
        <w:t>.</w:t>
      </w:r>
    </w:p>
    <w:p w14:paraId="6C808C99" w14:textId="77777777" w:rsidR="005A5907" w:rsidRPr="008B2447" w:rsidRDefault="005A5907" w:rsidP="005A5907">
      <w:pPr>
        <w:pStyle w:val="NoSpacing"/>
      </w:pPr>
      <w:r w:rsidRPr="008B2447">
        <w:rPr>
          <w:noProof/>
        </w:rPr>
        <w:t xml:space="preserve"> </w:t>
      </w:r>
      <w:r w:rsidRPr="008B2447">
        <w:rPr>
          <w:noProof/>
        </w:rPr>
        <w:drawing>
          <wp:inline distT="0" distB="0" distL="0" distR="0" wp14:anchorId="0BB1BD2C" wp14:editId="3CB30492">
            <wp:extent cx="802800" cy="280800"/>
            <wp:effectExtent l="0" t="0" r="0" b="5080"/>
            <wp:docPr id="26" name="Graphic 26" descr="Creative Commons BY Attribution 3.0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Creative Commons BY Attribution 3.0 Australia Logo"/>
                    <pic:cNvPicPr/>
                  </pic:nvPicPr>
                  <pic:blipFill>
                    <a:blip r:embed="rId14">
                      <a:extLst>
                        <a:ext uri="{96DAC541-7B7A-43D3-8B79-37D633B846F1}">
                          <asvg:svgBlip xmlns:asvg="http://schemas.microsoft.com/office/drawing/2016/SVG/main" r:embed="rId15"/>
                        </a:ext>
                      </a:extLst>
                    </a:blip>
                    <a:stretch>
                      <a:fillRect/>
                    </a:stretch>
                  </pic:blipFill>
                  <pic:spPr>
                    <a:xfrm>
                      <a:off x="0" y="0"/>
                      <a:ext cx="802800" cy="280800"/>
                    </a:xfrm>
                    <a:prstGeom prst="rect">
                      <a:avLst/>
                    </a:prstGeom>
                  </pic:spPr>
                </pic:pic>
              </a:graphicData>
            </a:graphic>
          </wp:inline>
        </w:drawing>
      </w:r>
    </w:p>
    <w:p w14:paraId="1A9EC61E" w14:textId="77777777" w:rsidR="005A5907" w:rsidRPr="008B2447" w:rsidRDefault="005A5907" w:rsidP="005A5907">
      <w:pPr>
        <w:spacing w:before="240" w:line="240" w:lineRule="auto"/>
      </w:pPr>
      <w:r w:rsidRPr="008B2447">
        <w:t>Use of material from the Australian Government Actuary under a</w:t>
      </w:r>
      <w:r w:rsidRPr="008B2447">
        <w:rPr>
          <w:rFonts w:cstheme="minorHAnsi"/>
          <w:sz w:val="24"/>
          <w:szCs w:val="24"/>
        </w:rPr>
        <w:t xml:space="preserve"> </w:t>
      </w:r>
      <w:hyperlink r:id="rId16" w:history="1">
        <w:r w:rsidRPr="008B2447">
          <w:rPr>
            <w:rStyle w:val="Hyperlink"/>
            <w:bCs/>
          </w:rPr>
          <w:t>Creative Commons Attribution 4.0 International</w:t>
        </w:r>
      </w:hyperlink>
      <w:r w:rsidRPr="008B2447">
        <w:t xml:space="preserve"> licence requires you to attribute the work (but not in any way that suggests that the Australian Government Actuary endorses you or your use of the work).</w:t>
      </w:r>
    </w:p>
    <w:p w14:paraId="58231C2D" w14:textId="77777777" w:rsidR="005A5907" w:rsidRPr="008B2447" w:rsidRDefault="005A5907" w:rsidP="005A5907">
      <w:pPr>
        <w:spacing w:after="120" w:line="240" w:lineRule="auto"/>
        <w:rPr>
          <w:rStyle w:val="Strong"/>
        </w:rPr>
      </w:pPr>
      <w:r w:rsidRPr="008B2447">
        <w:rPr>
          <w:rStyle w:val="Strong"/>
        </w:rPr>
        <w:t>Material sourced from the Australian Government Actuary, used ‘as supplied’</w:t>
      </w:r>
    </w:p>
    <w:p w14:paraId="55FCDBCA" w14:textId="77777777" w:rsidR="005A5907" w:rsidRPr="008B2447" w:rsidRDefault="005A5907" w:rsidP="005A5907">
      <w:pPr>
        <w:spacing w:line="240" w:lineRule="auto"/>
      </w:pPr>
      <w:r w:rsidRPr="008B2447">
        <w:t>Provided you have not modified or transformed material from the Australian Government Actuary in any way including, for example, by changing the Australian Government Actuary’s text; calculating percentage changes; graphing or charting data; or deriving new statistics from statistics published by the Australian Government Actuary – then the Australian Government Actuary prefers the following attribution:</w:t>
      </w:r>
    </w:p>
    <w:p w14:paraId="6088AE5F" w14:textId="77777777" w:rsidR="005A5907" w:rsidRPr="008B2447" w:rsidRDefault="005A5907" w:rsidP="005A5907">
      <w:pPr>
        <w:spacing w:line="240" w:lineRule="auto"/>
      </w:pPr>
      <w:r w:rsidRPr="008B2447">
        <w:rPr>
          <w:iCs/>
        </w:rPr>
        <w:t>Source:</w:t>
      </w:r>
      <w:r w:rsidRPr="008B2447">
        <w:rPr>
          <w:i/>
        </w:rPr>
        <w:t xml:space="preserve"> </w:t>
      </w:r>
      <w:r w:rsidRPr="008B2447">
        <w:rPr>
          <w:rStyle w:val="Emphasis"/>
        </w:rPr>
        <w:t>The Commonwealth of Australia.</w:t>
      </w:r>
    </w:p>
    <w:p w14:paraId="7696521E" w14:textId="77777777" w:rsidR="005A5907" w:rsidRPr="008B2447" w:rsidRDefault="005A5907" w:rsidP="005A5907">
      <w:pPr>
        <w:keepNext/>
        <w:spacing w:before="100" w:after="120" w:line="240" w:lineRule="auto"/>
        <w:rPr>
          <w:rStyle w:val="Strong"/>
        </w:rPr>
      </w:pPr>
      <w:r w:rsidRPr="008B2447">
        <w:rPr>
          <w:rStyle w:val="Strong"/>
        </w:rPr>
        <w:t>Derivative material</w:t>
      </w:r>
    </w:p>
    <w:p w14:paraId="7FD94068" w14:textId="77777777" w:rsidR="005A5907" w:rsidRPr="008B2447" w:rsidRDefault="005A5907" w:rsidP="005A5907">
      <w:pPr>
        <w:keepNext/>
        <w:keepLines/>
        <w:spacing w:line="240" w:lineRule="auto"/>
      </w:pPr>
      <w:r w:rsidRPr="008B2447">
        <w:t>If you have modified or transformed material from the Australian Government Actuary, or derived new material from those of the Australian Government Actuary in any way, then the Australian Government Actuary prefers the following attribution:</w:t>
      </w:r>
    </w:p>
    <w:p w14:paraId="4C88CB32" w14:textId="77777777" w:rsidR="005A5907" w:rsidRPr="008B2447" w:rsidRDefault="005A5907" w:rsidP="005A5907">
      <w:pPr>
        <w:spacing w:line="240" w:lineRule="auto"/>
        <w:rPr>
          <w:rStyle w:val="Emphasis"/>
        </w:rPr>
      </w:pPr>
      <w:r w:rsidRPr="008B2447">
        <w:rPr>
          <w:rStyle w:val="Emphasis"/>
        </w:rPr>
        <w:t>Based on Commonwealth of Australia</w:t>
      </w:r>
      <w:r w:rsidRPr="008B2447" w:rsidDel="002A3368">
        <w:rPr>
          <w:rStyle w:val="Emphasis"/>
        </w:rPr>
        <w:t xml:space="preserve"> </w:t>
      </w:r>
      <w:r w:rsidRPr="008B2447">
        <w:rPr>
          <w:rStyle w:val="Emphasis"/>
        </w:rPr>
        <w:t>data.</w:t>
      </w:r>
    </w:p>
    <w:p w14:paraId="36E808EB" w14:textId="77777777" w:rsidR="005A5907" w:rsidRPr="008B2447" w:rsidRDefault="005A5907" w:rsidP="005A5907">
      <w:pPr>
        <w:keepNext/>
        <w:spacing w:before="100" w:after="120" w:line="240" w:lineRule="auto"/>
        <w:rPr>
          <w:rStyle w:val="Strong"/>
        </w:rPr>
      </w:pPr>
      <w:r w:rsidRPr="008B2447">
        <w:rPr>
          <w:rStyle w:val="Strong"/>
        </w:rPr>
        <w:t>Use of the Coat of Arms</w:t>
      </w:r>
    </w:p>
    <w:p w14:paraId="7EAAEB58" w14:textId="77777777" w:rsidR="005A5907" w:rsidRPr="008B2447" w:rsidRDefault="005A5907" w:rsidP="005A5907">
      <w:pPr>
        <w:spacing w:line="240" w:lineRule="auto"/>
        <w:jc w:val="left"/>
        <w:rPr>
          <w:b/>
          <w:bCs/>
        </w:rPr>
      </w:pPr>
      <w:r w:rsidRPr="008B2447">
        <w:t xml:space="preserve">The terms under which the Coat of Arms can be used are set out on the Department of the Prime Minister and Cabinet website (see </w:t>
      </w:r>
      <w:hyperlink r:id="rId17" w:history="1">
        <w:r w:rsidRPr="008B2447">
          <w:rPr>
            <w:rStyle w:val="Hyperlink"/>
            <w:bCs/>
          </w:rPr>
          <w:t>www.pmc.gov.au/government/commonwealth-coat-arms</w:t>
        </w:r>
      </w:hyperlink>
      <w:r w:rsidRPr="008B2447">
        <w:t>).</w:t>
      </w:r>
    </w:p>
    <w:p w14:paraId="7E139636" w14:textId="77777777" w:rsidR="005A5907" w:rsidRPr="008B2447" w:rsidRDefault="005A5907" w:rsidP="005A5907">
      <w:pPr>
        <w:spacing w:before="100" w:after="120" w:line="240" w:lineRule="auto"/>
        <w:rPr>
          <w:rStyle w:val="Strong"/>
        </w:rPr>
      </w:pPr>
      <w:r w:rsidRPr="008B2447">
        <w:rPr>
          <w:rStyle w:val="Strong"/>
        </w:rPr>
        <w:t>Other uses</w:t>
      </w:r>
    </w:p>
    <w:p w14:paraId="50769093" w14:textId="77777777" w:rsidR="005A5907" w:rsidRPr="008B2447" w:rsidRDefault="005A5907" w:rsidP="005A5907">
      <w:pPr>
        <w:spacing w:line="240" w:lineRule="auto"/>
      </w:pPr>
      <w:r w:rsidRPr="008B2447">
        <w:t>Inquiries regarding this licence and any other use of this document are welcome at:</w:t>
      </w:r>
    </w:p>
    <w:p w14:paraId="6F953416" w14:textId="77777777" w:rsidR="005A5907" w:rsidRPr="008B2447" w:rsidRDefault="005A5907" w:rsidP="005A5907">
      <w:pPr>
        <w:pStyle w:val="NormalIndent"/>
        <w:spacing w:after="0" w:line="240" w:lineRule="auto"/>
      </w:pPr>
      <w:r w:rsidRPr="008B2447">
        <w:t>Publications enquiries</w:t>
      </w:r>
    </w:p>
    <w:p w14:paraId="49FC2448" w14:textId="77777777" w:rsidR="005A5907" w:rsidRPr="008B2447" w:rsidRDefault="005A5907" w:rsidP="005A5907">
      <w:pPr>
        <w:pStyle w:val="NormalIndent"/>
        <w:spacing w:after="0" w:line="240" w:lineRule="auto"/>
      </w:pPr>
      <w:r w:rsidRPr="008B2447">
        <w:t>The Australian Government Actuary</w:t>
      </w:r>
    </w:p>
    <w:p w14:paraId="6908B466" w14:textId="77777777" w:rsidR="005A5907" w:rsidRPr="008B2447" w:rsidRDefault="005A5907" w:rsidP="005A5907">
      <w:pPr>
        <w:pStyle w:val="NormalIndent"/>
        <w:spacing w:after="0" w:line="240" w:lineRule="auto"/>
      </w:pPr>
      <w:r w:rsidRPr="008B2447">
        <w:t>The Treasury Building</w:t>
      </w:r>
    </w:p>
    <w:p w14:paraId="0DFD8985" w14:textId="77777777" w:rsidR="005A5907" w:rsidRPr="008B2447" w:rsidRDefault="005A5907" w:rsidP="005A5907">
      <w:pPr>
        <w:pStyle w:val="NormalIndent"/>
        <w:spacing w:after="0" w:line="240" w:lineRule="auto"/>
      </w:pPr>
      <w:r w:rsidRPr="008B2447">
        <w:t>Langton Crescent</w:t>
      </w:r>
    </w:p>
    <w:p w14:paraId="52916C56" w14:textId="77777777" w:rsidR="005A5907" w:rsidRPr="008B2447" w:rsidRDefault="005A5907" w:rsidP="005A5907">
      <w:pPr>
        <w:pStyle w:val="NormalIndent"/>
        <w:spacing w:after="0" w:line="240" w:lineRule="auto"/>
      </w:pPr>
      <w:r w:rsidRPr="008B2447">
        <w:t>Parkes ACT 2600</w:t>
      </w:r>
    </w:p>
    <w:p w14:paraId="2FF601D9" w14:textId="77777777" w:rsidR="005A5907" w:rsidRPr="008B2447" w:rsidRDefault="005A5907" w:rsidP="005A5907">
      <w:pPr>
        <w:pStyle w:val="NormalIndent"/>
        <w:spacing w:after="0" w:line="240" w:lineRule="auto"/>
        <w:rPr>
          <w:b/>
          <w:bCs/>
        </w:rPr>
      </w:pPr>
      <w:r w:rsidRPr="008B2447">
        <w:t xml:space="preserve">Email: </w:t>
      </w:r>
      <w:hyperlink r:id="rId18" w:history="1">
        <w:r w:rsidRPr="008B2447">
          <w:rPr>
            <w:rStyle w:val="Hyperlink"/>
            <w:bCs/>
          </w:rPr>
          <w:t>aga@aga.gov.au</w:t>
        </w:r>
      </w:hyperlink>
    </w:p>
    <w:p w14:paraId="58948AAC" w14:textId="77777777" w:rsidR="008F7491" w:rsidRPr="00FF334E" w:rsidRDefault="008F7491" w:rsidP="008F7491">
      <w:pPr>
        <w:spacing w:after="0"/>
        <w:ind w:left="720"/>
        <w:rPr>
          <w:rFonts w:cs="Arial"/>
        </w:rPr>
      </w:pPr>
    </w:p>
    <w:p w14:paraId="5598D32E" w14:textId="77777777" w:rsidR="008F7491" w:rsidRPr="00FF334E" w:rsidRDefault="008F7491" w:rsidP="008F7491">
      <w:pPr>
        <w:rPr>
          <w:rFonts w:cs="Arial"/>
        </w:rPr>
        <w:sectPr w:rsidR="008F7491" w:rsidRPr="00FF334E" w:rsidSect="004E0548">
          <w:headerReference w:type="even" r:id="rId19"/>
          <w:headerReference w:type="default" r:id="rId20"/>
          <w:footerReference w:type="even" r:id="rId21"/>
          <w:footerReference w:type="default" r:id="rId22"/>
          <w:headerReference w:type="first" r:id="rId23"/>
          <w:footerReference w:type="first" r:id="rId24"/>
          <w:pgSz w:w="11906" w:h="16838" w:code="9"/>
          <w:pgMar w:top="2466" w:right="2098" w:bottom="2466" w:left="2098" w:header="1899" w:footer="1899" w:gutter="0"/>
          <w:pgNumType w:start="2"/>
          <w:cols w:space="708"/>
          <w:titlePg/>
          <w:docGrid w:linePitch="360"/>
        </w:sectPr>
      </w:pPr>
    </w:p>
    <w:sdt>
      <w:sdtPr>
        <w:rPr>
          <w:rFonts w:ascii="Arial" w:eastAsia="Times New Roman" w:hAnsi="Arial" w:cs="Times New Roman"/>
          <w:color w:val="000000"/>
          <w:sz w:val="20"/>
          <w:szCs w:val="20"/>
          <w:lang w:val="en-AU" w:eastAsia="en-AU"/>
        </w:rPr>
        <w:id w:val="-1975434104"/>
        <w:docPartObj>
          <w:docPartGallery w:val="Table of Contents"/>
          <w:docPartUnique/>
        </w:docPartObj>
      </w:sdtPr>
      <w:sdtEndPr>
        <w:rPr>
          <w:b/>
          <w:bCs/>
          <w:noProof/>
          <w:color w:val="000000" w:themeColor="text1"/>
        </w:rPr>
      </w:sdtEndPr>
      <w:sdtContent>
        <w:p w14:paraId="0A1D9BEA" w14:textId="6AAE8B41" w:rsidR="00567E4A" w:rsidRPr="00FF334E" w:rsidRDefault="00567E4A">
          <w:pPr>
            <w:pStyle w:val="TOCHeading"/>
          </w:pPr>
          <w:r w:rsidRPr="00FF334E">
            <w:t>Contents</w:t>
          </w:r>
        </w:p>
        <w:p w14:paraId="44E221B2" w14:textId="72DD7294" w:rsidR="00C053A5" w:rsidRDefault="00567E4A">
          <w:pPr>
            <w:pStyle w:val="TOC1"/>
            <w:tabs>
              <w:tab w:val="left" w:pos="400"/>
              <w:tab w:val="right" w:leader="dot" w:pos="7700"/>
            </w:tabs>
            <w:rPr>
              <w:rFonts w:eastAsiaTheme="minorEastAsia" w:cstheme="minorBidi"/>
              <w:b w:val="0"/>
              <w:bCs w:val="0"/>
              <w:noProof/>
              <w:color w:val="auto"/>
              <w:kern w:val="2"/>
              <w:sz w:val="22"/>
              <w:szCs w:val="22"/>
              <w14:ligatures w14:val="standardContextual"/>
            </w:rPr>
          </w:pPr>
          <w:r w:rsidRPr="00FF334E">
            <w:rPr>
              <w:b w:val="0"/>
              <w:bCs w:val="0"/>
            </w:rPr>
            <w:fldChar w:fldCharType="begin"/>
          </w:r>
          <w:r w:rsidRPr="00FF334E">
            <w:rPr>
              <w:b w:val="0"/>
              <w:bCs w:val="0"/>
            </w:rPr>
            <w:instrText xml:space="preserve"> TOC \o "1-2" \h \z \u </w:instrText>
          </w:r>
          <w:r w:rsidRPr="00FF334E">
            <w:rPr>
              <w:b w:val="0"/>
              <w:bCs w:val="0"/>
            </w:rPr>
            <w:fldChar w:fldCharType="separate"/>
          </w:r>
          <w:hyperlink w:anchor="_Toc192842012" w:history="1">
            <w:r w:rsidR="00C053A5" w:rsidRPr="00FE1B8E">
              <w:rPr>
                <w:rStyle w:val="Hyperlink"/>
                <w:noProof/>
              </w:rPr>
              <w:t>1</w:t>
            </w:r>
            <w:r w:rsidR="00C053A5">
              <w:rPr>
                <w:rFonts w:eastAsiaTheme="minorEastAsia" w:cstheme="minorBidi"/>
                <w:b w:val="0"/>
                <w:bCs w:val="0"/>
                <w:noProof/>
                <w:color w:val="auto"/>
                <w:kern w:val="2"/>
                <w:sz w:val="22"/>
                <w:szCs w:val="22"/>
                <w14:ligatures w14:val="standardContextual"/>
              </w:rPr>
              <w:tab/>
            </w:r>
            <w:r w:rsidR="00C053A5" w:rsidRPr="00FE1B8E">
              <w:rPr>
                <w:rStyle w:val="Hyperlink"/>
                <w:noProof/>
              </w:rPr>
              <w:t>Introduction</w:t>
            </w:r>
            <w:r w:rsidR="00C053A5">
              <w:rPr>
                <w:noProof/>
                <w:webHidden/>
              </w:rPr>
              <w:tab/>
            </w:r>
            <w:r w:rsidR="00C053A5">
              <w:rPr>
                <w:noProof/>
                <w:webHidden/>
              </w:rPr>
              <w:fldChar w:fldCharType="begin"/>
            </w:r>
            <w:r w:rsidR="00C053A5">
              <w:rPr>
                <w:noProof/>
                <w:webHidden/>
              </w:rPr>
              <w:instrText xml:space="preserve"> PAGEREF _Toc192842012 \h </w:instrText>
            </w:r>
            <w:r w:rsidR="00C053A5">
              <w:rPr>
                <w:noProof/>
                <w:webHidden/>
              </w:rPr>
            </w:r>
            <w:r w:rsidR="00C053A5">
              <w:rPr>
                <w:noProof/>
                <w:webHidden/>
              </w:rPr>
              <w:fldChar w:fldCharType="separate"/>
            </w:r>
            <w:r w:rsidR="00E948A0">
              <w:rPr>
                <w:noProof/>
                <w:webHidden/>
              </w:rPr>
              <w:t>4</w:t>
            </w:r>
            <w:r w:rsidR="00C053A5">
              <w:rPr>
                <w:noProof/>
                <w:webHidden/>
              </w:rPr>
              <w:fldChar w:fldCharType="end"/>
            </w:r>
          </w:hyperlink>
        </w:p>
        <w:p w14:paraId="32338574" w14:textId="6773FC16" w:rsidR="00C053A5" w:rsidRDefault="001D0A02">
          <w:pPr>
            <w:pStyle w:val="TOC1"/>
            <w:tabs>
              <w:tab w:val="left" w:pos="400"/>
              <w:tab w:val="right" w:leader="dot" w:pos="7700"/>
            </w:tabs>
            <w:rPr>
              <w:rFonts w:eastAsiaTheme="minorEastAsia" w:cstheme="minorBidi"/>
              <w:b w:val="0"/>
              <w:bCs w:val="0"/>
              <w:noProof/>
              <w:color w:val="auto"/>
              <w:kern w:val="2"/>
              <w:sz w:val="22"/>
              <w:szCs w:val="22"/>
              <w14:ligatures w14:val="standardContextual"/>
            </w:rPr>
          </w:pPr>
          <w:hyperlink w:anchor="_Toc192842013" w:history="1">
            <w:r w:rsidR="00C053A5" w:rsidRPr="00FE1B8E">
              <w:rPr>
                <w:rStyle w:val="Hyperlink"/>
                <w:noProof/>
              </w:rPr>
              <w:t>2</w:t>
            </w:r>
            <w:r w:rsidR="00C053A5">
              <w:rPr>
                <w:rFonts w:eastAsiaTheme="minorEastAsia" w:cstheme="minorBidi"/>
                <w:b w:val="0"/>
                <w:bCs w:val="0"/>
                <w:noProof/>
                <w:color w:val="auto"/>
                <w:kern w:val="2"/>
                <w:sz w:val="22"/>
                <w:szCs w:val="22"/>
                <w14:ligatures w14:val="standardContextual"/>
              </w:rPr>
              <w:tab/>
            </w:r>
            <w:r w:rsidR="00C053A5" w:rsidRPr="00FE1B8E">
              <w:rPr>
                <w:rStyle w:val="Hyperlink"/>
                <w:noProof/>
              </w:rPr>
              <w:t>Background</w:t>
            </w:r>
            <w:r w:rsidR="00C053A5">
              <w:rPr>
                <w:noProof/>
                <w:webHidden/>
              </w:rPr>
              <w:tab/>
            </w:r>
            <w:r w:rsidR="00C053A5">
              <w:rPr>
                <w:noProof/>
                <w:webHidden/>
              </w:rPr>
              <w:fldChar w:fldCharType="begin"/>
            </w:r>
            <w:r w:rsidR="00C053A5">
              <w:rPr>
                <w:noProof/>
                <w:webHidden/>
              </w:rPr>
              <w:instrText xml:space="preserve"> PAGEREF _Toc192842013 \h </w:instrText>
            </w:r>
            <w:r w:rsidR="00C053A5">
              <w:rPr>
                <w:noProof/>
                <w:webHidden/>
              </w:rPr>
            </w:r>
            <w:r w:rsidR="00C053A5">
              <w:rPr>
                <w:noProof/>
                <w:webHidden/>
              </w:rPr>
              <w:fldChar w:fldCharType="separate"/>
            </w:r>
            <w:r w:rsidR="00E948A0">
              <w:rPr>
                <w:noProof/>
                <w:webHidden/>
              </w:rPr>
              <w:t>5</w:t>
            </w:r>
            <w:r w:rsidR="00C053A5">
              <w:rPr>
                <w:noProof/>
                <w:webHidden/>
              </w:rPr>
              <w:fldChar w:fldCharType="end"/>
            </w:r>
          </w:hyperlink>
        </w:p>
        <w:p w14:paraId="7D937A2B" w14:textId="354322F0" w:rsidR="00C053A5" w:rsidRDefault="001D0A02">
          <w:pPr>
            <w:pStyle w:val="TOC2"/>
            <w:tabs>
              <w:tab w:val="left" w:pos="800"/>
              <w:tab w:val="right" w:leader="dot" w:pos="7700"/>
            </w:tabs>
            <w:rPr>
              <w:rFonts w:eastAsiaTheme="minorEastAsia" w:cstheme="minorBidi"/>
              <w:i w:val="0"/>
              <w:iCs w:val="0"/>
              <w:noProof/>
              <w:color w:val="auto"/>
              <w:kern w:val="2"/>
              <w:sz w:val="22"/>
              <w:szCs w:val="22"/>
              <w14:ligatures w14:val="standardContextual"/>
            </w:rPr>
          </w:pPr>
          <w:hyperlink w:anchor="_Toc192842014" w:history="1">
            <w:r w:rsidR="00C053A5" w:rsidRPr="00FE1B8E">
              <w:rPr>
                <w:rStyle w:val="Hyperlink"/>
                <w:noProof/>
              </w:rPr>
              <w:t>2.1</w:t>
            </w:r>
            <w:r w:rsidR="00C053A5">
              <w:rPr>
                <w:rFonts w:eastAsiaTheme="minorEastAsia" w:cstheme="minorBidi"/>
                <w:i w:val="0"/>
                <w:iCs w:val="0"/>
                <w:noProof/>
                <w:color w:val="auto"/>
                <w:kern w:val="2"/>
                <w:sz w:val="22"/>
                <w:szCs w:val="22"/>
                <w14:ligatures w14:val="standardContextual"/>
              </w:rPr>
              <w:tab/>
            </w:r>
            <w:r w:rsidR="00C053A5" w:rsidRPr="00FE1B8E">
              <w:rPr>
                <w:rStyle w:val="Hyperlink"/>
                <w:noProof/>
              </w:rPr>
              <w:t>Midwife professional indemnity insurance</w:t>
            </w:r>
            <w:r w:rsidR="00C053A5">
              <w:rPr>
                <w:noProof/>
                <w:webHidden/>
              </w:rPr>
              <w:tab/>
            </w:r>
            <w:r w:rsidR="00C053A5">
              <w:rPr>
                <w:noProof/>
                <w:webHidden/>
              </w:rPr>
              <w:fldChar w:fldCharType="begin"/>
            </w:r>
            <w:r w:rsidR="00C053A5">
              <w:rPr>
                <w:noProof/>
                <w:webHidden/>
              </w:rPr>
              <w:instrText xml:space="preserve"> PAGEREF _Toc192842014 \h </w:instrText>
            </w:r>
            <w:r w:rsidR="00C053A5">
              <w:rPr>
                <w:noProof/>
                <w:webHidden/>
              </w:rPr>
            </w:r>
            <w:r w:rsidR="00C053A5">
              <w:rPr>
                <w:noProof/>
                <w:webHidden/>
              </w:rPr>
              <w:fldChar w:fldCharType="separate"/>
            </w:r>
            <w:r w:rsidR="00E948A0">
              <w:rPr>
                <w:noProof/>
                <w:webHidden/>
              </w:rPr>
              <w:t>5</w:t>
            </w:r>
            <w:r w:rsidR="00C053A5">
              <w:rPr>
                <w:noProof/>
                <w:webHidden/>
              </w:rPr>
              <w:fldChar w:fldCharType="end"/>
            </w:r>
          </w:hyperlink>
        </w:p>
        <w:p w14:paraId="1DC2CB52" w14:textId="7B1557E9" w:rsidR="00C053A5" w:rsidRDefault="001D0A02">
          <w:pPr>
            <w:pStyle w:val="TOC2"/>
            <w:tabs>
              <w:tab w:val="left" w:pos="800"/>
              <w:tab w:val="right" w:leader="dot" w:pos="7700"/>
            </w:tabs>
            <w:rPr>
              <w:rFonts w:eastAsiaTheme="minorEastAsia" w:cstheme="minorBidi"/>
              <w:i w:val="0"/>
              <w:iCs w:val="0"/>
              <w:noProof/>
              <w:color w:val="auto"/>
              <w:kern w:val="2"/>
              <w:sz w:val="22"/>
              <w:szCs w:val="22"/>
              <w14:ligatures w14:val="standardContextual"/>
            </w:rPr>
          </w:pPr>
          <w:hyperlink w:anchor="_Toc192842015" w:history="1">
            <w:r w:rsidR="00C053A5" w:rsidRPr="00FE1B8E">
              <w:rPr>
                <w:rStyle w:val="Hyperlink"/>
                <w:noProof/>
              </w:rPr>
              <w:t>2.2</w:t>
            </w:r>
            <w:r w:rsidR="00C053A5">
              <w:rPr>
                <w:rFonts w:eastAsiaTheme="minorEastAsia" w:cstheme="minorBidi"/>
                <w:i w:val="0"/>
                <w:iCs w:val="0"/>
                <w:noProof/>
                <w:color w:val="auto"/>
                <w:kern w:val="2"/>
                <w:sz w:val="22"/>
                <w:szCs w:val="22"/>
                <w14:ligatures w14:val="standardContextual"/>
              </w:rPr>
              <w:tab/>
            </w:r>
            <w:r w:rsidR="00C053A5" w:rsidRPr="00FE1B8E">
              <w:rPr>
                <w:rStyle w:val="Hyperlink"/>
                <w:noProof/>
              </w:rPr>
              <w:t>History of private midwife insurance in Australia</w:t>
            </w:r>
            <w:r w:rsidR="00C053A5">
              <w:rPr>
                <w:noProof/>
                <w:webHidden/>
              </w:rPr>
              <w:tab/>
            </w:r>
            <w:r w:rsidR="00C053A5">
              <w:rPr>
                <w:noProof/>
                <w:webHidden/>
              </w:rPr>
              <w:fldChar w:fldCharType="begin"/>
            </w:r>
            <w:r w:rsidR="00C053A5">
              <w:rPr>
                <w:noProof/>
                <w:webHidden/>
              </w:rPr>
              <w:instrText xml:space="preserve"> PAGEREF _Toc192842015 \h </w:instrText>
            </w:r>
            <w:r w:rsidR="00C053A5">
              <w:rPr>
                <w:noProof/>
                <w:webHidden/>
              </w:rPr>
            </w:r>
            <w:r w:rsidR="00C053A5">
              <w:rPr>
                <w:noProof/>
                <w:webHidden/>
              </w:rPr>
              <w:fldChar w:fldCharType="separate"/>
            </w:r>
            <w:r w:rsidR="00E948A0">
              <w:rPr>
                <w:noProof/>
                <w:webHidden/>
              </w:rPr>
              <w:t>6</w:t>
            </w:r>
            <w:r w:rsidR="00C053A5">
              <w:rPr>
                <w:noProof/>
                <w:webHidden/>
              </w:rPr>
              <w:fldChar w:fldCharType="end"/>
            </w:r>
          </w:hyperlink>
        </w:p>
        <w:p w14:paraId="54FEBA77" w14:textId="63EC42FE" w:rsidR="00C053A5" w:rsidRDefault="001D0A02">
          <w:pPr>
            <w:pStyle w:val="TOC2"/>
            <w:tabs>
              <w:tab w:val="left" w:pos="800"/>
              <w:tab w:val="right" w:leader="dot" w:pos="7700"/>
            </w:tabs>
            <w:rPr>
              <w:rFonts w:eastAsiaTheme="minorEastAsia" w:cstheme="minorBidi"/>
              <w:i w:val="0"/>
              <w:iCs w:val="0"/>
              <w:noProof/>
              <w:color w:val="auto"/>
              <w:kern w:val="2"/>
              <w:sz w:val="22"/>
              <w:szCs w:val="22"/>
              <w14:ligatures w14:val="standardContextual"/>
            </w:rPr>
          </w:pPr>
          <w:hyperlink w:anchor="_Toc192842016" w:history="1">
            <w:r w:rsidR="00C053A5" w:rsidRPr="00FE1B8E">
              <w:rPr>
                <w:rStyle w:val="Hyperlink"/>
                <w:noProof/>
              </w:rPr>
              <w:t>2.3</w:t>
            </w:r>
            <w:r w:rsidR="00C053A5">
              <w:rPr>
                <w:rFonts w:eastAsiaTheme="minorEastAsia" w:cstheme="minorBidi"/>
                <w:i w:val="0"/>
                <w:iCs w:val="0"/>
                <w:noProof/>
                <w:color w:val="auto"/>
                <w:kern w:val="2"/>
                <w:sz w:val="22"/>
                <w:szCs w:val="22"/>
                <w14:ligatures w14:val="standardContextual"/>
              </w:rPr>
              <w:tab/>
            </w:r>
            <w:r w:rsidR="00C053A5" w:rsidRPr="00FE1B8E">
              <w:rPr>
                <w:rStyle w:val="Hyperlink"/>
                <w:noProof/>
              </w:rPr>
              <w:t>What is the run</w:t>
            </w:r>
            <w:r w:rsidR="00C053A5" w:rsidRPr="00FE1B8E">
              <w:rPr>
                <w:rStyle w:val="Hyperlink"/>
                <w:noProof/>
              </w:rPr>
              <w:noBreakHyphen/>
              <w:t>off cover arrangement?</w:t>
            </w:r>
            <w:r w:rsidR="00C053A5">
              <w:rPr>
                <w:noProof/>
                <w:webHidden/>
              </w:rPr>
              <w:tab/>
            </w:r>
            <w:r w:rsidR="00C053A5">
              <w:rPr>
                <w:noProof/>
                <w:webHidden/>
              </w:rPr>
              <w:fldChar w:fldCharType="begin"/>
            </w:r>
            <w:r w:rsidR="00C053A5">
              <w:rPr>
                <w:noProof/>
                <w:webHidden/>
              </w:rPr>
              <w:instrText xml:space="preserve"> PAGEREF _Toc192842016 \h </w:instrText>
            </w:r>
            <w:r w:rsidR="00C053A5">
              <w:rPr>
                <w:noProof/>
                <w:webHidden/>
              </w:rPr>
            </w:r>
            <w:r w:rsidR="00C053A5">
              <w:rPr>
                <w:noProof/>
                <w:webHidden/>
              </w:rPr>
              <w:fldChar w:fldCharType="separate"/>
            </w:r>
            <w:r w:rsidR="00E948A0">
              <w:rPr>
                <w:noProof/>
                <w:webHidden/>
              </w:rPr>
              <w:t>7</w:t>
            </w:r>
            <w:r w:rsidR="00C053A5">
              <w:rPr>
                <w:noProof/>
                <w:webHidden/>
              </w:rPr>
              <w:fldChar w:fldCharType="end"/>
            </w:r>
          </w:hyperlink>
        </w:p>
        <w:p w14:paraId="4B44517A" w14:textId="2FF53F9D" w:rsidR="00C053A5" w:rsidRDefault="001D0A02">
          <w:pPr>
            <w:pStyle w:val="TOC1"/>
            <w:tabs>
              <w:tab w:val="left" w:pos="400"/>
              <w:tab w:val="right" w:leader="dot" w:pos="7700"/>
            </w:tabs>
            <w:rPr>
              <w:rFonts w:eastAsiaTheme="minorEastAsia" w:cstheme="minorBidi"/>
              <w:b w:val="0"/>
              <w:bCs w:val="0"/>
              <w:noProof/>
              <w:color w:val="auto"/>
              <w:kern w:val="2"/>
              <w:sz w:val="22"/>
              <w:szCs w:val="22"/>
              <w14:ligatures w14:val="standardContextual"/>
            </w:rPr>
          </w:pPr>
          <w:hyperlink w:anchor="_Toc192842017" w:history="1">
            <w:r w:rsidR="00C053A5" w:rsidRPr="00FE1B8E">
              <w:rPr>
                <w:rStyle w:val="Hyperlink"/>
                <w:noProof/>
              </w:rPr>
              <w:t>3</w:t>
            </w:r>
            <w:r w:rsidR="00C053A5">
              <w:rPr>
                <w:rFonts w:eastAsiaTheme="minorEastAsia" w:cstheme="minorBidi"/>
                <w:b w:val="0"/>
                <w:bCs w:val="0"/>
                <w:noProof/>
                <w:color w:val="auto"/>
                <w:kern w:val="2"/>
                <w:sz w:val="22"/>
                <w:szCs w:val="22"/>
                <w14:ligatures w14:val="standardContextual"/>
              </w:rPr>
              <w:tab/>
            </w:r>
            <w:r w:rsidR="00C053A5" w:rsidRPr="00FE1B8E">
              <w:rPr>
                <w:rStyle w:val="Hyperlink"/>
                <w:noProof/>
              </w:rPr>
              <w:t>Data</w:t>
            </w:r>
            <w:r w:rsidR="00C053A5">
              <w:rPr>
                <w:noProof/>
                <w:webHidden/>
              </w:rPr>
              <w:tab/>
            </w:r>
            <w:r w:rsidR="00C053A5">
              <w:rPr>
                <w:noProof/>
                <w:webHidden/>
              </w:rPr>
              <w:fldChar w:fldCharType="begin"/>
            </w:r>
            <w:r w:rsidR="00C053A5">
              <w:rPr>
                <w:noProof/>
                <w:webHidden/>
              </w:rPr>
              <w:instrText xml:space="preserve"> PAGEREF _Toc192842017 \h </w:instrText>
            </w:r>
            <w:r w:rsidR="00C053A5">
              <w:rPr>
                <w:noProof/>
                <w:webHidden/>
              </w:rPr>
            </w:r>
            <w:r w:rsidR="00C053A5">
              <w:rPr>
                <w:noProof/>
                <w:webHidden/>
              </w:rPr>
              <w:fldChar w:fldCharType="separate"/>
            </w:r>
            <w:r w:rsidR="00E948A0">
              <w:rPr>
                <w:noProof/>
                <w:webHidden/>
              </w:rPr>
              <w:t>9</w:t>
            </w:r>
            <w:r w:rsidR="00C053A5">
              <w:rPr>
                <w:noProof/>
                <w:webHidden/>
              </w:rPr>
              <w:fldChar w:fldCharType="end"/>
            </w:r>
          </w:hyperlink>
        </w:p>
        <w:p w14:paraId="16F6A4E4" w14:textId="15B6BA0D" w:rsidR="00C053A5" w:rsidRDefault="001D0A02">
          <w:pPr>
            <w:pStyle w:val="TOC2"/>
            <w:tabs>
              <w:tab w:val="left" w:pos="800"/>
              <w:tab w:val="right" w:leader="dot" w:pos="7700"/>
            </w:tabs>
            <w:rPr>
              <w:rFonts w:eastAsiaTheme="minorEastAsia" w:cstheme="minorBidi"/>
              <w:i w:val="0"/>
              <w:iCs w:val="0"/>
              <w:noProof/>
              <w:color w:val="auto"/>
              <w:kern w:val="2"/>
              <w:sz w:val="22"/>
              <w:szCs w:val="22"/>
              <w14:ligatures w14:val="standardContextual"/>
            </w:rPr>
          </w:pPr>
          <w:hyperlink w:anchor="_Toc192842018" w:history="1">
            <w:r w:rsidR="00C053A5" w:rsidRPr="00FE1B8E">
              <w:rPr>
                <w:rStyle w:val="Hyperlink"/>
                <w:noProof/>
              </w:rPr>
              <w:t>3.1</w:t>
            </w:r>
            <w:r w:rsidR="00C053A5">
              <w:rPr>
                <w:rFonts w:eastAsiaTheme="minorEastAsia" w:cstheme="minorBidi"/>
                <w:i w:val="0"/>
                <w:iCs w:val="0"/>
                <w:noProof/>
                <w:color w:val="auto"/>
                <w:kern w:val="2"/>
                <w:sz w:val="22"/>
                <w:szCs w:val="22"/>
                <w14:ligatures w14:val="standardContextual"/>
              </w:rPr>
              <w:tab/>
            </w:r>
            <w:r w:rsidR="00C053A5" w:rsidRPr="00FE1B8E">
              <w:rPr>
                <w:rStyle w:val="Hyperlink"/>
                <w:noProof/>
              </w:rPr>
              <w:t>Data collection</w:t>
            </w:r>
            <w:r w:rsidR="00C053A5">
              <w:rPr>
                <w:noProof/>
                <w:webHidden/>
              </w:rPr>
              <w:tab/>
            </w:r>
            <w:r w:rsidR="00C053A5">
              <w:rPr>
                <w:noProof/>
                <w:webHidden/>
              </w:rPr>
              <w:fldChar w:fldCharType="begin"/>
            </w:r>
            <w:r w:rsidR="00C053A5">
              <w:rPr>
                <w:noProof/>
                <w:webHidden/>
              </w:rPr>
              <w:instrText xml:space="preserve"> PAGEREF _Toc192842018 \h </w:instrText>
            </w:r>
            <w:r w:rsidR="00C053A5">
              <w:rPr>
                <w:noProof/>
                <w:webHidden/>
              </w:rPr>
            </w:r>
            <w:r w:rsidR="00C053A5">
              <w:rPr>
                <w:noProof/>
                <w:webHidden/>
              </w:rPr>
              <w:fldChar w:fldCharType="separate"/>
            </w:r>
            <w:r w:rsidR="00E948A0">
              <w:rPr>
                <w:noProof/>
                <w:webHidden/>
              </w:rPr>
              <w:t>9</w:t>
            </w:r>
            <w:r w:rsidR="00C053A5">
              <w:rPr>
                <w:noProof/>
                <w:webHidden/>
              </w:rPr>
              <w:fldChar w:fldCharType="end"/>
            </w:r>
          </w:hyperlink>
        </w:p>
        <w:p w14:paraId="0F208411" w14:textId="55C94EB7" w:rsidR="00C053A5" w:rsidRDefault="001D0A02">
          <w:pPr>
            <w:pStyle w:val="TOC2"/>
            <w:tabs>
              <w:tab w:val="left" w:pos="800"/>
              <w:tab w:val="right" w:leader="dot" w:pos="7700"/>
            </w:tabs>
            <w:rPr>
              <w:rFonts w:eastAsiaTheme="minorEastAsia" w:cstheme="minorBidi"/>
              <w:i w:val="0"/>
              <w:iCs w:val="0"/>
              <w:noProof/>
              <w:color w:val="auto"/>
              <w:kern w:val="2"/>
              <w:sz w:val="22"/>
              <w:szCs w:val="22"/>
              <w14:ligatures w14:val="standardContextual"/>
            </w:rPr>
          </w:pPr>
          <w:hyperlink w:anchor="_Toc192842019" w:history="1">
            <w:r w:rsidR="00C053A5" w:rsidRPr="00FE1B8E">
              <w:rPr>
                <w:rStyle w:val="Hyperlink"/>
                <w:noProof/>
              </w:rPr>
              <w:t>3.2</w:t>
            </w:r>
            <w:r w:rsidR="00C053A5">
              <w:rPr>
                <w:rFonts w:eastAsiaTheme="minorEastAsia" w:cstheme="minorBidi"/>
                <w:i w:val="0"/>
                <w:iCs w:val="0"/>
                <w:noProof/>
                <w:color w:val="auto"/>
                <w:kern w:val="2"/>
                <w:sz w:val="22"/>
                <w:szCs w:val="22"/>
                <w14:ligatures w14:val="standardContextual"/>
              </w:rPr>
              <w:tab/>
            </w:r>
            <w:r w:rsidR="00C053A5" w:rsidRPr="00FE1B8E">
              <w:rPr>
                <w:rStyle w:val="Hyperlink"/>
                <w:noProof/>
              </w:rPr>
              <w:t>Data verification</w:t>
            </w:r>
            <w:r w:rsidR="00C053A5">
              <w:rPr>
                <w:noProof/>
                <w:webHidden/>
              </w:rPr>
              <w:tab/>
            </w:r>
            <w:r w:rsidR="00C053A5">
              <w:rPr>
                <w:noProof/>
                <w:webHidden/>
              </w:rPr>
              <w:fldChar w:fldCharType="begin"/>
            </w:r>
            <w:r w:rsidR="00C053A5">
              <w:rPr>
                <w:noProof/>
                <w:webHidden/>
              </w:rPr>
              <w:instrText xml:space="preserve"> PAGEREF _Toc192842019 \h </w:instrText>
            </w:r>
            <w:r w:rsidR="00C053A5">
              <w:rPr>
                <w:noProof/>
                <w:webHidden/>
              </w:rPr>
            </w:r>
            <w:r w:rsidR="00C053A5">
              <w:rPr>
                <w:noProof/>
                <w:webHidden/>
              </w:rPr>
              <w:fldChar w:fldCharType="separate"/>
            </w:r>
            <w:r w:rsidR="00E948A0">
              <w:rPr>
                <w:noProof/>
                <w:webHidden/>
              </w:rPr>
              <w:t>9</w:t>
            </w:r>
            <w:r w:rsidR="00C053A5">
              <w:rPr>
                <w:noProof/>
                <w:webHidden/>
              </w:rPr>
              <w:fldChar w:fldCharType="end"/>
            </w:r>
          </w:hyperlink>
        </w:p>
        <w:p w14:paraId="6D772D5B" w14:textId="2129EBCA" w:rsidR="00C053A5" w:rsidRDefault="001D0A02">
          <w:pPr>
            <w:pStyle w:val="TOC2"/>
            <w:tabs>
              <w:tab w:val="left" w:pos="800"/>
              <w:tab w:val="right" w:leader="dot" w:pos="7700"/>
            </w:tabs>
            <w:rPr>
              <w:rFonts w:eastAsiaTheme="minorEastAsia" w:cstheme="minorBidi"/>
              <w:i w:val="0"/>
              <w:iCs w:val="0"/>
              <w:noProof/>
              <w:color w:val="auto"/>
              <w:kern w:val="2"/>
              <w:sz w:val="22"/>
              <w:szCs w:val="22"/>
              <w14:ligatures w14:val="standardContextual"/>
            </w:rPr>
          </w:pPr>
          <w:hyperlink w:anchor="_Toc192842020" w:history="1">
            <w:r w:rsidR="00C053A5" w:rsidRPr="00FE1B8E">
              <w:rPr>
                <w:rStyle w:val="Hyperlink"/>
                <w:noProof/>
              </w:rPr>
              <w:t>3.3</w:t>
            </w:r>
            <w:r w:rsidR="00C053A5">
              <w:rPr>
                <w:rFonts w:eastAsiaTheme="minorEastAsia" w:cstheme="minorBidi"/>
                <w:i w:val="0"/>
                <w:iCs w:val="0"/>
                <w:noProof/>
                <w:color w:val="auto"/>
                <w:kern w:val="2"/>
                <w:sz w:val="22"/>
                <w:szCs w:val="22"/>
                <w14:ligatures w14:val="standardContextual"/>
              </w:rPr>
              <w:tab/>
            </w:r>
            <w:r w:rsidR="00C053A5" w:rsidRPr="00FE1B8E">
              <w:rPr>
                <w:rStyle w:val="Hyperlink"/>
                <w:noProof/>
              </w:rPr>
              <w:t>Eligible persons</w:t>
            </w:r>
            <w:r w:rsidR="00C053A5">
              <w:rPr>
                <w:noProof/>
                <w:webHidden/>
              </w:rPr>
              <w:tab/>
            </w:r>
            <w:r w:rsidR="00C053A5">
              <w:rPr>
                <w:noProof/>
                <w:webHidden/>
              </w:rPr>
              <w:fldChar w:fldCharType="begin"/>
            </w:r>
            <w:r w:rsidR="00C053A5">
              <w:rPr>
                <w:noProof/>
                <w:webHidden/>
              </w:rPr>
              <w:instrText xml:space="preserve"> PAGEREF _Toc192842020 \h </w:instrText>
            </w:r>
            <w:r w:rsidR="00C053A5">
              <w:rPr>
                <w:noProof/>
                <w:webHidden/>
              </w:rPr>
            </w:r>
            <w:r w:rsidR="00C053A5">
              <w:rPr>
                <w:noProof/>
                <w:webHidden/>
              </w:rPr>
              <w:fldChar w:fldCharType="separate"/>
            </w:r>
            <w:r w:rsidR="00E948A0">
              <w:rPr>
                <w:noProof/>
                <w:webHidden/>
              </w:rPr>
              <w:t>9</w:t>
            </w:r>
            <w:r w:rsidR="00C053A5">
              <w:rPr>
                <w:noProof/>
                <w:webHidden/>
              </w:rPr>
              <w:fldChar w:fldCharType="end"/>
            </w:r>
          </w:hyperlink>
        </w:p>
        <w:p w14:paraId="1013EA35" w14:textId="2C026498" w:rsidR="00C053A5" w:rsidRDefault="001D0A02">
          <w:pPr>
            <w:pStyle w:val="TOC2"/>
            <w:tabs>
              <w:tab w:val="left" w:pos="800"/>
              <w:tab w:val="right" w:leader="dot" w:pos="7700"/>
            </w:tabs>
            <w:rPr>
              <w:rFonts w:eastAsiaTheme="minorEastAsia" w:cstheme="minorBidi"/>
              <w:i w:val="0"/>
              <w:iCs w:val="0"/>
              <w:noProof/>
              <w:color w:val="auto"/>
              <w:kern w:val="2"/>
              <w:sz w:val="22"/>
              <w:szCs w:val="22"/>
              <w14:ligatures w14:val="standardContextual"/>
            </w:rPr>
          </w:pPr>
          <w:hyperlink w:anchor="_Toc192842021" w:history="1">
            <w:r w:rsidR="00C053A5" w:rsidRPr="00FE1B8E">
              <w:rPr>
                <w:rStyle w:val="Hyperlink"/>
                <w:noProof/>
              </w:rPr>
              <w:t>3.4</w:t>
            </w:r>
            <w:r w:rsidR="00C053A5">
              <w:rPr>
                <w:rFonts w:eastAsiaTheme="minorEastAsia" w:cstheme="minorBidi"/>
                <w:i w:val="0"/>
                <w:iCs w:val="0"/>
                <w:noProof/>
                <w:color w:val="auto"/>
                <w:kern w:val="2"/>
                <w:sz w:val="22"/>
                <w:szCs w:val="22"/>
                <w14:ligatures w14:val="standardContextual"/>
              </w:rPr>
              <w:tab/>
            </w:r>
            <w:r w:rsidR="00C053A5" w:rsidRPr="00FE1B8E">
              <w:rPr>
                <w:rStyle w:val="Hyperlink"/>
                <w:noProof/>
              </w:rPr>
              <w:t>Run</w:t>
            </w:r>
            <w:r w:rsidR="00C053A5" w:rsidRPr="00FE1B8E">
              <w:rPr>
                <w:rStyle w:val="Hyperlink"/>
                <w:noProof/>
              </w:rPr>
              <w:noBreakHyphen/>
              <w:t>off cover Commonwealth contributions</w:t>
            </w:r>
            <w:r w:rsidR="00C053A5">
              <w:rPr>
                <w:noProof/>
                <w:webHidden/>
              </w:rPr>
              <w:tab/>
            </w:r>
            <w:r w:rsidR="00C053A5">
              <w:rPr>
                <w:noProof/>
                <w:webHidden/>
              </w:rPr>
              <w:fldChar w:fldCharType="begin"/>
            </w:r>
            <w:r w:rsidR="00C053A5">
              <w:rPr>
                <w:noProof/>
                <w:webHidden/>
              </w:rPr>
              <w:instrText xml:space="preserve"> PAGEREF _Toc192842021 \h </w:instrText>
            </w:r>
            <w:r w:rsidR="00C053A5">
              <w:rPr>
                <w:noProof/>
                <w:webHidden/>
              </w:rPr>
            </w:r>
            <w:r w:rsidR="00C053A5">
              <w:rPr>
                <w:noProof/>
                <w:webHidden/>
              </w:rPr>
              <w:fldChar w:fldCharType="separate"/>
            </w:r>
            <w:r w:rsidR="00E948A0">
              <w:rPr>
                <w:noProof/>
                <w:webHidden/>
              </w:rPr>
              <w:t>10</w:t>
            </w:r>
            <w:r w:rsidR="00C053A5">
              <w:rPr>
                <w:noProof/>
                <w:webHidden/>
              </w:rPr>
              <w:fldChar w:fldCharType="end"/>
            </w:r>
          </w:hyperlink>
        </w:p>
        <w:p w14:paraId="670CA754" w14:textId="2E89D2E6" w:rsidR="00C053A5" w:rsidRDefault="001D0A02">
          <w:pPr>
            <w:pStyle w:val="TOC2"/>
            <w:tabs>
              <w:tab w:val="left" w:pos="800"/>
              <w:tab w:val="right" w:leader="dot" w:pos="7700"/>
            </w:tabs>
            <w:rPr>
              <w:rFonts w:eastAsiaTheme="minorEastAsia" w:cstheme="minorBidi"/>
              <w:i w:val="0"/>
              <w:iCs w:val="0"/>
              <w:noProof/>
              <w:color w:val="auto"/>
              <w:kern w:val="2"/>
              <w:sz w:val="22"/>
              <w:szCs w:val="22"/>
              <w14:ligatures w14:val="standardContextual"/>
            </w:rPr>
          </w:pPr>
          <w:hyperlink w:anchor="_Toc192842022" w:history="1">
            <w:r w:rsidR="00C053A5" w:rsidRPr="00FE1B8E">
              <w:rPr>
                <w:rStyle w:val="Hyperlink"/>
                <w:noProof/>
              </w:rPr>
              <w:t>3.5</w:t>
            </w:r>
            <w:r w:rsidR="00C053A5">
              <w:rPr>
                <w:rFonts w:eastAsiaTheme="minorEastAsia" w:cstheme="minorBidi"/>
                <w:i w:val="0"/>
                <w:iCs w:val="0"/>
                <w:noProof/>
                <w:color w:val="auto"/>
                <w:kern w:val="2"/>
                <w:sz w:val="22"/>
                <w:szCs w:val="22"/>
                <w14:ligatures w14:val="standardContextual"/>
              </w:rPr>
              <w:tab/>
            </w:r>
            <w:r w:rsidR="00C053A5" w:rsidRPr="00FE1B8E">
              <w:rPr>
                <w:rStyle w:val="Hyperlink"/>
                <w:noProof/>
              </w:rPr>
              <w:t>Run</w:t>
            </w:r>
            <w:r w:rsidR="00C053A5" w:rsidRPr="00FE1B8E">
              <w:rPr>
                <w:rStyle w:val="Hyperlink"/>
                <w:noProof/>
              </w:rPr>
              <w:noBreakHyphen/>
              <w:t>off cover support payments</w:t>
            </w:r>
            <w:r w:rsidR="00C053A5">
              <w:rPr>
                <w:noProof/>
                <w:webHidden/>
              </w:rPr>
              <w:tab/>
            </w:r>
            <w:r w:rsidR="00C053A5">
              <w:rPr>
                <w:noProof/>
                <w:webHidden/>
              </w:rPr>
              <w:fldChar w:fldCharType="begin"/>
            </w:r>
            <w:r w:rsidR="00C053A5">
              <w:rPr>
                <w:noProof/>
                <w:webHidden/>
              </w:rPr>
              <w:instrText xml:space="preserve"> PAGEREF _Toc192842022 \h </w:instrText>
            </w:r>
            <w:r w:rsidR="00C053A5">
              <w:rPr>
                <w:noProof/>
                <w:webHidden/>
              </w:rPr>
            </w:r>
            <w:r w:rsidR="00C053A5">
              <w:rPr>
                <w:noProof/>
                <w:webHidden/>
              </w:rPr>
              <w:fldChar w:fldCharType="separate"/>
            </w:r>
            <w:r w:rsidR="00E948A0">
              <w:rPr>
                <w:noProof/>
                <w:webHidden/>
              </w:rPr>
              <w:t>11</w:t>
            </w:r>
            <w:r w:rsidR="00C053A5">
              <w:rPr>
                <w:noProof/>
                <w:webHidden/>
              </w:rPr>
              <w:fldChar w:fldCharType="end"/>
            </w:r>
          </w:hyperlink>
        </w:p>
        <w:p w14:paraId="6B7C2492" w14:textId="7775DBAC" w:rsidR="00C053A5" w:rsidRDefault="001D0A02">
          <w:pPr>
            <w:pStyle w:val="TOC1"/>
            <w:tabs>
              <w:tab w:val="left" w:pos="400"/>
              <w:tab w:val="right" w:leader="dot" w:pos="7700"/>
            </w:tabs>
            <w:rPr>
              <w:rFonts w:eastAsiaTheme="minorEastAsia" w:cstheme="minorBidi"/>
              <w:b w:val="0"/>
              <w:bCs w:val="0"/>
              <w:noProof/>
              <w:color w:val="auto"/>
              <w:kern w:val="2"/>
              <w:sz w:val="22"/>
              <w:szCs w:val="22"/>
              <w14:ligatures w14:val="standardContextual"/>
            </w:rPr>
          </w:pPr>
          <w:hyperlink w:anchor="_Toc192842023" w:history="1">
            <w:r w:rsidR="00C053A5" w:rsidRPr="00FE1B8E">
              <w:rPr>
                <w:rStyle w:val="Hyperlink"/>
                <w:noProof/>
              </w:rPr>
              <w:t>4</w:t>
            </w:r>
            <w:r w:rsidR="00C053A5">
              <w:rPr>
                <w:rFonts w:eastAsiaTheme="minorEastAsia" w:cstheme="minorBidi"/>
                <w:b w:val="0"/>
                <w:bCs w:val="0"/>
                <w:noProof/>
                <w:color w:val="auto"/>
                <w:kern w:val="2"/>
                <w:sz w:val="22"/>
                <w:szCs w:val="22"/>
                <w14:ligatures w14:val="standardContextual"/>
              </w:rPr>
              <w:tab/>
            </w:r>
            <w:r w:rsidR="00C053A5" w:rsidRPr="00FE1B8E">
              <w:rPr>
                <w:rStyle w:val="Hyperlink"/>
                <w:noProof/>
              </w:rPr>
              <w:t>Financial management of the run</w:t>
            </w:r>
            <w:r w:rsidR="00C053A5" w:rsidRPr="00FE1B8E">
              <w:rPr>
                <w:rStyle w:val="Hyperlink"/>
                <w:noProof/>
              </w:rPr>
              <w:noBreakHyphen/>
              <w:t>off cover scheme</w:t>
            </w:r>
            <w:r w:rsidR="00C053A5">
              <w:rPr>
                <w:noProof/>
                <w:webHidden/>
              </w:rPr>
              <w:tab/>
            </w:r>
            <w:r w:rsidR="00C053A5">
              <w:rPr>
                <w:noProof/>
                <w:webHidden/>
              </w:rPr>
              <w:fldChar w:fldCharType="begin"/>
            </w:r>
            <w:r w:rsidR="00C053A5">
              <w:rPr>
                <w:noProof/>
                <w:webHidden/>
              </w:rPr>
              <w:instrText xml:space="preserve"> PAGEREF _Toc192842023 \h </w:instrText>
            </w:r>
            <w:r w:rsidR="00C053A5">
              <w:rPr>
                <w:noProof/>
                <w:webHidden/>
              </w:rPr>
            </w:r>
            <w:r w:rsidR="00C053A5">
              <w:rPr>
                <w:noProof/>
                <w:webHidden/>
              </w:rPr>
              <w:fldChar w:fldCharType="separate"/>
            </w:r>
            <w:r w:rsidR="00E948A0">
              <w:rPr>
                <w:noProof/>
                <w:webHidden/>
              </w:rPr>
              <w:t>13</w:t>
            </w:r>
            <w:r w:rsidR="00C053A5">
              <w:rPr>
                <w:noProof/>
                <w:webHidden/>
              </w:rPr>
              <w:fldChar w:fldCharType="end"/>
            </w:r>
          </w:hyperlink>
        </w:p>
        <w:p w14:paraId="1493D3D4" w14:textId="6DED0644" w:rsidR="00C053A5" w:rsidRDefault="001D0A02">
          <w:pPr>
            <w:pStyle w:val="TOC2"/>
            <w:tabs>
              <w:tab w:val="left" w:pos="800"/>
              <w:tab w:val="right" w:leader="dot" w:pos="7700"/>
            </w:tabs>
            <w:rPr>
              <w:rFonts w:eastAsiaTheme="minorEastAsia" w:cstheme="minorBidi"/>
              <w:i w:val="0"/>
              <w:iCs w:val="0"/>
              <w:noProof/>
              <w:color w:val="auto"/>
              <w:kern w:val="2"/>
              <w:sz w:val="22"/>
              <w:szCs w:val="22"/>
              <w14:ligatures w14:val="standardContextual"/>
            </w:rPr>
          </w:pPr>
          <w:hyperlink w:anchor="_Toc192842024" w:history="1">
            <w:r w:rsidR="00C053A5" w:rsidRPr="00FE1B8E">
              <w:rPr>
                <w:rStyle w:val="Hyperlink"/>
                <w:noProof/>
              </w:rPr>
              <w:t>4.1</w:t>
            </w:r>
            <w:r w:rsidR="00C053A5">
              <w:rPr>
                <w:rFonts w:eastAsiaTheme="minorEastAsia" w:cstheme="minorBidi"/>
                <w:i w:val="0"/>
                <w:iCs w:val="0"/>
                <w:noProof/>
                <w:color w:val="auto"/>
                <w:kern w:val="2"/>
                <w:sz w:val="22"/>
                <w:szCs w:val="22"/>
                <w14:ligatures w14:val="standardContextual"/>
              </w:rPr>
              <w:tab/>
            </w:r>
            <w:r w:rsidR="00C053A5" w:rsidRPr="00FE1B8E">
              <w:rPr>
                <w:rStyle w:val="Hyperlink"/>
                <w:noProof/>
              </w:rPr>
              <w:t>2023</w:t>
            </w:r>
            <w:r w:rsidR="00C053A5" w:rsidRPr="00FE1B8E">
              <w:rPr>
                <w:rStyle w:val="Hyperlink"/>
                <w:noProof/>
              </w:rPr>
              <w:noBreakHyphen/>
              <w:t>24 cash flow</w:t>
            </w:r>
            <w:r w:rsidR="00C053A5">
              <w:rPr>
                <w:noProof/>
                <w:webHidden/>
              </w:rPr>
              <w:tab/>
            </w:r>
            <w:r w:rsidR="00C053A5">
              <w:rPr>
                <w:noProof/>
                <w:webHidden/>
              </w:rPr>
              <w:fldChar w:fldCharType="begin"/>
            </w:r>
            <w:r w:rsidR="00C053A5">
              <w:rPr>
                <w:noProof/>
                <w:webHidden/>
              </w:rPr>
              <w:instrText xml:space="preserve"> PAGEREF _Toc192842024 \h </w:instrText>
            </w:r>
            <w:r w:rsidR="00C053A5">
              <w:rPr>
                <w:noProof/>
                <w:webHidden/>
              </w:rPr>
            </w:r>
            <w:r w:rsidR="00C053A5">
              <w:rPr>
                <w:noProof/>
                <w:webHidden/>
              </w:rPr>
              <w:fldChar w:fldCharType="separate"/>
            </w:r>
            <w:r w:rsidR="00E948A0">
              <w:rPr>
                <w:noProof/>
                <w:webHidden/>
              </w:rPr>
              <w:t>13</w:t>
            </w:r>
            <w:r w:rsidR="00C053A5">
              <w:rPr>
                <w:noProof/>
                <w:webHidden/>
              </w:rPr>
              <w:fldChar w:fldCharType="end"/>
            </w:r>
          </w:hyperlink>
        </w:p>
        <w:p w14:paraId="063216F4" w14:textId="2974C557" w:rsidR="00C053A5" w:rsidRDefault="001D0A02">
          <w:pPr>
            <w:pStyle w:val="TOC2"/>
            <w:tabs>
              <w:tab w:val="left" w:pos="800"/>
              <w:tab w:val="right" w:leader="dot" w:pos="7700"/>
            </w:tabs>
            <w:rPr>
              <w:rFonts w:eastAsiaTheme="minorEastAsia" w:cstheme="minorBidi"/>
              <w:i w:val="0"/>
              <w:iCs w:val="0"/>
              <w:noProof/>
              <w:color w:val="auto"/>
              <w:kern w:val="2"/>
              <w:sz w:val="22"/>
              <w:szCs w:val="22"/>
              <w14:ligatures w14:val="standardContextual"/>
            </w:rPr>
          </w:pPr>
          <w:hyperlink w:anchor="_Toc192842025" w:history="1">
            <w:r w:rsidR="00C053A5" w:rsidRPr="00FE1B8E">
              <w:rPr>
                <w:rStyle w:val="Hyperlink"/>
                <w:noProof/>
              </w:rPr>
              <w:t>4.2</w:t>
            </w:r>
            <w:r w:rsidR="00C053A5">
              <w:rPr>
                <w:rFonts w:eastAsiaTheme="minorEastAsia" w:cstheme="minorBidi"/>
                <w:i w:val="0"/>
                <w:iCs w:val="0"/>
                <w:noProof/>
                <w:color w:val="auto"/>
                <w:kern w:val="2"/>
                <w:sz w:val="22"/>
                <w:szCs w:val="22"/>
                <w14:ligatures w14:val="standardContextual"/>
              </w:rPr>
              <w:tab/>
            </w:r>
            <w:r w:rsidR="00C053A5" w:rsidRPr="00FE1B8E">
              <w:rPr>
                <w:rStyle w:val="Hyperlink"/>
                <w:noProof/>
              </w:rPr>
              <w:t>Experience and model</w:t>
            </w:r>
            <w:r w:rsidR="00C053A5">
              <w:rPr>
                <w:noProof/>
                <w:webHidden/>
              </w:rPr>
              <w:tab/>
            </w:r>
            <w:r w:rsidR="00C053A5">
              <w:rPr>
                <w:noProof/>
                <w:webHidden/>
              </w:rPr>
              <w:fldChar w:fldCharType="begin"/>
            </w:r>
            <w:r w:rsidR="00C053A5">
              <w:rPr>
                <w:noProof/>
                <w:webHidden/>
              </w:rPr>
              <w:instrText xml:space="preserve"> PAGEREF _Toc192842025 \h </w:instrText>
            </w:r>
            <w:r w:rsidR="00C053A5">
              <w:rPr>
                <w:noProof/>
                <w:webHidden/>
              </w:rPr>
            </w:r>
            <w:r w:rsidR="00C053A5">
              <w:rPr>
                <w:noProof/>
                <w:webHidden/>
              </w:rPr>
              <w:fldChar w:fldCharType="separate"/>
            </w:r>
            <w:r w:rsidR="00E948A0">
              <w:rPr>
                <w:noProof/>
                <w:webHidden/>
              </w:rPr>
              <w:t>13</w:t>
            </w:r>
            <w:r w:rsidR="00C053A5">
              <w:rPr>
                <w:noProof/>
                <w:webHidden/>
              </w:rPr>
              <w:fldChar w:fldCharType="end"/>
            </w:r>
          </w:hyperlink>
        </w:p>
        <w:p w14:paraId="4AA74530" w14:textId="07CA316D" w:rsidR="00C053A5" w:rsidRDefault="001D0A02">
          <w:pPr>
            <w:pStyle w:val="TOC2"/>
            <w:tabs>
              <w:tab w:val="left" w:pos="800"/>
              <w:tab w:val="right" w:leader="dot" w:pos="7700"/>
            </w:tabs>
            <w:rPr>
              <w:rFonts w:eastAsiaTheme="minorEastAsia" w:cstheme="minorBidi"/>
              <w:i w:val="0"/>
              <w:iCs w:val="0"/>
              <w:noProof/>
              <w:color w:val="auto"/>
              <w:kern w:val="2"/>
              <w:sz w:val="22"/>
              <w:szCs w:val="22"/>
              <w14:ligatures w14:val="standardContextual"/>
            </w:rPr>
          </w:pPr>
          <w:hyperlink w:anchor="_Toc192842026" w:history="1">
            <w:r w:rsidR="00C053A5" w:rsidRPr="00FE1B8E">
              <w:rPr>
                <w:rStyle w:val="Hyperlink"/>
                <w:noProof/>
              </w:rPr>
              <w:t>4.3</w:t>
            </w:r>
            <w:r w:rsidR="00C053A5">
              <w:rPr>
                <w:rFonts w:eastAsiaTheme="minorEastAsia" w:cstheme="minorBidi"/>
                <w:i w:val="0"/>
                <w:iCs w:val="0"/>
                <w:noProof/>
                <w:color w:val="auto"/>
                <w:kern w:val="2"/>
                <w:sz w:val="22"/>
                <w:szCs w:val="22"/>
                <w14:ligatures w14:val="standardContextual"/>
              </w:rPr>
              <w:tab/>
            </w:r>
            <w:r w:rsidR="00C053A5" w:rsidRPr="00FE1B8E">
              <w:rPr>
                <w:rStyle w:val="Hyperlink"/>
                <w:noProof/>
              </w:rPr>
              <w:t>Results: Projected Commonwealth contributions to run</w:t>
            </w:r>
            <w:r w:rsidR="00C053A5" w:rsidRPr="00FE1B8E">
              <w:rPr>
                <w:rStyle w:val="Hyperlink"/>
                <w:noProof/>
              </w:rPr>
              <w:noBreakHyphen/>
              <w:t>off cover</w:t>
            </w:r>
            <w:r w:rsidR="00C053A5">
              <w:rPr>
                <w:noProof/>
                <w:webHidden/>
              </w:rPr>
              <w:tab/>
            </w:r>
            <w:r w:rsidR="00C053A5">
              <w:rPr>
                <w:noProof/>
                <w:webHidden/>
              </w:rPr>
              <w:fldChar w:fldCharType="begin"/>
            </w:r>
            <w:r w:rsidR="00C053A5">
              <w:rPr>
                <w:noProof/>
                <w:webHidden/>
              </w:rPr>
              <w:instrText xml:space="preserve"> PAGEREF _Toc192842026 \h </w:instrText>
            </w:r>
            <w:r w:rsidR="00C053A5">
              <w:rPr>
                <w:noProof/>
                <w:webHidden/>
              </w:rPr>
            </w:r>
            <w:r w:rsidR="00C053A5">
              <w:rPr>
                <w:noProof/>
                <w:webHidden/>
              </w:rPr>
              <w:fldChar w:fldCharType="separate"/>
            </w:r>
            <w:r w:rsidR="00E948A0">
              <w:rPr>
                <w:noProof/>
                <w:webHidden/>
              </w:rPr>
              <w:t>14</w:t>
            </w:r>
            <w:r w:rsidR="00C053A5">
              <w:rPr>
                <w:noProof/>
                <w:webHidden/>
              </w:rPr>
              <w:fldChar w:fldCharType="end"/>
            </w:r>
          </w:hyperlink>
        </w:p>
        <w:p w14:paraId="0E162545" w14:textId="385517C3" w:rsidR="00C053A5" w:rsidRDefault="001D0A02">
          <w:pPr>
            <w:pStyle w:val="TOC2"/>
            <w:tabs>
              <w:tab w:val="left" w:pos="800"/>
              <w:tab w:val="right" w:leader="dot" w:pos="7700"/>
            </w:tabs>
            <w:rPr>
              <w:rFonts w:eastAsiaTheme="minorEastAsia" w:cstheme="minorBidi"/>
              <w:i w:val="0"/>
              <w:iCs w:val="0"/>
              <w:noProof/>
              <w:color w:val="auto"/>
              <w:kern w:val="2"/>
              <w:sz w:val="22"/>
              <w:szCs w:val="22"/>
              <w14:ligatures w14:val="standardContextual"/>
            </w:rPr>
          </w:pPr>
          <w:hyperlink w:anchor="_Toc192842027" w:history="1">
            <w:r w:rsidR="00C053A5" w:rsidRPr="00FE1B8E">
              <w:rPr>
                <w:rStyle w:val="Hyperlink"/>
                <w:noProof/>
              </w:rPr>
              <w:t>4.4</w:t>
            </w:r>
            <w:r w:rsidR="00C053A5">
              <w:rPr>
                <w:rFonts w:eastAsiaTheme="minorEastAsia" w:cstheme="minorBidi"/>
                <w:i w:val="0"/>
                <w:iCs w:val="0"/>
                <w:noProof/>
                <w:color w:val="auto"/>
                <w:kern w:val="2"/>
                <w:sz w:val="22"/>
                <w:szCs w:val="22"/>
                <w14:ligatures w14:val="standardContextual"/>
              </w:rPr>
              <w:tab/>
            </w:r>
            <w:r w:rsidR="00C053A5" w:rsidRPr="00FE1B8E">
              <w:rPr>
                <w:rStyle w:val="Hyperlink"/>
                <w:noProof/>
              </w:rPr>
              <w:t>Results: Liability and notional account</w:t>
            </w:r>
            <w:r w:rsidR="00C053A5">
              <w:rPr>
                <w:noProof/>
                <w:webHidden/>
              </w:rPr>
              <w:tab/>
            </w:r>
            <w:r w:rsidR="00C053A5">
              <w:rPr>
                <w:noProof/>
                <w:webHidden/>
              </w:rPr>
              <w:fldChar w:fldCharType="begin"/>
            </w:r>
            <w:r w:rsidR="00C053A5">
              <w:rPr>
                <w:noProof/>
                <w:webHidden/>
              </w:rPr>
              <w:instrText xml:space="preserve"> PAGEREF _Toc192842027 \h </w:instrText>
            </w:r>
            <w:r w:rsidR="00C053A5">
              <w:rPr>
                <w:noProof/>
                <w:webHidden/>
              </w:rPr>
            </w:r>
            <w:r w:rsidR="00C053A5">
              <w:rPr>
                <w:noProof/>
                <w:webHidden/>
              </w:rPr>
              <w:fldChar w:fldCharType="separate"/>
            </w:r>
            <w:r w:rsidR="00E948A0">
              <w:rPr>
                <w:noProof/>
                <w:webHidden/>
              </w:rPr>
              <w:t>14</w:t>
            </w:r>
            <w:r w:rsidR="00C053A5">
              <w:rPr>
                <w:noProof/>
                <w:webHidden/>
              </w:rPr>
              <w:fldChar w:fldCharType="end"/>
            </w:r>
          </w:hyperlink>
        </w:p>
        <w:p w14:paraId="02A091F3" w14:textId="6E07FC54" w:rsidR="00C053A5" w:rsidRDefault="001D0A02">
          <w:pPr>
            <w:pStyle w:val="TOC2"/>
            <w:tabs>
              <w:tab w:val="left" w:pos="800"/>
              <w:tab w:val="right" w:leader="dot" w:pos="7700"/>
            </w:tabs>
            <w:rPr>
              <w:rFonts w:eastAsiaTheme="minorEastAsia" w:cstheme="minorBidi"/>
              <w:i w:val="0"/>
              <w:iCs w:val="0"/>
              <w:noProof/>
              <w:color w:val="auto"/>
              <w:kern w:val="2"/>
              <w:sz w:val="22"/>
              <w:szCs w:val="22"/>
              <w14:ligatures w14:val="standardContextual"/>
            </w:rPr>
          </w:pPr>
          <w:hyperlink w:anchor="_Toc192842028" w:history="1">
            <w:r w:rsidR="00C053A5" w:rsidRPr="00FE1B8E">
              <w:rPr>
                <w:rStyle w:val="Hyperlink"/>
                <w:noProof/>
              </w:rPr>
              <w:t>4.5</w:t>
            </w:r>
            <w:r w:rsidR="00C053A5">
              <w:rPr>
                <w:rFonts w:eastAsiaTheme="minorEastAsia" w:cstheme="minorBidi"/>
                <w:i w:val="0"/>
                <w:iCs w:val="0"/>
                <w:noProof/>
                <w:color w:val="auto"/>
                <w:kern w:val="2"/>
                <w:sz w:val="22"/>
                <w:szCs w:val="22"/>
                <w14:ligatures w14:val="standardContextual"/>
              </w:rPr>
              <w:tab/>
            </w:r>
            <w:r w:rsidR="00C053A5" w:rsidRPr="00FE1B8E">
              <w:rPr>
                <w:rStyle w:val="Hyperlink"/>
                <w:noProof/>
              </w:rPr>
              <w:t>Results: Projected liabilities of the scheme</w:t>
            </w:r>
            <w:r w:rsidR="00C053A5">
              <w:rPr>
                <w:noProof/>
                <w:webHidden/>
              </w:rPr>
              <w:tab/>
            </w:r>
            <w:r w:rsidR="00C053A5">
              <w:rPr>
                <w:noProof/>
                <w:webHidden/>
              </w:rPr>
              <w:fldChar w:fldCharType="begin"/>
            </w:r>
            <w:r w:rsidR="00C053A5">
              <w:rPr>
                <w:noProof/>
                <w:webHidden/>
              </w:rPr>
              <w:instrText xml:space="preserve"> PAGEREF _Toc192842028 \h </w:instrText>
            </w:r>
            <w:r w:rsidR="00C053A5">
              <w:rPr>
                <w:noProof/>
                <w:webHidden/>
              </w:rPr>
            </w:r>
            <w:r w:rsidR="00C053A5">
              <w:rPr>
                <w:noProof/>
                <w:webHidden/>
              </w:rPr>
              <w:fldChar w:fldCharType="separate"/>
            </w:r>
            <w:r w:rsidR="00E948A0">
              <w:rPr>
                <w:noProof/>
                <w:webHidden/>
              </w:rPr>
              <w:t>17</w:t>
            </w:r>
            <w:r w:rsidR="00C053A5">
              <w:rPr>
                <w:noProof/>
                <w:webHidden/>
              </w:rPr>
              <w:fldChar w:fldCharType="end"/>
            </w:r>
          </w:hyperlink>
        </w:p>
        <w:p w14:paraId="650BCE7F" w14:textId="0B4E1283" w:rsidR="00C053A5" w:rsidRDefault="001D0A02">
          <w:pPr>
            <w:pStyle w:val="TOC2"/>
            <w:tabs>
              <w:tab w:val="left" w:pos="800"/>
              <w:tab w:val="right" w:leader="dot" w:pos="7700"/>
            </w:tabs>
            <w:rPr>
              <w:rFonts w:eastAsiaTheme="minorEastAsia" w:cstheme="minorBidi"/>
              <w:i w:val="0"/>
              <w:iCs w:val="0"/>
              <w:noProof/>
              <w:color w:val="auto"/>
              <w:kern w:val="2"/>
              <w:sz w:val="22"/>
              <w:szCs w:val="22"/>
              <w14:ligatures w14:val="standardContextual"/>
            </w:rPr>
          </w:pPr>
          <w:hyperlink w:anchor="_Toc192842029" w:history="1">
            <w:r w:rsidR="00C053A5" w:rsidRPr="00FE1B8E">
              <w:rPr>
                <w:rStyle w:val="Hyperlink"/>
                <w:noProof/>
              </w:rPr>
              <w:t>4.6</w:t>
            </w:r>
            <w:r w:rsidR="00C053A5">
              <w:rPr>
                <w:rFonts w:eastAsiaTheme="minorEastAsia" w:cstheme="minorBidi"/>
                <w:i w:val="0"/>
                <w:iCs w:val="0"/>
                <w:noProof/>
                <w:color w:val="auto"/>
                <w:kern w:val="2"/>
                <w:sz w:val="22"/>
                <w:szCs w:val="22"/>
                <w14:ligatures w14:val="standardContextual"/>
              </w:rPr>
              <w:tab/>
            </w:r>
            <w:r w:rsidR="00C053A5" w:rsidRPr="00FE1B8E">
              <w:rPr>
                <w:rStyle w:val="Hyperlink"/>
                <w:noProof/>
              </w:rPr>
              <w:t>Actuarial management</w:t>
            </w:r>
            <w:r w:rsidR="00C053A5">
              <w:rPr>
                <w:noProof/>
                <w:webHidden/>
              </w:rPr>
              <w:tab/>
            </w:r>
            <w:r w:rsidR="00C053A5">
              <w:rPr>
                <w:noProof/>
                <w:webHidden/>
              </w:rPr>
              <w:fldChar w:fldCharType="begin"/>
            </w:r>
            <w:r w:rsidR="00C053A5">
              <w:rPr>
                <w:noProof/>
                <w:webHidden/>
              </w:rPr>
              <w:instrText xml:space="preserve"> PAGEREF _Toc192842029 \h </w:instrText>
            </w:r>
            <w:r w:rsidR="00C053A5">
              <w:rPr>
                <w:noProof/>
                <w:webHidden/>
              </w:rPr>
            </w:r>
            <w:r w:rsidR="00C053A5">
              <w:rPr>
                <w:noProof/>
                <w:webHidden/>
              </w:rPr>
              <w:fldChar w:fldCharType="separate"/>
            </w:r>
            <w:r w:rsidR="00E948A0">
              <w:rPr>
                <w:noProof/>
                <w:webHidden/>
              </w:rPr>
              <w:t>18</w:t>
            </w:r>
            <w:r w:rsidR="00C053A5">
              <w:rPr>
                <w:noProof/>
                <w:webHidden/>
              </w:rPr>
              <w:fldChar w:fldCharType="end"/>
            </w:r>
          </w:hyperlink>
        </w:p>
        <w:p w14:paraId="10FDD953" w14:textId="325BD3DC" w:rsidR="00C053A5" w:rsidRDefault="001D0A02">
          <w:pPr>
            <w:pStyle w:val="TOC1"/>
            <w:tabs>
              <w:tab w:val="right" w:leader="dot" w:pos="7700"/>
            </w:tabs>
            <w:rPr>
              <w:rFonts w:eastAsiaTheme="minorEastAsia" w:cstheme="minorBidi"/>
              <w:b w:val="0"/>
              <w:bCs w:val="0"/>
              <w:noProof/>
              <w:color w:val="auto"/>
              <w:kern w:val="2"/>
              <w:sz w:val="22"/>
              <w:szCs w:val="22"/>
              <w14:ligatures w14:val="standardContextual"/>
            </w:rPr>
          </w:pPr>
          <w:hyperlink w:anchor="_Toc192842030" w:history="1">
            <w:r w:rsidR="00C053A5" w:rsidRPr="00FE1B8E">
              <w:rPr>
                <w:rStyle w:val="Hyperlink"/>
                <w:noProof/>
              </w:rPr>
              <w:t>APPENDIX 1:  Run</w:t>
            </w:r>
            <w:r w:rsidR="00C053A5" w:rsidRPr="00FE1B8E">
              <w:rPr>
                <w:rStyle w:val="Hyperlink"/>
                <w:noProof/>
              </w:rPr>
              <w:noBreakHyphen/>
              <w:t>off cover support payments</w:t>
            </w:r>
            <w:r w:rsidR="00C053A5">
              <w:rPr>
                <w:noProof/>
                <w:webHidden/>
              </w:rPr>
              <w:tab/>
            </w:r>
            <w:r w:rsidR="00C053A5">
              <w:rPr>
                <w:noProof/>
                <w:webHidden/>
              </w:rPr>
              <w:fldChar w:fldCharType="begin"/>
            </w:r>
            <w:r w:rsidR="00C053A5">
              <w:rPr>
                <w:noProof/>
                <w:webHidden/>
              </w:rPr>
              <w:instrText xml:space="preserve"> PAGEREF _Toc192842030 \h </w:instrText>
            </w:r>
            <w:r w:rsidR="00C053A5">
              <w:rPr>
                <w:noProof/>
                <w:webHidden/>
              </w:rPr>
            </w:r>
            <w:r w:rsidR="00C053A5">
              <w:rPr>
                <w:noProof/>
                <w:webHidden/>
              </w:rPr>
              <w:fldChar w:fldCharType="separate"/>
            </w:r>
            <w:r w:rsidR="00E948A0">
              <w:rPr>
                <w:noProof/>
                <w:webHidden/>
              </w:rPr>
              <w:t>19</w:t>
            </w:r>
            <w:r w:rsidR="00C053A5">
              <w:rPr>
                <w:noProof/>
                <w:webHidden/>
              </w:rPr>
              <w:fldChar w:fldCharType="end"/>
            </w:r>
          </w:hyperlink>
        </w:p>
        <w:p w14:paraId="758700F1" w14:textId="086FD121" w:rsidR="00C053A5" w:rsidRDefault="001D0A02">
          <w:pPr>
            <w:pStyle w:val="TOC1"/>
            <w:tabs>
              <w:tab w:val="right" w:leader="dot" w:pos="7700"/>
            </w:tabs>
            <w:rPr>
              <w:rFonts w:eastAsiaTheme="minorEastAsia" w:cstheme="minorBidi"/>
              <w:b w:val="0"/>
              <w:bCs w:val="0"/>
              <w:noProof/>
              <w:color w:val="auto"/>
              <w:kern w:val="2"/>
              <w:sz w:val="22"/>
              <w:szCs w:val="22"/>
              <w14:ligatures w14:val="standardContextual"/>
            </w:rPr>
          </w:pPr>
          <w:hyperlink w:anchor="_Toc192842031" w:history="1">
            <w:r w:rsidR="00C053A5" w:rsidRPr="00FE1B8E">
              <w:rPr>
                <w:rStyle w:val="Hyperlink"/>
                <w:noProof/>
              </w:rPr>
              <w:t>APPENDIX 2:  Eligible persons and run</w:t>
            </w:r>
            <w:r w:rsidR="00C053A5" w:rsidRPr="00FE1B8E">
              <w:rPr>
                <w:rStyle w:val="Hyperlink"/>
                <w:noProof/>
              </w:rPr>
              <w:noBreakHyphen/>
              <w:t>off cover scheme contracts</w:t>
            </w:r>
            <w:r w:rsidR="00C053A5">
              <w:rPr>
                <w:noProof/>
                <w:webHidden/>
              </w:rPr>
              <w:tab/>
            </w:r>
            <w:r w:rsidR="00C053A5">
              <w:rPr>
                <w:noProof/>
                <w:webHidden/>
              </w:rPr>
              <w:fldChar w:fldCharType="begin"/>
            </w:r>
            <w:r w:rsidR="00C053A5">
              <w:rPr>
                <w:noProof/>
                <w:webHidden/>
              </w:rPr>
              <w:instrText xml:space="preserve"> PAGEREF _Toc192842031 \h </w:instrText>
            </w:r>
            <w:r w:rsidR="00C053A5">
              <w:rPr>
                <w:noProof/>
                <w:webHidden/>
              </w:rPr>
            </w:r>
            <w:r w:rsidR="00C053A5">
              <w:rPr>
                <w:noProof/>
                <w:webHidden/>
              </w:rPr>
              <w:fldChar w:fldCharType="separate"/>
            </w:r>
            <w:r w:rsidR="00E948A0">
              <w:rPr>
                <w:noProof/>
                <w:webHidden/>
              </w:rPr>
              <w:t>20</w:t>
            </w:r>
            <w:r w:rsidR="00C053A5">
              <w:rPr>
                <w:noProof/>
                <w:webHidden/>
              </w:rPr>
              <w:fldChar w:fldCharType="end"/>
            </w:r>
          </w:hyperlink>
        </w:p>
        <w:p w14:paraId="573C1BCE" w14:textId="2BD8887F" w:rsidR="00C053A5" w:rsidRDefault="001D0A02">
          <w:pPr>
            <w:pStyle w:val="TOC1"/>
            <w:tabs>
              <w:tab w:val="right" w:leader="dot" w:pos="7700"/>
            </w:tabs>
            <w:rPr>
              <w:rFonts w:eastAsiaTheme="minorEastAsia" w:cstheme="minorBidi"/>
              <w:b w:val="0"/>
              <w:bCs w:val="0"/>
              <w:noProof/>
              <w:color w:val="auto"/>
              <w:kern w:val="2"/>
              <w:sz w:val="22"/>
              <w:szCs w:val="22"/>
              <w14:ligatures w14:val="standardContextual"/>
            </w:rPr>
          </w:pPr>
          <w:hyperlink w:anchor="_Toc192842032" w:history="1">
            <w:r w:rsidR="00C053A5" w:rsidRPr="00FE1B8E">
              <w:rPr>
                <w:rStyle w:val="Hyperlink"/>
                <w:noProof/>
              </w:rPr>
              <w:t>APPENDIX 3:  Run</w:t>
            </w:r>
            <w:r w:rsidR="00C053A5" w:rsidRPr="00FE1B8E">
              <w:rPr>
                <w:rStyle w:val="Hyperlink"/>
                <w:noProof/>
              </w:rPr>
              <w:noBreakHyphen/>
              <w:t>off cover scheme claims</w:t>
            </w:r>
            <w:r w:rsidR="00C053A5">
              <w:rPr>
                <w:noProof/>
                <w:webHidden/>
              </w:rPr>
              <w:tab/>
            </w:r>
            <w:r w:rsidR="00C053A5">
              <w:rPr>
                <w:noProof/>
                <w:webHidden/>
              </w:rPr>
              <w:fldChar w:fldCharType="begin"/>
            </w:r>
            <w:r w:rsidR="00C053A5">
              <w:rPr>
                <w:noProof/>
                <w:webHidden/>
              </w:rPr>
              <w:instrText xml:space="preserve"> PAGEREF _Toc192842032 \h </w:instrText>
            </w:r>
            <w:r w:rsidR="00C053A5">
              <w:rPr>
                <w:noProof/>
                <w:webHidden/>
              </w:rPr>
            </w:r>
            <w:r w:rsidR="00C053A5">
              <w:rPr>
                <w:noProof/>
                <w:webHidden/>
              </w:rPr>
              <w:fldChar w:fldCharType="separate"/>
            </w:r>
            <w:r w:rsidR="00E948A0">
              <w:rPr>
                <w:noProof/>
                <w:webHidden/>
              </w:rPr>
              <w:t>22</w:t>
            </w:r>
            <w:r w:rsidR="00C053A5">
              <w:rPr>
                <w:noProof/>
                <w:webHidden/>
              </w:rPr>
              <w:fldChar w:fldCharType="end"/>
            </w:r>
          </w:hyperlink>
        </w:p>
        <w:p w14:paraId="38038A39" w14:textId="72A06D1A" w:rsidR="00C053A5" w:rsidRDefault="001D0A02">
          <w:pPr>
            <w:pStyle w:val="TOC1"/>
            <w:tabs>
              <w:tab w:val="right" w:leader="dot" w:pos="7700"/>
            </w:tabs>
            <w:rPr>
              <w:rFonts w:eastAsiaTheme="minorEastAsia" w:cstheme="minorBidi"/>
              <w:b w:val="0"/>
              <w:bCs w:val="0"/>
              <w:noProof/>
              <w:color w:val="auto"/>
              <w:kern w:val="2"/>
              <w:sz w:val="22"/>
              <w:szCs w:val="22"/>
              <w14:ligatures w14:val="standardContextual"/>
            </w:rPr>
          </w:pPr>
          <w:hyperlink w:anchor="_Toc192842033" w:history="1">
            <w:r w:rsidR="00C053A5" w:rsidRPr="00FE1B8E">
              <w:rPr>
                <w:rStyle w:val="Hyperlink"/>
                <w:noProof/>
              </w:rPr>
              <w:t>APPENDIX 4:  Methodology, assumptions and uncertainty</w:t>
            </w:r>
            <w:r w:rsidR="00C053A5">
              <w:rPr>
                <w:noProof/>
                <w:webHidden/>
              </w:rPr>
              <w:tab/>
            </w:r>
            <w:r w:rsidR="00C053A5">
              <w:rPr>
                <w:noProof/>
                <w:webHidden/>
              </w:rPr>
              <w:fldChar w:fldCharType="begin"/>
            </w:r>
            <w:r w:rsidR="00C053A5">
              <w:rPr>
                <w:noProof/>
                <w:webHidden/>
              </w:rPr>
              <w:instrText xml:space="preserve"> PAGEREF _Toc192842033 \h </w:instrText>
            </w:r>
            <w:r w:rsidR="00C053A5">
              <w:rPr>
                <w:noProof/>
                <w:webHidden/>
              </w:rPr>
            </w:r>
            <w:r w:rsidR="00C053A5">
              <w:rPr>
                <w:noProof/>
                <w:webHidden/>
              </w:rPr>
              <w:fldChar w:fldCharType="separate"/>
            </w:r>
            <w:r w:rsidR="00E948A0">
              <w:rPr>
                <w:noProof/>
                <w:webHidden/>
              </w:rPr>
              <w:t>23</w:t>
            </w:r>
            <w:r w:rsidR="00C053A5">
              <w:rPr>
                <w:noProof/>
                <w:webHidden/>
              </w:rPr>
              <w:fldChar w:fldCharType="end"/>
            </w:r>
          </w:hyperlink>
        </w:p>
        <w:p w14:paraId="2CF30A92" w14:textId="7ADA851F" w:rsidR="00567E4A" w:rsidRPr="00FF334E" w:rsidRDefault="00567E4A">
          <w:r w:rsidRPr="00FF334E">
            <w:rPr>
              <w:rFonts w:asciiTheme="minorHAnsi" w:hAnsiTheme="minorHAnsi" w:cstheme="minorHAnsi"/>
              <w:b/>
              <w:bCs/>
            </w:rPr>
            <w:fldChar w:fldCharType="end"/>
          </w:r>
        </w:p>
      </w:sdtContent>
    </w:sdt>
    <w:p w14:paraId="4E55471E" w14:textId="7A72E54A" w:rsidR="00465924" w:rsidRPr="00FF334E" w:rsidRDefault="00465924">
      <w:pPr>
        <w:spacing w:after="200" w:line="276" w:lineRule="auto"/>
        <w:jc w:val="left"/>
      </w:pPr>
      <w:r w:rsidRPr="00FF334E">
        <w:br w:type="page"/>
      </w:r>
    </w:p>
    <w:p w14:paraId="5C02C2EB" w14:textId="459987AD" w:rsidR="00F602EB" w:rsidRPr="00FF334E" w:rsidRDefault="004B1826" w:rsidP="009C24ED">
      <w:pPr>
        <w:pStyle w:val="Heading1"/>
        <w:numPr>
          <w:ilvl w:val="0"/>
          <w:numId w:val="25"/>
        </w:numPr>
        <w:ind w:left="357" w:hanging="357"/>
      </w:pPr>
      <w:bookmarkStart w:id="1" w:name="_Toc322948780"/>
      <w:bookmarkStart w:id="2" w:name="_Toc322949075"/>
      <w:bookmarkStart w:id="3" w:name="_Toc35356889"/>
      <w:bookmarkStart w:id="4" w:name="_Toc63865148"/>
      <w:bookmarkStart w:id="5" w:name="_Toc63865402"/>
      <w:bookmarkStart w:id="6" w:name="_Toc63866203"/>
      <w:bookmarkStart w:id="7" w:name="_Toc63866533"/>
      <w:bookmarkStart w:id="8" w:name="_Toc63866665"/>
      <w:r w:rsidRPr="00FF334E">
        <w:lastRenderedPageBreak/>
        <w:t xml:space="preserve"> </w:t>
      </w:r>
      <w:bookmarkStart w:id="9" w:name="_Toc192842012"/>
      <w:bookmarkEnd w:id="1"/>
      <w:bookmarkEnd w:id="2"/>
      <w:bookmarkEnd w:id="3"/>
      <w:bookmarkEnd w:id="4"/>
      <w:bookmarkEnd w:id="5"/>
      <w:bookmarkEnd w:id="6"/>
      <w:bookmarkEnd w:id="7"/>
      <w:bookmarkEnd w:id="8"/>
      <w:r w:rsidR="00921D40" w:rsidRPr="00FF334E">
        <w:t>Introduction</w:t>
      </w:r>
      <w:bookmarkEnd w:id="9"/>
    </w:p>
    <w:p w14:paraId="12B8523E" w14:textId="5E9B53B3" w:rsidR="00F602EB" w:rsidRPr="00FF334E" w:rsidRDefault="00F602EB" w:rsidP="00D71BF6">
      <w:pPr>
        <w:pStyle w:val="OutlineNumbered45"/>
        <w:numPr>
          <w:ilvl w:val="2"/>
          <w:numId w:val="26"/>
        </w:numPr>
        <w:ind w:left="737" w:hanging="737"/>
      </w:pPr>
      <w:r w:rsidRPr="00FF334E">
        <w:t xml:space="preserve">This report has been prepared to comply with certain requirements of the </w:t>
      </w:r>
      <w:r w:rsidRPr="003655A4">
        <w:rPr>
          <w:i/>
          <w:iCs/>
        </w:rPr>
        <w:t>Midwife Professional Indemnity (Commonwealth Contribution) Scheme Act 2010</w:t>
      </w:r>
      <w:r w:rsidRPr="00FF334E">
        <w:t xml:space="preserve"> (the Act)</w:t>
      </w:r>
      <w:r w:rsidR="00621310" w:rsidRPr="00FF334E">
        <w:t xml:space="preserve">. </w:t>
      </w:r>
      <w:r w:rsidRPr="00FF334E">
        <w:t xml:space="preserve">Section 48 of the Act provides for a report on aspects of the Midwife Professional Indemnity Scheme (the Scheme) to be </w:t>
      </w:r>
      <w:r w:rsidR="00BA7C9B" w:rsidRPr="00FF334E">
        <w:t>published</w:t>
      </w:r>
      <w:r w:rsidRPr="00FF334E">
        <w:t xml:space="preserve"> each year </w:t>
      </w:r>
      <w:r w:rsidR="00BA7C9B" w:rsidRPr="00FF334E">
        <w:t>on the Department of Health</w:t>
      </w:r>
      <w:r w:rsidR="005435DE">
        <w:t xml:space="preserve"> and Aged Care</w:t>
      </w:r>
      <w:r w:rsidR="00621310" w:rsidRPr="00FF334E">
        <w:t>’</w:t>
      </w:r>
      <w:r w:rsidR="00BA7C9B" w:rsidRPr="00FF334E">
        <w:t>s website</w:t>
      </w:r>
      <w:r w:rsidR="00621310" w:rsidRPr="00FF334E">
        <w:t xml:space="preserve">. </w:t>
      </w:r>
      <w:r w:rsidRPr="00FF334E">
        <w:t>The report is required to contain a statement of the:</w:t>
      </w:r>
    </w:p>
    <w:p w14:paraId="4437DEB4" w14:textId="718132E0" w:rsidR="00F602EB" w:rsidRPr="00FF334E" w:rsidRDefault="00F602EB" w:rsidP="00D71BF6">
      <w:pPr>
        <w:pStyle w:val="Bullet"/>
        <w:tabs>
          <w:tab w:val="clear" w:pos="472"/>
          <w:tab w:val="num" w:pos="1305"/>
        </w:tabs>
        <w:ind w:left="1305"/>
      </w:pPr>
      <w:r w:rsidRPr="00FF334E">
        <w:t>number of persons eligible for the Run</w:t>
      </w:r>
      <w:r w:rsidR="002630DA">
        <w:t>-</w:t>
      </w:r>
      <w:r w:rsidRPr="00FF334E">
        <w:t>Off Cover component of the Scheme (ROC Scheme) as set out in subsection 31(2) of the Act</w:t>
      </w:r>
    </w:p>
    <w:p w14:paraId="2E67727D" w14:textId="336C68D3" w:rsidR="00F602EB" w:rsidRPr="00FF334E" w:rsidRDefault="00F602EB" w:rsidP="00D71BF6">
      <w:pPr>
        <w:pStyle w:val="Bullet"/>
        <w:tabs>
          <w:tab w:val="clear" w:pos="472"/>
          <w:tab w:val="num" w:pos="1305"/>
        </w:tabs>
        <w:ind w:left="1305"/>
      </w:pPr>
      <w:r w:rsidRPr="00FF334E">
        <w:t>total Run</w:t>
      </w:r>
      <w:r w:rsidR="002630DA">
        <w:t>-</w:t>
      </w:r>
      <w:r w:rsidRPr="00FF334E">
        <w:t>Off Cover Commonwealth contributions (ROC Commonwealth contributions) paid by the Commonwealth during the financial year</w:t>
      </w:r>
    </w:p>
    <w:p w14:paraId="519FE9BE" w14:textId="11C9B84E" w:rsidR="00F602EB" w:rsidRPr="00FF334E" w:rsidRDefault="00F602EB" w:rsidP="00D71BF6">
      <w:pPr>
        <w:pStyle w:val="Bullet"/>
        <w:tabs>
          <w:tab w:val="clear" w:pos="472"/>
          <w:tab w:val="num" w:pos="1305"/>
        </w:tabs>
        <w:ind w:left="1305"/>
      </w:pPr>
      <w:r w:rsidRPr="00FF334E">
        <w:t>total Run</w:t>
      </w:r>
      <w:r w:rsidR="002630DA">
        <w:t>-</w:t>
      </w:r>
      <w:r w:rsidRPr="00FF334E">
        <w:t>Off Cover support payments (ROC support payments) paid to the Commonwealth during the financial year</w:t>
      </w:r>
    </w:p>
    <w:p w14:paraId="7ED71109" w14:textId="416BA446" w:rsidR="00F602EB" w:rsidRPr="00FF334E" w:rsidRDefault="00F602EB" w:rsidP="00D71BF6">
      <w:pPr>
        <w:pStyle w:val="Bullet"/>
        <w:tabs>
          <w:tab w:val="clear" w:pos="472"/>
          <w:tab w:val="num" w:pos="1305"/>
        </w:tabs>
        <w:ind w:left="1305"/>
      </w:pPr>
      <w:r w:rsidRPr="00FF334E">
        <w:t>a projection of the Commonwealth</w:t>
      </w:r>
      <w:r w:rsidR="00621310" w:rsidRPr="00FF334E">
        <w:t>’</w:t>
      </w:r>
      <w:r w:rsidRPr="00FF334E">
        <w:t>s liabilities in relation to amounts of Run</w:t>
      </w:r>
      <w:r w:rsidR="002630DA">
        <w:t>-</w:t>
      </w:r>
      <w:r w:rsidRPr="00FF334E">
        <w:t>Off Commonwealth contributions in future financial years.</w:t>
      </w:r>
    </w:p>
    <w:p w14:paraId="1BB57F82" w14:textId="72BABF10" w:rsidR="00F602EB" w:rsidRPr="00290066" w:rsidRDefault="00E10550" w:rsidP="00D71BF6">
      <w:pPr>
        <w:pStyle w:val="OutlineNumbered45"/>
        <w:numPr>
          <w:ilvl w:val="2"/>
          <w:numId w:val="26"/>
        </w:numPr>
        <w:ind w:left="737" w:hanging="737"/>
      </w:pPr>
      <w:r w:rsidRPr="00290066">
        <w:t xml:space="preserve">This is the </w:t>
      </w:r>
      <w:r w:rsidR="00B72995" w:rsidRPr="00290066">
        <w:t>fourteenth</w:t>
      </w:r>
      <w:r w:rsidR="00F602EB" w:rsidRPr="00290066">
        <w:t xml:space="preserve"> report that has been prepared under section 48 of the Act</w:t>
      </w:r>
      <w:r w:rsidR="00621310" w:rsidRPr="00290066">
        <w:t xml:space="preserve">. </w:t>
      </w:r>
      <w:r w:rsidR="00F602EB" w:rsidRPr="00290066">
        <w:t>I</w:t>
      </w:r>
      <w:r w:rsidRPr="00290066">
        <w:t>t relates to financial year 20</w:t>
      </w:r>
      <w:r w:rsidR="00B93CA2" w:rsidRPr="00290066">
        <w:t>2</w:t>
      </w:r>
      <w:r w:rsidR="0014475D" w:rsidRPr="00290066">
        <w:t>3</w:t>
      </w:r>
      <w:r w:rsidR="00621310" w:rsidRPr="00290066">
        <w:noBreakHyphen/>
      </w:r>
      <w:r w:rsidRPr="00290066">
        <w:t>2</w:t>
      </w:r>
      <w:r w:rsidR="0014475D" w:rsidRPr="00290066">
        <w:t>4</w:t>
      </w:r>
      <w:r w:rsidR="00621310" w:rsidRPr="00290066">
        <w:t xml:space="preserve">. </w:t>
      </w:r>
      <w:r w:rsidR="00F602EB" w:rsidRPr="00290066">
        <w:t xml:space="preserve">The </w:t>
      </w:r>
      <w:r w:rsidR="0014475D" w:rsidRPr="00290066">
        <w:t>thirteenth</w:t>
      </w:r>
      <w:r w:rsidR="00CD199C" w:rsidRPr="00290066">
        <w:t xml:space="preserve"> </w:t>
      </w:r>
      <w:r w:rsidR="00F602EB" w:rsidRPr="00290066">
        <w:t xml:space="preserve">report was </w:t>
      </w:r>
      <w:r w:rsidR="00586ADA" w:rsidRPr="00290066">
        <w:t xml:space="preserve">published on </w:t>
      </w:r>
      <w:r w:rsidR="00571D09" w:rsidRPr="00290066">
        <w:t>28</w:t>
      </w:r>
      <w:r w:rsidR="006512CC" w:rsidRPr="00290066">
        <w:t> </w:t>
      </w:r>
      <w:r w:rsidR="002D1D0D" w:rsidRPr="00290066">
        <w:t>June </w:t>
      </w:r>
      <w:r w:rsidR="00586ADA" w:rsidRPr="00290066">
        <w:t>202</w:t>
      </w:r>
      <w:r w:rsidR="00480CA4" w:rsidRPr="00290066">
        <w:t>4</w:t>
      </w:r>
      <w:r w:rsidR="00465924" w:rsidRPr="00290066">
        <w:rPr>
          <w:rStyle w:val="FootnoteReference"/>
        </w:rPr>
        <w:footnoteReference w:id="2"/>
      </w:r>
      <w:r w:rsidR="00621310" w:rsidRPr="00290066">
        <w:t xml:space="preserve">. </w:t>
      </w:r>
      <w:r w:rsidR="00586ADA" w:rsidRPr="00290066">
        <w:t xml:space="preserve">The requirement for the report to be tabled in Parliament </w:t>
      </w:r>
      <w:r w:rsidR="00F33461" w:rsidRPr="00290066">
        <w:t xml:space="preserve">was </w:t>
      </w:r>
      <w:r w:rsidR="00586ADA" w:rsidRPr="00290066">
        <w:t xml:space="preserve">removed after the </w:t>
      </w:r>
      <w:r w:rsidR="00E64040" w:rsidRPr="00290066">
        <w:t>nin</w:t>
      </w:r>
      <w:r w:rsidR="00586ADA" w:rsidRPr="00290066">
        <w:t>th report</w:t>
      </w:r>
      <w:r w:rsidR="00F33461" w:rsidRPr="00290066">
        <w:t xml:space="preserve"> was published</w:t>
      </w:r>
      <w:r w:rsidR="00621310" w:rsidRPr="00290066">
        <w:t xml:space="preserve">. </w:t>
      </w:r>
    </w:p>
    <w:p w14:paraId="1CE94DCF" w14:textId="212E9C89" w:rsidR="0098347F" w:rsidRPr="00FF334E" w:rsidRDefault="0098347F" w:rsidP="00FA3DE4">
      <w:pPr>
        <w:spacing w:after="200" w:line="276" w:lineRule="auto"/>
        <w:ind w:left="833" w:hanging="720"/>
        <w:jc w:val="left"/>
      </w:pPr>
      <w:r w:rsidRPr="00FF334E">
        <w:br w:type="page"/>
      </w:r>
    </w:p>
    <w:p w14:paraId="5D5614E3" w14:textId="33FB010A" w:rsidR="00F602EB" w:rsidRPr="00FF334E" w:rsidRDefault="005902BA" w:rsidP="005902BA">
      <w:pPr>
        <w:pStyle w:val="Heading1"/>
        <w:numPr>
          <w:ilvl w:val="0"/>
          <w:numId w:val="25"/>
        </w:numPr>
        <w:ind w:left="709" w:hanging="709"/>
      </w:pPr>
      <w:bookmarkStart w:id="11" w:name="_Toc192842013"/>
      <w:r w:rsidRPr="00FF334E">
        <w:lastRenderedPageBreak/>
        <w:t>Background</w:t>
      </w:r>
      <w:bookmarkEnd w:id="11"/>
    </w:p>
    <w:p w14:paraId="4A6C2992" w14:textId="08C859E0" w:rsidR="00F602EB" w:rsidRPr="00FF334E" w:rsidRDefault="005902BA" w:rsidP="009C24ED">
      <w:pPr>
        <w:pStyle w:val="Heading2"/>
        <w:numPr>
          <w:ilvl w:val="0"/>
          <w:numId w:val="27"/>
        </w:numPr>
        <w:ind w:left="357" w:hanging="357"/>
      </w:pPr>
      <w:bookmarkStart w:id="12" w:name="_Toc63865404"/>
      <w:bookmarkStart w:id="13" w:name="_Toc63866205"/>
      <w:bookmarkStart w:id="14" w:name="_Toc63866535"/>
      <w:bookmarkStart w:id="15" w:name="_Toc63866667"/>
      <w:bookmarkStart w:id="16" w:name="_Toc192842014"/>
      <w:r w:rsidRPr="00FF334E">
        <w:t>Midwife professional indemnity insurance</w:t>
      </w:r>
      <w:bookmarkEnd w:id="12"/>
      <w:bookmarkEnd w:id="13"/>
      <w:bookmarkEnd w:id="14"/>
      <w:bookmarkEnd w:id="15"/>
      <w:bookmarkEnd w:id="16"/>
    </w:p>
    <w:p w14:paraId="3283AF77" w14:textId="4C583D51" w:rsidR="00F602EB" w:rsidRPr="00FF334E" w:rsidRDefault="00F602EB" w:rsidP="00A25462">
      <w:pPr>
        <w:pStyle w:val="OutlineNumbered45"/>
        <w:ind w:left="737" w:hanging="737"/>
      </w:pPr>
      <w:r w:rsidRPr="00FF334E">
        <w:t>Midwife professional indemnity insurance covers privately practising midwives for their professional negligence.</w:t>
      </w:r>
      <w:r w:rsidR="00785089" w:rsidRPr="00FF334E">
        <w:rPr>
          <w:vertAlign w:val="superscript"/>
        </w:rPr>
        <w:footnoteReference w:id="3"/>
      </w:r>
      <w:r w:rsidRPr="00FF334E">
        <w:rPr>
          <w:vertAlign w:val="superscript"/>
        </w:rPr>
        <w:t xml:space="preserve"> </w:t>
      </w:r>
    </w:p>
    <w:p w14:paraId="00EF3184" w14:textId="22541CE1" w:rsidR="00F602EB" w:rsidRPr="00FF334E" w:rsidRDefault="00F602EB" w:rsidP="004F3824">
      <w:pPr>
        <w:pStyle w:val="OutlineNumbered45"/>
        <w:tabs>
          <w:tab w:val="clear" w:pos="709"/>
          <w:tab w:val="left" w:pos="851"/>
        </w:tabs>
        <w:ind w:left="737" w:hanging="737"/>
      </w:pPr>
      <w:r w:rsidRPr="00FF334E">
        <w:t>All privately practising midwives in Australia are required to purchase professional indemnity insurance under the National Registration and Accreditation Scheme</w:t>
      </w:r>
      <w:r w:rsidR="00621310" w:rsidRPr="00FF334E">
        <w:t xml:space="preserve">. </w:t>
      </w:r>
      <w:r w:rsidRPr="00FF334E">
        <w:t>These are generally purchased from private sector underwriters.</w:t>
      </w:r>
      <w:r w:rsidR="00785089" w:rsidRPr="00FF334E">
        <w:rPr>
          <w:vertAlign w:val="superscript"/>
        </w:rPr>
        <w:footnoteReference w:id="4"/>
      </w:r>
      <w:r w:rsidRPr="00FF334E">
        <w:t xml:space="preserve"> </w:t>
      </w:r>
    </w:p>
    <w:p w14:paraId="734B3ACA" w14:textId="183141CB" w:rsidR="00F602EB" w:rsidRPr="00FF334E" w:rsidRDefault="00F602EB" w:rsidP="004A3F9F">
      <w:pPr>
        <w:pStyle w:val="OutlineNumbered45"/>
        <w:tabs>
          <w:tab w:val="clear" w:pos="709"/>
          <w:tab w:val="left" w:pos="851"/>
        </w:tabs>
        <w:ind w:left="737" w:hanging="737"/>
      </w:pPr>
      <w:r w:rsidRPr="00FF334E">
        <w:t>For the period covered by this report, Medical Insurance Group Australia Pty Ltd (MIGA) was the only underwriter that provide</w:t>
      </w:r>
      <w:r w:rsidR="004F3824">
        <w:t>d</w:t>
      </w:r>
      <w:r w:rsidRPr="00FF334E">
        <w:t xml:space="preserve"> Government supported midwife professional indemnity cover to eligible </w:t>
      </w:r>
      <w:r w:rsidR="0085272A" w:rsidRPr="00FF334E">
        <w:t>endorsed</w:t>
      </w:r>
      <w:r w:rsidRPr="00FF334E">
        <w:t xml:space="preserve"> midwives</w:t>
      </w:r>
      <w:r w:rsidR="00621310" w:rsidRPr="00FF334E">
        <w:t xml:space="preserve">. </w:t>
      </w:r>
      <w:r w:rsidRPr="00FF334E">
        <w:t>This insurance will not, however, cover the delivery of babies outside a hospital other than in emergencies</w:t>
      </w:r>
      <w:r w:rsidR="00621310" w:rsidRPr="00FF334E">
        <w:t xml:space="preserve">. </w:t>
      </w:r>
      <w:r w:rsidRPr="00FF334E">
        <w:t>Planned homebirths are excluded.</w:t>
      </w:r>
    </w:p>
    <w:p w14:paraId="281B4D2C" w14:textId="1110B757" w:rsidR="00F602EB" w:rsidRPr="00FF334E" w:rsidRDefault="00F602EB" w:rsidP="004A3F9F">
      <w:pPr>
        <w:pStyle w:val="OutlineNumbered45"/>
        <w:tabs>
          <w:tab w:val="clear" w:pos="709"/>
          <w:tab w:val="left" w:pos="851"/>
        </w:tabs>
        <w:ind w:left="737" w:hanging="737"/>
      </w:pPr>
      <w:r w:rsidRPr="00FF334E">
        <w:t>Midwife professional indemnity claims are initiated by, or on behalf of, patients against midwives</w:t>
      </w:r>
      <w:r w:rsidR="00621310" w:rsidRPr="00FF334E">
        <w:t xml:space="preserve">. </w:t>
      </w:r>
      <w:r w:rsidR="007D6E95">
        <w:t xml:space="preserve">Very few </w:t>
      </w:r>
      <w:r w:rsidRPr="00FF334E">
        <w:t>claims of professional negligence might be expected each year in relation to private midwifery practice in Australia</w:t>
      </w:r>
      <w:r w:rsidR="00621310" w:rsidRPr="00FF334E">
        <w:t xml:space="preserve">. </w:t>
      </w:r>
      <w:r w:rsidRPr="00FF334E">
        <w:t>However, in percentage terms, there could be substantial variation from one year to the next</w:t>
      </w:r>
      <w:r w:rsidR="00621310" w:rsidRPr="00FF334E">
        <w:t xml:space="preserve">. </w:t>
      </w:r>
      <w:r w:rsidRPr="00FF334E">
        <w:t>The small population of privately practising midwives makes it difficult to project the number of midwife professional indemnity claims with any precision.</w:t>
      </w:r>
    </w:p>
    <w:p w14:paraId="6B5F3CED" w14:textId="5D5C8916" w:rsidR="00F602EB" w:rsidRPr="00FF334E" w:rsidRDefault="00F602EB" w:rsidP="00A25462">
      <w:pPr>
        <w:pStyle w:val="OutlineNumbered45"/>
        <w:ind w:left="737" w:hanging="737"/>
      </w:pPr>
      <w:r w:rsidRPr="00FF334E">
        <w:t>The cost to the insurer of midwife professional negligence claims would be expected to be highly variable since the claims relate to bodily injury</w:t>
      </w:r>
      <w:r w:rsidR="00621310" w:rsidRPr="00FF334E">
        <w:t xml:space="preserve">. </w:t>
      </w:r>
      <w:r w:rsidRPr="00FF334E">
        <w:t>The cost of a midwife professional negligence claim to the insurer is made up of damages which are payable to the plaintiff, any of the plaintiff</w:t>
      </w:r>
      <w:r w:rsidR="00621310" w:rsidRPr="00FF334E">
        <w:t>’</w:t>
      </w:r>
      <w:r w:rsidRPr="00FF334E">
        <w:t>s legal costs which the insurer is obliged to pay, and the insurer</w:t>
      </w:r>
      <w:r w:rsidR="00621310" w:rsidRPr="00FF334E">
        <w:t>’</w:t>
      </w:r>
      <w:r w:rsidRPr="00FF334E">
        <w:t>s own costs of defending and managing the claim</w:t>
      </w:r>
      <w:r w:rsidR="00621310" w:rsidRPr="00FF334E">
        <w:t xml:space="preserve">. </w:t>
      </w:r>
      <w:r w:rsidRPr="00FF334E">
        <w:t>There is very limited data available to make any meaningful projections about the size of claims</w:t>
      </w:r>
      <w:r w:rsidR="00621310" w:rsidRPr="00FF334E">
        <w:t xml:space="preserve">. </w:t>
      </w:r>
      <w:r w:rsidRPr="00FF334E">
        <w:t xml:space="preserve">However, </w:t>
      </w:r>
      <w:r w:rsidR="003C360D" w:rsidRPr="00FF334E">
        <w:t xml:space="preserve">as with </w:t>
      </w:r>
      <w:r w:rsidRPr="00FF334E">
        <w:t>professional indemnity claims against medical practitioners, the overall cost of claims against midwives is likely to be dominated by a small number of large claims.</w:t>
      </w:r>
    </w:p>
    <w:p w14:paraId="3FB14882" w14:textId="28D9BAFC" w:rsidR="00F602EB" w:rsidRPr="00FF334E" w:rsidRDefault="00F602EB" w:rsidP="00A25462">
      <w:pPr>
        <w:pStyle w:val="OutlineNumbered45"/>
        <w:ind w:left="737" w:hanging="737"/>
      </w:pPr>
      <w:r w:rsidRPr="00FF334E">
        <w:t>The professional indemnity claim process can be long</w:t>
      </w:r>
      <w:r w:rsidR="00621310" w:rsidRPr="00FF334E">
        <w:t xml:space="preserve">. </w:t>
      </w:r>
      <w:r w:rsidRPr="00FF334E">
        <w:t>Years can elapse between the date of a negligent incident and the date that legal action against the midwife is initiated</w:t>
      </w:r>
      <w:r w:rsidR="00621310" w:rsidRPr="00FF334E">
        <w:t xml:space="preserve">. </w:t>
      </w:r>
      <w:r w:rsidRPr="00FF334E">
        <w:t xml:space="preserve">In addition, it is not unusual for claims to take </w:t>
      </w:r>
      <w:r w:rsidR="003C360D" w:rsidRPr="00FF334E">
        <w:t>several</w:t>
      </w:r>
      <w:r w:rsidRPr="00FF334E">
        <w:t xml:space="preserve"> </w:t>
      </w:r>
      <w:r w:rsidRPr="00FF334E">
        <w:lastRenderedPageBreak/>
        <w:t>years to finalise after they have been initiated</w:t>
      </w:r>
      <w:r w:rsidR="00621310" w:rsidRPr="00FF334E">
        <w:t xml:space="preserve">. </w:t>
      </w:r>
      <w:r w:rsidRPr="00FF334E">
        <w:t xml:space="preserve">Using the medical indemnity claim process as a guide for these claims, the process </w:t>
      </w:r>
      <w:r w:rsidR="003C360D" w:rsidRPr="00FF334E">
        <w:t xml:space="preserve">for a single claim </w:t>
      </w:r>
      <w:r w:rsidRPr="00FF334E">
        <w:t>could be expected to take more than five years</w:t>
      </w:r>
      <w:r w:rsidR="00621310" w:rsidRPr="00FF334E">
        <w:t xml:space="preserve">. </w:t>
      </w:r>
      <w:r w:rsidRPr="00FF334E">
        <w:t xml:space="preserve">The ultimate cost of a claim will depend significantly on economic and judicial conditions prevailing at the time the claim is finalised (paid), rather than at the time of the incident </w:t>
      </w:r>
      <w:r w:rsidR="003C360D" w:rsidRPr="00FF334E">
        <w:t xml:space="preserve">for which </w:t>
      </w:r>
      <w:r w:rsidRPr="00FF334E">
        <w:t>the claim is made</w:t>
      </w:r>
      <w:r w:rsidR="003C360D" w:rsidRPr="00FF334E">
        <w:t>, or the time at which the claim is made</w:t>
      </w:r>
      <w:r w:rsidRPr="00FF334E">
        <w:t>.</w:t>
      </w:r>
    </w:p>
    <w:p w14:paraId="0F37792C" w14:textId="11CDA2CC" w:rsidR="00F602EB" w:rsidRPr="00FF334E" w:rsidRDefault="003C360D" w:rsidP="00A25462">
      <w:pPr>
        <w:pStyle w:val="OutlineNumbered45"/>
        <w:ind w:left="737" w:hanging="737"/>
      </w:pPr>
      <w:r w:rsidRPr="00FF334E">
        <w:t>T</w:t>
      </w:r>
      <w:r w:rsidR="00F602EB" w:rsidRPr="00FF334E">
        <w:t>hese factors make midwife professional indemnity insurance difficult for an insurer to accurately assess the cost of the product, as it is hard to forecast claim numbers and claim sizes reliably</w:t>
      </w:r>
      <w:r w:rsidR="00621310" w:rsidRPr="00FF334E">
        <w:t xml:space="preserve">. </w:t>
      </w:r>
      <w:r w:rsidR="00F602EB" w:rsidRPr="00FF334E">
        <w:t>Moreover, much of the cost is likely to relate to a small minority of the claims, which adds further uncertainty.</w:t>
      </w:r>
    </w:p>
    <w:p w14:paraId="09ACC549" w14:textId="115419D9" w:rsidR="00C017BE" w:rsidRPr="00FF334E" w:rsidRDefault="00C017BE" w:rsidP="009C24ED">
      <w:pPr>
        <w:pStyle w:val="Heading2"/>
        <w:numPr>
          <w:ilvl w:val="0"/>
          <w:numId w:val="27"/>
        </w:numPr>
        <w:ind w:left="357" w:hanging="357"/>
      </w:pPr>
      <w:bookmarkStart w:id="17" w:name="_Toc192842015"/>
      <w:bookmarkStart w:id="18" w:name="_Toc63865405"/>
      <w:bookmarkStart w:id="19" w:name="_Toc63866206"/>
      <w:bookmarkStart w:id="20" w:name="_Toc63866536"/>
      <w:bookmarkStart w:id="21" w:name="_Toc63866668"/>
      <w:r w:rsidRPr="00FF334E">
        <w:t>History of p</w:t>
      </w:r>
      <w:r w:rsidR="005902BA" w:rsidRPr="00FF334E">
        <w:t>rivate midwife insurance in</w:t>
      </w:r>
      <w:r w:rsidRPr="00FF334E">
        <w:t xml:space="preserve"> Australia</w:t>
      </w:r>
      <w:bookmarkEnd w:id="17"/>
      <w:r w:rsidRPr="00FF334E">
        <w:t xml:space="preserve"> </w:t>
      </w:r>
    </w:p>
    <w:bookmarkEnd w:id="18"/>
    <w:bookmarkEnd w:id="19"/>
    <w:bookmarkEnd w:id="20"/>
    <w:bookmarkEnd w:id="21"/>
    <w:p w14:paraId="7E1CC9E7" w14:textId="34B5C2BE" w:rsidR="00F602EB" w:rsidRPr="00FF334E" w:rsidRDefault="00F602EB" w:rsidP="00D71BF6">
      <w:pPr>
        <w:pStyle w:val="ListParagraph"/>
        <w:numPr>
          <w:ilvl w:val="0"/>
          <w:numId w:val="29"/>
        </w:numPr>
        <w:ind w:left="737" w:hanging="737"/>
      </w:pPr>
      <w:r w:rsidRPr="00FF334E">
        <w:t>Historically, midwife professional indemnity cover was usually only available to Australian midwives practising in public or private hospitals.</w:t>
      </w:r>
      <w:r w:rsidR="006E7778" w:rsidRPr="00FF334E">
        <w:rPr>
          <w:vertAlign w:val="superscript"/>
        </w:rPr>
        <w:footnoteReference w:id="5"/>
      </w:r>
      <w:r w:rsidRPr="00FF334E">
        <w:t xml:space="preserve"> The main reasons are that privately practising midwives represent a small potential premium pool and there is a lack of accurate and up to date data from which the expected claims cost can be ascertained.</w:t>
      </w:r>
    </w:p>
    <w:p w14:paraId="317AAA64" w14:textId="2DBBE360" w:rsidR="00F602EB" w:rsidRPr="00FF334E" w:rsidRDefault="00F602EB" w:rsidP="00D71BF6">
      <w:pPr>
        <w:pStyle w:val="ListParagraph"/>
        <w:numPr>
          <w:ilvl w:val="0"/>
          <w:numId w:val="29"/>
        </w:numPr>
        <w:ind w:left="737" w:hanging="737"/>
      </w:pPr>
      <w:r w:rsidRPr="00FF334E">
        <w:t>The Australian Government</w:t>
      </w:r>
      <w:r w:rsidR="00621310" w:rsidRPr="00FF334E">
        <w:t>’</w:t>
      </w:r>
      <w:r w:rsidRPr="00FF334E">
        <w:t xml:space="preserve">s 2008 Maternity Services Review aimed to improve maternity care in Australia by providing greater choice and access to maternity services </w:t>
      </w:r>
      <w:r w:rsidR="008219B4" w:rsidRPr="00FF334E">
        <w:t xml:space="preserve">for </w:t>
      </w:r>
      <w:r w:rsidRPr="00FF334E">
        <w:t>Australian women and their families, and by supporting the maternity services workforce</w:t>
      </w:r>
      <w:r w:rsidR="00621310" w:rsidRPr="00FF334E">
        <w:t xml:space="preserve">. </w:t>
      </w:r>
      <w:r w:rsidRPr="00FF334E">
        <w:t>One of the recommendations adopted was providing Government supported professional indemnity insurance to eligible and qualified midwives from 1 July 2010</w:t>
      </w:r>
      <w:r w:rsidR="00621310" w:rsidRPr="00FF334E">
        <w:t xml:space="preserve">. </w:t>
      </w:r>
      <w:r w:rsidRPr="00FF334E">
        <w:t>Under a contract with the Government, MIGA provides such professional indemnity insurance.</w:t>
      </w:r>
    </w:p>
    <w:p w14:paraId="49E78163" w14:textId="3D7329C1" w:rsidR="00F602EB" w:rsidRPr="00FF334E" w:rsidRDefault="00F602EB" w:rsidP="00D71BF6">
      <w:pPr>
        <w:pStyle w:val="ListParagraph"/>
        <w:numPr>
          <w:ilvl w:val="0"/>
          <w:numId w:val="29"/>
        </w:numPr>
        <w:ind w:left="737" w:hanging="737"/>
      </w:pPr>
      <w:r w:rsidRPr="00FF334E">
        <w:t>MIGA is liable for the first $100,000 of each eligible claim, plus 20 per cent for claims costs between $100,000 and $2 million</w:t>
      </w:r>
      <w:r w:rsidR="00621310" w:rsidRPr="00FF334E">
        <w:t xml:space="preserve">. </w:t>
      </w:r>
      <w:r w:rsidRPr="00FF334E">
        <w:t>The Government contributes the remaining 80 per cent for claims costs between $100,000 and $2 million (</w:t>
      </w:r>
      <w:r w:rsidR="008219B4" w:rsidRPr="00FF334E">
        <w:t xml:space="preserve">called </w:t>
      </w:r>
      <w:r w:rsidRPr="00FF334E">
        <w:t>Level 1 Commonwealth contributions) and meets the full costs of claims over the $2 million threshold (</w:t>
      </w:r>
      <w:r w:rsidR="008219B4" w:rsidRPr="00FF334E">
        <w:t xml:space="preserve">called </w:t>
      </w:r>
      <w:r w:rsidRPr="00FF334E">
        <w:t>Level 2 Commonwealth contributions).</w:t>
      </w:r>
    </w:p>
    <w:p w14:paraId="515BA29B" w14:textId="0832457B" w:rsidR="00F602EB" w:rsidRPr="00FF334E" w:rsidRDefault="00F602EB" w:rsidP="00D71BF6">
      <w:pPr>
        <w:pStyle w:val="ListParagraph"/>
        <w:numPr>
          <w:ilvl w:val="0"/>
          <w:numId w:val="29"/>
        </w:numPr>
        <w:ind w:left="737" w:hanging="737"/>
      </w:pPr>
      <w:r w:rsidRPr="00FF334E">
        <w:t>These arrangements have reduced the net claims cost and the degree of claims cost uncertainty for the contracted midwife professional indemnity insurance provider</w:t>
      </w:r>
      <w:r w:rsidR="00621310" w:rsidRPr="00FF334E">
        <w:t xml:space="preserve">. </w:t>
      </w:r>
      <w:r w:rsidR="008219B4" w:rsidRPr="00FF334E">
        <w:t xml:space="preserve">In turn, this </w:t>
      </w:r>
      <w:r w:rsidRPr="00FF334E">
        <w:t>improve</w:t>
      </w:r>
      <w:r w:rsidR="008219B4" w:rsidRPr="00FF334E">
        <w:t>s</w:t>
      </w:r>
      <w:r w:rsidRPr="00FF334E">
        <w:t xml:space="preserve"> </w:t>
      </w:r>
      <w:r w:rsidR="008219B4" w:rsidRPr="00FF334E">
        <w:t xml:space="preserve">the </w:t>
      </w:r>
      <w:r w:rsidRPr="00FF334E">
        <w:t xml:space="preserve">affordability </w:t>
      </w:r>
      <w:r w:rsidR="008219B4" w:rsidRPr="00FF334E">
        <w:t xml:space="preserve">of premiums </w:t>
      </w:r>
      <w:r w:rsidRPr="00FF334E">
        <w:t>for midwives.</w:t>
      </w:r>
    </w:p>
    <w:p w14:paraId="437A06E0" w14:textId="31DF57DA" w:rsidR="00F602EB" w:rsidRPr="00FF334E" w:rsidRDefault="00F602EB" w:rsidP="00D71BF6">
      <w:pPr>
        <w:pStyle w:val="ListParagraph"/>
        <w:numPr>
          <w:ilvl w:val="0"/>
          <w:numId w:val="29"/>
        </w:numPr>
        <w:ind w:left="737" w:hanging="737"/>
      </w:pPr>
      <w:r w:rsidRPr="00FF334E">
        <w:t xml:space="preserve">All midwife professional indemnity insurance is provided on a </w:t>
      </w:r>
      <w:r w:rsidR="00621310" w:rsidRPr="00FF334E">
        <w:t>‘</w:t>
      </w:r>
      <w:r w:rsidRPr="00FF334E">
        <w:t>claims made</w:t>
      </w:r>
      <w:r w:rsidR="00621310" w:rsidRPr="00FF334E">
        <w:t>’</w:t>
      </w:r>
      <w:r w:rsidRPr="00FF334E">
        <w:t xml:space="preserve"> basis</w:t>
      </w:r>
      <w:r w:rsidR="00621310" w:rsidRPr="00FF334E">
        <w:t xml:space="preserve">. </w:t>
      </w:r>
      <w:r w:rsidRPr="00FF334E">
        <w:t xml:space="preserve">Consequently, midwives </w:t>
      </w:r>
      <w:proofErr w:type="gramStart"/>
      <w:r w:rsidRPr="00FF334E">
        <w:t>have to</w:t>
      </w:r>
      <w:proofErr w:type="gramEnd"/>
      <w:r w:rsidRPr="00FF334E">
        <w:t xml:space="preserve"> maintain insurance in order to remain covered against claims that might emerge, even if they are no longer practising</w:t>
      </w:r>
      <w:r w:rsidR="00621310" w:rsidRPr="00FF334E">
        <w:t xml:space="preserve">. </w:t>
      </w:r>
      <w:r w:rsidRPr="00FF334E">
        <w:t xml:space="preserve">This form of insurance cover </w:t>
      </w:r>
      <w:r w:rsidR="008219B4" w:rsidRPr="00FF334E">
        <w:t xml:space="preserve">(i.e., when no longer practising) </w:t>
      </w:r>
      <w:r w:rsidRPr="00FF334E">
        <w:t xml:space="preserve">is known as </w:t>
      </w:r>
      <w:r w:rsidR="002630DA">
        <w:t>run-</w:t>
      </w:r>
      <w:r w:rsidR="002630DA">
        <w:lastRenderedPageBreak/>
        <w:t>off</w:t>
      </w:r>
      <w:r w:rsidRPr="00FF334E">
        <w:t xml:space="preserve"> cover</w:t>
      </w:r>
      <w:r w:rsidR="00621310" w:rsidRPr="00FF334E">
        <w:t xml:space="preserve">. </w:t>
      </w:r>
      <w:r w:rsidR="008219B4" w:rsidRPr="00FF334E">
        <w:t>R</w:t>
      </w:r>
      <w:r w:rsidRPr="00FF334E">
        <w:t>un</w:t>
      </w:r>
      <w:r w:rsidR="002630DA">
        <w:t>-</w:t>
      </w:r>
      <w:r w:rsidRPr="00FF334E">
        <w:t>off cover provides insurance protection for midwives who have ceased practice for incidents that may have occurred prior to ceasing practice</w:t>
      </w:r>
      <w:r w:rsidR="00621310" w:rsidRPr="00FF334E">
        <w:t xml:space="preserve">. </w:t>
      </w:r>
      <w:r w:rsidRPr="00FF334E">
        <w:t xml:space="preserve">The potential delay between a pregnancy or birth related incident and a claim for damages highlights the need for midwives to maintain </w:t>
      </w:r>
      <w:r w:rsidR="002630DA">
        <w:t>run-off</w:t>
      </w:r>
      <w:r w:rsidRPr="00FF334E">
        <w:t xml:space="preserve"> cover after ceasing practice.</w:t>
      </w:r>
    </w:p>
    <w:p w14:paraId="3B668ECD" w14:textId="216AAD92" w:rsidR="00F602EB" w:rsidRPr="00FF334E" w:rsidRDefault="00F602EB" w:rsidP="00D71BF6">
      <w:pPr>
        <w:pStyle w:val="ListParagraph"/>
        <w:numPr>
          <w:ilvl w:val="0"/>
          <w:numId w:val="29"/>
        </w:numPr>
        <w:ind w:left="737" w:hanging="737"/>
      </w:pPr>
      <w:proofErr w:type="gramStart"/>
      <w:r w:rsidRPr="00FF334E">
        <w:t>Similar</w:t>
      </w:r>
      <w:r w:rsidR="00A260F7" w:rsidRPr="00FF334E">
        <w:t xml:space="preserve"> </w:t>
      </w:r>
      <w:r w:rsidRPr="00FF334E">
        <w:t>to</w:t>
      </w:r>
      <w:proofErr w:type="gramEnd"/>
      <w:r w:rsidRPr="00FF334E">
        <w:t xml:space="preserve"> </w:t>
      </w:r>
      <w:r w:rsidR="00E22FD0" w:rsidRPr="00FF334E">
        <w:t>the Australian Government</w:t>
      </w:r>
      <w:r w:rsidR="00621310" w:rsidRPr="00FF334E">
        <w:t>’</w:t>
      </w:r>
      <w:r w:rsidR="00E22FD0" w:rsidRPr="00FF334E">
        <w:t>s Run</w:t>
      </w:r>
      <w:r w:rsidR="00621310" w:rsidRPr="00FF334E">
        <w:noBreakHyphen/>
      </w:r>
      <w:r w:rsidRPr="00FF334E">
        <w:t>Off Cover Scheme for medical practitioners, the Midwife Professional Indemnity Scheme a</w:t>
      </w:r>
      <w:r w:rsidR="00E22FD0" w:rsidRPr="00FF334E">
        <w:t>lso requires eligible insurers</w:t>
      </w:r>
      <w:r w:rsidR="006E7778" w:rsidRPr="00FF334E">
        <w:rPr>
          <w:vertAlign w:val="superscript"/>
        </w:rPr>
        <w:footnoteReference w:id="6"/>
      </w:r>
      <w:r w:rsidR="00E22FD0" w:rsidRPr="00FF334E">
        <w:rPr>
          <w:vertAlign w:val="superscript"/>
        </w:rPr>
        <w:t xml:space="preserve"> </w:t>
      </w:r>
      <w:r w:rsidR="00E22FD0" w:rsidRPr="00FF334E">
        <w:t xml:space="preserve">to provide </w:t>
      </w:r>
      <w:r w:rsidR="002630DA">
        <w:t>run-off</w:t>
      </w:r>
      <w:r w:rsidR="00E22FD0" w:rsidRPr="00FF334E">
        <w:t xml:space="preserve"> cover</w:t>
      </w:r>
      <w:r w:rsidR="006E7778" w:rsidRPr="00FF334E">
        <w:rPr>
          <w:vertAlign w:val="superscript"/>
        </w:rPr>
        <w:footnoteReference w:id="7"/>
      </w:r>
      <w:r w:rsidR="00E22FD0" w:rsidRPr="00FF334E">
        <w:t xml:space="preserve"> </w:t>
      </w:r>
      <w:r w:rsidRPr="00FF334E">
        <w:t>to eligible midwives who have c</w:t>
      </w:r>
      <w:r w:rsidR="00E22FD0" w:rsidRPr="00FF334E">
        <w:t>eased private practice</w:t>
      </w:r>
      <w:r w:rsidR="00621310" w:rsidRPr="00FF334E">
        <w:t xml:space="preserve">. </w:t>
      </w:r>
      <w:r w:rsidR="00E22FD0" w:rsidRPr="00FF334E">
        <w:t>The Run</w:t>
      </w:r>
      <w:r w:rsidR="00621310" w:rsidRPr="00FF334E">
        <w:noBreakHyphen/>
      </w:r>
      <w:r w:rsidRPr="00FF334E">
        <w:t>Off Cover component of the Scheme (ROC Scheme) is intended to be broadly cost neutral to taxpayers on a present value basis.</w:t>
      </w:r>
    </w:p>
    <w:p w14:paraId="688116A0" w14:textId="61BE1BA8" w:rsidR="00F602EB" w:rsidRPr="00FF334E" w:rsidRDefault="00F602EB" w:rsidP="00D71BF6">
      <w:pPr>
        <w:pStyle w:val="ListParagraph"/>
        <w:numPr>
          <w:ilvl w:val="0"/>
          <w:numId w:val="29"/>
        </w:numPr>
        <w:ind w:left="737" w:hanging="737"/>
      </w:pPr>
      <w:r w:rsidRPr="00FF334E">
        <w:t>This report covers the ROC Scheme as required under section 48 of the Act</w:t>
      </w:r>
      <w:r w:rsidR="00621310" w:rsidRPr="00FF334E">
        <w:t xml:space="preserve">. </w:t>
      </w:r>
      <w:r w:rsidRPr="00FF334E">
        <w:t>It does not cover the Commonwealth</w:t>
      </w:r>
      <w:r w:rsidR="00621310" w:rsidRPr="00FF334E">
        <w:t>’</w:t>
      </w:r>
      <w:r w:rsidRPr="00FF334E">
        <w:t>s liabilities in relation to Level 1 and Level 2 Commonwealth contributions.</w:t>
      </w:r>
    </w:p>
    <w:p w14:paraId="3B4DF541" w14:textId="0CA26D70" w:rsidR="00F602EB" w:rsidRPr="00FF334E" w:rsidRDefault="00C017BE" w:rsidP="009C24ED">
      <w:pPr>
        <w:pStyle w:val="Heading2"/>
        <w:numPr>
          <w:ilvl w:val="0"/>
          <w:numId w:val="27"/>
        </w:numPr>
        <w:ind w:left="357" w:hanging="357"/>
      </w:pPr>
      <w:bookmarkStart w:id="22" w:name="_Toc192842016"/>
      <w:r w:rsidRPr="00FF334E">
        <w:t>What is the run</w:t>
      </w:r>
      <w:r w:rsidR="00621310" w:rsidRPr="00FF334E">
        <w:noBreakHyphen/>
      </w:r>
      <w:r w:rsidRPr="00FF334E">
        <w:t>off cover arrangement?</w:t>
      </w:r>
      <w:bookmarkEnd w:id="22"/>
    </w:p>
    <w:p w14:paraId="38C6A57E" w14:textId="756D141B" w:rsidR="00F602EB" w:rsidRPr="00FF334E" w:rsidRDefault="00F602EB" w:rsidP="00D71BF6">
      <w:pPr>
        <w:pStyle w:val="ListParagraph"/>
        <w:numPr>
          <w:ilvl w:val="0"/>
          <w:numId w:val="30"/>
        </w:numPr>
      </w:pPr>
      <w:r w:rsidRPr="00FF334E">
        <w:t xml:space="preserve">The Midwife Professional Indemnity Scheme facilitates the provision of professional indemnity insurance cover to </w:t>
      </w:r>
      <w:proofErr w:type="gramStart"/>
      <w:r w:rsidRPr="00FF334E">
        <w:t>particular groups</w:t>
      </w:r>
      <w:proofErr w:type="gramEnd"/>
      <w:r w:rsidRPr="00FF334E">
        <w:t xml:space="preserve"> of midwives who have ceased private practice.</w:t>
      </w:r>
    </w:p>
    <w:p w14:paraId="37C79550" w14:textId="43024A72" w:rsidR="00F602EB" w:rsidRPr="00FF334E" w:rsidRDefault="00F602EB" w:rsidP="00D71BF6">
      <w:pPr>
        <w:pStyle w:val="ListParagraph"/>
        <w:numPr>
          <w:ilvl w:val="0"/>
          <w:numId w:val="30"/>
        </w:numPr>
      </w:pPr>
      <w:r w:rsidRPr="00FF334E">
        <w:t xml:space="preserve">The rules for the Scheme appear in the </w:t>
      </w:r>
      <w:r w:rsidRPr="00FF334E">
        <w:rPr>
          <w:i/>
        </w:rPr>
        <w:t>Midwife Professional Indemnity (Commonwealth Contribution) Scheme Act 2010</w:t>
      </w:r>
      <w:r w:rsidRPr="00FF334E">
        <w:t xml:space="preserve"> (the Act) and the </w:t>
      </w:r>
      <w:r w:rsidRPr="00FF334E">
        <w:rPr>
          <w:i/>
        </w:rPr>
        <w:t>Midwife Professional Indemnity (Run off Cover Support Payment) Act 2010</w:t>
      </w:r>
      <w:r w:rsidRPr="00FF334E">
        <w:t xml:space="preserve"> (ROCSPA)</w:t>
      </w:r>
      <w:r w:rsidR="00621310" w:rsidRPr="00FF334E">
        <w:t xml:space="preserve">. </w:t>
      </w:r>
      <w:r w:rsidRPr="00FF334E">
        <w:t>The principal elements of the Scheme are as follows:</w:t>
      </w:r>
    </w:p>
    <w:p w14:paraId="7EB7DCED" w14:textId="35E2EE1A" w:rsidR="00F602EB" w:rsidRPr="00FF334E" w:rsidRDefault="008D1CF5" w:rsidP="00310684">
      <w:pPr>
        <w:pStyle w:val="Bullet"/>
        <w:tabs>
          <w:tab w:val="clear" w:pos="472"/>
          <w:tab w:val="num" w:pos="1305"/>
        </w:tabs>
        <w:ind w:left="1305"/>
      </w:pPr>
      <w:r w:rsidRPr="00FF334E">
        <w:t>U</w:t>
      </w:r>
      <w:r w:rsidR="00F602EB" w:rsidRPr="00FF334E">
        <w:t>nder</w:t>
      </w:r>
      <w:r w:rsidR="00B24AC3">
        <w:t xml:space="preserve"> an</w:t>
      </w:r>
      <w:r w:rsidR="00F602EB" w:rsidRPr="00FF334E">
        <w:t xml:space="preserve"> arrangement with the Commonwealth, MIGA is required to provide </w:t>
      </w:r>
      <w:r w:rsidR="002630DA">
        <w:t>run-off</w:t>
      </w:r>
      <w:r w:rsidR="00F602EB" w:rsidRPr="00FF334E">
        <w:t xml:space="preserve"> cover to </w:t>
      </w:r>
      <w:proofErr w:type="gramStart"/>
      <w:r w:rsidR="00F602EB" w:rsidRPr="00FF334E">
        <w:t>particular groups</w:t>
      </w:r>
      <w:proofErr w:type="gramEnd"/>
      <w:r w:rsidR="00F602EB" w:rsidRPr="00FF334E">
        <w:t xml:space="preserve"> of midwives who have ceased private practice.</w:t>
      </w:r>
    </w:p>
    <w:p w14:paraId="6EA35925" w14:textId="73E76139" w:rsidR="00F602EB" w:rsidRPr="00FF334E" w:rsidRDefault="00F602EB" w:rsidP="00310684">
      <w:pPr>
        <w:pStyle w:val="Bullet"/>
        <w:tabs>
          <w:tab w:val="clear" w:pos="472"/>
          <w:tab w:val="num" w:pos="1305"/>
        </w:tabs>
        <w:ind w:left="1305"/>
      </w:pPr>
      <w:r w:rsidRPr="00FF334E">
        <w:t xml:space="preserve">The Act provides for the Commonwealth to make payments to the insurers to reimburse the costs associated with eligible </w:t>
      </w:r>
      <w:r w:rsidR="002630DA">
        <w:t>run-off</w:t>
      </w:r>
      <w:r w:rsidRPr="00FF334E">
        <w:t xml:space="preserve"> claims</w:t>
      </w:r>
      <w:r w:rsidR="00621310" w:rsidRPr="00FF334E">
        <w:t xml:space="preserve">. </w:t>
      </w:r>
      <w:r w:rsidRPr="00FF334E">
        <w:t>These payments are known as ROC Commonwealth contributions.</w:t>
      </w:r>
    </w:p>
    <w:p w14:paraId="0B9FD3C2" w14:textId="69F0671D" w:rsidR="00F602EB" w:rsidRPr="00FF334E" w:rsidRDefault="00F602EB" w:rsidP="00310684">
      <w:pPr>
        <w:pStyle w:val="Bullet"/>
        <w:tabs>
          <w:tab w:val="clear" w:pos="472"/>
          <w:tab w:val="num" w:pos="1305"/>
        </w:tabs>
        <w:ind w:left="1305"/>
      </w:pPr>
      <w:r w:rsidRPr="00FF334E">
        <w:t>The Act also provides for the insurer to make payments to the Commonwealth to ensure that the Scheme is broadly cost neutral to taxpayers on a present value basis</w:t>
      </w:r>
      <w:r w:rsidR="00621310" w:rsidRPr="00FF334E">
        <w:t xml:space="preserve">. </w:t>
      </w:r>
      <w:r w:rsidRPr="00FF334E">
        <w:t>These payments are levied as a tax on insurer</w:t>
      </w:r>
      <w:r w:rsidR="00621310" w:rsidRPr="00FF334E">
        <w:t>’</w:t>
      </w:r>
      <w:r w:rsidR="00FB38AA">
        <w:t>s</w:t>
      </w:r>
      <w:r w:rsidRPr="00FF334E">
        <w:t xml:space="preserve"> premium income</w:t>
      </w:r>
      <w:r w:rsidR="00621310" w:rsidRPr="00FF334E">
        <w:t xml:space="preserve">. </w:t>
      </w:r>
      <w:r w:rsidRPr="00FF334E">
        <w:t>In practice, the cost is met by a loading on midwives</w:t>
      </w:r>
      <w:r w:rsidR="00621310" w:rsidRPr="00FF334E">
        <w:t>’</w:t>
      </w:r>
      <w:r w:rsidRPr="00FF334E">
        <w:t xml:space="preserve"> professional indemnity insurance premiums</w:t>
      </w:r>
      <w:r w:rsidR="00621310" w:rsidRPr="00FF334E">
        <w:t xml:space="preserve">. </w:t>
      </w:r>
      <w:r w:rsidRPr="00FF334E">
        <w:t xml:space="preserve">These payments </w:t>
      </w:r>
      <w:r w:rsidRPr="00FF334E">
        <w:lastRenderedPageBreak/>
        <w:t>are known as ROC support payments</w:t>
      </w:r>
      <w:r w:rsidR="00621310" w:rsidRPr="00FF334E">
        <w:t xml:space="preserve">. </w:t>
      </w:r>
      <w:r w:rsidRPr="00FF334E">
        <w:t>The ROCSPA sets out the rules for calculating ROC support payments.</w:t>
      </w:r>
    </w:p>
    <w:p w14:paraId="0D8B81F0" w14:textId="5022EFBE" w:rsidR="00F602EB" w:rsidRPr="00FF334E" w:rsidRDefault="00F602EB" w:rsidP="00D71BF6">
      <w:pPr>
        <w:pStyle w:val="ListParagraph"/>
        <w:numPr>
          <w:ilvl w:val="0"/>
          <w:numId w:val="30"/>
        </w:numPr>
      </w:pPr>
      <w:r w:rsidRPr="00FF334E">
        <w:t xml:space="preserve">The Scheme provides for ROC support payments to be made by </w:t>
      </w:r>
      <w:r w:rsidR="00FB38AA">
        <w:t xml:space="preserve">an </w:t>
      </w:r>
      <w:r w:rsidRPr="00FF334E">
        <w:t xml:space="preserve">eligible insurer to the Commonwealth and for ROC Commonwealth contributions to be made by the Commonwealth to </w:t>
      </w:r>
      <w:r w:rsidR="00FB38AA">
        <w:t xml:space="preserve">an </w:t>
      </w:r>
      <w:r w:rsidRPr="00FF334E">
        <w:t>eligible insurer.</w:t>
      </w:r>
    </w:p>
    <w:p w14:paraId="3C047A1A" w14:textId="6754318D" w:rsidR="00F602EB" w:rsidRPr="00FF334E" w:rsidRDefault="00F602EB" w:rsidP="00D71BF6">
      <w:pPr>
        <w:pStyle w:val="ListParagraph"/>
        <w:numPr>
          <w:ilvl w:val="0"/>
          <w:numId w:val="30"/>
        </w:numPr>
      </w:pPr>
      <w:r w:rsidRPr="00FF334E">
        <w:t>An important financial dynamic of the ROC Scheme is the timing mismatch between the payment of ROC support payments by an eligible insurer and the emergence, payment and reimbursement of professional indemnity claims of eligible midwives who are no longer in private practice</w:t>
      </w:r>
      <w:r w:rsidR="00621310" w:rsidRPr="00FF334E">
        <w:t xml:space="preserve">. </w:t>
      </w:r>
      <w:r w:rsidRPr="00FF334E">
        <w:t>The first ROC support payments were received on 30 June 2011</w:t>
      </w:r>
      <w:r w:rsidR="00621310" w:rsidRPr="00FF334E">
        <w:t xml:space="preserve">. </w:t>
      </w:r>
      <w:r w:rsidRPr="00FF334E">
        <w:t xml:space="preserve">The ROC Scheme applies to eligible professional indemnity claims that are first notified to </w:t>
      </w:r>
      <w:r w:rsidR="00155485">
        <w:t xml:space="preserve">the </w:t>
      </w:r>
      <w:r w:rsidRPr="00FF334E">
        <w:t>eligible insurer on or after 1 July 2010</w:t>
      </w:r>
      <w:r w:rsidR="00621310" w:rsidRPr="00FF334E">
        <w:t xml:space="preserve">. </w:t>
      </w:r>
      <w:r w:rsidRPr="00FF334E">
        <w:t>As a result of inherent delays in the claims process, it is to be expected that the level of ROC support payments will be greater than the level of ROC Commonwealth contributions for many years</w:t>
      </w:r>
      <w:r w:rsidR="00621310" w:rsidRPr="00FF334E">
        <w:t xml:space="preserve">. </w:t>
      </w:r>
      <w:r w:rsidRPr="00FF334E">
        <w:t>This has been demonstrated in t</w:t>
      </w:r>
      <w:r w:rsidR="00470C11" w:rsidRPr="00FF334E">
        <w:t>he experience of the Run</w:t>
      </w:r>
      <w:r w:rsidR="00621310" w:rsidRPr="00FF334E">
        <w:noBreakHyphen/>
      </w:r>
      <w:r w:rsidRPr="00FF334E">
        <w:t>Off Cover Scheme for medical practitioners</w:t>
      </w:r>
      <w:r w:rsidR="00621310" w:rsidRPr="00FF334E">
        <w:t xml:space="preserve">. </w:t>
      </w:r>
      <w:r w:rsidRPr="00FF334E">
        <w:t>That is, in a cash flow sense, the ROC Scheme is immature</w:t>
      </w:r>
      <w:r w:rsidR="00621310" w:rsidRPr="00FF334E">
        <w:t xml:space="preserve">. </w:t>
      </w:r>
      <w:r w:rsidRPr="00FF334E">
        <w:t>It will probably take many years to reach maturity when income from ROC support payments and expenditure on ROC Commonwealth contributions are of a similar order of size.</w:t>
      </w:r>
    </w:p>
    <w:p w14:paraId="12CD0DD7" w14:textId="77777777" w:rsidR="00F602EB" w:rsidRPr="00FF334E" w:rsidRDefault="00F602EB" w:rsidP="00F602EB"/>
    <w:p w14:paraId="0069FD39" w14:textId="432D2557" w:rsidR="0098347F" w:rsidRPr="00FF334E" w:rsidRDefault="0098347F">
      <w:pPr>
        <w:spacing w:after="200" w:line="276" w:lineRule="auto"/>
        <w:jc w:val="left"/>
      </w:pPr>
      <w:r w:rsidRPr="00FF334E">
        <w:br w:type="page"/>
      </w:r>
    </w:p>
    <w:p w14:paraId="7D2430B2" w14:textId="7CFC01EF" w:rsidR="00F602EB" w:rsidRPr="00FF334E" w:rsidRDefault="005902BA" w:rsidP="00C017BE">
      <w:pPr>
        <w:pStyle w:val="Heading1"/>
        <w:numPr>
          <w:ilvl w:val="0"/>
          <w:numId w:val="25"/>
        </w:numPr>
        <w:ind w:left="709" w:hanging="709"/>
      </w:pPr>
      <w:bookmarkStart w:id="23" w:name="_Toc192842017"/>
      <w:r w:rsidRPr="00FF334E">
        <w:lastRenderedPageBreak/>
        <w:t>Data</w:t>
      </w:r>
      <w:bookmarkEnd w:id="23"/>
    </w:p>
    <w:p w14:paraId="706D1752" w14:textId="08E77B29" w:rsidR="00F602EB" w:rsidRPr="00FF334E" w:rsidRDefault="00C017BE" w:rsidP="00D71BF6">
      <w:pPr>
        <w:pStyle w:val="Heading2"/>
        <w:numPr>
          <w:ilvl w:val="0"/>
          <w:numId w:val="31"/>
        </w:numPr>
      </w:pPr>
      <w:bookmarkStart w:id="24" w:name="_Toc192842018"/>
      <w:r w:rsidRPr="00FF334E">
        <w:t>Data collection</w:t>
      </w:r>
      <w:bookmarkEnd w:id="24"/>
    </w:p>
    <w:p w14:paraId="24249A5B" w14:textId="5EF54322" w:rsidR="00F602EB" w:rsidRPr="00680600" w:rsidRDefault="00726589" w:rsidP="00D71BF6">
      <w:pPr>
        <w:pStyle w:val="ListParagraph"/>
        <w:numPr>
          <w:ilvl w:val="0"/>
          <w:numId w:val="22"/>
        </w:numPr>
        <w:ind w:left="737" w:hanging="737"/>
      </w:pPr>
      <w:r w:rsidRPr="00680600">
        <w:t>To</w:t>
      </w:r>
      <w:r w:rsidR="00F602EB" w:rsidRPr="00680600">
        <w:t xml:space="preserve"> prepar</w:t>
      </w:r>
      <w:r w:rsidR="00B8579B" w:rsidRPr="00680600">
        <w:t>e</w:t>
      </w:r>
      <w:r w:rsidR="00F602EB" w:rsidRPr="00680600">
        <w:t xml:space="preserve"> this report, data was collected from MIGA by Ser</w:t>
      </w:r>
      <w:r w:rsidR="00470C11" w:rsidRPr="00680600">
        <w:t>vices Australia during late 202</w:t>
      </w:r>
      <w:r w:rsidR="00630F89" w:rsidRPr="00680600">
        <w:t>4</w:t>
      </w:r>
      <w:r w:rsidR="00F602EB" w:rsidRPr="00680600">
        <w:t xml:space="preserve"> including:</w:t>
      </w:r>
    </w:p>
    <w:p w14:paraId="28DFC1B4" w14:textId="394B65F0" w:rsidR="00F602EB" w:rsidRPr="00680600" w:rsidRDefault="00F602EB" w:rsidP="00310684">
      <w:pPr>
        <w:pStyle w:val="Bullet"/>
        <w:tabs>
          <w:tab w:val="clear" w:pos="472"/>
          <w:tab w:val="num" w:pos="1305"/>
        </w:tabs>
        <w:ind w:left="1305"/>
      </w:pPr>
      <w:r w:rsidRPr="00680600">
        <w:t>details of midwives who were identified as having become eligible to claim under the ROC Scheme under subsection 31(2) of the Act before</w:t>
      </w:r>
      <w:r w:rsidR="00D228E3" w:rsidRPr="00680600">
        <w:t xml:space="preserve"> </w:t>
      </w:r>
      <w:r w:rsidR="00470C11" w:rsidRPr="00680600">
        <w:t xml:space="preserve">30 June </w:t>
      </w:r>
      <w:proofErr w:type="gramStart"/>
      <w:r w:rsidR="00470C11" w:rsidRPr="00680600">
        <w:t>202</w:t>
      </w:r>
      <w:r w:rsidR="00630F89" w:rsidRPr="00680600">
        <w:t>4</w:t>
      </w:r>
      <w:r w:rsidR="00154EFE" w:rsidRPr="00680600">
        <w:t>;</w:t>
      </w:r>
      <w:proofErr w:type="gramEnd"/>
    </w:p>
    <w:p w14:paraId="2B16D1A9" w14:textId="3AFDB5F2" w:rsidR="00F602EB" w:rsidRPr="00680600" w:rsidRDefault="00F602EB" w:rsidP="00310684">
      <w:pPr>
        <w:pStyle w:val="Bullet"/>
        <w:tabs>
          <w:tab w:val="clear" w:pos="472"/>
          <w:tab w:val="num" w:pos="1305"/>
        </w:tabs>
        <w:ind w:left="1305"/>
      </w:pPr>
      <w:r w:rsidRPr="00680600">
        <w:t xml:space="preserve">details of claims (including incidents) </w:t>
      </w:r>
      <w:r w:rsidR="00470C11" w:rsidRPr="00680600">
        <w:t>notified to MIGA by 30</w:t>
      </w:r>
      <w:r w:rsidR="006512CC" w:rsidRPr="00680600">
        <w:t> </w:t>
      </w:r>
      <w:r w:rsidR="00470C11" w:rsidRPr="00680600">
        <w:t>June</w:t>
      </w:r>
      <w:r w:rsidR="006512CC" w:rsidRPr="00680600">
        <w:t> </w:t>
      </w:r>
      <w:r w:rsidR="00470C11" w:rsidRPr="00680600">
        <w:t>202</w:t>
      </w:r>
      <w:r w:rsidR="00630F89" w:rsidRPr="00680600">
        <w:t>4</w:t>
      </w:r>
      <w:r w:rsidRPr="00680600">
        <w:t xml:space="preserve"> which might eventually become eligible for reimbursement under the ROC </w:t>
      </w:r>
      <w:proofErr w:type="gramStart"/>
      <w:r w:rsidRPr="00680600">
        <w:t>Scheme</w:t>
      </w:r>
      <w:r w:rsidR="00154EFE" w:rsidRPr="00680600">
        <w:t>;</w:t>
      </w:r>
      <w:proofErr w:type="gramEnd"/>
    </w:p>
    <w:p w14:paraId="25760DDF" w14:textId="6EF52678" w:rsidR="00F602EB" w:rsidRPr="00680600" w:rsidRDefault="00F602EB" w:rsidP="00310684">
      <w:pPr>
        <w:pStyle w:val="Bullet"/>
        <w:tabs>
          <w:tab w:val="clear" w:pos="472"/>
          <w:tab w:val="num" w:pos="1305"/>
        </w:tabs>
        <w:ind w:left="1305"/>
      </w:pPr>
      <w:r w:rsidRPr="00680600">
        <w:t>details of ROC support payments</w:t>
      </w:r>
      <w:r w:rsidR="0092361A" w:rsidRPr="00680600">
        <w:rPr>
          <w:vertAlign w:val="superscript"/>
        </w:rPr>
        <w:footnoteReference w:id="8"/>
      </w:r>
      <w:r w:rsidR="00154EFE" w:rsidRPr="00680600">
        <w:t>;</w:t>
      </w:r>
      <w:r w:rsidRPr="00680600">
        <w:t xml:space="preserve"> </w:t>
      </w:r>
    </w:p>
    <w:p w14:paraId="3CFEF6CF" w14:textId="04291498" w:rsidR="00F602EB" w:rsidRPr="00680600" w:rsidRDefault="00F602EB" w:rsidP="00310684">
      <w:pPr>
        <w:pStyle w:val="Bullet"/>
        <w:tabs>
          <w:tab w:val="clear" w:pos="472"/>
          <w:tab w:val="num" w:pos="1305"/>
        </w:tabs>
        <w:ind w:left="1305"/>
      </w:pPr>
      <w:r w:rsidRPr="00680600">
        <w:t>actuarial estimates of that part of the future claims cost of incidents projecte</w:t>
      </w:r>
      <w:r w:rsidR="00470C11" w:rsidRPr="00680600">
        <w:t>d to be notified during the 202</w:t>
      </w:r>
      <w:r w:rsidR="00034015" w:rsidRPr="00680600">
        <w:t>4</w:t>
      </w:r>
      <w:r w:rsidR="00621310" w:rsidRPr="00680600">
        <w:noBreakHyphen/>
      </w:r>
      <w:r w:rsidR="00470C11" w:rsidRPr="00680600">
        <w:t>2</w:t>
      </w:r>
      <w:r w:rsidR="00034015" w:rsidRPr="00680600">
        <w:t>5</w:t>
      </w:r>
      <w:r w:rsidR="00470C11" w:rsidRPr="00680600">
        <w:t xml:space="preserve"> to 202</w:t>
      </w:r>
      <w:r w:rsidR="00034015" w:rsidRPr="00680600">
        <w:t>8</w:t>
      </w:r>
      <w:r w:rsidR="00621310" w:rsidRPr="00680600">
        <w:noBreakHyphen/>
      </w:r>
      <w:r w:rsidR="00470C11" w:rsidRPr="00680600">
        <w:t>2</w:t>
      </w:r>
      <w:r w:rsidR="00034015" w:rsidRPr="00680600">
        <w:t>9</w:t>
      </w:r>
      <w:r w:rsidRPr="00680600">
        <w:t xml:space="preserve"> financial years which is expected to be reimbursed under the ROC Scheme</w:t>
      </w:r>
      <w:r w:rsidR="00154EFE" w:rsidRPr="00680600">
        <w:t>;</w:t>
      </w:r>
      <w:r w:rsidRPr="00680600">
        <w:t xml:space="preserve"> and</w:t>
      </w:r>
    </w:p>
    <w:p w14:paraId="1C4F3207" w14:textId="6CA1FC92" w:rsidR="00F602EB" w:rsidRPr="00680600" w:rsidRDefault="00F602EB" w:rsidP="00310684">
      <w:pPr>
        <w:pStyle w:val="Bullet"/>
        <w:tabs>
          <w:tab w:val="clear" w:pos="472"/>
          <w:tab w:val="num" w:pos="1305"/>
        </w:tabs>
        <w:ind w:left="1305"/>
      </w:pPr>
      <w:r w:rsidRPr="00680600">
        <w:t>actuarial estimates of that part of the future claims cost of</w:t>
      </w:r>
      <w:r w:rsidR="00470C11" w:rsidRPr="00680600">
        <w:t xml:space="preserve"> incidents occurring during 202</w:t>
      </w:r>
      <w:r w:rsidR="00DC63C5" w:rsidRPr="00680600">
        <w:t>4</w:t>
      </w:r>
      <w:r w:rsidR="00621310" w:rsidRPr="00680600">
        <w:noBreakHyphen/>
      </w:r>
      <w:r w:rsidR="00470C11" w:rsidRPr="00680600">
        <w:t>2</w:t>
      </w:r>
      <w:r w:rsidR="00DC63C5" w:rsidRPr="00680600">
        <w:t>5</w:t>
      </w:r>
      <w:r w:rsidRPr="00680600">
        <w:t xml:space="preserve"> which is expected to be reimbursed under the ROC Scheme.</w:t>
      </w:r>
    </w:p>
    <w:p w14:paraId="7A230DCB" w14:textId="39292E22" w:rsidR="00F602EB" w:rsidRPr="00FF334E" w:rsidRDefault="00C017BE" w:rsidP="00D71BF6">
      <w:pPr>
        <w:pStyle w:val="Heading2"/>
        <w:numPr>
          <w:ilvl w:val="0"/>
          <w:numId w:val="31"/>
        </w:numPr>
      </w:pPr>
      <w:bookmarkStart w:id="25" w:name="_Toc192842019"/>
      <w:r w:rsidRPr="00FF334E">
        <w:t>Data verification</w:t>
      </w:r>
      <w:bookmarkEnd w:id="25"/>
    </w:p>
    <w:p w14:paraId="66787EB1" w14:textId="6203A6BD" w:rsidR="00F602EB" w:rsidRPr="00FF334E" w:rsidRDefault="00F602EB" w:rsidP="00D71BF6">
      <w:pPr>
        <w:pStyle w:val="ListParagraph"/>
        <w:numPr>
          <w:ilvl w:val="0"/>
          <w:numId w:val="32"/>
        </w:numPr>
        <w:ind w:left="737" w:hanging="737"/>
      </w:pPr>
      <w:r w:rsidRPr="00FF334E">
        <w:t>The results in this report rely on information provided by MIGA and MIGA</w:t>
      </w:r>
      <w:r w:rsidR="00621310" w:rsidRPr="00FF334E">
        <w:t>’</w:t>
      </w:r>
      <w:r w:rsidRPr="00FF334E">
        <w:t>s actuaries as well as ROC support payment data and midwife eligibility data provided by Services Australia</w:t>
      </w:r>
      <w:r w:rsidR="00621310" w:rsidRPr="00FF334E">
        <w:t xml:space="preserve">. </w:t>
      </w:r>
      <w:r w:rsidRPr="00FF334E">
        <w:t>Guidance was provided as to the nature of the data, calculations and information required</w:t>
      </w:r>
      <w:r w:rsidR="00621310" w:rsidRPr="00FF334E">
        <w:t xml:space="preserve">. </w:t>
      </w:r>
      <w:r w:rsidRPr="00FF334E">
        <w:t>This information is regarded as the most suitable information available for the current purpose.</w:t>
      </w:r>
      <w:r w:rsidRPr="00FF334E">
        <w:t> </w:t>
      </w:r>
    </w:p>
    <w:p w14:paraId="37A143E3" w14:textId="2559DAA8" w:rsidR="00F602EB" w:rsidRPr="00FF334E" w:rsidRDefault="00C017BE" w:rsidP="00D71BF6">
      <w:pPr>
        <w:pStyle w:val="Heading2"/>
        <w:numPr>
          <w:ilvl w:val="0"/>
          <w:numId w:val="31"/>
        </w:numPr>
      </w:pPr>
      <w:bookmarkStart w:id="26" w:name="_Toc63865410"/>
      <w:bookmarkStart w:id="27" w:name="_Toc63866211"/>
      <w:bookmarkStart w:id="28" w:name="_Toc63866541"/>
      <w:bookmarkStart w:id="29" w:name="_Toc63866673"/>
      <w:bookmarkStart w:id="30" w:name="_Toc192842020"/>
      <w:r w:rsidRPr="00FF334E">
        <w:t>Eligible persons</w:t>
      </w:r>
      <w:bookmarkEnd w:id="26"/>
      <w:bookmarkEnd w:id="27"/>
      <w:bookmarkEnd w:id="28"/>
      <w:bookmarkEnd w:id="29"/>
      <w:bookmarkEnd w:id="30"/>
    </w:p>
    <w:p w14:paraId="40B63168" w14:textId="6BAA08B2" w:rsidR="00F602EB" w:rsidRPr="00FF334E" w:rsidRDefault="00F602EB" w:rsidP="00BF0DD8">
      <w:pPr>
        <w:pStyle w:val="ListParagraph"/>
        <w:keepLines/>
        <w:numPr>
          <w:ilvl w:val="0"/>
          <w:numId w:val="33"/>
        </w:numPr>
        <w:ind w:left="714" w:hanging="357"/>
      </w:pPr>
      <w:r w:rsidRPr="00FF334E">
        <w:t>Midwives eligible for Government supported midwife professional indemnity cover become eligible for the ROC Scheme by means of permanent retirement, cessation of private practice</w:t>
      </w:r>
      <w:r w:rsidR="000B5801" w:rsidRPr="00FF334E">
        <w:rPr>
          <w:rStyle w:val="FootnoteReference"/>
        </w:rPr>
        <w:footnoteReference w:id="9"/>
      </w:r>
      <w:r w:rsidRPr="00FF334E">
        <w:t>, death, permanent disability or maternity leave.</w:t>
      </w:r>
    </w:p>
    <w:p w14:paraId="289249BC" w14:textId="14445EB8" w:rsidR="00F602EB" w:rsidRPr="00FF334E" w:rsidRDefault="00F602EB" w:rsidP="00D71BF6">
      <w:pPr>
        <w:pStyle w:val="ListParagraph"/>
        <w:numPr>
          <w:ilvl w:val="0"/>
          <w:numId w:val="33"/>
        </w:numPr>
      </w:pPr>
      <w:r w:rsidRPr="00FF334E">
        <w:t xml:space="preserve">Appendix 2 describes the test of eligibility for the ROC Scheme and the process of issuing and notifying compulsory </w:t>
      </w:r>
      <w:r w:rsidR="002630DA">
        <w:t>run-off</w:t>
      </w:r>
      <w:r w:rsidRPr="00FF334E">
        <w:t xml:space="preserve"> cover to eligible midwives</w:t>
      </w:r>
      <w:r w:rsidR="00621310" w:rsidRPr="00FF334E">
        <w:t xml:space="preserve">. </w:t>
      </w:r>
      <w:r w:rsidRPr="00FF334E">
        <w:t xml:space="preserve">Eligible </w:t>
      </w:r>
      <w:r w:rsidRPr="00FF334E">
        <w:lastRenderedPageBreak/>
        <w:t xml:space="preserve">midwives are entitled to receive notification of the terms and conditions of compulsory </w:t>
      </w:r>
      <w:r w:rsidR="002630DA">
        <w:t>run-off</w:t>
      </w:r>
      <w:r w:rsidRPr="00FF334E">
        <w:t xml:space="preserve"> cover from MIGA</w:t>
      </w:r>
      <w:r w:rsidR="00621310" w:rsidRPr="00FF334E">
        <w:t xml:space="preserve">. </w:t>
      </w:r>
      <w:r w:rsidRPr="00FF334E">
        <w:t xml:space="preserve">MIGA is also required to notify Services Australia of the details of the compulsory </w:t>
      </w:r>
      <w:r w:rsidR="002630DA">
        <w:t>run-off</w:t>
      </w:r>
      <w:r w:rsidRPr="00FF334E">
        <w:t xml:space="preserve"> cover provided.</w:t>
      </w:r>
    </w:p>
    <w:p w14:paraId="0F237ACE" w14:textId="63671502" w:rsidR="00F602EB" w:rsidRPr="00863374" w:rsidRDefault="00F602EB" w:rsidP="00D71BF6">
      <w:pPr>
        <w:pStyle w:val="ListParagraph"/>
        <w:numPr>
          <w:ilvl w:val="0"/>
          <w:numId w:val="33"/>
        </w:numPr>
      </w:pPr>
      <w:r w:rsidRPr="00863374">
        <w:t>There are inherent lags involved in notification of the details of eligible persons to Services Australia</w:t>
      </w:r>
      <w:r w:rsidR="00621310" w:rsidRPr="00863374">
        <w:t xml:space="preserve">. </w:t>
      </w:r>
      <w:r w:rsidRPr="00863374">
        <w:t>For example, there will often be a delay between the time that a midwife becomes eligible for the ROC Scheme and the time when the insurer becomes aware of this</w:t>
      </w:r>
      <w:r w:rsidR="00621310" w:rsidRPr="00863374">
        <w:t xml:space="preserve">. </w:t>
      </w:r>
      <w:r w:rsidRPr="00863374">
        <w:t>As a result, it is only possible to estimate the number of midwives who have become eligible for the ROC Scheme at any time</w:t>
      </w:r>
      <w:r w:rsidR="00621310" w:rsidRPr="00863374">
        <w:t xml:space="preserve">. </w:t>
      </w:r>
      <w:r w:rsidRPr="00863374">
        <w:t>For this reason, the numbers of eligible midwives reported by MIGA need to be treated with caution.</w:t>
      </w:r>
    </w:p>
    <w:p w14:paraId="67D01A1A" w14:textId="191ACB4B" w:rsidR="009C4988" w:rsidRPr="00FF334E" w:rsidRDefault="00F602EB" w:rsidP="00D71BF6">
      <w:pPr>
        <w:pStyle w:val="ListParagraph"/>
        <w:numPr>
          <w:ilvl w:val="0"/>
          <w:numId w:val="33"/>
        </w:numPr>
      </w:pPr>
      <w:r w:rsidRPr="00FF334E">
        <w:t xml:space="preserve">According to the eligibility data provided by Services Australia, there were </w:t>
      </w:r>
      <w:r w:rsidR="00B77A18" w:rsidRPr="00C23AC9">
        <w:t>9</w:t>
      </w:r>
      <w:r w:rsidR="00C23AC9" w:rsidRPr="00C23AC9">
        <w:t>5</w:t>
      </w:r>
      <w:r w:rsidR="00650F35" w:rsidRPr="00C23AC9">
        <w:t> </w:t>
      </w:r>
      <w:r w:rsidRPr="00C23AC9">
        <w:t>RO</w:t>
      </w:r>
      <w:r w:rsidRPr="00FF334E">
        <w:t>CS eligible midwives as at the valuation date</w:t>
      </w:r>
      <w:r w:rsidR="00621310" w:rsidRPr="00FF334E">
        <w:t xml:space="preserve">. </w:t>
      </w:r>
      <w:r w:rsidRPr="00FF334E">
        <w:t>Almost all have become eligible since 2017</w:t>
      </w:r>
      <w:r w:rsidR="00621310" w:rsidRPr="00FF334E">
        <w:noBreakHyphen/>
      </w:r>
      <w:r w:rsidRPr="00FF334E">
        <w:t>18</w:t>
      </w:r>
      <w:r w:rsidR="00EA1B32">
        <w:t xml:space="preserve"> and 14</w:t>
      </w:r>
      <w:r w:rsidR="002343CC">
        <w:t xml:space="preserve"> </w:t>
      </w:r>
      <w:r w:rsidRPr="00CE6682">
        <w:t xml:space="preserve">midwives </w:t>
      </w:r>
      <w:r w:rsidR="009C4988" w:rsidRPr="00CE6682">
        <w:t>appear to have</w:t>
      </w:r>
      <w:r w:rsidRPr="00CE6682">
        <w:t xml:space="preserve"> ceased eligibility</w:t>
      </w:r>
      <w:r w:rsidR="000C327A" w:rsidRPr="00FF334E">
        <w:t xml:space="preserve">. </w:t>
      </w:r>
      <w:r w:rsidR="009C4988" w:rsidRPr="00FF334E">
        <w:t xml:space="preserve">  </w:t>
      </w:r>
      <w:r w:rsidR="00621310" w:rsidRPr="00FF334E">
        <w:t xml:space="preserve"> </w:t>
      </w:r>
    </w:p>
    <w:p w14:paraId="5F2AEB94" w14:textId="5B128B5F" w:rsidR="00F602EB" w:rsidRDefault="00F602EB" w:rsidP="00D71BF6">
      <w:pPr>
        <w:pStyle w:val="ListParagraph"/>
        <w:numPr>
          <w:ilvl w:val="0"/>
          <w:numId w:val="33"/>
        </w:numPr>
      </w:pPr>
      <w:r w:rsidRPr="00FF334E">
        <w:t>Table 1 illustrates the breakup of new entrants by reason of eligibility, based on the data provided by MIGA</w:t>
      </w:r>
      <w:r w:rsidR="00621310" w:rsidRPr="00FF334E">
        <w:t xml:space="preserve">. </w:t>
      </w:r>
      <w:r w:rsidR="002335D3">
        <w:t xml:space="preserve">It </w:t>
      </w:r>
      <w:r w:rsidR="002335D3" w:rsidRPr="002335D3">
        <w:t>include</w:t>
      </w:r>
      <w:r w:rsidR="002335D3">
        <w:t>s</w:t>
      </w:r>
      <w:r w:rsidR="002335D3" w:rsidRPr="002335D3">
        <w:t xml:space="preserve"> repeated entries in different years</w:t>
      </w:r>
      <w:r w:rsidR="002335D3">
        <w:t>.</w:t>
      </w:r>
    </w:p>
    <w:p w14:paraId="20AD60C6" w14:textId="35F5EB93" w:rsidR="00765B05" w:rsidRPr="00FF334E" w:rsidRDefault="007B2124" w:rsidP="00D71BF6">
      <w:pPr>
        <w:pStyle w:val="ListParagraph"/>
        <w:numPr>
          <w:ilvl w:val="0"/>
          <w:numId w:val="33"/>
        </w:numPr>
      </w:pPr>
      <w:r>
        <w:t xml:space="preserve">A new category was created in 2020-21, </w:t>
      </w:r>
      <w:r w:rsidR="0071129B">
        <w:t xml:space="preserve">for new entrants who resigned under the age of 65 and gained immediate access to the Scheme. Before that, there was a </w:t>
      </w:r>
      <w:proofErr w:type="gramStart"/>
      <w:r w:rsidR="0071129B">
        <w:t>three year</w:t>
      </w:r>
      <w:proofErr w:type="gramEnd"/>
      <w:r w:rsidR="0071129B">
        <w:t xml:space="preserve"> waiting period</w:t>
      </w:r>
      <w:r w:rsidR="006052F1">
        <w:t xml:space="preserve">. This policy change caused a spike in new entrants in 2020-21 as </w:t>
      </w:r>
      <w:proofErr w:type="gramStart"/>
      <w:r w:rsidR="006052F1">
        <w:t>all of</w:t>
      </w:r>
      <w:proofErr w:type="gramEnd"/>
      <w:r w:rsidR="006052F1">
        <w:t xml:space="preserve"> the midwives who resigned within the last three years at the time became eligible at once. They are all </w:t>
      </w:r>
      <w:r w:rsidR="0087721E">
        <w:t>shown as</w:t>
      </w:r>
      <w:r w:rsidR="006052F1">
        <w:t xml:space="preserve"> “Resigned” in Table 1. </w:t>
      </w:r>
    </w:p>
    <w:p w14:paraId="6D6909BC" w14:textId="77777777" w:rsidR="007A06C2" w:rsidRDefault="00F602EB" w:rsidP="00166BEE">
      <w:pPr>
        <w:pStyle w:val="Caption"/>
      </w:pPr>
      <w:r w:rsidRPr="009B3146">
        <w:t xml:space="preserve">Table 1: </w:t>
      </w:r>
      <w:r w:rsidR="002630DA" w:rsidRPr="009B3146">
        <w:t>R</w:t>
      </w:r>
      <w:r w:rsidR="002630DA" w:rsidRPr="005D30E7">
        <w:t>un-Off</w:t>
      </w:r>
      <w:r w:rsidRPr="005D30E7">
        <w:t xml:space="preserve"> Cover Scheme new en</w:t>
      </w:r>
      <w:r w:rsidR="00514906" w:rsidRPr="005D30E7">
        <w:t>trants by reason of eligibility</w:t>
      </w:r>
    </w:p>
    <w:p w14:paraId="696EFF14" w14:textId="27ED7E00" w:rsidR="00F602EB" w:rsidRPr="00E514AF" w:rsidRDefault="009B3146" w:rsidP="00166BEE">
      <w:pPr>
        <w:pStyle w:val="Caption"/>
      </w:pPr>
      <w:r w:rsidRPr="009B3146">
        <w:rPr>
          <w:noProof/>
        </w:rPr>
        <w:drawing>
          <wp:inline distT="0" distB="0" distL="0" distR="0" wp14:anchorId="60A1B245" wp14:editId="487CD676">
            <wp:extent cx="4895850" cy="1148080"/>
            <wp:effectExtent l="0" t="0" r="0" b="0"/>
            <wp:docPr id="1835554727" name="Picture 1" descr="From 2019-20 to 2023-24, the total number of new entrants to the Run-Off Cover Scheme increased from 10 to 23 annually. The majority of entrants each year are due to resignation, with 10 resignations in all the years leading up to 2017-18, rising to 16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54727" name="Picture 1" descr="From 2019-20 to 2023-24, the total number of new entrants to the Run-Off Cover Scheme increased from 10 to 23 annually. The majority of entrants each year are due to resignation, with 10 resignations in all the years leading up to 2017-18, rising to 16 in 2023-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5850" cy="1148080"/>
                    </a:xfrm>
                    <a:prstGeom prst="rect">
                      <a:avLst/>
                    </a:prstGeom>
                    <a:noFill/>
                    <a:ln>
                      <a:noFill/>
                    </a:ln>
                  </pic:spPr>
                </pic:pic>
              </a:graphicData>
            </a:graphic>
          </wp:inline>
        </w:drawing>
      </w:r>
    </w:p>
    <w:p w14:paraId="6964C009" w14:textId="77338DB3" w:rsidR="00BD3E61" w:rsidRPr="00FF334E" w:rsidRDefault="00BD3E61" w:rsidP="00BD3E61"/>
    <w:p w14:paraId="2B4D83D9" w14:textId="0AC1783D" w:rsidR="008834D9" w:rsidRPr="00FF334E" w:rsidRDefault="008834D9" w:rsidP="00BF0DD8">
      <w:pPr>
        <w:pStyle w:val="Heading2"/>
        <w:numPr>
          <w:ilvl w:val="0"/>
          <w:numId w:val="31"/>
        </w:numPr>
      </w:pPr>
      <w:bookmarkStart w:id="31" w:name="_Toc192842021"/>
      <w:bookmarkStart w:id="32" w:name="_Toc63865411"/>
      <w:bookmarkStart w:id="33" w:name="_Toc63866212"/>
      <w:bookmarkStart w:id="34" w:name="_Toc63866542"/>
      <w:bookmarkStart w:id="35" w:name="_Toc63866674"/>
      <w:r w:rsidRPr="00FF334E">
        <w:t>Run</w:t>
      </w:r>
      <w:r w:rsidR="00621310" w:rsidRPr="00FF334E">
        <w:noBreakHyphen/>
      </w:r>
      <w:r w:rsidRPr="00FF334E">
        <w:t>off cover Commonwealth contributions</w:t>
      </w:r>
      <w:bookmarkEnd w:id="31"/>
    </w:p>
    <w:bookmarkEnd w:id="32"/>
    <w:bookmarkEnd w:id="33"/>
    <w:bookmarkEnd w:id="34"/>
    <w:bookmarkEnd w:id="35"/>
    <w:p w14:paraId="55FEA81A" w14:textId="5D9DC266" w:rsidR="00D10F98" w:rsidRPr="00FF334E" w:rsidRDefault="00D10F98" w:rsidP="00BF0DD8">
      <w:pPr>
        <w:pStyle w:val="ListParagraph"/>
        <w:numPr>
          <w:ilvl w:val="0"/>
          <w:numId w:val="23"/>
        </w:numPr>
        <w:ind w:left="737" w:hanging="737"/>
      </w:pPr>
      <w:r w:rsidRPr="00FF334E">
        <w:t>ROC Commonwealth contributions are the payments made by the Australian Government to MIGA as reimbursement of the costs of eligible claims.</w:t>
      </w:r>
    </w:p>
    <w:p w14:paraId="72970407" w14:textId="6A97F1A9" w:rsidR="008834D9" w:rsidRPr="00FF334E" w:rsidRDefault="008834D9">
      <w:pPr>
        <w:pStyle w:val="Heading3"/>
      </w:pPr>
      <w:r w:rsidRPr="00FF334E">
        <w:lastRenderedPageBreak/>
        <w:t>Eligibility</w:t>
      </w:r>
    </w:p>
    <w:p w14:paraId="50F1230A" w14:textId="50690365" w:rsidR="00F602EB" w:rsidRPr="00FF334E" w:rsidRDefault="00F602EB" w:rsidP="00D71BF6">
      <w:pPr>
        <w:pStyle w:val="ListParagraph"/>
        <w:numPr>
          <w:ilvl w:val="0"/>
          <w:numId w:val="23"/>
        </w:numPr>
        <w:ind w:left="737" w:hanging="737"/>
      </w:pPr>
      <w:r w:rsidRPr="00FF334E">
        <w:t>Appendix 3 describes claims which meet the criteria for reimbursement from the Australian Government through Run Off Cover Commonwealth contributions</w:t>
      </w:r>
      <w:r w:rsidR="00621310" w:rsidRPr="00FF334E">
        <w:t xml:space="preserve">. </w:t>
      </w:r>
      <w:r w:rsidRPr="00FF334E">
        <w:t>Broadly, the insurer (that is, MIGA) is entitled to reimbursement from the Australian Government for the costs of claims which:</w:t>
      </w:r>
    </w:p>
    <w:p w14:paraId="4DDA1D82" w14:textId="36FC5EF4" w:rsidR="00F602EB" w:rsidRPr="00FF334E" w:rsidRDefault="00F602EB" w:rsidP="00310684">
      <w:pPr>
        <w:pStyle w:val="Bullet"/>
        <w:tabs>
          <w:tab w:val="clear" w:pos="472"/>
          <w:tab w:val="num" w:pos="1305"/>
        </w:tabs>
        <w:ind w:left="1305"/>
      </w:pPr>
      <w:r w:rsidRPr="00FF334E">
        <w:t xml:space="preserve">are first notified to MIGA on or after 1 July </w:t>
      </w:r>
      <w:proofErr w:type="gramStart"/>
      <w:r w:rsidRPr="00FF334E">
        <w:t>2010</w:t>
      </w:r>
      <w:r w:rsidR="00427D9D">
        <w:t>;</w:t>
      </w:r>
      <w:proofErr w:type="gramEnd"/>
    </w:p>
    <w:p w14:paraId="43AAED20" w14:textId="0AD37506" w:rsidR="00F602EB" w:rsidRPr="00FF334E" w:rsidRDefault="00F602EB" w:rsidP="00310684">
      <w:pPr>
        <w:pStyle w:val="Bullet"/>
        <w:tabs>
          <w:tab w:val="clear" w:pos="472"/>
          <w:tab w:val="num" w:pos="1305"/>
        </w:tabs>
        <w:ind w:left="1305"/>
      </w:pPr>
      <w:r w:rsidRPr="00FF334E">
        <w:t xml:space="preserve">relate to an incident which occurs or occurred on or after 1 July </w:t>
      </w:r>
      <w:proofErr w:type="gramStart"/>
      <w:r w:rsidRPr="00FF334E">
        <w:t>2010</w:t>
      </w:r>
      <w:r w:rsidR="00427D9D">
        <w:t>;</w:t>
      </w:r>
      <w:proofErr w:type="gramEnd"/>
    </w:p>
    <w:p w14:paraId="0F57C9DB" w14:textId="059B23C7" w:rsidR="00F602EB" w:rsidRPr="00FF334E" w:rsidRDefault="00F602EB" w:rsidP="00310684">
      <w:pPr>
        <w:pStyle w:val="Bullet"/>
        <w:tabs>
          <w:tab w:val="clear" w:pos="472"/>
          <w:tab w:val="num" w:pos="1305"/>
        </w:tabs>
        <w:ind w:left="1305"/>
      </w:pPr>
      <w:r w:rsidRPr="00FF334E">
        <w:t>relate to a midwife who is eligible under the ROC Scheme at the date of notification</w:t>
      </w:r>
      <w:r w:rsidR="00745574" w:rsidRPr="00FF334E">
        <w:rPr>
          <w:vertAlign w:val="superscript"/>
        </w:rPr>
        <w:footnoteReference w:id="10"/>
      </w:r>
      <w:r w:rsidR="00427D9D">
        <w:t>; and</w:t>
      </w:r>
      <w:r w:rsidRPr="00FF334E">
        <w:rPr>
          <w:vertAlign w:val="superscript"/>
        </w:rPr>
        <w:t xml:space="preserve"> </w:t>
      </w:r>
    </w:p>
    <w:p w14:paraId="35E7993F" w14:textId="4517EF1B" w:rsidR="00F602EB" w:rsidRPr="00FF334E" w:rsidRDefault="00F602EB" w:rsidP="00310684">
      <w:pPr>
        <w:pStyle w:val="Bullet"/>
        <w:tabs>
          <w:tab w:val="clear" w:pos="472"/>
          <w:tab w:val="num" w:pos="1305"/>
        </w:tabs>
        <w:ind w:left="1305"/>
      </w:pPr>
      <w:r w:rsidRPr="00FF334E">
        <w:t xml:space="preserve">meet the other requirements for </w:t>
      </w:r>
      <w:r w:rsidR="00621310" w:rsidRPr="00FF334E">
        <w:t>‘</w:t>
      </w:r>
      <w:r w:rsidRPr="00FF334E">
        <w:t xml:space="preserve">payable </w:t>
      </w:r>
      <w:proofErr w:type="gramStart"/>
      <w:r w:rsidRPr="00FF334E">
        <w:t>claims</w:t>
      </w:r>
      <w:r w:rsidR="00621310" w:rsidRPr="00FF334E">
        <w:t>’</w:t>
      </w:r>
      <w:proofErr w:type="gramEnd"/>
      <w:r w:rsidRPr="00FF334E">
        <w:t>.</w:t>
      </w:r>
      <w:r w:rsidR="00745574" w:rsidRPr="00FF334E">
        <w:rPr>
          <w:vertAlign w:val="superscript"/>
        </w:rPr>
        <w:footnoteReference w:id="11"/>
      </w:r>
      <w:r w:rsidRPr="00FF334E">
        <w:rPr>
          <w:vertAlign w:val="superscript"/>
        </w:rPr>
        <w:t xml:space="preserve"> </w:t>
      </w:r>
    </w:p>
    <w:p w14:paraId="10EED2B1" w14:textId="602CF1A9" w:rsidR="00F602EB" w:rsidRPr="00FF334E" w:rsidRDefault="00CC01D1" w:rsidP="00D71BF6">
      <w:pPr>
        <w:pStyle w:val="ListParagraph"/>
        <w:numPr>
          <w:ilvl w:val="0"/>
          <w:numId w:val="23"/>
        </w:numPr>
        <w:ind w:left="737" w:hanging="737"/>
      </w:pPr>
      <w:r w:rsidRPr="00FF334E">
        <w:t xml:space="preserve">As </w:t>
      </w:r>
      <w:proofErr w:type="gramStart"/>
      <w:r w:rsidRPr="00FF334E">
        <w:t>at</w:t>
      </w:r>
      <w:proofErr w:type="gramEnd"/>
      <w:r w:rsidRPr="00FF334E">
        <w:t xml:space="preserve"> 30 June 202</w:t>
      </w:r>
      <w:r w:rsidR="009B3146">
        <w:t>4</w:t>
      </w:r>
      <w:r w:rsidR="00F602EB" w:rsidRPr="00FF334E">
        <w:t>, MIGA has not identified any claim as potentially being eligible for the Scheme.</w:t>
      </w:r>
    </w:p>
    <w:p w14:paraId="35158ABF" w14:textId="67A1E64A" w:rsidR="00F602EB" w:rsidRPr="00FF334E" w:rsidRDefault="008834D9" w:rsidP="00BF0DD8">
      <w:pPr>
        <w:pStyle w:val="Heading3"/>
      </w:pPr>
      <w:bookmarkStart w:id="36" w:name="_Toc63865412"/>
      <w:bookmarkStart w:id="37" w:name="_Toc63866213"/>
      <w:bookmarkStart w:id="38" w:name="_Toc63866543"/>
      <w:bookmarkStart w:id="39" w:name="_Toc63866675"/>
      <w:r w:rsidRPr="00FF334E">
        <w:t>C</w:t>
      </w:r>
      <w:r w:rsidR="00C017BE" w:rsidRPr="00FF334E">
        <w:t>ontribution</w:t>
      </w:r>
      <w:bookmarkEnd w:id="36"/>
      <w:bookmarkEnd w:id="37"/>
      <w:bookmarkEnd w:id="38"/>
      <w:bookmarkEnd w:id="39"/>
    </w:p>
    <w:p w14:paraId="2A1066F4" w14:textId="5553225E" w:rsidR="00F602EB" w:rsidRPr="00FF334E" w:rsidRDefault="00F602EB" w:rsidP="00BF0DD8">
      <w:pPr>
        <w:pStyle w:val="ListParagraph"/>
        <w:numPr>
          <w:ilvl w:val="0"/>
          <w:numId w:val="23"/>
        </w:numPr>
        <w:ind w:left="737" w:hanging="737"/>
      </w:pPr>
      <w:r w:rsidRPr="00FF334E">
        <w:t>If a claim is eligible for Level 1 or Level 2 Commonwealth contributions, then the amount of the ROC Commonwealth contribution is reduced by the amount of the Level 1 or Level 2 Commonwealth contribution.</w:t>
      </w:r>
    </w:p>
    <w:p w14:paraId="524A6958" w14:textId="0BA29FAC" w:rsidR="00F602EB" w:rsidRPr="00FF334E" w:rsidRDefault="00F602EB" w:rsidP="00BF0DD8">
      <w:pPr>
        <w:pStyle w:val="ListParagraph"/>
        <w:numPr>
          <w:ilvl w:val="0"/>
          <w:numId w:val="23"/>
        </w:numPr>
        <w:ind w:left="737" w:hanging="737"/>
      </w:pPr>
      <w:r w:rsidRPr="00FF334E">
        <w:t>No ROC Commonwealth contri</w:t>
      </w:r>
      <w:r w:rsidR="00CC01D1" w:rsidRPr="00FF334E">
        <w:t>butions were made during 20</w:t>
      </w:r>
      <w:r w:rsidR="00D11D28" w:rsidRPr="00FF334E">
        <w:t>2</w:t>
      </w:r>
      <w:r w:rsidR="009B3146">
        <w:t>3</w:t>
      </w:r>
      <w:r w:rsidR="00621310" w:rsidRPr="00FF334E">
        <w:noBreakHyphen/>
      </w:r>
      <w:r w:rsidR="00CC01D1" w:rsidRPr="00FF334E">
        <w:t>2</w:t>
      </w:r>
      <w:r w:rsidR="009B3146">
        <w:t>4</w:t>
      </w:r>
      <w:r w:rsidR="00621310" w:rsidRPr="00FF334E">
        <w:t xml:space="preserve">. </w:t>
      </w:r>
      <w:r w:rsidRPr="00FF334E">
        <w:t>No ROC Commonwealth contributions have been made since the inception of the Scheme.</w:t>
      </w:r>
    </w:p>
    <w:p w14:paraId="34756689" w14:textId="2D5F62A2" w:rsidR="00F602EB" w:rsidRPr="00FF334E" w:rsidRDefault="00F602EB" w:rsidP="00BF0DD8">
      <w:pPr>
        <w:pStyle w:val="ListParagraph"/>
        <w:numPr>
          <w:ilvl w:val="0"/>
          <w:numId w:val="23"/>
        </w:numPr>
        <w:ind w:left="737" w:hanging="737"/>
      </w:pPr>
      <w:r w:rsidRPr="00FF334E">
        <w:t>The Commonwealth</w:t>
      </w:r>
      <w:r w:rsidR="00621310" w:rsidRPr="00FF334E">
        <w:t>’</w:t>
      </w:r>
      <w:r w:rsidRPr="00FF334E">
        <w:t>s own administration costs are funded separately and so are not considered in this report.</w:t>
      </w:r>
    </w:p>
    <w:p w14:paraId="16EB650C" w14:textId="737434CD" w:rsidR="00F602EB" w:rsidRPr="00FF334E" w:rsidRDefault="00C017BE" w:rsidP="007A0BC5">
      <w:pPr>
        <w:pStyle w:val="Heading2"/>
        <w:numPr>
          <w:ilvl w:val="0"/>
          <w:numId w:val="31"/>
        </w:numPr>
      </w:pPr>
      <w:bookmarkStart w:id="40" w:name="_Toc192842022"/>
      <w:r w:rsidRPr="00FF334E">
        <w:t>Run</w:t>
      </w:r>
      <w:r w:rsidR="00621310" w:rsidRPr="00FF334E">
        <w:noBreakHyphen/>
      </w:r>
      <w:r w:rsidRPr="00FF334E">
        <w:t xml:space="preserve">off cover support </w:t>
      </w:r>
      <w:r w:rsidR="00AD7BCB" w:rsidRPr="00FF334E">
        <w:t>payments</w:t>
      </w:r>
      <w:bookmarkEnd w:id="40"/>
    </w:p>
    <w:p w14:paraId="5F903794" w14:textId="31CB39D2" w:rsidR="00F602EB" w:rsidRPr="00FF334E" w:rsidRDefault="00F602EB" w:rsidP="007A0BC5">
      <w:pPr>
        <w:pStyle w:val="OutlineNumbered1"/>
        <w:keepNext/>
        <w:numPr>
          <w:ilvl w:val="0"/>
          <w:numId w:val="46"/>
        </w:numPr>
        <w:ind w:left="709" w:hanging="709"/>
      </w:pPr>
      <w:r w:rsidRPr="00FF334E">
        <w:t>ROC support payments are paid to Services Australia in the form of an annual lump sum imposed as a tax on MIGA from 1 July 2010 under the ROCSPA.</w:t>
      </w:r>
    </w:p>
    <w:p w14:paraId="3AB107C6" w14:textId="64E6EAC4" w:rsidR="00F602EB" w:rsidRPr="00FF334E" w:rsidRDefault="00F602EB" w:rsidP="007A0BC5">
      <w:pPr>
        <w:pStyle w:val="OutlineNumbered1"/>
        <w:numPr>
          <w:ilvl w:val="0"/>
          <w:numId w:val="46"/>
        </w:numPr>
        <w:ind w:left="709" w:hanging="709"/>
      </w:pPr>
      <w:r w:rsidRPr="00FF334E">
        <w:t>The amount of ROC support payments is calculated using a method set out in the ROCSPA</w:t>
      </w:r>
      <w:r w:rsidR="00621310" w:rsidRPr="00FF334E">
        <w:t xml:space="preserve">. </w:t>
      </w:r>
      <w:r w:rsidRPr="00FF334E">
        <w:t>Appendix 1 describes the calculation in detail</w:t>
      </w:r>
      <w:r w:rsidR="00621310" w:rsidRPr="00FF334E">
        <w:t xml:space="preserve">. </w:t>
      </w:r>
      <w:r w:rsidRPr="00FF334E">
        <w:t>Very briefly, it is based on:</w:t>
      </w:r>
    </w:p>
    <w:p w14:paraId="34841D0F" w14:textId="77777777" w:rsidR="00F602EB" w:rsidRPr="00FF334E" w:rsidRDefault="00F602EB" w:rsidP="00A25462">
      <w:pPr>
        <w:pStyle w:val="ListParagraph"/>
      </w:pPr>
      <w:r w:rsidRPr="00FF334E">
        <w:lastRenderedPageBreak/>
        <w:t>Applicable rate × (premium income less taxes and charges) ÷ (1 + applicable rate).</w:t>
      </w:r>
    </w:p>
    <w:p w14:paraId="4B5B9207" w14:textId="4FDDE1D6" w:rsidR="00F602EB" w:rsidRPr="00C74213" w:rsidRDefault="00CC01D1" w:rsidP="007A0BC5">
      <w:pPr>
        <w:pStyle w:val="OutlineNumbered1"/>
        <w:numPr>
          <w:ilvl w:val="0"/>
          <w:numId w:val="46"/>
        </w:numPr>
        <w:ind w:left="709" w:hanging="709"/>
      </w:pPr>
      <w:r w:rsidRPr="00C74213">
        <w:t>In 20</w:t>
      </w:r>
      <w:r w:rsidR="00911148" w:rsidRPr="00C74213">
        <w:t>2</w:t>
      </w:r>
      <w:r w:rsidR="0055342C" w:rsidRPr="00C74213">
        <w:t>3</w:t>
      </w:r>
      <w:r w:rsidR="00621310" w:rsidRPr="00C74213">
        <w:noBreakHyphen/>
      </w:r>
      <w:r w:rsidRPr="00C74213">
        <w:t>2</w:t>
      </w:r>
      <w:r w:rsidR="0055342C" w:rsidRPr="00C74213">
        <w:t>4</w:t>
      </w:r>
      <w:r w:rsidR="00F602EB" w:rsidRPr="00C74213">
        <w:t>, the applicable rate was 10 per cent.</w:t>
      </w:r>
    </w:p>
    <w:p w14:paraId="12FDFE9F" w14:textId="59BEA437" w:rsidR="00F602EB" w:rsidRPr="00FC1943" w:rsidRDefault="00CC01D1" w:rsidP="007A0BC5">
      <w:pPr>
        <w:pStyle w:val="OutlineNumbered1"/>
        <w:numPr>
          <w:ilvl w:val="0"/>
          <w:numId w:val="46"/>
        </w:numPr>
        <w:ind w:left="709" w:hanging="709"/>
      </w:pPr>
      <w:r w:rsidRPr="00FC1943">
        <w:t>In total, $</w:t>
      </w:r>
      <w:r w:rsidR="00C04A9F" w:rsidRPr="00FC1943">
        <w:t xml:space="preserve">77,413 </w:t>
      </w:r>
      <w:r w:rsidR="00F602EB" w:rsidRPr="00FC1943">
        <w:t>ROC support paymen</w:t>
      </w:r>
      <w:r w:rsidR="000E7FB1" w:rsidRPr="00FC1943">
        <w:t xml:space="preserve">ts </w:t>
      </w:r>
      <w:r w:rsidR="005C4286" w:rsidRPr="00FC1943">
        <w:t xml:space="preserve">(net of ROC amendments) </w:t>
      </w:r>
      <w:r w:rsidR="000E7FB1" w:rsidRPr="00FC1943">
        <w:t>were received</w:t>
      </w:r>
      <w:r w:rsidR="004B1826" w:rsidRPr="00FC1943">
        <w:t xml:space="preserve"> </w:t>
      </w:r>
      <w:r w:rsidR="000E7FB1" w:rsidRPr="00FC1943">
        <w:t>during the 20</w:t>
      </w:r>
      <w:r w:rsidR="00455A5D" w:rsidRPr="00FC1943">
        <w:t>2</w:t>
      </w:r>
      <w:r w:rsidR="00C04A9F" w:rsidRPr="00FC1943">
        <w:t>3</w:t>
      </w:r>
      <w:r w:rsidR="00621310" w:rsidRPr="00FC1943">
        <w:noBreakHyphen/>
      </w:r>
      <w:r w:rsidR="000E7FB1" w:rsidRPr="00FC1943">
        <w:t>2</w:t>
      </w:r>
      <w:r w:rsidR="00C04A9F" w:rsidRPr="00FC1943">
        <w:t>4</w:t>
      </w:r>
      <w:r w:rsidR="00F602EB" w:rsidRPr="00FC1943">
        <w:t xml:space="preserve"> financial year.</w:t>
      </w:r>
    </w:p>
    <w:p w14:paraId="351DD8B4" w14:textId="79BC25BD" w:rsidR="00F602EB" w:rsidRPr="00FF334E" w:rsidRDefault="00F602EB" w:rsidP="007A0BC5">
      <w:pPr>
        <w:pStyle w:val="OutlineNumbered1"/>
        <w:numPr>
          <w:ilvl w:val="0"/>
          <w:numId w:val="46"/>
        </w:numPr>
        <w:ind w:left="709" w:hanging="709"/>
      </w:pPr>
      <w:proofErr w:type="gramStart"/>
      <w:r w:rsidRPr="00FF334E">
        <w:t>In order to</w:t>
      </w:r>
      <w:proofErr w:type="gramEnd"/>
      <w:r w:rsidRPr="00FF334E">
        <w:t xml:space="preserve"> provide full transparency for midwives, MIGA is required to attribute ROC support payments to individual policyholders</w:t>
      </w:r>
      <w:r w:rsidR="00621310" w:rsidRPr="00FF334E">
        <w:t xml:space="preserve">. </w:t>
      </w:r>
      <w:r w:rsidRPr="00FF334E">
        <w:t>Each premium notice specifies the amount that has been included in the policyholder</w:t>
      </w:r>
      <w:r w:rsidR="00621310" w:rsidRPr="00FF334E">
        <w:t>’</w:t>
      </w:r>
      <w:r w:rsidRPr="00FF334E">
        <w:t>s invoice to meet MIGA</w:t>
      </w:r>
      <w:r w:rsidR="00621310" w:rsidRPr="00FF334E">
        <w:t>’</w:t>
      </w:r>
      <w:r w:rsidRPr="00FF334E">
        <w:t>s ROC support payment obligations</w:t>
      </w:r>
      <w:r w:rsidR="00621310" w:rsidRPr="00FF334E">
        <w:t xml:space="preserve">. </w:t>
      </w:r>
      <w:r w:rsidRPr="00FF334E">
        <w:t>All amounts are reported to Services Australia, which maintains a record of each midwife</w:t>
      </w:r>
      <w:r w:rsidR="00621310" w:rsidRPr="00FF334E">
        <w:t>’</w:t>
      </w:r>
      <w:r w:rsidRPr="00FF334E">
        <w:t xml:space="preserve">s total </w:t>
      </w:r>
      <w:r w:rsidR="002630DA">
        <w:t>run-off</w:t>
      </w:r>
      <w:r w:rsidRPr="00FF334E">
        <w:t xml:space="preserve"> cover credit</w:t>
      </w:r>
      <w:r w:rsidR="00621310" w:rsidRPr="00FF334E">
        <w:t xml:space="preserve">. </w:t>
      </w:r>
      <w:r w:rsidRPr="00FF334E">
        <w:t xml:space="preserve">Interest is applied to this balance annually at </w:t>
      </w:r>
      <w:r w:rsidR="004054D5" w:rsidRPr="00FF334E">
        <w:t>an appropriate</w:t>
      </w:r>
      <w:r w:rsidRPr="00FF334E">
        <w:t xml:space="preserve"> rate in accordance with section 44 of the Act</w:t>
      </w:r>
      <w:r w:rsidR="004E423B" w:rsidRPr="00FF334E">
        <w:rPr>
          <w:vertAlign w:val="superscript"/>
        </w:rPr>
        <w:footnoteReference w:id="12"/>
      </w:r>
      <w:r w:rsidRPr="00FF334E">
        <w:t>.</w:t>
      </w:r>
    </w:p>
    <w:p w14:paraId="550F3B0B" w14:textId="33F65522" w:rsidR="00F602EB" w:rsidRPr="00FF334E" w:rsidRDefault="00F602EB" w:rsidP="007A0BC5">
      <w:pPr>
        <w:pStyle w:val="OutlineNumbered1"/>
        <w:numPr>
          <w:ilvl w:val="0"/>
          <w:numId w:val="46"/>
        </w:numPr>
        <w:ind w:left="709" w:hanging="709"/>
      </w:pPr>
      <w:r w:rsidRPr="00FF334E">
        <w:t>Division 4 of the Act provides for certain payments, should the Scheme ever be wound up without alternative arrangements being put in place</w:t>
      </w:r>
      <w:r w:rsidR="00621310" w:rsidRPr="00FF334E">
        <w:t xml:space="preserve">. </w:t>
      </w:r>
      <w:r w:rsidR="00AD7BCB" w:rsidRPr="00FF334E">
        <w:t>M</w:t>
      </w:r>
      <w:r w:rsidRPr="00FF334E">
        <w:t xml:space="preserve">idwives who </w:t>
      </w:r>
      <w:r w:rsidR="00AD7BCB" w:rsidRPr="00FF334E">
        <w:t xml:space="preserve">are </w:t>
      </w:r>
      <w:r w:rsidRPr="00FF334E">
        <w:t xml:space="preserve">still practising at the time of the wind up of the ROC Scheme </w:t>
      </w:r>
      <w:r w:rsidR="00AD7BCB" w:rsidRPr="00FF334E">
        <w:t xml:space="preserve">will </w:t>
      </w:r>
      <w:r w:rsidRPr="00FF334E">
        <w:t xml:space="preserve">be entitled to have an amount not exceeding their total </w:t>
      </w:r>
      <w:r w:rsidR="002630DA">
        <w:t>run-off</w:t>
      </w:r>
      <w:r w:rsidRPr="00FF334E">
        <w:t xml:space="preserve"> cover credit paid to their nominated professional indemnity provider</w:t>
      </w:r>
      <w:r w:rsidR="00621310" w:rsidRPr="00FF334E">
        <w:t xml:space="preserve">. </w:t>
      </w:r>
      <w:r w:rsidRPr="00FF334E">
        <w:t xml:space="preserve">Midwives who </w:t>
      </w:r>
      <w:r w:rsidR="00AD7BCB" w:rsidRPr="00FF334E">
        <w:t xml:space="preserve">are </w:t>
      </w:r>
      <w:r w:rsidRPr="00FF334E">
        <w:t xml:space="preserve">eligible for the ROC Scheme at the time of its wind up </w:t>
      </w:r>
      <w:r w:rsidR="00AD7BCB" w:rsidRPr="00FF334E">
        <w:t xml:space="preserve">will </w:t>
      </w:r>
      <w:r w:rsidRPr="00FF334E">
        <w:t xml:space="preserve">not be entitled to any refund but </w:t>
      </w:r>
      <w:r w:rsidR="00AD7BCB" w:rsidRPr="00FF334E">
        <w:t xml:space="preserve">will </w:t>
      </w:r>
      <w:r w:rsidRPr="00FF334E">
        <w:t>continue to be covered for any future claims that might emerge.</w:t>
      </w:r>
    </w:p>
    <w:p w14:paraId="6F7D1FF4" w14:textId="42FC9662" w:rsidR="0098347F" w:rsidRPr="00FF334E" w:rsidRDefault="00F602EB" w:rsidP="00F602EB">
      <w:r w:rsidRPr="00FF334E">
        <w:t xml:space="preserve"> </w:t>
      </w:r>
    </w:p>
    <w:p w14:paraId="6F21FD2C" w14:textId="77777777" w:rsidR="0098347F" w:rsidRPr="00FF334E" w:rsidRDefault="0098347F">
      <w:pPr>
        <w:spacing w:after="200" w:line="276" w:lineRule="auto"/>
        <w:jc w:val="left"/>
      </w:pPr>
      <w:r w:rsidRPr="00FF334E">
        <w:br w:type="page"/>
      </w:r>
    </w:p>
    <w:p w14:paraId="2E3FBF2A" w14:textId="2432F983" w:rsidR="00F602EB" w:rsidRPr="00FF334E" w:rsidRDefault="005902BA" w:rsidP="005902BA">
      <w:pPr>
        <w:pStyle w:val="Heading1"/>
        <w:numPr>
          <w:ilvl w:val="0"/>
          <w:numId w:val="25"/>
        </w:numPr>
        <w:ind w:left="709" w:hanging="709"/>
      </w:pPr>
      <w:bookmarkStart w:id="41" w:name="_Toc192842023"/>
      <w:bookmarkStart w:id="42" w:name="_Toc63865414"/>
      <w:bookmarkStart w:id="43" w:name="_Toc63866215"/>
      <w:bookmarkStart w:id="44" w:name="_Toc63866545"/>
      <w:bookmarkStart w:id="45" w:name="_Toc63866677"/>
      <w:r w:rsidRPr="00FF334E">
        <w:lastRenderedPageBreak/>
        <w:t>Financial</w:t>
      </w:r>
      <w:r w:rsidR="00F602EB" w:rsidRPr="00FF334E">
        <w:t xml:space="preserve"> </w:t>
      </w:r>
      <w:r w:rsidRPr="00FF334E">
        <w:t>management of the run</w:t>
      </w:r>
      <w:r w:rsidR="00621310" w:rsidRPr="00FF334E">
        <w:noBreakHyphen/>
      </w:r>
      <w:r w:rsidRPr="00FF334E">
        <w:t>off cover scheme</w:t>
      </w:r>
      <w:bookmarkEnd w:id="41"/>
      <w:r w:rsidRPr="00FF334E">
        <w:t xml:space="preserve"> </w:t>
      </w:r>
      <w:bookmarkEnd w:id="42"/>
      <w:bookmarkEnd w:id="43"/>
      <w:bookmarkEnd w:id="44"/>
      <w:bookmarkEnd w:id="45"/>
    </w:p>
    <w:p w14:paraId="5E957AE8" w14:textId="1587BFB0" w:rsidR="00F602EB" w:rsidRPr="00FF334E" w:rsidRDefault="000E7FB1" w:rsidP="00D71BF6">
      <w:pPr>
        <w:pStyle w:val="Heading2"/>
        <w:numPr>
          <w:ilvl w:val="0"/>
          <w:numId w:val="35"/>
        </w:numPr>
      </w:pPr>
      <w:bookmarkStart w:id="46" w:name="_Toc63865415"/>
      <w:bookmarkStart w:id="47" w:name="_Toc63866216"/>
      <w:bookmarkStart w:id="48" w:name="_Toc63866546"/>
      <w:bookmarkStart w:id="49" w:name="_Toc63866678"/>
      <w:bookmarkStart w:id="50" w:name="_Toc192842024"/>
      <w:r w:rsidRPr="00EC20E8">
        <w:t>20</w:t>
      </w:r>
      <w:r w:rsidR="00911148" w:rsidRPr="00EC20E8">
        <w:t>2</w:t>
      </w:r>
      <w:r w:rsidR="005A1CE5" w:rsidRPr="00EC20E8">
        <w:t>3</w:t>
      </w:r>
      <w:r w:rsidR="00621310" w:rsidRPr="00EC20E8">
        <w:noBreakHyphen/>
      </w:r>
      <w:r w:rsidRPr="00EC20E8">
        <w:t>2</w:t>
      </w:r>
      <w:r w:rsidR="005A1CE5" w:rsidRPr="00EC20E8">
        <w:t>4</w:t>
      </w:r>
      <w:r w:rsidR="00F602EB" w:rsidRPr="00FF334E">
        <w:t xml:space="preserve"> </w:t>
      </w:r>
      <w:bookmarkEnd w:id="46"/>
      <w:bookmarkEnd w:id="47"/>
      <w:bookmarkEnd w:id="48"/>
      <w:bookmarkEnd w:id="49"/>
      <w:r w:rsidR="00C017BE" w:rsidRPr="00FF334E">
        <w:t>cash flow</w:t>
      </w:r>
      <w:bookmarkEnd w:id="50"/>
    </w:p>
    <w:p w14:paraId="27990F84" w14:textId="517689D8" w:rsidR="00F602EB" w:rsidRPr="00950DAC" w:rsidRDefault="00F602EB" w:rsidP="00B610A0">
      <w:pPr>
        <w:pStyle w:val="ListParagraph"/>
        <w:numPr>
          <w:ilvl w:val="0"/>
          <w:numId w:val="36"/>
        </w:numPr>
      </w:pPr>
      <w:r w:rsidRPr="00FF334E">
        <w:t xml:space="preserve">Table 2 sets out the cash flow statement </w:t>
      </w:r>
      <w:r w:rsidR="000E7FB1" w:rsidRPr="00FF334E">
        <w:t xml:space="preserve">of the Notional Account </w:t>
      </w:r>
      <w:r w:rsidR="000E7FB1" w:rsidRPr="00950DAC">
        <w:t>for 20</w:t>
      </w:r>
      <w:r w:rsidR="00911148" w:rsidRPr="00950DAC">
        <w:t>2</w:t>
      </w:r>
      <w:r w:rsidR="005A1CE5" w:rsidRPr="00950DAC">
        <w:t>3</w:t>
      </w:r>
      <w:r w:rsidR="00621310" w:rsidRPr="00950DAC">
        <w:noBreakHyphen/>
      </w:r>
      <w:r w:rsidR="000E7FB1" w:rsidRPr="00950DAC">
        <w:t>2</w:t>
      </w:r>
      <w:r w:rsidR="005A1CE5" w:rsidRPr="00950DAC">
        <w:t>4</w:t>
      </w:r>
      <w:r w:rsidR="00621310" w:rsidRPr="00950DAC">
        <w:t xml:space="preserve">. </w:t>
      </w:r>
    </w:p>
    <w:p w14:paraId="15904868" w14:textId="5FDF80FA" w:rsidR="00F602EB" w:rsidRDefault="00F602EB" w:rsidP="00166BEE">
      <w:pPr>
        <w:pStyle w:val="Caption"/>
      </w:pPr>
      <w:r w:rsidRPr="006507CE">
        <w:t>Table 2: Cash</w:t>
      </w:r>
      <w:r w:rsidRPr="005D30E7">
        <w:t xml:space="preserve"> flow statement of the Notional Account 20</w:t>
      </w:r>
      <w:r w:rsidR="00911148" w:rsidRPr="005D30E7">
        <w:t>2</w:t>
      </w:r>
      <w:r w:rsidR="006266C7">
        <w:t>3</w:t>
      </w:r>
      <w:r w:rsidR="00621310" w:rsidRPr="005D30E7">
        <w:noBreakHyphen/>
      </w:r>
      <w:r w:rsidR="000E7FB1" w:rsidRPr="005D30E7">
        <w:t>2</w:t>
      </w:r>
      <w:r w:rsidR="006266C7">
        <w:t>4</w:t>
      </w:r>
      <w:r w:rsidRPr="005D30E7">
        <w:t xml:space="preserve"> </w:t>
      </w:r>
    </w:p>
    <w:p w14:paraId="6254A63B" w14:textId="6082AD6F" w:rsidR="00EB439E" w:rsidRPr="00EB439E" w:rsidRDefault="00166329" w:rsidP="00166329">
      <w:pPr>
        <w:spacing w:before="120" w:line="240" w:lineRule="auto"/>
      </w:pPr>
      <w:r w:rsidRPr="00166329">
        <w:rPr>
          <w:noProof/>
        </w:rPr>
        <w:drawing>
          <wp:inline distT="0" distB="0" distL="0" distR="0" wp14:anchorId="20F5AC8F" wp14:editId="060C9464">
            <wp:extent cx="4895850" cy="804545"/>
            <wp:effectExtent l="0" t="0" r="0" b="0"/>
            <wp:docPr id="272440716" name="Picture 1" descr="The total net cashflow for 2023-24 is $89,636, consisting of ROC support payments of $77,413 and notional interest of $12,223. There were no ROC Commonwealth contributions made thi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5850" cy="804545"/>
                    </a:xfrm>
                    <a:prstGeom prst="rect">
                      <a:avLst/>
                    </a:prstGeom>
                    <a:noFill/>
                    <a:ln>
                      <a:noFill/>
                    </a:ln>
                  </pic:spPr>
                </pic:pic>
              </a:graphicData>
            </a:graphic>
          </wp:inline>
        </w:drawing>
      </w:r>
    </w:p>
    <w:p w14:paraId="516D509D" w14:textId="017AA1E6" w:rsidR="00F602EB" w:rsidRPr="00FF334E" w:rsidRDefault="00C017BE" w:rsidP="00D71BF6">
      <w:pPr>
        <w:pStyle w:val="Heading2"/>
        <w:numPr>
          <w:ilvl w:val="0"/>
          <w:numId w:val="35"/>
        </w:numPr>
      </w:pPr>
      <w:bookmarkStart w:id="51" w:name="_Toc63865416"/>
      <w:bookmarkStart w:id="52" w:name="_Toc63866217"/>
      <w:bookmarkStart w:id="53" w:name="_Toc63866547"/>
      <w:bookmarkStart w:id="54" w:name="_Toc63866679"/>
      <w:bookmarkStart w:id="55" w:name="_Toc192842025"/>
      <w:r w:rsidRPr="00FF334E">
        <w:t>Experience and model</w:t>
      </w:r>
      <w:bookmarkEnd w:id="51"/>
      <w:bookmarkEnd w:id="52"/>
      <w:bookmarkEnd w:id="53"/>
      <w:bookmarkEnd w:id="54"/>
      <w:bookmarkEnd w:id="55"/>
    </w:p>
    <w:p w14:paraId="69BA8780" w14:textId="09975B9B" w:rsidR="00F602EB" w:rsidRPr="00B7407D" w:rsidRDefault="00F602EB" w:rsidP="00F602EB">
      <w:pPr>
        <w:pStyle w:val="Heading3"/>
      </w:pPr>
      <w:bookmarkStart w:id="56" w:name="_Toc63865417"/>
      <w:bookmarkStart w:id="57" w:name="_Toc63866218"/>
      <w:bookmarkStart w:id="58" w:name="_Toc63866548"/>
      <w:bookmarkStart w:id="59" w:name="_Toc63866680"/>
      <w:r w:rsidRPr="00B7407D">
        <w:t>C</w:t>
      </w:r>
      <w:r w:rsidR="005708C8" w:rsidRPr="00B7407D">
        <w:t>omment on experience during 20</w:t>
      </w:r>
      <w:r w:rsidR="008E25DB" w:rsidRPr="00B7407D">
        <w:t>2</w:t>
      </w:r>
      <w:r w:rsidR="00667D9B" w:rsidRPr="00B7407D">
        <w:t>3</w:t>
      </w:r>
      <w:r w:rsidR="00621310" w:rsidRPr="00B7407D">
        <w:noBreakHyphen/>
      </w:r>
      <w:bookmarkEnd w:id="56"/>
      <w:bookmarkEnd w:id="57"/>
      <w:bookmarkEnd w:id="58"/>
      <w:bookmarkEnd w:id="59"/>
      <w:r w:rsidR="005708C8" w:rsidRPr="00B7407D">
        <w:t>2</w:t>
      </w:r>
      <w:r w:rsidR="00667D9B" w:rsidRPr="00B7407D">
        <w:t>4</w:t>
      </w:r>
    </w:p>
    <w:p w14:paraId="33ED2BFE" w14:textId="57087000" w:rsidR="00F602EB" w:rsidRPr="00B7407D" w:rsidRDefault="00F602EB" w:rsidP="00D71BF6">
      <w:pPr>
        <w:pStyle w:val="ListParagraph"/>
        <w:numPr>
          <w:ilvl w:val="0"/>
          <w:numId w:val="37"/>
        </w:numPr>
        <w:ind w:left="737" w:hanging="737"/>
      </w:pPr>
      <w:r w:rsidRPr="00B7407D">
        <w:t>In the last report, we expected</w:t>
      </w:r>
      <w:r w:rsidR="00AF381E">
        <w:t xml:space="preserve"> no</w:t>
      </w:r>
      <w:r w:rsidRPr="00B7407D">
        <w:t xml:space="preserve"> payments to be made by Services Australia during 20</w:t>
      </w:r>
      <w:r w:rsidR="00871199" w:rsidRPr="00B7407D">
        <w:t>2</w:t>
      </w:r>
      <w:r w:rsidR="00372791" w:rsidRPr="00B7407D">
        <w:t>3</w:t>
      </w:r>
      <w:r w:rsidR="00621310" w:rsidRPr="00B7407D">
        <w:noBreakHyphen/>
      </w:r>
      <w:r w:rsidR="005708C8" w:rsidRPr="00B7407D">
        <w:t>2</w:t>
      </w:r>
      <w:r w:rsidR="00372791" w:rsidRPr="00B7407D">
        <w:t>4</w:t>
      </w:r>
      <w:r w:rsidRPr="00B7407D">
        <w:t xml:space="preserve"> and around </w:t>
      </w:r>
      <w:r w:rsidR="001F2AE7" w:rsidRPr="00B7407D">
        <w:t>$</w:t>
      </w:r>
      <w:r w:rsidR="00372791" w:rsidRPr="00B7407D">
        <w:t>72</w:t>
      </w:r>
      <w:r w:rsidR="00FC42C7" w:rsidRPr="00B7407D">
        <w:t>,000</w:t>
      </w:r>
      <w:r w:rsidRPr="00B7407D">
        <w:t xml:space="preserve"> to be accrued by the Notional Account for incidents th</w:t>
      </w:r>
      <w:r w:rsidR="005708C8" w:rsidRPr="00B7407D">
        <w:t xml:space="preserve">at have occurred </w:t>
      </w:r>
      <w:r w:rsidR="00280849" w:rsidRPr="00B7407D">
        <w:t>in 202</w:t>
      </w:r>
      <w:r w:rsidR="00FC42C7" w:rsidRPr="00B7407D">
        <w:t>3</w:t>
      </w:r>
      <w:r w:rsidR="00280849" w:rsidRPr="00B7407D">
        <w:t>-</w:t>
      </w:r>
      <w:r w:rsidR="005708C8" w:rsidRPr="00B7407D">
        <w:t>2</w:t>
      </w:r>
      <w:r w:rsidR="00FC42C7" w:rsidRPr="00B7407D">
        <w:t>4</w:t>
      </w:r>
      <w:r w:rsidRPr="00B7407D">
        <w:t xml:space="preserve"> which will give rise to ROC Commonwealth contributions</w:t>
      </w:r>
      <w:r w:rsidR="00621310" w:rsidRPr="00B7407D">
        <w:t xml:space="preserve">. </w:t>
      </w:r>
      <w:r w:rsidRPr="00B7407D">
        <w:t>In reality, no payment</w:t>
      </w:r>
      <w:r w:rsidR="000B7BED" w:rsidRPr="00B7407D">
        <w:t>s were</w:t>
      </w:r>
      <w:r w:rsidRPr="00B7407D">
        <w:t xml:space="preserve"> made by Services Australia during the year and MIGA has </w:t>
      </w:r>
      <w:r w:rsidR="005708C8" w:rsidRPr="00B7407D">
        <w:t xml:space="preserve">advised that, as </w:t>
      </w:r>
      <w:proofErr w:type="gramStart"/>
      <w:r w:rsidR="005708C8" w:rsidRPr="00B7407D">
        <w:t>at</w:t>
      </w:r>
      <w:proofErr w:type="gramEnd"/>
      <w:r w:rsidR="005708C8" w:rsidRPr="00B7407D">
        <w:t xml:space="preserve"> 30 June 20</w:t>
      </w:r>
      <w:r w:rsidR="00FC42C7" w:rsidRPr="00B7407D">
        <w:t>24</w:t>
      </w:r>
      <w:r w:rsidRPr="00B7407D">
        <w:t>, no claim</w:t>
      </w:r>
      <w:r w:rsidR="000B7BED" w:rsidRPr="00B7407D">
        <w:t xml:space="preserve">s have </w:t>
      </w:r>
      <w:r w:rsidRPr="00B7407D">
        <w:t>been identified as potentially eligible for the ROC Scheme.</w:t>
      </w:r>
    </w:p>
    <w:p w14:paraId="69162AFC" w14:textId="6970194A" w:rsidR="004524C6" w:rsidRPr="00CC670B" w:rsidRDefault="004524C6" w:rsidP="00D71BF6">
      <w:pPr>
        <w:pStyle w:val="ListParagraph"/>
        <w:numPr>
          <w:ilvl w:val="0"/>
          <w:numId w:val="37"/>
        </w:numPr>
        <w:ind w:left="737" w:hanging="737"/>
      </w:pPr>
      <w:r w:rsidRPr="00CC670B">
        <w:t>Underpinning the new accrual estimate of $</w:t>
      </w:r>
      <w:r w:rsidR="00523C51" w:rsidRPr="00CC670B">
        <w:t>72,000</w:t>
      </w:r>
      <w:r w:rsidR="0050720F" w:rsidRPr="00CC670B">
        <w:t xml:space="preserve"> was an assumption that 4</w:t>
      </w:r>
      <w:r w:rsidR="00225889" w:rsidRPr="00CC670B">
        <w:t>36</w:t>
      </w:r>
      <w:r w:rsidR="0050720F" w:rsidRPr="00CC670B">
        <w:t xml:space="preserve"> </w:t>
      </w:r>
      <w:r w:rsidR="00F61308" w:rsidRPr="00CC670B">
        <w:t>“</w:t>
      </w:r>
      <w:r w:rsidR="00D63BF0" w:rsidRPr="00CC670B">
        <w:t xml:space="preserve">at </w:t>
      </w:r>
      <w:r w:rsidR="00843FDE" w:rsidRPr="00CC670B">
        <w:t>risk</w:t>
      </w:r>
      <w:r w:rsidR="00F61308" w:rsidRPr="00CC670B">
        <w:t>”</w:t>
      </w:r>
      <w:r w:rsidR="00843FDE" w:rsidRPr="00CC670B">
        <w:t xml:space="preserve"> </w:t>
      </w:r>
      <w:r w:rsidR="0050720F" w:rsidRPr="00CC670B">
        <w:t xml:space="preserve">midwives would be eligible for Commonwealth support </w:t>
      </w:r>
      <w:r w:rsidR="00843FDE" w:rsidRPr="00CC670B">
        <w:t>in 202</w:t>
      </w:r>
      <w:r w:rsidR="006E1C06" w:rsidRPr="00CC670B">
        <w:t>3</w:t>
      </w:r>
      <w:r w:rsidR="00843FDE" w:rsidRPr="00CC670B">
        <w:t>-2</w:t>
      </w:r>
      <w:r w:rsidR="006E1C06" w:rsidRPr="00CC670B">
        <w:t>4</w:t>
      </w:r>
      <w:r w:rsidR="00843FDE" w:rsidRPr="00CC670B">
        <w:t xml:space="preserve">. The actual figure is </w:t>
      </w:r>
      <w:r w:rsidR="00C05AE7" w:rsidRPr="00CC670B">
        <w:t>441</w:t>
      </w:r>
      <w:r w:rsidR="00843FDE" w:rsidRPr="00CC670B">
        <w:t xml:space="preserve">. </w:t>
      </w:r>
      <w:r w:rsidR="00F61308" w:rsidRPr="00CC670B">
        <w:t xml:space="preserve">All else being equal, this would have </w:t>
      </w:r>
      <w:r w:rsidR="008E1A14" w:rsidRPr="00CC670B">
        <w:t>slightly raised</w:t>
      </w:r>
      <w:r w:rsidR="00F61308" w:rsidRPr="00CC670B">
        <w:t xml:space="preserve"> the new accrual for 202</w:t>
      </w:r>
      <w:r w:rsidR="008E1A14" w:rsidRPr="00CC670B">
        <w:t>3</w:t>
      </w:r>
      <w:r w:rsidR="00F61308" w:rsidRPr="00CC670B">
        <w:t>-2</w:t>
      </w:r>
      <w:r w:rsidR="008E1A14" w:rsidRPr="00CC670B">
        <w:t>4</w:t>
      </w:r>
      <w:r w:rsidR="00F61308" w:rsidRPr="00CC670B">
        <w:t>. The definition of “</w:t>
      </w:r>
      <w:r w:rsidR="00D63BF0" w:rsidRPr="00CC670B">
        <w:t xml:space="preserve">at </w:t>
      </w:r>
      <w:r w:rsidR="00F61308" w:rsidRPr="00CC670B">
        <w:t xml:space="preserve">risk” midwives is explained in </w:t>
      </w:r>
      <w:r w:rsidR="00663660" w:rsidRPr="00CC670B">
        <w:t>A.4.8.</w:t>
      </w:r>
    </w:p>
    <w:p w14:paraId="2CBD77BB" w14:textId="789C66A8" w:rsidR="00F602EB" w:rsidRPr="00FF334E" w:rsidRDefault="00F602EB" w:rsidP="00F602EB">
      <w:pPr>
        <w:pStyle w:val="Heading3"/>
      </w:pPr>
      <w:bookmarkStart w:id="60" w:name="_Toc63865418"/>
      <w:bookmarkStart w:id="61" w:name="_Toc63866219"/>
      <w:bookmarkStart w:id="62" w:name="_Toc63866549"/>
      <w:bookmarkStart w:id="63" w:name="_Toc63866681"/>
      <w:r w:rsidRPr="00FF334E">
        <w:t>Changes to model and assumptions</w:t>
      </w:r>
      <w:bookmarkEnd w:id="60"/>
      <w:bookmarkEnd w:id="61"/>
      <w:bookmarkEnd w:id="62"/>
      <w:bookmarkEnd w:id="63"/>
    </w:p>
    <w:p w14:paraId="7BA70D35" w14:textId="5A86BC1C" w:rsidR="00F602EB" w:rsidRPr="00FF334E" w:rsidRDefault="005B32DA" w:rsidP="00D71BF6">
      <w:pPr>
        <w:pStyle w:val="ListParagraph"/>
        <w:numPr>
          <w:ilvl w:val="0"/>
          <w:numId w:val="37"/>
        </w:numPr>
        <w:ind w:left="737" w:hanging="737"/>
      </w:pPr>
      <w:r w:rsidRPr="00CC670B">
        <w:t>In 202</w:t>
      </w:r>
      <w:r w:rsidR="002361E3">
        <w:t>3</w:t>
      </w:r>
      <w:r w:rsidR="00C16A03" w:rsidRPr="00CC670B">
        <w:t>,</w:t>
      </w:r>
      <w:r w:rsidR="00F602EB" w:rsidRPr="00FF334E">
        <w:t xml:space="preserve"> we reviewed </w:t>
      </w:r>
      <w:r w:rsidR="00A644B4">
        <w:t>the claim size</w:t>
      </w:r>
      <w:r w:rsidR="00F602EB" w:rsidRPr="00FF334E">
        <w:t xml:space="preserve"> assumption </w:t>
      </w:r>
      <w:proofErr w:type="gramStart"/>
      <w:r w:rsidR="00F602EB" w:rsidRPr="00FF334E">
        <w:t>in light of</w:t>
      </w:r>
      <w:proofErr w:type="gramEnd"/>
      <w:r w:rsidR="00F602EB" w:rsidRPr="00FF334E">
        <w:t xml:space="preserve"> the National Claims and Policies Database (NCPD) data provided by the Australian Prudential Regulation Authority</w:t>
      </w:r>
      <w:r w:rsidR="00B2429A">
        <w:t xml:space="preserve">, which </w:t>
      </w:r>
      <w:r w:rsidR="00F602EB" w:rsidRPr="00FF334E">
        <w:t xml:space="preserve">resulted in </w:t>
      </w:r>
      <w:r w:rsidR="00C16A03">
        <w:t>no</w:t>
      </w:r>
      <w:r w:rsidR="00C16A03" w:rsidRPr="00FF334E">
        <w:t xml:space="preserve"> </w:t>
      </w:r>
      <w:r w:rsidR="00F602EB" w:rsidRPr="00FF334E">
        <w:t>changes</w:t>
      </w:r>
      <w:r w:rsidR="00621310" w:rsidRPr="00FF334E">
        <w:t xml:space="preserve">. </w:t>
      </w:r>
      <w:r w:rsidR="003B09AB">
        <w:t xml:space="preserve">This </w:t>
      </w:r>
      <w:r w:rsidR="00A644B4">
        <w:t xml:space="preserve">is </w:t>
      </w:r>
      <w:r w:rsidR="00F602EB" w:rsidRPr="00FF334E">
        <w:t>described in Appendix 4</w:t>
      </w:r>
      <w:r w:rsidR="000724D5">
        <w:t>,</w:t>
      </w:r>
      <w:r w:rsidR="00A644B4">
        <w:t xml:space="preserve"> along with other assumptions</w:t>
      </w:r>
      <w:r w:rsidR="00F602EB" w:rsidRPr="00FF334E">
        <w:t>.</w:t>
      </w:r>
    </w:p>
    <w:p w14:paraId="75738A83" w14:textId="1DAFA083" w:rsidR="00571C33" w:rsidRPr="00FF334E" w:rsidRDefault="00571C33" w:rsidP="00D71BF6">
      <w:pPr>
        <w:pStyle w:val="ListParagraph"/>
        <w:numPr>
          <w:ilvl w:val="0"/>
          <w:numId w:val="37"/>
        </w:numPr>
        <w:ind w:left="737" w:hanging="737"/>
      </w:pPr>
      <w:r w:rsidRPr="00FF334E">
        <w:t>Given our assumptions are more conservative than those implied by MIGA</w:t>
      </w:r>
      <w:r w:rsidR="00621310" w:rsidRPr="00FF334E">
        <w:t>’</w:t>
      </w:r>
      <w:r w:rsidR="00B67E8E" w:rsidRPr="00FF334E">
        <w:t>s projections</w:t>
      </w:r>
      <w:r w:rsidRPr="00FF334E">
        <w:t xml:space="preserve"> </w:t>
      </w:r>
      <w:r w:rsidR="00F00392" w:rsidRPr="00FF334E">
        <w:t xml:space="preserve">and </w:t>
      </w:r>
      <w:r w:rsidR="00B67E8E" w:rsidRPr="00FF334E">
        <w:t>the claims experience</w:t>
      </w:r>
      <w:r w:rsidR="00F00392" w:rsidRPr="00FF334E">
        <w:t xml:space="preserve"> to date, </w:t>
      </w:r>
      <w:r w:rsidRPr="00FF334E">
        <w:t xml:space="preserve">we have </w:t>
      </w:r>
      <w:r w:rsidR="00AF7D22">
        <w:t xml:space="preserve">again </w:t>
      </w:r>
      <w:r w:rsidRPr="00FF334E">
        <w:t xml:space="preserve">not made any </w:t>
      </w:r>
      <w:r w:rsidR="00C927C8">
        <w:t>changes to the assumptions</w:t>
      </w:r>
      <w:r w:rsidR="00621310" w:rsidRPr="00FF334E">
        <w:t xml:space="preserve">. </w:t>
      </w:r>
    </w:p>
    <w:p w14:paraId="52B2A702" w14:textId="138E8019" w:rsidR="00F602EB" w:rsidRPr="00FF334E" w:rsidRDefault="00C017BE" w:rsidP="00D71BF6">
      <w:pPr>
        <w:pStyle w:val="Heading2"/>
        <w:numPr>
          <w:ilvl w:val="0"/>
          <w:numId w:val="35"/>
        </w:numPr>
      </w:pPr>
      <w:bookmarkStart w:id="64" w:name="_Toc63865419"/>
      <w:bookmarkStart w:id="65" w:name="_Toc63866220"/>
      <w:bookmarkStart w:id="66" w:name="_Toc63866550"/>
      <w:bookmarkStart w:id="67" w:name="_Toc63866682"/>
      <w:bookmarkStart w:id="68" w:name="_Toc192842026"/>
      <w:r w:rsidRPr="00FF334E">
        <w:lastRenderedPageBreak/>
        <w:t>Results</w:t>
      </w:r>
      <w:r w:rsidR="00F602EB" w:rsidRPr="00FF334E">
        <w:t xml:space="preserve">: </w:t>
      </w:r>
      <w:r w:rsidR="00BE2804" w:rsidRPr="00FF334E">
        <w:t>Projected Commonwealth contributions</w:t>
      </w:r>
      <w:bookmarkEnd w:id="64"/>
      <w:bookmarkEnd w:id="65"/>
      <w:bookmarkEnd w:id="66"/>
      <w:bookmarkEnd w:id="67"/>
      <w:r w:rsidR="00BE2804" w:rsidRPr="00FF334E">
        <w:t xml:space="preserve"> to run</w:t>
      </w:r>
      <w:r w:rsidR="00621310" w:rsidRPr="00FF334E">
        <w:noBreakHyphen/>
      </w:r>
      <w:r w:rsidR="00BE2804" w:rsidRPr="00FF334E">
        <w:t>off cover</w:t>
      </w:r>
      <w:bookmarkEnd w:id="68"/>
    </w:p>
    <w:p w14:paraId="2ABDE234" w14:textId="1C87DD3A" w:rsidR="00F602EB" w:rsidRPr="00FF334E" w:rsidRDefault="00F602EB" w:rsidP="004A4913">
      <w:pPr>
        <w:ind w:left="833" w:hanging="720"/>
      </w:pPr>
      <w:r w:rsidRPr="00FF334E">
        <w:t>4.3.1.</w:t>
      </w:r>
      <w:r w:rsidRPr="00FF334E">
        <w:tab/>
        <w:t xml:space="preserve">This section sets out </w:t>
      </w:r>
      <w:r w:rsidR="00EA420B" w:rsidRPr="00FF334E">
        <w:t xml:space="preserve">the projected </w:t>
      </w:r>
      <w:r w:rsidRPr="00FF334E">
        <w:t>ROC Commonwealth contributions for the next 5 financial years</w:t>
      </w:r>
      <w:r w:rsidR="00621310" w:rsidRPr="00FF334E">
        <w:t xml:space="preserve">. </w:t>
      </w:r>
      <w:r w:rsidRPr="00FF334E">
        <w:t xml:space="preserve">The projection should be regarded as indicative only and </w:t>
      </w:r>
      <w:r w:rsidR="00EA420B" w:rsidRPr="00FF334E">
        <w:t xml:space="preserve">is </w:t>
      </w:r>
      <w:r w:rsidRPr="00FF334E">
        <w:t>based on the assumptions described above</w:t>
      </w:r>
      <w:r w:rsidR="00621310" w:rsidRPr="00FF334E">
        <w:t xml:space="preserve">. </w:t>
      </w:r>
      <w:r w:rsidRPr="00FF334E">
        <w:t xml:space="preserve">Table 3 sets out the projection, which </w:t>
      </w:r>
      <w:r w:rsidR="003B09AB">
        <w:t>is</w:t>
      </w:r>
      <w:r w:rsidR="003B09AB" w:rsidRPr="00FF334E">
        <w:t xml:space="preserve"> </w:t>
      </w:r>
      <w:r w:rsidRPr="00FF334E">
        <w:t>illustrated in Figure 1</w:t>
      </w:r>
      <w:r w:rsidR="00621310" w:rsidRPr="00FF334E">
        <w:t xml:space="preserve">. </w:t>
      </w:r>
      <w:r w:rsidRPr="00FF334E">
        <w:t>The Scheme is not expected to become mature in a cash flow sense for many years</w:t>
      </w:r>
      <w:r w:rsidR="00621310" w:rsidRPr="00FF334E">
        <w:t xml:space="preserve">. </w:t>
      </w:r>
      <w:r w:rsidRPr="00FF334E">
        <w:t>The payments projected below are in nominal dollars and have not been discounted to current dollar values</w:t>
      </w:r>
      <w:r w:rsidR="00621310" w:rsidRPr="00FF334E">
        <w:t xml:space="preserve">. </w:t>
      </w:r>
      <w:r w:rsidRPr="00FF334E">
        <w:t xml:space="preserve">Due to the small size of the scheme, </w:t>
      </w:r>
      <w:r w:rsidR="00EA420B" w:rsidRPr="00FF334E">
        <w:t xml:space="preserve">this </w:t>
      </w:r>
      <w:r w:rsidRPr="00FF334E">
        <w:t>projection</w:t>
      </w:r>
      <w:r w:rsidR="00EA420B" w:rsidRPr="00FF334E">
        <w:t xml:space="preserve"> i</w:t>
      </w:r>
      <w:r w:rsidRPr="00FF334E">
        <w:t>s subject to substantial uncertainty</w:t>
      </w:r>
      <w:r w:rsidR="00621310" w:rsidRPr="00FF334E">
        <w:t xml:space="preserve">. </w:t>
      </w:r>
    </w:p>
    <w:p w14:paraId="42435A4C" w14:textId="77777777" w:rsidR="00733045" w:rsidRDefault="00F602EB" w:rsidP="00733045">
      <w:pPr>
        <w:pStyle w:val="Caption"/>
      </w:pPr>
      <w:r w:rsidRPr="006E29AA">
        <w:t>Table 3: Projected</w:t>
      </w:r>
      <w:r w:rsidRPr="005D30E7">
        <w:t xml:space="preserve"> </w:t>
      </w:r>
      <w:r w:rsidR="002630DA" w:rsidRPr="005D30E7">
        <w:t>Run-Off</w:t>
      </w:r>
      <w:r w:rsidRPr="005D30E7">
        <w:t xml:space="preserve"> C</w:t>
      </w:r>
      <w:r w:rsidR="000E4DE6" w:rsidRPr="005D30E7">
        <w:t>over Commonwealth contributions</w:t>
      </w:r>
    </w:p>
    <w:p w14:paraId="0B4143FF" w14:textId="4812DD46" w:rsidR="008E25DB" w:rsidRPr="00FF334E" w:rsidRDefault="006F6488" w:rsidP="006F6488">
      <w:pPr>
        <w:pStyle w:val="Caption"/>
        <w:jc w:val="center"/>
      </w:pPr>
      <w:r w:rsidRPr="006F6488">
        <w:rPr>
          <w:noProof/>
        </w:rPr>
        <w:drawing>
          <wp:inline distT="0" distB="0" distL="0" distR="0" wp14:anchorId="732BD3C8" wp14:editId="0F33512E">
            <wp:extent cx="3619500" cy="831850"/>
            <wp:effectExtent l="0" t="0" r="0" b="6350"/>
            <wp:docPr id="1219743571" name="Picture 3" descr="Projected Commonwealth contributions are expected to increase over the next five years, from $0 in 2025 to $29,068 in 20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43571" name="Picture 3" descr="Projected Commonwealth contributions are expected to increase over the next five years, from $0 in 2025 to $29,068 in 2029.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9500" cy="831850"/>
                    </a:xfrm>
                    <a:prstGeom prst="rect">
                      <a:avLst/>
                    </a:prstGeom>
                    <a:noFill/>
                    <a:ln>
                      <a:noFill/>
                    </a:ln>
                  </pic:spPr>
                </pic:pic>
              </a:graphicData>
            </a:graphic>
          </wp:inline>
        </w:drawing>
      </w:r>
    </w:p>
    <w:p w14:paraId="36B880FF" w14:textId="51C1945E" w:rsidR="00F602EB" w:rsidRPr="00FF334E" w:rsidRDefault="00F602EB" w:rsidP="00166BEE">
      <w:pPr>
        <w:pStyle w:val="Caption"/>
      </w:pPr>
      <w:r w:rsidRPr="00315A72">
        <w:t>Figure 1:</w:t>
      </w:r>
      <w:r w:rsidRPr="005D30E7">
        <w:t xml:space="preserve"> Projected </w:t>
      </w:r>
      <w:r w:rsidR="002630DA" w:rsidRPr="005D30E7">
        <w:t>Run-Off</w:t>
      </w:r>
      <w:r w:rsidRPr="005D30E7">
        <w:t xml:space="preserve"> Cover Commonwealth contributions</w:t>
      </w:r>
    </w:p>
    <w:p w14:paraId="5F397979" w14:textId="491B8634" w:rsidR="00F602EB" w:rsidRPr="00FF334E" w:rsidRDefault="009652AC" w:rsidP="000E4DE6">
      <w:pPr>
        <w:spacing w:line="240" w:lineRule="auto"/>
      </w:pPr>
      <w:r w:rsidRPr="009652AC">
        <w:rPr>
          <w:noProof/>
        </w:rPr>
        <w:drawing>
          <wp:inline distT="0" distB="0" distL="0" distR="0" wp14:anchorId="74443097" wp14:editId="0F0EE2B2">
            <wp:extent cx="4711700" cy="2425700"/>
            <wp:effectExtent l="0" t="0" r="0" b="0"/>
            <wp:docPr id="1296553664" name="Picture 2" descr="This chart shows the projected Commonwealth contributions. The specific numbers are from Table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1700" cy="2425700"/>
                    </a:xfrm>
                    <a:prstGeom prst="rect">
                      <a:avLst/>
                    </a:prstGeom>
                    <a:noFill/>
                    <a:ln>
                      <a:noFill/>
                    </a:ln>
                  </pic:spPr>
                </pic:pic>
              </a:graphicData>
            </a:graphic>
          </wp:inline>
        </w:drawing>
      </w:r>
    </w:p>
    <w:p w14:paraId="3AF5F1B2" w14:textId="3F444E27" w:rsidR="00CA6F0E" w:rsidRPr="00FF334E" w:rsidRDefault="00CA6F0E">
      <w:pPr>
        <w:spacing w:after="200" w:line="276" w:lineRule="auto"/>
        <w:jc w:val="left"/>
      </w:pPr>
    </w:p>
    <w:p w14:paraId="0846123C" w14:textId="148F9775" w:rsidR="00F602EB" w:rsidRPr="00FF334E" w:rsidRDefault="00BE2804" w:rsidP="00D71BF6">
      <w:pPr>
        <w:pStyle w:val="Heading2"/>
        <w:numPr>
          <w:ilvl w:val="0"/>
          <w:numId w:val="35"/>
        </w:numPr>
      </w:pPr>
      <w:bookmarkStart w:id="69" w:name="_Toc63865420"/>
      <w:bookmarkStart w:id="70" w:name="_Toc63866221"/>
      <w:bookmarkStart w:id="71" w:name="_Toc63866551"/>
      <w:bookmarkStart w:id="72" w:name="_Toc63866683"/>
      <w:bookmarkStart w:id="73" w:name="_Toc192842027"/>
      <w:r w:rsidRPr="00FF334E">
        <w:t>Results</w:t>
      </w:r>
      <w:r w:rsidR="00054318" w:rsidRPr="00FF334E">
        <w:t xml:space="preserve">: </w:t>
      </w:r>
      <w:r w:rsidRPr="00FF334E">
        <w:t>Liability and notional account</w:t>
      </w:r>
      <w:bookmarkEnd w:id="69"/>
      <w:bookmarkEnd w:id="70"/>
      <w:bookmarkEnd w:id="71"/>
      <w:bookmarkEnd w:id="72"/>
      <w:bookmarkEnd w:id="73"/>
    </w:p>
    <w:p w14:paraId="03362FBD" w14:textId="05A603D5" w:rsidR="00F602EB" w:rsidRPr="00FF334E" w:rsidRDefault="00F602EB" w:rsidP="00D71BF6">
      <w:pPr>
        <w:pStyle w:val="ListParagraph"/>
        <w:numPr>
          <w:ilvl w:val="0"/>
          <w:numId w:val="38"/>
        </w:numPr>
        <w:ind w:left="737" w:hanging="737"/>
      </w:pPr>
      <w:r w:rsidRPr="00FF334E">
        <w:t>The estimation of the Commonwealth</w:t>
      </w:r>
      <w:r w:rsidR="00621310" w:rsidRPr="00FF334E">
        <w:t>’</w:t>
      </w:r>
      <w:r w:rsidRPr="00FF334E">
        <w:t>s liabilities under the ROC Scheme in future years is an inherently imprecise process</w:t>
      </w:r>
      <w:r w:rsidR="00621310" w:rsidRPr="00FF334E">
        <w:t xml:space="preserve">. </w:t>
      </w:r>
      <w:r w:rsidRPr="00FF334E">
        <w:t>The operation of the ROC Scheme is likely to be characterised by a small number of claims of highly variable size</w:t>
      </w:r>
      <w:r w:rsidR="00621310" w:rsidRPr="00FF334E">
        <w:t xml:space="preserve">. </w:t>
      </w:r>
      <w:r w:rsidRPr="00FF334E">
        <w:t xml:space="preserve">It is not possible to predict the costs of the ROC Scheme with a </w:t>
      </w:r>
      <w:r w:rsidRPr="00FF334E">
        <w:lastRenderedPageBreak/>
        <w:t>high level of confidence</w:t>
      </w:r>
      <w:r w:rsidR="00621310" w:rsidRPr="00FF334E">
        <w:t xml:space="preserve">. </w:t>
      </w:r>
      <w:r w:rsidRPr="00FF334E">
        <w:t>For example, the presence of even a single large claim in any given year would be expected to have a substantial effect on the total amount of ROC Commonwealth contributions for that year.</w:t>
      </w:r>
    </w:p>
    <w:p w14:paraId="50D21204" w14:textId="14E4CA1B" w:rsidR="00F602EB" w:rsidRPr="00FF334E" w:rsidRDefault="00F602EB" w:rsidP="00D71BF6">
      <w:pPr>
        <w:pStyle w:val="ListParagraph"/>
        <w:numPr>
          <w:ilvl w:val="0"/>
          <w:numId w:val="38"/>
        </w:numPr>
        <w:ind w:left="737" w:hanging="737"/>
      </w:pPr>
      <w:r w:rsidRPr="00FF334E">
        <w:t xml:space="preserve">The liabilities of the ROC Scheme could be measured in </w:t>
      </w:r>
      <w:proofErr w:type="gramStart"/>
      <w:r w:rsidRPr="00FF334E">
        <w:t>a number of</w:t>
      </w:r>
      <w:proofErr w:type="gramEnd"/>
      <w:r w:rsidRPr="00FF334E">
        <w:t xml:space="preserve"> ways</w:t>
      </w:r>
      <w:r w:rsidR="00621310" w:rsidRPr="00FF334E">
        <w:t xml:space="preserve">. </w:t>
      </w:r>
      <w:r w:rsidRPr="00FF334E">
        <w:t xml:space="preserve">It is normal for insurance type liabilities to be measured on either a </w:t>
      </w:r>
      <w:r w:rsidR="00621310" w:rsidRPr="00FF334E">
        <w:t>‘</w:t>
      </w:r>
      <w:r w:rsidRPr="00FF334E">
        <w:t>notified</w:t>
      </w:r>
      <w:r w:rsidR="00621310" w:rsidRPr="00FF334E">
        <w:t>’</w:t>
      </w:r>
      <w:r w:rsidRPr="00FF334E">
        <w:t xml:space="preserve"> or an </w:t>
      </w:r>
      <w:r w:rsidR="00621310" w:rsidRPr="00FF334E">
        <w:t>‘</w:t>
      </w:r>
      <w:r w:rsidRPr="00FF334E">
        <w:t>occurrence</w:t>
      </w:r>
      <w:r w:rsidR="00621310" w:rsidRPr="00FF334E">
        <w:t>’</w:t>
      </w:r>
      <w:r w:rsidRPr="00FF334E">
        <w:t xml:space="preserve"> basis</w:t>
      </w:r>
      <w:r w:rsidR="00621310" w:rsidRPr="00FF334E">
        <w:t xml:space="preserve">. </w:t>
      </w:r>
      <w:r w:rsidRPr="00FF334E">
        <w:t>On a notified basis, new liabilities would accrue to the Scheme as new claims were notified</w:t>
      </w:r>
      <w:r w:rsidR="00621310" w:rsidRPr="00FF334E">
        <w:t xml:space="preserve">. </w:t>
      </w:r>
      <w:r w:rsidRPr="00FF334E">
        <w:t xml:space="preserve">On an occurrence basis, new liabilities would accrue to the Scheme at the time of the occurrence of the incidents which were expected to give rise to professional indemnity claims </w:t>
      </w:r>
      <w:r w:rsidR="00EA420B" w:rsidRPr="00FF334E">
        <w:t xml:space="preserve">that </w:t>
      </w:r>
      <w:r w:rsidRPr="00FF334E">
        <w:t>would attract a ROC Commonwealth contribution.</w:t>
      </w:r>
    </w:p>
    <w:p w14:paraId="260A11AD" w14:textId="20642011" w:rsidR="00F602EB" w:rsidRPr="00FF334E" w:rsidRDefault="00F602EB" w:rsidP="00D71BF6">
      <w:pPr>
        <w:pStyle w:val="ListParagraph"/>
        <w:numPr>
          <w:ilvl w:val="0"/>
          <w:numId w:val="38"/>
        </w:numPr>
        <w:ind w:left="737" w:hanging="737"/>
      </w:pPr>
      <w:r w:rsidRPr="00FF334E">
        <w:t>Under the occurrence model, liabilities are recognised more quickly than under the notified model</w:t>
      </w:r>
      <w:r w:rsidR="00621310" w:rsidRPr="00FF334E">
        <w:t xml:space="preserve">. </w:t>
      </w:r>
      <w:r w:rsidRPr="00FF334E">
        <w:t>The occurrence model is more consistent with the notion that the Scheme is ongoing</w:t>
      </w:r>
      <w:r w:rsidR="00621310" w:rsidRPr="00FF334E">
        <w:t xml:space="preserve">. </w:t>
      </w:r>
      <w:r w:rsidRPr="00FF334E">
        <w:t>Accordingly, the occurrence model will be adopted for this purpose</w:t>
      </w:r>
      <w:r w:rsidR="00621310" w:rsidRPr="00FF334E">
        <w:t xml:space="preserve">. </w:t>
      </w:r>
      <w:r w:rsidRPr="00FF334E">
        <w:t>The liabilities of the ROC Scheme will therefore be taken as the present value of future ROC Commonwealth contributions which relate to relevant pregnancy or birth related incidents which occurred before the effective date of valuation.</w:t>
      </w:r>
    </w:p>
    <w:p w14:paraId="6B54EBBE" w14:textId="69D436AE" w:rsidR="00F602EB" w:rsidRPr="00FF334E" w:rsidRDefault="00F602EB" w:rsidP="00D71BF6">
      <w:pPr>
        <w:pStyle w:val="ListParagraph"/>
        <w:numPr>
          <w:ilvl w:val="0"/>
          <w:numId w:val="38"/>
        </w:numPr>
        <w:ind w:left="737" w:hanging="737"/>
      </w:pPr>
      <w:r w:rsidRPr="00FF334E">
        <w:t>The Scheme must be managed over a long timeframe</w:t>
      </w:r>
      <w:r w:rsidR="00621310" w:rsidRPr="00FF334E">
        <w:t xml:space="preserve">. </w:t>
      </w:r>
      <w:r w:rsidRPr="00FF334E">
        <w:t xml:space="preserve">As discussed previously, ROC Commonwealth contributions are likely to be </w:t>
      </w:r>
      <w:r w:rsidR="00621310" w:rsidRPr="00FF334E">
        <w:t>‘</w:t>
      </w:r>
      <w:r w:rsidRPr="00FF334E">
        <w:t>lumpy</w:t>
      </w:r>
      <w:r w:rsidR="00621310" w:rsidRPr="00FF334E">
        <w:t>’</w:t>
      </w:r>
      <w:r w:rsidRPr="00FF334E">
        <w:t xml:space="preserve"> in nature and immature in size for many years</w:t>
      </w:r>
      <w:r w:rsidR="00621310" w:rsidRPr="00FF334E">
        <w:t xml:space="preserve">. </w:t>
      </w:r>
      <w:r w:rsidRPr="00FF334E">
        <w:t>ROC support payments will be received well in advance of ROC Commonwealth contributions</w:t>
      </w:r>
      <w:r w:rsidR="00621310" w:rsidRPr="00FF334E">
        <w:t xml:space="preserve">. </w:t>
      </w:r>
      <w:r w:rsidRPr="00FF334E">
        <w:t>As a result of the payment timing mismatch and the expected volatility in the ROC Commonwealth contribution pattern, it is appropriate to have a system which enables proper tracking of the financial flows over time</w:t>
      </w:r>
      <w:r w:rsidR="00621310" w:rsidRPr="00FF334E">
        <w:t xml:space="preserve">. </w:t>
      </w:r>
      <w:r w:rsidRPr="00FF334E">
        <w:t>Accordingly, a ROC notional account (the Notional Account) is maintained.</w:t>
      </w:r>
    </w:p>
    <w:p w14:paraId="33E4C652" w14:textId="094C2BD8" w:rsidR="00F602EB" w:rsidRPr="00FF334E" w:rsidRDefault="00F602EB" w:rsidP="00D71BF6">
      <w:pPr>
        <w:pStyle w:val="ListParagraph"/>
        <w:numPr>
          <w:ilvl w:val="0"/>
          <w:numId w:val="38"/>
        </w:numPr>
        <w:ind w:left="737" w:hanging="737"/>
      </w:pPr>
      <w:r w:rsidRPr="00FF334E">
        <w:t>It is important to appreciate that the Notional Account is not an official Government account</w:t>
      </w:r>
      <w:r w:rsidR="00621310" w:rsidRPr="00FF334E">
        <w:t xml:space="preserve">. </w:t>
      </w:r>
      <w:r w:rsidRPr="00FF334E">
        <w:t>Rather, it is a device established for the sole purpose of facilitating equity between midwives and other taxpayers.</w:t>
      </w:r>
    </w:p>
    <w:p w14:paraId="6A98F9A6" w14:textId="64A9E494" w:rsidR="00F602EB" w:rsidRPr="00FF334E" w:rsidRDefault="00F602EB" w:rsidP="00D71BF6">
      <w:pPr>
        <w:pStyle w:val="ListParagraph"/>
        <w:numPr>
          <w:ilvl w:val="0"/>
          <w:numId w:val="38"/>
        </w:numPr>
        <w:ind w:left="737" w:hanging="737"/>
      </w:pPr>
      <w:r w:rsidRPr="00FF334E">
        <w:t>The Notional Account is credited with:</w:t>
      </w:r>
    </w:p>
    <w:p w14:paraId="09AE488C" w14:textId="5185EF4A" w:rsidR="00F602EB" w:rsidRPr="00FF334E" w:rsidRDefault="00F602EB" w:rsidP="00631595">
      <w:pPr>
        <w:pStyle w:val="Bullet"/>
        <w:tabs>
          <w:tab w:val="clear" w:pos="472"/>
          <w:tab w:val="num" w:pos="1305"/>
        </w:tabs>
        <w:ind w:left="1305"/>
      </w:pPr>
      <w:r w:rsidRPr="00FF334E">
        <w:t>ROC support payments</w:t>
      </w:r>
      <w:r w:rsidR="009D0BE4">
        <w:t>, and</w:t>
      </w:r>
    </w:p>
    <w:p w14:paraId="7E21E445" w14:textId="08725A46" w:rsidR="00F602EB" w:rsidRPr="00FF334E" w:rsidRDefault="00F602EB" w:rsidP="00631595">
      <w:pPr>
        <w:pStyle w:val="Bullet"/>
        <w:tabs>
          <w:tab w:val="clear" w:pos="472"/>
          <w:tab w:val="num" w:pos="1305"/>
        </w:tabs>
        <w:ind w:left="1305"/>
      </w:pPr>
      <w:r w:rsidRPr="00FF334E">
        <w:t>Notional interest.</w:t>
      </w:r>
    </w:p>
    <w:p w14:paraId="753F1ADB" w14:textId="49F700FD" w:rsidR="00F602EB" w:rsidRPr="00FF334E" w:rsidRDefault="00F602EB" w:rsidP="00660AFF">
      <w:pPr>
        <w:pStyle w:val="ListParagraph"/>
        <w:numPr>
          <w:ilvl w:val="0"/>
          <w:numId w:val="38"/>
        </w:numPr>
        <w:ind w:left="737" w:hanging="737"/>
      </w:pPr>
      <w:r w:rsidRPr="00FF334E">
        <w:t xml:space="preserve">Notional interest is credited to the Notional Account to ensure that midwives derive the proper benefit of the time </w:t>
      </w:r>
      <w:r w:rsidR="0048348C">
        <w:t xml:space="preserve">and </w:t>
      </w:r>
      <w:r w:rsidRPr="00FF334E">
        <w:t>value of money since ROC support payments are received by Services Australia well in advance of any ROC Commonwealth contributions being made by Services Australia</w:t>
      </w:r>
      <w:r w:rsidR="00621310" w:rsidRPr="00FF334E">
        <w:t xml:space="preserve">. </w:t>
      </w:r>
      <w:r w:rsidR="00EF1230" w:rsidRPr="00FF334E">
        <w:t>The notional interest becomes a cost to government, should the scheme be wound up</w:t>
      </w:r>
      <w:r w:rsidR="00621310" w:rsidRPr="00FF334E">
        <w:t xml:space="preserve">. </w:t>
      </w:r>
      <w:r w:rsidR="00EF1230" w:rsidRPr="00FF334E">
        <w:t>In this circumstance, contributions are returned to midwives that are not yet eligible with interest at the prescribed rate</w:t>
      </w:r>
      <w:r w:rsidR="00621310" w:rsidRPr="00FF334E">
        <w:t xml:space="preserve">. </w:t>
      </w:r>
      <w:r w:rsidR="00EF1230" w:rsidRPr="00FF334E">
        <w:t>This is discussed further at the end of this section 4.4.</w:t>
      </w:r>
    </w:p>
    <w:p w14:paraId="10F64410" w14:textId="3426084B" w:rsidR="00F602EB" w:rsidRPr="00FF334E" w:rsidRDefault="00F602EB" w:rsidP="00D71BF6">
      <w:pPr>
        <w:pStyle w:val="ListParagraph"/>
        <w:numPr>
          <w:ilvl w:val="0"/>
          <w:numId w:val="38"/>
        </w:numPr>
        <w:ind w:left="737" w:hanging="737"/>
      </w:pPr>
      <w:r w:rsidRPr="00FF334E">
        <w:lastRenderedPageBreak/>
        <w:t>The Notional Account is charged with ROC Commonwealth contributions</w:t>
      </w:r>
      <w:r w:rsidR="00621310" w:rsidRPr="00FF334E">
        <w:t xml:space="preserve">. </w:t>
      </w:r>
      <w:r w:rsidRPr="00FF334E">
        <w:t xml:space="preserve">The Scheme </w:t>
      </w:r>
      <w:r w:rsidR="00621310" w:rsidRPr="00FF334E">
        <w:t>‘</w:t>
      </w:r>
      <w:r w:rsidRPr="00FF334E">
        <w:t>operates after</w:t>
      </w:r>
      <w:r w:rsidR="00621310" w:rsidRPr="00FF334E">
        <w:t>’</w:t>
      </w:r>
      <w:r w:rsidRPr="00FF334E">
        <w:t xml:space="preserve"> the Level 1 and Level 2 Commonwealth contributions</w:t>
      </w:r>
      <w:r w:rsidR="00621310" w:rsidRPr="00FF334E">
        <w:t xml:space="preserve">. </w:t>
      </w:r>
      <w:r w:rsidRPr="00FF334E">
        <w:t>The Level 1 Commonwealth contribution meets 80 per cent of the excess between $100,000 and $2 million, the Level 2 Commonwealth contribution meets the excess above $2 million</w:t>
      </w:r>
      <w:r w:rsidR="00621310" w:rsidRPr="00FF334E">
        <w:t xml:space="preserve">. </w:t>
      </w:r>
      <w:r w:rsidRPr="00FF334E">
        <w:t>Table 4 sets out the funding sources for a ROC claim which costs $2.5 million.</w:t>
      </w:r>
    </w:p>
    <w:p w14:paraId="529DE112" w14:textId="1E172D60" w:rsidR="00F602EB" w:rsidRPr="00FF334E" w:rsidRDefault="00F602EB" w:rsidP="00166BEE">
      <w:pPr>
        <w:pStyle w:val="Caption"/>
      </w:pPr>
      <w:r w:rsidRPr="00315A72">
        <w:t>Table 4:</w:t>
      </w:r>
      <w:r w:rsidRPr="005D30E7">
        <w:t xml:space="preserve"> Funding sources for a $2.5 million claim which is eligible for the </w:t>
      </w:r>
      <w:r w:rsidR="002630DA" w:rsidRPr="005D30E7">
        <w:t>Run-Off</w:t>
      </w:r>
      <w:r w:rsidRPr="005D30E7">
        <w:t xml:space="preserve"> Cover Scheme</w:t>
      </w:r>
    </w:p>
    <w:tbl>
      <w:tblPr>
        <w:tblW w:w="7797" w:type="dxa"/>
        <w:tblLook w:val="04A0" w:firstRow="1" w:lastRow="0" w:firstColumn="1" w:lastColumn="0" w:noHBand="0" w:noVBand="1"/>
        <w:tblCaption w:val="Table 4: Funding sources for a $2.5 million claim which is eligible for the Run-Off Cover Scheme "/>
        <w:tblDescription w:val="This table outlines the funding allocation for a $2.5 million eligible claim. The Level 1 Commonwealth contribution covers $1,520,000, Level 2 covers $500,000, and the Run-Off Cover Scheme covers the remaining $480,000."/>
      </w:tblPr>
      <w:tblGrid>
        <w:gridCol w:w="4500"/>
        <w:gridCol w:w="3297"/>
      </w:tblGrid>
      <w:tr w:rsidR="00AB3AA0" w:rsidRPr="00FF334E" w14:paraId="06A7184C" w14:textId="77777777" w:rsidTr="16E36A35">
        <w:trPr>
          <w:trHeight w:val="225"/>
        </w:trPr>
        <w:tc>
          <w:tcPr>
            <w:tcW w:w="4500" w:type="dxa"/>
            <w:tcBorders>
              <w:top w:val="single" w:sz="4" w:space="0" w:color="auto"/>
              <w:left w:val="nil"/>
              <w:bottom w:val="single" w:sz="4" w:space="0" w:color="auto"/>
              <w:right w:val="nil"/>
            </w:tcBorders>
            <w:shd w:val="clear" w:color="auto" w:fill="auto"/>
            <w:noWrap/>
            <w:vAlign w:val="center"/>
            <w:hideMark/>
          </w:tcPr>
          <w:p w14:paraId="53A07F23" w14:textId="155AF843" w:rsidR="00AB3AA0" w:rsidRPr="00FF334E" w:rsidRDefault="00F602EB" w:rsidP="00AB3AA0">
            <w:pPr>
              <w:spacing w:after="0" w:line="240" w:lineRule="auto"/>
              <w:jc w:val="left"/>
              <w:rPr>
                <w:rFonts w:cs="Arial"/>
                <w:b/>
                <w:bCs/>
                <w:sz w:val="16"/>
                <w:szCs w:val="16"/>
              </w:rPr>
            </w:pPr>
            <w:r w:rsidRPr="00FF334E">
              <w:t xml:space="preserve"> </w:t>
            </w:r>
            <w:r w:rsidR="00AB3AA0" w:rsidRPr="00FF334E">
              <w:rPr>
                <w:rFonts w:cs="Arial"/>
                <w:b/>
                <w:bCs/>
                <w:sz w:val="16"/>
                <w:szCs w:val="16"/>
              </w:rPr>
              <w:t>Funding source</w:t>
            </w:r>
          </w:p>
        </w:tc>
        <w:tc>
          <w:tcPr>
            <w:tcW w:w="3297" w:type="dxa"/>
            <w:tcBorders>
              <w:top w:val="single" w:sz="4" w:space="0" w:color="auto"/>
              <w:left w:val="nil"/>
              <w:bottom w:val="single" w:sz="4" w:space="0" w:color="auto"/>
              <w:right w:val="nil"/>
            </w:tcBorders>
            <w:shd w:val="clear" w:color="auto" w:fill="auto"/>
            <w:noWrap/>
            <w:vAlign w:val="center"/>
            <w:hideMark/>
          </w:tcPr>
          <w:p w14:paraId="4F3A3243" w14:textId="77777777" w:rsidR="00AB3AA0" w:rsidRPr="00FF334E" w:rsidRDefault="00AB3AA0" w:rsidP="00AB3AA0">
            <w:pPr>
              <w:spacing w:after="0" w:line="240" w:lineRule="auto"/>
              <w:jc w:val="right"/>
              <w:rPr>
                <w:rFonts w:cs="Arial"/>
                <w:b/>
                <w:bCs/>
                <w:sz w:val="16"/>
                <w:szCs w:val="16"/>
              </w:rPr>
            </w:pPr>
            <w:r w:rsidRPr="00FF334E">
              <w:rPr>
                <w:rFonts w:cs="Arial"/>
                <w:b/>
                <w:bCs/>
                <w:sz w:val="16"/>
                <w:szCs w:val="16"/>
              </w:rPr>
              <w:t>Amount</w:t>
            </w:r>
          </w:p>
        </w:tc>
      </w:tr>
      <w:tr w:rsidR="00AB3AA0" w:rsidRPr="00FF334E" w14:paraId="0FACBDE0" w14:textId="77777777" w:rsidTr="16E36A35">
        <w:trPr>
          <w:trHeight w:val="225"/>
        </w:trPr>
        <w:tc>
          <w:tcPr>
            <w:tcW w:w="4500" w:type="dxa"/>
            <w:tcBorders>
              <w:top w:val="nil"/>
              <w:left w:val="nil"/>
              <w:bottom w:val="nil"/>
              <w:right w:val="nil"/>
            </w:tcBorders>
            <w:shd w:val="clear" w:color="auto" w:fill="auto"/>
            <w:noWrap/>
            <w:vAlign w:val="center"/>
            <w:hideMark/>
          </w:tcPr>
          <w:p w14:paraId="535BDAEC" w14:textId="77777777" w:rsidR="00AB3AA0" w:rsidRPr="00FF334E" w:rsidRDefault="00AB3AA0" w:rsidP="00AB3AA0">
            <w:pPr>
              <w:spacing w:after="0" w:line="240" w:lineRule="auto"/>
              <w:jc w:val="left"/>
              <w:rPr>
                <w:rFonts w:cs="Arial"/>
                <w:sz w:val="16"/>
                <w:szCs w:val="16"/>
              </w:rPr>
            </w:pPr>
            <w:r w:rsidRPr="00FF334E">
              <w:rPr>
                <w:rFonts w:cs="Arial"/>
                <w:sz w:val="16"/>
                <w:szCs w:val="16"/>
              </w:rPr>
              <w:t>Level 1 Commonwealth contribution</w:t>
            </w:r>
          </w:p>
        </w:tc>
        <w:tc>
          <w:tcPr>
            <w:tcW w:w="3297" w:type="dxa"/>
            <w:tcBorders>
              <w:top w:val="nil"/>
              <w:left w:val="nil"/>
              <w:bottom w:val="nil"/>
              <w:right w:val="nil"/>
            </w:tcBorders>
            <w:shd w:val="clear" w:color="auto" w:fill="auto"/>
            <w:noWrap/>
            <w:vAlign w:val="center"/>
            <w:hideMark/>
          </w:tcPr>
          <w:p w14:paraId="05EA7C3C" w14:textId="77777777" w:rsidR="00AB3AA0" w:rsidRPr="00FF334E" w:rsidRDefault="00AB3AA0" w:rsidP="00AB3AA0">
            <w:pPr>
              <w:spacing w:after="0" w:line="240" w:lineRule="auto"/>
              <w:jc w:val="right"/>
              <w:rPr>
                <w:rFonts w:cs="Arial"/>
                <w:sz w:val="16"/>
                <w:szCs w:val="16"/>
              </w:rPr>
            </w:pPr>
            <w:r w:rsidRPr="00FF334E">
              <w:rPr>
                <w:rFonts w:cs="Arial"/>
                <w:sz w:val="16"/>
                <w:szCs w:val="16"/>
              </w:rPr>
              <w:t>$1,520,000</w:t>
            </w:r>
          </w:p>
        </w:tc>
      </w:tr>
      <w:tr w:rsidR="00AB3AA0" w:rsidRPr="00FF334E" w14:paraId="7B801FA9" w14:textId="77777777" w:rsidTr="16E36A35">
        <w:trPr>
          <w:trHeight w:val="225"/>
        </w:trPr>
        <w:tc>
          <w:tcPr>
            <w:tcW w:w="4500" w:type="dxa"/>
            <w:tcBorders>
              <w:top w:val="nil"/>
              <w:left w:val="nil"/>
              <w:bottom w:val="nil"/>
              <w:right w:val="nil"/>
            </w:tcBorders>
            <w:shd w:val="clear" w:color="auto" w:fill="auto"/>
            <w:noWrap/>
            <w:vAlign w:val="center"/>
            <w:hideMark/>
          </w:tcPr>
          <w:p w14:paraId="70FCF710" w14:textId="77777777" w:rsidR="00AB3AA0" w:rsidRPr="00FF334E" w:rsidRDefault="00AB3AA0" w:rsidP="00AB3AA0">
            <w:pPr>
              <w:spacing w:after="0" w:line="240" w:lineRule="auto"/>
              <w:jc w:val="left"/>
              <w:rPr>
                <w:rFonts w:cs="Arial"/>
                <w:sz w:val="16"/>
                <w:szCs w:val="16"/>
              </w:rPr>
            </w:pPr>
            <w:r w:rsidRPr="00FF334E">
              <w:rPr>
                <w:rFonts w:cs="Arial"/>
                <w:sz w:val="16"/>
                <w:szCs w:val="16"/>
              </w:rPr>
              <w:t>Level 2 Commonwealth contribution</w:t>
            </w:r>
          </w:p>
        </w:tc>
        <w:tc>
          <w:tcPr>
            <w:tcW w:w="3297" w:type="dxa"/>
            <w:tcBorders>
              <w:top w:val="nil"/>
              <w:left w:val="nil"/>
              <w:bottom w:val="nil"/>
              <w:right w:val="nil"/>
            </w:tcBorders>
            <w:shd w:val="clear" w:color="auto" w:fill="auto"/>
            <w:noWrap/>
            <w:vAlign w:val="center"/>
            <w:hideMark/>
          </w:tcPr>
          <w:p w14:paraId="339F25F6" w14:textId="77777777" w:rsidR="00AB3AA0" w:rsidRPr="00FF334E" w:rsidRDefault="00AB3AA0" w:rsidP="00AB3AA0">
            <w:pPr>
              <w:spacing w:after="0" w:line="240" w:lineRule="auto"/>
              <w:jc w:val="right"/>
              <w:rPr>
                <w:rFonts w:cs="Arial"/>
                <w:sz w:val="16"/>
                <w:szCs w:val="16"/>
              </w:rPr>
            </w:pPr>
            <w:r w:rsidRPr="00FF334E">
              <w:rPr>
                <w:rFonts w:cs="Arial"/>
                <w:sz w:val="16"/>
                <w:szCs w:val="16"/>
              </w:rPr>
              <w:t>$500,000</w:t>
            </w:r>
          </w:p>
        </w:tc>
      </w:tr>
      <w:tr w:rsidR="00AB3AA0" w:rsidRPr="00FF334E" w14:paraId="06CAB599" w14:textId="77777777" w:rsidTr="16E36A35">
        <w:trPr>
          <w:trHeight w:val="225"/>
        </w:trPr>
        <w:tc>
          <w:tcPr>
            <w:tcW w:w="4500" w:type="dxa"/>
            <w:tcBorders>
              <w:top w:val="nil"/>
              <w:left w:val="nil"/>
              <w:bottom w:val="single" w:sz="4" w:space="0" w:color="auto"/>
              <w:right w:val="nil"/>
            </w:tcBorders>
            <w:shd w:val="clear" w:color="auto" w:fill="auto"/>
            <w:noWrap/>
            <w:vAlign w:val="center"/>
            <w:hideMark/>
          </w:tcPr>
          <w:p w14:paraId="7D4B99AA" w14:textId="236322B3" w:rsidR="00AB3AA0" w:rsidRPr="00FF334E" w:rsidRDefault="00AB3AA0" w:rsidP="00AB3AA0">
            <w:pPr>
              <w:spacing w:after="0" w:line="240" w:lineRule="auto"/>
              <w:jc w:val="left"/>
              <w:rPr>
                <w:rFonts w:cs="Arial"/>
                <w:sz w:val="16"/>
                <w:szCs w:val="16"/>
              </w:rPr>
            </w:pPr>
            <w:r w:rsidRPr="00FF334E">
              <w:rPr>
                <w:rFonts w:cs="Arial"/>
                <w:sz w:val="16"/>
                <w:szCs w:val="16"/>
              </w:rPr>
              <w:t>Run</w:t>
            </w:r>
            <w:r w:rsidR="00621310" w:rsidRPr="00FF334E">
              <w:rPr>
                <w:rFonts w:cs="Arial"/>
                <w:sz w:val="16"/>
                <w:szCs w:val="16"/>
              </w:rPr>
              <w:noBreakHyphen/>
            </w:r>
            <w:r w:rsidRPr="00FF334E">
              <w:rPr>
                <w:rFonts w:cs="Arial"/>
                <w:sz w:val="16"/>
                <w:szCs w:val="16"/>
              </w:rPr>
              <w:t>Off Cover Scheme</w:t>
            </w:r>
          </w:p>
        </w:tc>
        <w:tc>
          <w:tcPr>
            <w:tcW w:w="3297" w:type="dxa"/>
            <w:tcBorders>
              <w:top w:val="nil"/>
              <w:left w:val="nil"/>
              <w:bottom w:val="single" w:sz="4" w:space="0" w:color="auto"/>
              <w:right w:val="nil"/>
            </w:tcBorders>
            <w:shd w:val="clear" w:color="auto" w:fill="auto"/>
            <w:noWrap/>
            <w:vAlign w:val="center"/>
            <w:hideMark/>
          </w:tcPr>
          <w:p w14:paraId="585317F3" w14:textId="77777777" w:rsidR="00AB3AA0" w:rsidRPr="00FF334E" w:rsidRDefault="00AB3AA0" w:rsidP="00AB3AA0">
            <w:pPr>
              <w:spacing w:after="0" w:line="240" w:lineRule="auto"/>
              <w:jc w:val="right"/>
              <w:rPr>
                <w:rFonts w:cs="Arial"/>
                <w:sz w:val="16"/>
                <w:szCs w:val="16"/>
              </w:rPr>
            </w:pPr>
            <w:r w:rsidRPr="00FF334E">
              <w:rPr>
                <w:rFonts w:cs="Arial"/>
                <w:sz w:val="16"/>
                <w:szCs w:val="16"/>
              </w:rPr>
              <w:t>$480,000</w:t>
            </w:r>
          </w:p>
        </w:tc>
      </w:tr>
    </w:tbl>
    <w:p w14:paraId="0DD03F6A" w14:textId="1C9766FD" w:rsidR="00F602EB" w:rsidRPr="00FF334E" w:rsidRDefault="00F602EB" w:rsidP="00F602EB"/>
    <w:p w14:paraId="4E54C393" w14:textId="2B5916E2" w:rsidR="00F602EB" w:rsidRPr="00FF334E" w:rsidRDefault="00F602EB" w:rsidP="00D71BF6">
      <w:pPr>
        <w:pStyle w:val="ListParagraph"/>
        <w:numPr>
          <w:ilvl w:val="0"/>
          <w:numId w:val="38"/>
        </w:numPr>
        <w:ind w:left="737" w:hanging="737"/>
      </w:pPr>
      <w:r w:rsidRPr="00FF334E">
        <w:t>The Act provides for payment of a midwife</w:t>
      </w:r>
      <w:r w:rsidR="00621310" w:rsidRPr="00FF334E">
        <w:t>’</w:t>
      </w:r>
      <w:r w:rsidRPr="00FF334E">
        <w:t xml:space="preserve">s total </w:t>
      </w:r>
      <w:r w:rsidR="002630DA">
        <w:t>run-off</w:t>
      </w:r>
      <w:r w:rsidRPr="00FF334E">
        <w:t xml:space="preserve"> cover credit, should the Scheme ever be wound up without alternative arrangements being put in place</w:t>
      </w:r>
      <w:r w:rsidR="00621310" w:rsidRPr="00FF334E">
        <w:t xml:space="preserve">. </w:t>
      </w:r>
      <w:r w:rsidRPr="00FF334E">
        <w:t>Thus, in this event, the accumulated ROC support payment balance would become a liability of the Scheme</w:t>
      </w:r>
      <w:r w:rsidR="00621310" w:rsidRPr="00FF334E">
        <w:t xml:space="preserve">. </w:t>
      </w:r>
      <w:r w:rsidRPr="00FF334E">
        <w:t>At the same time, since the Scheme liabilities are being measured on an occurrence basis, some of the liabilities of the Scheme would be released, partially offsetting this impact</w:t>
      </w:r>
      <w:r w:rsidR="00621310" w:rsidRPr="00FF334E">
        <w:t xml:space="preserve">. </w:t>
      </w:r>
      <w:r w:rsidRPr="00FF334E">
        <w:t>However, for the purpose of this report, the Scheme has been assumed to be ongoing and the whole amount of the accumulated ROC support payments has been taken to be available to meet relevant ROC Commonwealth contributions.</w:t>
      </w:r>
    </w:p>
    <w:p w14:paraId="6915BCBA" w14:textId="0D714357" w:rsidR="00BC4375" w:rsidRPr="00FF334E" w:rsidRDefault="00F602EB" w:rsidP="00BC4375">
      <w:pPr>
        <w:pStyle w:val="ListParagraph"/>
        <w:numPr>
          <w:ilvl w:val="0"/>
          <w:numId w:val="38"/>
        </w:numPr>
        <w:ind w:left="737" w:hanging="737"/>
      </w:pPr>
      <w:r w:rsidRPr="00FF334E">
        <w:t>The liability estimates given in this report are central estimates</w:t>
      </w:r>
      <w:r w:rsidR="00621310" w:rsidRPr="00FF334E">
        <w:t xml:space="preserve">. </w:t>
      </w:r>
      <w:r w:rsidRPr="00FF334E">
        <w:t>In broad terms, this means that they are intended to be equally likely to be too high or too low</w:t>
      </w:r>
      <w:r w:rsidR="00621310" w:rsidRPr="00FF334E">
        <w:t xml:space="preserve">. </w:t>
      </w:r>
      <w:r w:rsidR="00D56ADF" w:rsidRPr="00FF334E">
        <w:t>It</w:t>
      </w:r>
      <w:r w:rsidRPr="00FF334E">
        <w:t xml:space="preserve"> is not intended that the liability estimates contain any margin for risk</w:t>
      </w:r>
      <w:r w:rsidR="00621310" w:rsidRPr="00FF334E">
        <w:t xml:space="preserve">. </w:t>
      </w:r>
      <w:r w:rsidRPr="00FF334E">
        <w:t>Funding considerations for the Scheme are not the same as for private sector insurance arrangements</w:t>
      </w:r>
      <w:r w:rsidR="00621310" w:rsidRPr="00FF334E">
        <w:t xml:space="preserve">. </w:t>
      </w:r>
      <w:r w:rsidRPr="00FF334E">
        <w:t>The objective here is to manage the funding over the long term</w:t>
      </w:r>
      <w:r w:rsidR="00621310" w:rsidRPr="00FF334E">
        <w:t xml:space="preserve">. </w:t>
      </w:r>
      <w:r w:rsidRPr="00FF334E">
        <w:t>Since substantial volatility in the liability estimates is likely from time to time, periods of surplus and periods of deficit in the Notional Account might be expected</w:t>
      </w:r>
      <w:r w:rsidR="00621310" w:rsidRPr="00FF334E">
        <w:t xml:space="preserve">. </w:t>
      </w:r>
      <w:r w:rsidRPr="00FF334E">
        <w:t>However, given the long</w:t>
      </w:r>
      <w:r w:rsidR="00621310" w:rsidRPr="00FF334E">
        <w:noBreakHyphen/>
      </w:r>
      <w:r w:rsidR="006C3E46" w:rsidRPr="00FF334E">
        <w:t xml:space="preserve">term horizon </w:t>
      </w:r>
      <w:r w:rsidRPr="00FF334E">
        <w:t xml:space="preserve">that is appropriate for </w:t>
      </w:r>
      <w:r w:rsidR="006C3E46" w:rsidRPr="00FF334E">
        <w:t xml:space="preserve">considering funding of </w:t>
      </w:r>
      <w:r w:rsidRPr="00FF334E">
        <w:t xml:space="preserve">the Scheme, a </w:t>
      </w:r>
      <w:r w:rsidR="00EE2539" w:rsidRPr="00FF334E">
        <w:t>short</w:t>
      </w:r>
      <w:r w:rsidR="00621310" w:rsidRPr="00FF334E">
        <w:noBreakHyphen/>
      </w:r>
      <w:r w:rsidR="00EE2539" w:rsidRPr="00FF334E">
        <w:t>term</w:t>
      </w:r>
      <w:r w:rsidRPr="00FF334E">
        <w:t xml:space="preserve"> deficit in the Notional Account is not a cause for concern</w:t>
      </w:r>
      <w:r w:rsidR="006C3E46" w:rsidRPr="00FF334E">
        <w:t xml:space="preserve"> and </w:t>
      </w:r>
      <w:r w:rsidRPr="00FF334E">
        <w:t>there is no strong reason to maintain a risk margin in the liability estimates.</w:t>
      </w:r>
    </w:p>
    <w:p w14:paraId="37F659D0" w14:textId="02829950" w:rsidR="00F602EB" w:rsidRPr="00EE5A61" w:rsidRDefault="00F602EB" w:rsidP="00BC4375">
      <w:pPr>
        <w:pStyle w:val="ListParagraph"/>
        <w:numPr>
          <w:ilvl w:val="0"/>
          <w:numId w:val="38"/>
        </w:numPr>
        <w:ind w:left="737" w:hanging="737"/>
      </w:pPr>
      <w:r w:rsidRPr="00FF334E">
        <w:t>Table 5 sets out the balance sheet of the Not</w:t>
      </w:r>
      <w:r w:rsidR="00AB3AA0" w:rsidRPr="00FF334E">
        <w:t xml:space="preserve">ional Account as </w:t>
      </w:r>
      <w:proofErr w:type="gramStart"/>
      <w:r w:rsidR="00AB3AA0" w:rsidRPr="00FF334E">
        <w:t>at</w:t>
      </w:r>
      <w:proofErr w:type="gramEnd"/>
      <w:r w:rsidR="00AB3AA0" w:rsidRPr="00FF334E">
        <w:t xml:space="preserve"> 30 </w:t>
      </w:r>
      <w:r w:rsidR="00AB3AA0" w:rsidRPr="00315A72">
        <w:t>June 202</w:t>
      </w:r>
      <w:r w:rsidR="00071F54" w:rsidRPr="00315A72">
        <w:t>4</w:t>
      </w:r>
      <w:r w:rsidR="00621310" w:rsidRPr="00315A72">
        <w:t>.</w:t>
      </w:r>
      <w:r w:rsidR="00621310" w:rsidRPr="00FF334E">
        <w:t xml:space="preserve"> </w:t>
      </w:r>
    </w:p>
    <w:p w14:paraId="3A662E2D" w14:textId="7BB8A560" w:rsidR="00F602EB" w:rsidRPr="00FF334E" w:rsidRDefault="00F602EB" w:rsidP="00FE5AB3">
      <w:pPr>
        <w:pStyle w:val="Caption"/>
      </w:pPr>
      <w:r w:rsidRPr="00BC54D9">
        <w:lastRenderedPageBreak/>
        <w:t>Table 5:</w:t>
      </w:r>
      <w:r w:rsidRPr="00FF334E">
        <w:t xml:space="preserve"> Balance sheet of the Not</w:t>
      </w:r>
      <w:r w:rsidR="00AB3AA0" w:rsidRPr="00FF334E">
        <w:t xml:space="preserve">ional Account as </w:t>
      </w:r>
      <w:proofErr w:type="gramStart"/>
      <w:r w:rsidR="00AB3AA0" w:rsidRPr="00FF334E">
        <w:t>at</w:t>
      </w:r>
      <w:proofErr w:type="gramEnd"/>
      <w:r w:rsidR="00AB3AA0" w:rsidRPr="00FF334E">
        <w:t xml:space="preserve"> 30 June 202</w:t>
      </w:r>
      <w:r w:rsidR="008635E7">
        <w:t>4</w:t>
      </w:r>
    </w:p>
    <w:p w14:paraId="331E42CF" w14:textId="3E1BBF8B" w:rsidR="002D0151" w:rsidRPr="00FF334E" w:rsidRDefault="00105FE2" w:rsidP="008635E7">
      <w:pPr>
        <w:spacing w:before="120" w:line="240" w:lineRule="auto"/>
      </w:pPr>
      <w:r w:rsidRPr="00105FE2">
        <w:rPr>
          <w:noProof/>
        </w:rPr>
        <w:drawing>
          <wp:inline distT="0" distB="0" distL="0" distR="0" wp14:anchorId="36CAE75F" wp14:editId="062E6D17">
            <wp:extent cx="4707890" cy="969010"/>
            <wp:effectExtent l="0" t="0" r="0" b="2540"/>
            <wp:docPr id="1131793632" name="Picture 3" descr="As at 30 June 2024, total assets of the Notional Account are $604,326, comprising $514,690 cash carried forward from 2023 and net cashflow of $89,636 in 2023-24. The liabilities are $33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7890" cy="969010"/>
                    </a:xfrm>
                    <a:prstGeom prst="rect">
                      <a:avLst/>
                    </a:prstGeom>
                    <a:noFill/>
                    <a:ln>
                      <a:noFill/>
                    </a:ln>
                  </pic:spPr>
                </pic:pic>
              </a:graphicData>
            </a:graphic>
          </wp:inline>
        </w:drawing>
      </w:r>
    </w:p>
    <w:p w14:paraId="24D40010" w14:textId="022F2B92" w:rsidR="002D5247" w:rsidRPr="009B773E" w:rsidRDefault="00AB3AA0" w:rsidP="002D5247">
      <w:pPr>
        <w:pStyle w:val="ListParagraph"/>
        <w:numPr>
          <w:ilvl w:val="0"/>
          <w:numId w:val="38"/>
        </w:numPr>
        <w:ind w:left="737" w:hanging="737"/>
      </w:pPr>
      <w:proofErr w:type="gramStart"/>
      <w:r w:rsidRPr="009B773E">
        <w:t>At</w:t>
      </w:r>
      <w:proofErr w:type="gramEnd"/>
      <w:r w:rsidRPr="009B773E">
        <w:t xml:space="preserve"> 30 June </w:t>
      </w:r>
      <w:r w:rsidRPr="00B062A7">
        <w:t>202</w:t>
      </w:r>
      <w:r w:rsidR="009B773E" w:rsidRPr="00B062A7">
        <w:t>4</w:t>
      </w:r>
      <w:r w:rsidR="00F602EB" w:rsidRPr="00B062A7">
        <w:t>, the</w:t>
      </w:r>
      <w:r w:rsidR="00F602EB" w:rsidRPr="009B773E">
        <w:t xml:space="preserve"> Notional Account has disclosed</w:t>
      </w:r>
      <w:r w:rsidRPr="009B773E">
        <w:t xml:space="preserve"> a surplus of approximately </w:t>
      </w:r>
      <w:r w:rsidRPr="00757F53">
        <w:t>$</w:t>
      </w:r>
      <w:r w:rsidR="00E774F9" w:rsidRPr="00757F53">
        <w:t>2</w:t>
      </w:r>
      <w:r w:rsidR="00757F53" w:rsidRPr="00757F53">
        <w:t>74</w:t>
      </w:r>
      <w:r w:rsidR="00C36FF2" w:rsidRPr="00757F53">
        <w:t>,000</w:t>
      </w:r>
      <w:r w:rsidR="00987562">
        <w:t xml:space="preserve">, including </w:t>
      </w:r>
      <w:r w:rsidR="002D5247" w:rsidRPr="009B773E">
        <w:t>notional interest</w:t>
      </w:r>
      <w:r w:rsidR="00621310" w:rsidRPr="009B773E">
        <w:t xml:space="preserve">. </w:t>
      </w:r>
      <w:r w:rsidR="002D5247" w:rsidRPr="009B773E">
        <w:t>On one hand, the notional interest increases the notional account balance each year</w:t>
      </w:r>
      <w:r w:rsidR="00621310" w:rsidRPr="009B773E">
        <w:t xml:space="preserve">. </w:t>
      </w:r>
      <w:r w:rsidR="002D5247" w:rsidRPr="009B773E">
        <w:t>On the other hand, some of the notional interest becomes a cost to government, should the Scheme be wound up</w:t>
      </w:r>
      <w:r w:rsidR="00621310" w:rsidRPr="009B773E">
        <w:t xml:space="preserve">. </w:t>
      </w:r>
    </w:p>
    <w:p w14:paraId="4ADC9A15" w14:textId="7F760B85" w:rsidR="00AE7FA4" w:rsidRPr="009B773E" w:rsidRDefault="00F602EB" w:rsidP="00D71BF6">
      <w:pPr>
        <w:pStyle w:val="ListParagraph"/>
        <w:numPr>
          <w:ilvl w:val="0"/>
          <w:numId w:val="38"/>
        </w:numPr>
        <w:ind w:left="737" w:hanging="737"/>
      </w:pPr>
      <w:r w:rsidRPr="009B773E">
        <w:t xml:space="preserve">Note again that no account has been taken for possible payments to </w:t>
      </w:r>
      <w:r w:rsidR="0058575B" w:rsidRPr="009B773E">
        <w:t xml:space="preserve">certain </w:t>
      </w:r>
      <w:r w:rsidRPr="009B773E">
        <w:t xml:space="preserve">midwives under division 4 of the Act, should the Scheme be wound up without </w:t>
      </w:r>
      <w:r w:rsidR="00AE5926" w:rsidRPr="009B773E">
        <w:t xml:space="preserve">an </w:t>
      </w:r>
      <w:r w:rsidRPr="009B773E">
        <w:t>alternative arrangement being put in place</w:t>
      </w:r>
      <w:r w:rsidR="00621310" w:rsidRPr="009B773E">
        <w:t xml:space="preserve">. </w:t>
      </w:r>
    </w:p>
    <w:p w14:paraId="16E0944F" w14:textId="4726EC1F" w:rsidR="00AE7FA4" w:rsidRPr="009B773E" w:rsidRDefault="00F602EB" w:rsidP="00D71BF6">
      <w:pPr>
        <w:pStyle w:val="ListParagraph"/>
        <w:numPr>
          <w:ilvl w:val="0"/>
          <w:numId w:val="38"/>
        </w:numPr>
        <w:ind w:left="737" w:hanging="737"/>
      </w:pPr>
      <w:r w:rsidRPr="009B773E">
        <w:t>Generally, the estimated surplus position should be regarded as highly uncertain</w:t>
      </w:r>
      <w:r w:rsidR="00621310" w:rsidRPr="009B773E">
        <w:t xml:space="preserve">. </w:t>
      </w:r>
      <w:r w:rsidR="00AE7FA4" w:rsidRPr="009B773E">
        <w:t xml:space="preserve">A more accurate estimate of the surplus can be made possible if the ROCS levy balances of the ROCS eligible midwives could be monitored </w:t>
      </w:r>
      <w:r w:rsidR="003C70CB" w:rsidRPr="009B773E">
        <w:t xml:space="preserve">and supplied </w:t>
      </w:r>
      <w:r w:rsidR="00AE7FA4" w:rsidRPr="009B773E">
        <w:t>by Services Australia.</w:t>
      </w:r>
    </w:p>
    <w:p w14:paraId="41D55219" w14:textId="1E7CB154" w:rsidR="00F602EB" w:rsidRPr="00FF334E" w:rsidRDefault="00BE2804" w:rsidP="00D71BF6">
      <w:pPr>
        <w:pStyle w:val="Heading2"/>
        <w:numPr>
          <w:ilvl w:val="0"/>
          <w:numId w:val="35"/>
        </w:numPr>
      </w:pPr>
      <w:bookmarkStart w:id="74" w:name="_Toc63865421"/>
      <w:bookmarkStart w:id="75" w:name="_Toc63866222"/>
      <w:bookmarkStart w:id="76" w:name="_Toc63866552"/>
      <w:bookmarkStart w:id="77" w:name="_Toc63866684"/>
      <w:bookmarkStart w:id="78" w:name="_Toc192842028"/>
      <w:r w:rsidRPr="00FF334E">
        <w:t>Results</w:t>
      </w:r>
      <w:r w:rsidR="00F602EB" w:rsidRPr="00FF334E">
        <w:t xml:space="preserve">: </w:t>
      </w:r>
      <w:bookmarkEnd w:id="74"/>
      <w:bookmarkEnd w:id="75"/>
      <w:bookmarkEnd w:id="76"/>
      <w:bookmarkEnd w:id="77"/>
      <w:r w:rsidRPr="00FF334E">
        <w:t>Projected liabilities of the scheme</w:t>
      </w:r>
      <w:bookmarkEnd w:id="78"/>
    </w:p>
    <w:p w14:paraId="2FBB6206" w14:textId="753DD6B8" w:rsidR="00F602EB" w:rsidRPr="00FF334E" w:rsidRDefault="00F602EB" w:rsidP="00D71BF6">
      <w:pPr>
        <w:pStyle w:val="ListParagraph"/>
        <w:numPr>
          <w:ilvl w:val="0"/>
          <w:numId w:val="39"/>
        </w:numPr>
        <w:ind w:left="737" w:hanging="737"/>
      </w:pPr>
      <w:r w:rsidRPr="00FF334E">
        <w:t>Finally, it is appropriate to provide a benchmark projection of the liabilities of the Scheme</w:t>
      </w:r>
      <w:r w:rsidR="00621310" w:rsidRPr="00FF334E">
        <w:t xml:space="preserve">. </w:t>
      </w:r>
      <w:r w:rsidRPr="00FF334E">
        <w:t>A simple model was developed within this office for the purpose of projecting future liabilities under this Scheme</w:t>
      </w:r>
      <w:r w:rsidR="00621310" w:rsidRPr="00FF334E">
        <w:t xml:space="preserve">. </w:t>
      </w:r>
      <w:r w:rsidRPr="00FF334E">
        <w:t>Details are set out in Appendix 4.</w:t>
      </w:r>
    </w:p>
    <w:p w14:paraId="42AC4AF5" w14:textId="596DFC15" w:rsidR="00F602EB" w:rsidRPr="00FF334E" w:rsidRDefault="00F602EB" w:rsidP="00D71BF6">
      <w:pPr>
        <w:pStyle w:val="ListParagraph"/>
        <w:numPr>
          <w:ilvl w:val="0"/>
          <w:numId w:val="39"/>
        </w:numPr>
        <w:ind w:left="737" w:hanging="737"/>
      </w:pPr>
      <w:r w:rsidRPr="00FF334E">
        <w:t>Table 6 sets out estimates of the liabilities of the Notional Account at the end of each of the next five financial years</w:t>
      </w:r>
      <w:r w:rsidR="00621310" w:rsidRPr="00FF334E">
        <w:t xml:space="preserve">. </w:t>
      </w:r>
      <w:r w:rsidRPr="00FF334E">
        <w:t xml:space="preserve">The purpose is to illustrate the </w:t>
      </w:r>
      <w:r w:rsidR="001A07CF" w:rsidRPr="00FF334E">
        <w:t>short</w:t>
      </w:r>
      <w:r w:rsidR="00621310" w:rsidRPr="00FF334E">
        <w:noBreakHyphen/>
      </w:r>
      <w:r w:rsidR="001A07CF" w:rsidRPr="00FF334E">
        <w:t>term</w:t>
      </w:r>
      <w:r w:rsidRPr="00FF334E">
        <w:t xml:space="preserve"> development of the Scheme</w:t>
      </w:r>
      <w:r w:rsidR="00621310" w:rsidRPr="00FF334E">
        <w:t xml:space="preserve">. </w:t>
      </w:r>
      <w:r w:rsidRPr="00FF334E">
        <w:t>The numbers are small, and there is substantial uncertainty in these estimates</w:t>
      </w:r>
      <w:r w:rsidR="00621310" w:rsidRPr="00FF334E">
        <w:t xml:space="preserve">. </w:t>
      </w:r>
      <w:r w:rsidRPr="00FF334E">
        <w:t>It will be clear that the presence or absence of even a single ROC claim in any year would mean that the actual experience will turn out to be very different from the projected experience</w:t>
      </w:r>
      <w:r w:rsidR="00621310" w:rsidRPr="00FF334E">
        <w:t xml:space="preserve">. </w:t>
      </w:r>
      <w:r w:rsidRPr="00A11087">
        <w:t>It is worth noting that MIGA</w:t>
      </w:r>
      <w:r w:rsidR="00621310" w:rsidRPr="00A11087">
        <w:t>’</w:t>
      </w:r>
      <w:r w:rsidRPr="00A11087">
        <w:t xml:space="preserve">s actuary does not expect any ROC claim notification or payment in the next five years according to the data provided in </w:t>
      </w:r>
      <w:r w:rsidRPr="00B062A7">
        <w:t>late 20</w:t>
      </w:r>
      <w:r w:rsidR="0029503C" w:rsidRPr="00B062A7">
        <w:t>2</w:t>
      </w:r>
      <w:r w:rsidR="00A11087" w:rsidRPr="00B062A7">
        <w:t>4</w:t>
      </w:r>
      <w:r w:rsidRPr="00B062A7">
        <w:t>.</w:t>
      </w:r>
    </w:p>
    <w:p w14:paraId="66C47D7B" w14:textId="63FA769C" w:rsidR="00F602EB" w:rsidRPr="00FF334E" w:rsidRDefault="00F602EB" w:rsidP="00D71BF6">
      <w:pPr>
        <w:pStyle w:val="ListParagraph"/>
        <w:numPr>
          <w:ilvl w:val="0"/>
          <w:numId w:val="39"/>
        </w:numPr>
        <w:ind w:left="737" w:hanging="737"/>
      </w:pPr>
      <w:r w:rsidRPr="00FF334E">
        <w:t>The numbers shown have been discounted to the end of the relevant financial year but have not been discounted to give values in today</w:t>
      </w:r>
      <w:r w:rsidR="00621310" w:rsidRPr="00FF334E">
        <w:t>’</w:t>
      </w:r>
      <w:r w:rsidRPr="00FF334E">
        <w:t>s terms</w:t>
      </w:r>
      <w:r w:rsidR="00621310" w:rsidRPr="00FF334E">
        <w:t xml:space="preserve">. </w:t>
      </w:r>
      <w:r w:rsidRPr="00FF334E">
        <w:t xml:space="preserve">The </w:t>
      </w:r>
      <w:r w:rsidR="00E64145">
        <w:t xml:space="preserve">estimated </w:t>
      </w:r>
      <w:r w:rsidRPr="00FF334E">
        <w:t xml:space="preserve">liability </w:t>
      </w:r>
      <w:r w:rsidRPr="002A0C27">
        <w:t xml:space="preserve">as </w:t>
      </w:r>
      <w:proofErr w:type="gramStart"/>
      <w:r w:rsidRPr="002A0C27">
        <w:t>at</w:t>
      </w:r>
      <w:proofErr w:type="gramEnd"/>
      <w:r w:rsidRPr="002A0C27">
        <w:t xml:space="preserve"> </w:t>
      </w:r>
      <w:r w:rsidR="001A605E" w:rsidRPr="002A0C27">
        <w:t xml:space="preserve">30 </w:t>
      </w:r>
      <w:r w:rsidR="001A605E" w:rsidRPr="00D01DC1">
        <w:t>June 202</w:t>
      </w:r>
      <w:r w:rsidR="006D625A" w:rsidRPr="00D01DC1">
        <w:t>4</w:t>
      </w:r>
      <w:r w:rsidRPr="00D01DC1">
        <w:t xml:space="preserve"> is</w:t>
      </w:r>
      <w:r w:rsidRPr="002A0C27">
        <w:t xml:space="preserve"> </w:t>
      </w:r>
      <w:r w:rsidR="007766B2" w:rsidRPr="001F1FCE">
        <w:t>low</w:t>
      </w:r>
      <w:r w:rsidR="00EB2B76" w:rsidRPr="001F1FCE">
        <w:t>er</w:t>
      </w:r>
      <w:r w:rsidRPr="001F1FCE">
        <w:t xml:space="preserve"> than</w:t>
      </w:r>
      <w:r w:rsidRPr="002A0C27">
        <w:t xml:space="preserve"> the corresponding projected amount from last revi</w:t>
      </w:r>
      <w:r w:rsidRPr="000F54A5">
        <w:t>ew (i.e</w:t>
      </w:r>
      <w:r w:rsidR="00621310" w:rsidRPr="000F54A5">
        <w:t xml:space="preserve">. </w:t>
      </w:r>
      <w:r w:rsidRPr="000F54A5">
        <w:t>$</w:t>
      </w:r>
      <w:r w:rsidR="00933F16" w:rsidRPr="00D01DC1">
        <w:t>399</w:t>
      </w:r>
      <w:r w:rsidR="00933F16" w:rsidRPr="00E64145">
        <w:t>,526</w:t>
      </w:r>
      <w:r w:rsidRPr="00E64145">
        <w:t>)</w:t>
      </w:r>
      <w:r w:rsidR="00621310" w:rsidRPr="00E64145">
        <w:t xml:space="preserve">. </w:t>
      </w:r>
      <w:r w:rsidRPr="00E64145">
        <w:t>This is</w:t>
      </w:r>
      <w:r w:rsidR="00EB2B76" w:rsidRPr="00E64145">
        <w:t xml:space="preserve"> </w:t>
      </w:r>
      <w:r w:rsidR="000663ED" w:rsidRPr="00E64145">
        <w:t xml:space="preserve">mainly </w:t>
      </w:r>
      <w:r w:rsidR="00206160" w:rsidRPr="00E64145">
        <w:t xml:space="preserve">attributable to the </w:t>
      </w:r>
      <w:r w:rsidR="00E160AA" w:rsidRPr="00E64145">
        <w:t>absence of any claims notified during the year</w:t>
      </w:r>
      <w:r w:rsidR="00DC25B2" w:rsidRPr="00E64145">
        <w:t>, reducing the new accrual for 202</w:t>
      </w:r>
      <w:r w:rsidR="00DF214C" w:rsidRPr="00E64145">
        <w:t>3</w:t>
      </w:r>
      <w:r w:rsidR="00DC25B2" w:rsidRPr="00E64145">
        <w:t>-2</w:t>
      </w:r>
      <w:r w:rsidR="00DF214C" w:rsidRPr="00E64145">
        <w:t>4</w:t>
      </w:r>
      <w:r w:rsidR="00621310" w:rsidRPr="00E64145">
        <w:t xml:space="preserve">. </w:t>
      </w:r>
      <w:r w:rsidR="00831983" w:rsidRPr="00E64145">
        <w:t>More</w:t>
      </w:r>
      <w:r w:rsidR="00831983" w:rsidRPr="00EE615B">
        <w:t xml:space="preserve"> details </w:t>
      </w:r>
      <w:r w:rsidR="001303D4" w:rsidRPr="00EE615B">
        <w:t xml:space="preserve">on the methodology </w:t>
      </w:r>
      <w:r w:rsidR="00831983" w:rsidRPr="00EE615B">
        <w:t>are provided in Appendix 4</w:t>
      </w:r>
      <w:r w:rsidR="00621310" w:rsidRPr="00EE615B">
        <w:t>.</w:t>
      </w:r>
      <w:r w:rsidR="00621310" w:rsidRPr="00FF334E">
        <w:t xml:space="preserve"> </w:t>
      </w:r>
    </w:p>
    <w:p w14:paraId="035CC641" w14:textId="77777777" w:rsidR="008143CF" w:rsidRDefault="00F602EB" w:rsidP="00166BEE">
      <w:pPr>
        <w:pStyle w:val="Caption"/>
      </w:pPr>
      <w:r w:rsidRPr="00D01DC1">
        <w:lastRenderedPageBreak/>
        <w:t>Table 6: Projected</w:t>
      </w:r>
      <w:r w:rsidRPr="009B773E">
        <w:t xml:space="preserve"> balance sheet liabilities of the Notional Account</w:t>
      </w:r>
    </w:p>
    <w:p w14:paraId="5BDCBAA1" w14:textId="06F4953C" w:rsidR="00E3209A" w:rsidRPr="00FF334E" w:rsidRDefault="00373E44" w:rsidP="008143CF">
      <w:pPr>
        <w:pStyle w:val="Caption"/>
      </w:pPr>
      <w:r w:rsidRPr="00373E44">
        <w:rPr>
          <w:noProof/>
        </w:rPr>
        <w:drawing>
          <wp:inline distT="0" distB="0" distL="0" distR="0" wp14:anchorId="6A8FE35A" wp14:editId="326C7C98">
            <wp:extent cx="4730115" cy="1088390"/>
            <wp:effectExtent l="0" t="0" r="0" b="0"/>
            <wp:docPr id="383442061" name="Picture 4" descr="Liabilities are projected to grow from $330,347 at 30 June 2024 to $1,121,428 by 30 June 2029. Each year sees both new accruals and rising interest costs, with increasing outgoing cashflows projected from 2026 on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0115" cy="1088390"/>
                    </a:xfrm>
                    <a:prstGeom prst="rect">
                      <a:avLst/>
                    </a:prstGeom>
                    <a:noFill/>
                    <a:ln>
                      <a:noFill/>
                    </a:ln>
                  </pic:spPr>
                </pic:pic>
              </a:graphicData>
            </a:graphic>
          </wp:inline>
        </w:drawing>
      </w:r>
    </w:p>
    <w:p w14:paraId="551A03C3" w14:textId="6E64DEFA" w:rsidR="00F602EB" w:rsidRPr="00FF334E" w:rsidRDefault="00BE2804" w:rsidP="00D71BF6">
      <w:pPr>
        <w:pStyle w:val="Heading2"/>
        <w:numPr>
          <w:ilvl w:val="0"/>
          <w:numId w:val="35"/>
        </w:numPr>
      </w:pPr>
      <w:bookmarkStart w:id="79" w:name="_Toc63865422"/>
      <w:bookmarkStart w:id="80" w:name="_Toc63866223"/>
      <w:bookmarkStart w:id="81" w:name="_Toc63866553"/>
      <w:bookmarkStart w:id="82" w:name="_Toc63866685"/>
      <w:bookmarkStart w:id="83" w:name="_Toc192842029"/>
      <w:r w:rsidRPr="00FF334E">
        <w:t>Actuarial management</w:t>
      </w:r>
      <w:bookmarkEnd w:id="79"/>
      <w:bookmarkEnd w:id="80"/>
      <w:bookmarkEnd w:id="81"/>
      <w:bookmarkEnd w:id="82"/>
      <w:bookmarkEnd w:id="83"/>
    </w:p>
    <w:p w14:paraId="620F3524" w14:textId="2A1FE4E6" w:rsidR="00F602EB" w:rsidRPr="00FF334E" w:rsidRDefault="00F602EB" w:rsidP="00D71BF6">
      <w:pPr>
        <w:pStyle w:val="ListParagraph"/>
        <w:numPr>
          <w:ilvl w:val="0"/>
          <w:numId w:val="40"/>
        </w:numPr>
        <w:ind w:left="737" w:hanging="737"/>
      </w:pPr>
      <w:r w:rsidRPr="00FF334E">
        <w:t>Regular review of the costs and notional assets of the Scheme will allow the ROC support payment rate to be adjusted from time to time, if necessary</w:t>
      </w:r>
      <w:r w:rsidR="00621310" w:rsidRPr="00FF334E">
        <w:t xml:space="preserve">. </w:t>
      </w:r>
      <w:r w:rsidRPr="00FF334E">
        <w:t>Consideration of that rate is beyond the scope of this report</w:t>
      </w:r>
      <w:r w:rsidR="00621310" w:rsidRPr="00FF334E">
        <w:t xml:space="preserve">. </w:t>
      </w:r>
      <w:r w:rsidRPr="00FF334E">
        <w:t>This report has described a framework for the valuation of Scheme liabilities and established the Notional Account</w:t>
      </w:r>
      <w:r w:rsidR="00621310" w:rsidRPr="00FF334E">
        <w:t xml:space="preserve">. </w:t>
      </w:r>
      <w:r w:rsidRPr="00FF334E">
        <w:t>It is intended that the valuation and accounting framework be applied at each future annual review of the Scheme.</w:t>
      </w:r>
    </w:p>
    <w:p w14:paraId="3B200B99" w14:textId="02A96C72" w:rsidR="00D91ADE" w:rsidRPr="00FF334E" w:rsidRDefault="00D91ADE" w:rsidP="00D91ADE">
      <w:pPr>
        <w:spacing w:line="240" w:lineRule="auto"/>
      </w:pPr>
    </w:p>
    <w:p w14:paraId="6C6905C3" w14:textId="420FDE43" w:rsidR="00F602EB" w:rsidRPr="00FF334E" w:rsidRDefault="009C3433" w:rsidP="00D91ADE">
      <w:pPr>
        <w:spacing w:line="240" w:lineRule="auto"/>
      </w:pPr>
      <w:r>
        <w:rPr>
          <w:noProof/>
        </w:rPr>
        <w:drawing>
          <wp:inline distT="0" distB="0" distL="0" distR="0" wp14:anchorId="75CE7D10" wp14:editId="3DF17213">
            <wp:extent cx="1971776" cy="568354"/>
            <wp:effectExtent l="0" t="0" r="9525" b="3175"/>
            <wp:docPr id="1961778176" name="Picture 1" descr="Signature of Guy Thorburn, Australian Government Ac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71776" cy="568354"/>
                    </a:xfrm>
                    <a:prstGeom prst="rect">
                      <a:avLst/>
                    </a:prstGeom>
                  </pic:spPr>
                </pic:pic>
              </a:graphicData>
            </a:graphic>
          </wp:inline>
        </w:drawing>
      </w:r>
    </w:p>
    <w:p w14:paraId="6BF3036D" w14:textId="637DC781" w:rsidR="00F602EB" w:rsidRPr="00FF334E" w:rsidRDefault="00F602EB" w:rsidP="006418CD">
      <w:pPr>
        <w:spacing w:after="0" w:line="240" w:lineRule="auto"/>
      </w:pPr>
      <w:r w:rsidRPr="00FF334E">
        <w:t>Guy Thorburn FIAA</w:t>
      </w:r>
    </w:p>
    <w:p w14:paraId="64D75C2A" w14:textId="54A0054F" w:rsidR="00F602EB" w:rsidRPr="00FF334E" w:rsidRDefault="00F602EB" w:rsidP="006418CD">
      <w:pPr>
        <w:spacing w:after="0" w:line="240" w:lineRule="auto"/>
      </w:pPr>
      <w:r w:rsidRPr="00FF334E">
        <w:t>Australian Government Actuary</w:t>
      </w:r>
    </w:p>
    <w:p w14:paraId="3D122C43" w14:textId="2857AE8F" w:rsidR="001E76E7" w:rsidRPr="00FF334E" w:rsidRDefault="009C3433" w:rsidP="001E76E7">
      <w:pPr>
        <w:spacing w:after="0" w:line="240" w:lineRule="auto"/>
      </w:pPr>
      <w:bookmarkStart w:id="84" w:name="_Toc63865423"/>
      <w:bookmarkStart w:id="85" w:name="_Toc63866224"/>
      <w:bookmarkStart w:id="86" w:name="_Toc63866554"/>
      <w:bookmarkStart w:id="87" w:name="_Toc63866686"/>
      <w:r w:rsidRPr="009C3433">
        <w:t xml:space="preserve">16 May </w:t>
      </w:r>
      <w:r w:rsidR="00373E44" w:rsidRPr="009C3433">
        <w:t>2025</w:t>
      </w:r>
    </w:p>
    <w:p w14:paraId="5B7A8F43" w14:textId="575F188C" w:rsidR="001E76E7" w:rsidRPr="00FF334E" w:rsidRDefault="001E76E7">
      <w:pPr>
        <w:spacing w:after="200" w:line="276" w:lineRule="auto"/>
        <w:jc w:val="left"/>
      </w:pPr>
      <w:r w:rsidRPr="00FF334E">
        <w:br w:type="page"/>
      </w:r>
    </w:p>
    <w:p w14:paraId="2AFB0D15" w14:textId="52BC1611" w:rsidR="00F602EB" w:rsidRPr="00FF334E" w:rsidRDefault="00F602EB" w:rsidP="006735DF">
      <w:pPr>
        <w:pStyle w:val="Heading1"/>
      </w:pPr>
      <w:bookmarkStart w:id="88" w:name="_Toc192842030"/>
      <w:r w:rsidRPr="00FF334E">
        <w:lastRenderedPageBreak/>
        <w:t xml:space="preserve">APPENDIX 1: </w:t>
      </w:r>
      <w:r w:rsidR="001A07CF" w:rsidRPr="00FF334E">
        <w:br/>
      </w:r>
      <w:r w:rsidR="005902BA" w:rsidRPr="00FF334E">
        <w:t>Run</w:t>
      </w:r>
      <w:r w:rsidR="00621310" w:rsidRPr="00FF334E">
        <w:noBreakHyphen/>
      </w:r>
      <w:r w:rsidR="005902BA" w:rsidRPr="00FF334E">
        <w:t>off cover support payments</w:t>
      </w:r>
      <w:bookmarkEnd w:id="84"/>
      <w:bookmarkEnd w:id="85"/>
      <w:bookmarkEnd w:id="86"/>
      <w:bookmarkEnd w:id="87"/>
      <w:bookmarkEnd w:id="88"/>
    </w:p>
    <w:p w14:paraId="7C31989F" w14:textId="1055106D" w:rsidR="00F602EB" w:rsidRPr="00FF334E" w:rsidRDefault="00F602EB" w:rsidP="00631595">
      <w:pPr>
        <w:pStyle w:val="ListParagraph"/>
        <w:numPr>
          <w:ilvl w:val="2"/>
          <w:numId w:val="4"/>
        </w:numPr>
        <w:tabs>
          <w:tab w:val="clear" w:pos="1416"/>
        </w:tabs>
        <w:ind w:left="737" w:hanging="737"/>
      </w:pPr>
      <w:r w:rsidRPr="00FF334E">
        <w:t>ROC support payments are paid to Services Australia in the form of an annual lump sum imposed as a tax on each insurer (currently MIGA is the only insurer) from 1 July 2010.</w:t>
      </w:r>
    </w:p>
    <w:p w14:paraId="15B8FC3B" w14:textId="5BCDAA80" w:rsidR="00F602EB" w:rsidRPr="00FF334E" w:rsidRDefault="00F602EB" w:rsidP="00631595">
      <w:pPr>
        <w:pStyle w:val="ListParagraph"/>
        <w:numPr>
          <w:ilvl w:val="2"/>
          <w:numId w:val="4"/>
        </w:numPr>
        <w:tabs>
          <w:tab w:val="clear" w:pos="1416"/>
        </w:tabs>
        <w:ind w:left="737" w:hanging="737"/>
      </w:pPr>
      <w:r w:rsidRPr="00FF334E">
        <w:t>The amount of ROC support payments is calculated as a percentage of premium income received from contributing midwives</w:t>
      </w:r>
      <w:r w:rsidR="00621310" w:rsidRPr="00FF334E">
        <w:t xml:space="preserve">. </w:t>
      </w:r>
      <w:r w:rsidRPr="00FF334E">
        <w:t>The calculation rules are set out in the ROCSPA and regulations</w:t>
      </w:r>
      <w:r w:rsidR="00621310" w:rsidRPr="00FF334E">
        <w:t xml:space="preserve">. </w:t>
      </w:r>
      <w:r w:rsidRPr="00FF334E">
        <w:t>The tax imposed on each insurer is the applicable percentage of the insurer</w:t>
      </w:r>
      <w:r w:rsidR="00621310" w:rsidRPr="00FF334E">
        <w:t>’</w:t>
      </w:r>
      <w:r w:rsidRPr="00FF334E">
        <w:t>s premium income (section 7) for the applicable contribution year ending on 30 June or an alternative date specified in the regulations (section 5).</w:t>
      </w:r>
    </w:p>
    <w:p w14:paraId="74B12FA2" w14:textId="7AA69DB8" w:rsidR="00F602EB" w:rsidRPr="00FF334E" w:rsidRDefault="00F602EB" w:rsidP="00631595">
      <w:pPr>
        <w:pStyle w:val="ListParagraph"/>
        <w:numPr>
          <w:ilvl w:val="2"/>
          <w:numId w:val="4"/>
        </w:numPr>
        <w:tabs>
          <w:tab w:val="clear" w:pos="1416"/>
        </w:tabs>
        <w:ind w:left="737" w:hanging="737"/>
      </w:pPr>
      <w:r w:rsidRPr="00FF334E">
        <w:t>Under section 7, an insurer</w:t>
      </w:r>
      <w:r w:rsidR="00621310" w:rsidRPr="00FF334E">
        <w:t>’</w:t>
      </w:r>
      <w:r w:rsidRPr="00FF334E">
        <w:t xml:space="preserve">s premium income for the purpose is the sum of </w:t>
      </w:r>
      <w:proofErr w:type="gramStart"/>
      <w:r w:rsidRPr="00FF334E">
        <w:t>all of</w:t>
      </w:r>
      <w:proofErr w:type="gramEnd"/>
      <w:r w:rsidRPr="00FF334E">
        <w:t xml:space="preserve"> the premiums paid to the insurer for midwife professional indemnity cover provided for eligible midwives by contracts of insurance with the insurer, reduced according to the formula:</w:t>
      </w:r>
    </w:p>
    <w:p w14:paraId="4C7D4FA3" w14:textId="77777777" w:rsidR="00F602EB" w:rsidRPr="00FF334E" w:rsidRDefault="00F602EB" w:rsidP="004A4913">
      <w:pPr>
        <w:ind w:left="833" w:hanging="720"/>
        <w:rPr>
          <w:i/>
        </w:rPr>
      </w:pPr>
      <w:r w:rsidRPr="00FF334E">
        <w:rPr>
          <w:i/>
        </w:rPr>
        <w:t>Premium income equals</w:t>
      </w:r>
    </w:p>
    <w:p w14:paraId="7E650EBB" w14:textId="2582F1D7" w:rsidR="00F602EB" w:rsidRPr="00FF334E" w:rsidRDefault="00F602EB" w:rsidP="004A4913">
      <w:pPr>
        <w:ind w:left="833" w:hanging="720"/>
        <w:rPr>
          <w:i/>
        </w:rPr>
      </w:pPr>
      <w:r w:rsidRPr="00FF334E">
        <w:rPr>
          <w:i/>
        </w:rPr>
        <w:t>Net premium</w:t>
      </w:r>
      <w:r w:rsidR="00621310" w:rsidRPr="00FF334E">
        <w:rPr>
          <w:i/>
        </w:rPr>
        <w:t xml:space="preserve"> – </w:t>
      </w:r>
      <w:r w:rsidRPr="00FF334E">
        <w:rPr>
          <w:i/>
        </w:rPr>
        <w:t>Net premium × Applicable percentage ÷ (1 + Applicable percentage)</w:t>
      </w:r>
    </w:p>
    <w:p w14:paraId="05F31911" w14:textId="2A07C815" w:rsidR="00F602EB" w:rsidRPr="00FF334E" w:rsidRDefault="00F602EB" w:rsidP="00631595">
      <w:pPr>
        <w:pStyle w:val="ListParagraph"/>
        <w:numPr>
          <w:ilvl w:val="2"/>
          <w:numId w:val="4"/>
        </w:numPr>
        <w:tabs>
          <w:tab w:val="clear" w:pos="1416"/>
        </w:tabs>
        <w:ind w:left="737" w:hanging="737"/>
      </w:pPr>
      <w:r w:rsidRPr="00FF334E">
        <w:t>Net premium is calculated according to section 7 as follows:</w:t>
      </w:r>
    </w:p>
    <w:p w14:paraId="5A1561D6" w14:textId="5F13AB30" w:rsidR="00F602EB" w:rsidRPr="00FF334E" w:rsidRDefault="00F602EB" w:rsidP="00631595">
      <w:pPr>
        <w:pStyle w:val="Bullet"/>
        <w:tabs>
          <w:tab w:val="clear" w:pos="472"/>
          <w:tab w:val="num" w:pos="1305"/>
        </w:tabs>
        <w:ind w:left="1305"/>
      </w:pPr>
      <w:r w:rsidRPr="00FF334E">
        <w:t>sum of all premiums paid to the insurer during the operation of the Scheme for midwife professional indemnity cover provided for eligible midwives</w:t>
      </w:r>
    </w:p>
    <w:p w14:paraId="01574595" w14:textId="7548EB83" w:rsidR="00F602EB" w:rsidRPr="00FF334E" w:rsidRDefault="00F602EB" w:rsidP="00631595">
      <w:pPr>
        <w:pStyle w:val="Bullet"/>
        <w:tabs>
          <w:tab w:val="clear" w:pos="472"/>
          <w:tab w:val="num" w:pos="1305"/>
        </w:tabs>
        <w:ind w:left="1305"/>
      </w:pPr>
      <w:r w:rsidRPr="00FF334E">
        <w:t>minus the amount of GST payable (subsection (2)(a)) and the amount of stamp duty payable (subsection (2)(b)) in relation to the premiums</w:t>
      </w:r>
    </w:p>
    <w:p w14:paraId="0C151BC1" w14:textId="3EA347E1" w:rsidR="00F602EB" w:rsidRPr="00B22182" w:rsidRDefault="00F602EB" w:rsidP="00631595">
      <w:pPr>
        <w:pStyle w:val="Bullet"/>
        <w:tabs>
          <w:tab w:val="clear" w:pos="472"/>
          <w:tab w:val="num" w:pos="1305"/>
        </w:tabs>
        <w:ind w:left="1305"/>
      </w:pPr>
      <w:r w:rsidRPr="00B22182">
        <w:t>plus/minus other payments specified in the regulations.</w:t>
      </w:r>
    </w:p>
    <w:p w14:paraId="20D67E8D" w14:textId="3AD35066" w:rsidR="00F602EB" w:rsidRPr="00B22182" w:rsidRDefault="00F602EB" w:rsidP="00631595">
      <w:pPr>
        <w:pStyle w:val="ListParagraph"/>
        <w:numPr>
          <w:ilvl w:val="2"/>
          <w:numId w:val="4"/>
        </w:numPr>
        <w:tabs>
          <w:tab w:val="clear" w:pos="1416"/>
        </w:tabs>
        <w:ind w:left="737" w:hanging="737"/>
      </w:pPr>
      <w:r w:rsidRPr="00B22182">
        <w:t xml:space="preserve">For premium payments relating </w:t>
      </w:r>
      <w:r w:rsidRPr="00193BA2">
        <w:t xml:space="preserve">to </w:t>
      </w:r>
      <w:r w:rsidR="008B6F94" w:rsidRPr="00193BA2">
        <w:t>20</w:t>
      </w:r>
      <w:r w:rsidR="00DC7454" w:rsidRPr="00193BA2">
        <w:t>2</w:t>
      </w:r>
      <w:r w:rsidR="00B94C94" w:rsidRPr="00193BA2">
        <w:t>3</w:t>
      </w:r>
      <w:r w:rsidR="00621310" w:rsidRPr="00193BA2">
        <w:noBreakHyphen/>
      </w:r>
      <w:r w:rsidR="008B6F94" w:rsidRPr="00193BA2">
        <w:t>2</w:t>
      </w:r>
      <w:r w:rsidR="00B94C94" w:rsidRPr="00193BA2">
        <w:t>4</w:t>
      </w:r>
      <w:r w:rsidRPr="00193BA2">
        <w:t>,</w:t>
      </w:r>
      <w:r w:rsidRPr="00B22182">
        <w:t xml:space="preserve"> the applicable percentage is specified in the regulations </w:t>
      </w:r>
      <w:r w:rsidRPr="0084069B">
        <w:t>as 10 per cent for all insurers, and thus the ROC support payment will be calculated as net premium x 10 per cent ÷ 1.10</w:t>
      </w:r>
      <w:r w:rsidRPr="00B22182">
        <w:t>.</w:t>
      </w:r>
    </w:p>
    <w:p w14:paraId="5FC1B87B" w14:textId="77777777" w:rsidR="00F602EB" w:rsidRPr="00FF334E" w:rsidRDefault="00F602EB" w:rsidP="00F602EB"/>
    <w:p w14:paraId="25CF334B" w14:textId="77777777" w:rsidR="00F602EB" w:rsidRPr="00FF334E" w:rsidRDefault="00F602EB" w:rsidP="00F602EB">
      <w:r w:rsidRPr="00FF334E">
        <w:t xml:space="preserve"> </w:t>
      </w:r>
    </w:p>
    <w:p w14:paraId="18EF95EC" w14:textId="1889700B" w:rsidR="00F602EB" w:rsidRPr="00FF334E" w:rsidRDefault="00F602EB" w:rsidP="006735DF">
      <w:pPr>
        <w:pStyle w:val="Heading1"/>
      </w:pPr>
      <w:bookmarkStart w:id="89" w:name="_Toc63865424"/>
      <w:bookmarkStart w:id="90" w:name="_Toc63866225"/>
      <w:bookmarkStart w:id="91" w:name="_Toc63866555"/>
      <w:bookmarkStart w:id="92" w:name="_Toc63866687"/>
      <w:bookmarkStart w:id="93" w:name="_Toc192842031"/>
      <w:r w:rsidRPr="00FF334E">
        <w:lastRenderedPageBreak/>
        <w:t xml:space="preserve">APPENDIX 2: </w:t>
      </w:r>
      <w:r w:rsidR="00852234" w:rsidRPr="00FF334E">
        <w:br/>
      </w:r>
      <w:r w:rsidR="005902BA" w:rsidRPr="00FF334E">
        <w:t>Eligible persons and run</w:t>
      </w:r>
      <w:r w:rsidR="00621310" w:rsidRPr="00FF334E">
        <w:noBreakHyphen/>
      </w:r>
      <w:r w:rsidR="005902BA" w:rsidRPr="00FF334E">
        <w:t>off cover scheme contracts</w:t>
      </w:r>
      <w:bookmarkEnd w:id="89"/>
      <w:bookmarkEnd w:id="90"/>
      <w:bookmarkEnd w:id="91"/>
      <w:bookmarkEnd w:id="92"/>
      <w:bookmarkEnd w:id="93"/>
    </w:p>
    <w:p w14:paraId="3A5731C3" w14:textId="49DE3486" w:rsidR="00F602EB" w:rsidRPr="00FF334E" w:rsidRDefault="00F602EB" w:rsidP="006735DF">
      <w:pPr>
        <w:pStyle w:val="Heading3"/>
      </w:pPr>
      <w:bookmarkStart w:id="94" w:name="_Toc63865425"/>
      <w:bookmarkStart w:id="95" w:name="_Toc63866226"/>
      <w:bookmarkStart w:id="96" w:name="_Toc63866556"/>
      <w:bookmarkStart w:id="97" w:name="_Toc63866688"/>
      <w:r w:rsidRPr="00FF334E">
        <w:t>ELIGIBLE PERSONS</w:t>
      </w:r>
      <w:bookmarkEnd w:id="94"/>
      <w:bookmarkEnd w:id="95"/>
      <w:bookmarkEnd w:id="96"/>
      <w:bookmarkEnd w:id="97"/>
    </w:p>
    <w:p w14:paraId="3E1CD411" w14:textId="0B7F04E3" w:rsidR="00F602EB" w:rsidRPr="00FF334E" w:rsidRDefault="00F602EB" w:rsidP="00D71BF6">
      <w:pPr>
        <w:pStyle w:val="ListParagraph"/>
        <w:numPr>
          <w:ilvl w:val="0"/>
          <w:numId w:val="41"/>
        </w:numPr>
        <w:tabs>
          <w:tab w:val="clear" w:pos="472"/>
        </w:tabs>
        <w:ind w:left="737" w:hanging="737"/>
      </w:pPr>
      <w:r w:rsidRPr="00FF334E">
        <w:t>Eligible persons are those who fit one or more of the following eligibility categories at the time the claim (or incident) is first notified to the eligible insurer (section 31(2) of the Act):</w:t>
      </w:r>
    </w:p>
    <w:p w14:paraId="73005BED" w14:textId="16852ADE" w:rsidR="00F602EB" w:rsidRPr="00FF334E" w:rsidRDefault="00F602EB" w:rsidP="00631595">
      <w:pPr>
        <w:pStyle w:val="Bullet"/>
        <w:tabs>
          <w:tab w:val="clear" w:pos="472"/>
          <w:tab w:val="num" w:pos="1305"/>
        </w:tabs>
        <w:ind w:left="1305"/>
      </w:pPr>
      <w:r w:rsidRPr="00FF334E">
        <w:t>a person who has permanently retired from private practice as an eligible midwife</w:t>
      </w:r>
    </w:p>
    <w:p w14:paraId="6FD38570" w14:textId="1FDE16DA" w:rsidR="00F602EB" w:rsidRPr="00FF334E" w:rsidRDefault="00F602EB" w:rsidP="00631595">
      <w:pPr>
        <w:pStyle w:val="Bullet"/>
        <w:tabs>
          <w:tab w:val="clear" w:pos="472"/>
          <w:tab w:val="num" w:pos="1305"/>
        </w:tabs>
        <w:ind w:left="1305"/>
      </w:pPr>
      <w:r w:rsidRPr="00FF334E">
        <w:t>a person who has not engaged in private practice as an eligible midwife at any time during the preceding three years</w:t>
      </w:r>
      <w:r w:rsidR="00621310" w:rsidRPr="00FF334E">
        <w:t xml:space="preserve">. </w:t>
      </w:r>
      <w:r w:rsidRPr="00FF334E">
        <w:t>(Note: unlike other categories, eligibility does not occur im</w:t>
      </w:r>
      <w:r w:rsidR="00DE03C6" w:rsidRPr="00FF334E">
        <w:t>mediately upon ceasing practice</w:t>
      </w:r>
      <w:r w:rsidRPr="00FF334E">
        <w:t>)</w:t>
      </w:r>
      <w:r w:rsidR="00DE03C6" w:rsidRPr="00FF334E">
        <w:rPr>
          <w:vertAlign w:val="superscript"/>
        </w:rPr>
        <w:footnoteReference w:id="13"/>
      </w:r>
    </w:p>
    <w:p w14:paraId="20B2FAB9" w14:textId="261F73E7" w:rsidR="00F602EB" w:rsidRPr="00FF334E" w:rsidRDefault="00F602EB" w:rsidP="00631595">
      <w:pPr>
        <w:pStyle w:val="Bullet"/>
        <w:tabs>
          <w:tab w:val="clear" w:pos="472"/>
          <w:tab w:val="num" w:pos="1305"/>
        </w:tabs>
        <w:ind w:left="1305"/>
      </w:pPr>
      <w:r w:rsidRPr="00FF334E">
        <w:t>a person who has ceased the person</w:t>
      </w:r>
      <w:r w:rsidR="00621310" w:rsidRPr="00FF334E">
        <w:t>’</w:t>
      </w:r>
      <w:r w:rsidRPr="00FF334E">
        <w:t>s practice as an eligible midwife because of maternity</w:t>
      </w:r>
    </w:p>
    <w:p w14:paraId="0D494761" w14:textId="1FAE1C11" w:rsidR="00F602EB" w:rsidRPr="00FF334E" w:rsidRDefault="00F602EB" w:rsidP="00631595">
      <w:pPr>
        <w:pStyle w:val="Bullet"/>
        <w:tabs>
          <w:tab w:val="clear" w:pos="472"/>
          <w:tab w:val="num" w:pos="1305"/>
        </w:tabs>
        <w:ind w:left="1305"/>
      </w:pPr>
      <w:r w:rsidRPr="00FF334E">
        <w:t>a person who has ceased the person</w:t>
      </w:r>
      <w:r w:rsidR="00621310" w:rsidRPr="00FF334E">
        <w:t>’</w:t>
      </w:r>
      <w:r w:rsidRPr="00FF334E">
        <w:t>s practice as an eligible midwife due to permanent disability</w:t>
      </w:r>
    </w:p>
    <w:p w14:paraId="4F44023E" w14:textId="25696DDA" w:rsidR="00F602EB" w:rsidRPr="00FF334E" w:rsidRDefault="00F602EB" w:rsidP="00631595">
      <w:pPr>
        <w:pStyle w:val="Bullet"/>
        <w:tabs>
          <w:tab w:val="clear" w:pos="472"/>
          <w:tab w:val="num" w:pos="1305"/>
        </w:tabs>
        <w:ind w:left="1305"/>
      </w:pPr>
      <w:r w:rsidRPr="00FF334E">
        <w:t>a legal representative of a deceased person who had been an eligible midwife</w:t>
      </w:r>
    </w:p>
    <w:p w14:paraId="7F16F297" w14:textId="482F30C2" w:rsidR="00F602EB" w:rsidRPr="00FF334E" w:rsidRDefault="00F602EB" w:rsidP="00631595">
      <w:pPr>
        <w:pStyle w:val="Bullet"/>
        <w:tabs>
          <w:tab w:val="clear" w:pos="472"/>
          <w:tab w:val="num" w:pos="1305"/>
        </w:tabs>
        <w:ind w:left="1305"/>
      </w:pPr>
      <w:r w:rsidRPr="00FF334E">
        <w:t>a person who is included in a class of persons that the Rules specify as persons to whom this subsection applies.</w:t>
      </w:r>
    </w:p>
    <w:p w14:paraId="2E65848A" w14:textId="3706C5B7" w:rsidR="00F602EB" w:rsidRPr="00FF334E" w:rsidRDefault="00F602EB" w:rsidP="00D71BF6">
      <w:pPr>
        <w:pStyle w:val="ListParagraph"/>
        <w:numPr>
          <w:ilvl w:val="0"/>
          <w:numId w:val="41"/>
        </w:numPr>
        <w:tabs>
          <w:tab w:val="clear" w:pos="472"/>
        </w:tabs>
        <w:ind w:left="737" w:hanging="737"/>
      </w:pPr>
      <w:r w:rsidRPr="00FF334E">
        <w:t>An eligible person must first be eligible for Commonwealth supported professional indemnity cover, which means a person who:</w:t>
      </w:r>
    </w:p>
    <w:p w14:paraId="564447B2" w14:textId="7F373445" w:rsidR="004A4913" w:rsidRPr="00FF334E" w:rsidRDefault="00F602EB" w:rsidP="00631595">
      <w:pPr>
        <w:pStyle w:val="Bullet"/>
        <w:tabs>
          <w:tab w:val="clear" w:pos="472"/>
          <w:tab w:val="num" w:pos="1305"/>
        </w:tabs>
        <w:ind w:left="1305"/>
      </w:pPr>
      <w:r w:rsidRPr="00FF334E">
        <w:t>is licensed, registered or authorised to practice midwifery by or under a law of the Commonwealth, a State or a Territory</w:t>
      </w:r>
      <w:r w:rsidR="00A16575">
        <w:t>; and</w:t>
      </w:r>
    </w:p>
    <w:p w14:paraId="4510BFB9" w14:textId="77777777" w:rsidR="00BC1BAD" w:rsidRDefault="00F602EB" w:rsidP="00631595">
      <w:pPr>
        <w:pStyle w:val="Bullet"/>
        <w:tabs>
          <w:tab w:val="clear" w:pos="472"/>
          <w:tab w:val="num" w:pos="1305"/>
        </w:tabs>
        <w:ind w:left="1305"/>
      </w:pPr>
      <w:r w:rsidRPr="00FF334E">
        <w:t>meets such other requirements (if any) as are specified in the Rules</w:t>
      </w:r>
      <w:r w:rsidR="00BC1BAD">
        <w:t xml:space="preserve"> for the purposes of this paragraph; and</w:t>
      </w:r>
    </w:p>
    <w:p w14:paraId="4C7BD22A" w14:textId="50894867" w:rsidR="00F602EB" w:rsidRPr="00FF334E" w:rsidRDefault="00BC1BAD" w:rsidP="00631595">
      <w:pPr>
        <w:pStyle w:val="Bullet"/>
        <w:tabs>
          <w:tab w:val="clear" w:pos="472"/>
          <w:tab w:val="num" w:pos="1305"/>
        </w:tabs>
        <w:ind w:left="1305"/>
      </w:pPr>
      <w:r>
        <w:t>is not included in a class of persons specified in the Rules for the purposes of this paragraph</w:t>
      </w:r>
      <w:r w:rsidR="00F602EB" w:rsidRPr="00FF334E">
        <w:t>.</w:t>
      </w:r>
    </w:p>
    <w:p w14:paraId="453A6941" w14:textId="4962ABA0" w:rsidR="00F602EB" w:rsidRPr="00FF334E" w:rsidRDefault="00F602EB" w:rsidP="006735DF">
      <w:pPr>
        <w:pStyle w:val="Heading3"/>
      </w:pPr>
      <w:bookmarkStart w:id="98" w:name="_Toc63865426"/>
      <w:bookmarkStart w:id="99" w:name="_Toc63866227"/>
      <w:bookmarkStart w:id="100" w:name="_Toc63866557"/>
      <w:bookmarkStart w:id="101" w:name="_Toc63866689"/>
      <w:r w:rsidRPr="00FF334E">
        <w:lastRenderedPageBreak/>
        <w:t>PROVISION AND NOTIFICATION OF COMPULSORY RUN OFF COVER</w:t>
      </w:r>
      <w:bookmarkEnd w:id="98"/>
      <w:bookmarkEnd w:id="99"/>
      <w:bookmarkEnd w:id="100"/>
      <w:bookmarkEnd w:id="101"/>
    </w:p>
    <w:p w14:paraId="6CE4ADD7" w14:textId="1A0506C7" w:rsidR="00F602EB" w:rsidRPr="00FF334E" w:rsidRDefault="00F602EB" w:rsidP="00D71BF6">
      <w:pPr>
        <w:pStyle w:val="ListParagraph"/>
        <w:numPr>
          <w:ilvl w:val="0"/>
          <w:numId w:val="41"/>
        </w:numPr>
        <w:tabs>
          <w:tab w:val="clear" w:pos="472"/>
        </w:tabs>
        <w:ind w:left="737" w:hanging="737"/>
      </w:pPr>
      <w:r w:rsidRPr="00FF334E">
        <w:t xml:space="preserve">Under an arrangement in force with the Commonwealth, MIGA is required to notify eligible persons of their entitlement to </w:t>
      </w:r>
      <w:r w:rsidR="002630DA">
        <w:t>run-off</w:t>
      </w:r>
      <w:r w:rsidRPr="00FF334E">
        <w:t xml:space="preserve"> cover and then to provide that cover to them</w:t>
      </w:r>
      <w:r w:rsidR="00621310" w:rsidRPr="00FF334E">
        <w:t xml:space="preserve">. </w:t>
      </w:r>
    </w:p>
    <w:p w14:paraId="63FA21DE" w14:textId="0DF228D4" w:rsidR="00852234" w:rsidRPr="00FF334E" w:rsidRDefault="00852234">
      <w:pPr>
        <w:spacing w:after="200" w:line="276" w:lineRule="auto"/>
        <w:jc w:val="left"/>
      </w:pPr>
      <w:r w:rsidRPr="00FF334E">
        <w:br w:type="page"/>
      </w:r>
    </w:p>
    <w:p w14:paraId="13777F5A" w14:textId="3F5E5BF8" w:rsidR="00F602EB" w:rsidRPr="00FF334E" w:rsidRDefault="00F602EB" w:rsidP="006735DF">
      <w:pPr>
        <w:pStyle w:val="Heading1"/>
      </w:pPr>
      <w:bookmarkStart w:id="102" w:name="_Toc63865427"/>
      <w:bookmarkStart w:id="103" w:name="_Toc63866228"/>
      <w:bookmarkStart w:id="104" w:name="_Toc63866558"/>
      <w:bookmarkStart w:id="105" w:name="_Toc63866690"/>
      <w:bookmarkStart w:id="106" w:name="_Toc192842032"/>
      <w:r w:rsidRPr="00FF334E">
        <w:lastRenderedPageBreak/>
        <w:t xml:space="preserve">APPENDIX 3: </w:t>
      </w:r>
      <w:r w:rsidR="00852234" w:rsidRPr="00FF334E">
        <w:br/>
      </w:r>
      <w:r w:rsidR="005902BA" w:rsidRPr="00FF334E">
        <w:t>Run</w:t>
      </w:r>
      <w:r w:rsidR="00621310" w:rsidRPr="00FF334E">
        <w:noBreakHyphen/>
      </w:r>
      <w:r w:rsidR="005902BA" w:rsidRPr="00FF334E">
        <w:t>off cover scheme claims</w:t>
      </w:r>
      <w:bookmarkEnd w:id="102"/>
      <w:bookmarkEnd w:id="103"/>
      <w:bookmarkEnd w:id="104"/>
      <w:bookmarkEnd w:id="105"/>
      <w:bookmarkEnd w:id="106"/>
    </w:p>
    <w:p w14:paraId="6A5D5232" w14:textId="25FC5423" w:rsidR="00F602EB" w:rsidRPr="00FF334E" w:rsidRDefault="00F602EB" w:rsidP="00D71BF6">
      <w:pPr>
        <w:pStyle w:val="ListParagraph"/>
        <w:numPr>
          <w:ilvl w:val="0"/>
          <w:numId w:val="42"/>
        </w:numPr>
        <w:ind w:left="737" w:hanging="737"/>
      </w:pPr>
      <w:r w:rsidRPr="00FF334E">
        <w:t>The legislation defines claims broadly</w:t>
      </w:r>
      <w:r w:rsidR="00621310" w:rsidRPr="00FF334E">
        <w:t xml:space="preserve">. </w:t>
      </w:r>
      <w:r w:rsidRPr="00FF334E">
        <w:t>Claims need not involve legal proceedings</w:t>
      </w:r>
      <w:r w:rsidR="00621310" w:rsidRPr="00FF334E">
        <w:t xml:space="preserve">. </w:t>
      </w:r>
      <w:r w:rsidRPr="00FF334E">
        <w:t>Claims may include civil claims for negligence, administrative proceedings, disciplinary proceedings (including those performed by a professional body) and inquiries or investigations into conduct (subsection 5(1) of the Act).</w:t>
      </w:r>
    </w:p>
    <w:p w14:paraId="19273257" w14:textId="597C821A" w:rsidR="00F602EB" w:rsidRPr="00FF334E" w:rsidRDefault="00F602EB" w:rsidP="00D71BF6">
      <w:pPr>
        <w:pStyle w:val="ListParagraph"/>
        <w:numPr>
          <w:ilvl w:val="0"/>
          <w:numId w:val="42"/>
        </w:numPr>
        <w:ind w:left="737" w:hanging="737"/>
      </w:pPr>
      <w:r w:rsidRPr="00FF334E">
        <w:t>A ROC claim is payable to an insurer under section 32 if:</w:t>
      </w:r>
    </w:p>
    <w:p w14:paraId="0FC2F5D8" w14:textId="2E89A29B" w:rsidR="00F602EB" w:rsidRPr="00FF334E" w:rsidRDefault="00F602EB" w:rsidP="00D71BF6">
      <w:pPr>
        <w:pStyle w:val="Bullet"/>
        <w:tabs>
          <w:tab w:val="clear" w:pos="472"/>
          <w:tab w:val="num" w:pos="1305"/>
        </w:tabs>
        <w:ind w:left="1305"/>
      </w:pPr>
      <w:r w:rsidRPr="00FF334E">
        <w:t>it relates to incident(s) that occurred on or after 1 July 2010</w:t>
      </w:r>
    </w:p>
    <w:p w14:paraId="455E28D3" w14:textId="712FD7D1" w:rsidR="00F602EB" w:rsidRPr="00FF334E" w:rsidRDefault="00F602EB" w:rsidP="00D71BF6">
      <w:pPr>
        <w:pStyle w:val="Bullet"/>
        <w:tabs>
          <w:tab w:val="clear" w:pos="472"/>
          <w:tab w:val="num" w:pos="1305"/>
        </w:tabs>
        <w:ind w:left="1305"/>
      </w:pPr>
      <w:r w:rsidRPr="00FF334E">
        <w:t>it relates to a person eligible under section 31(2) (see Appendix 2)</w:t>
      </w:r>
    </w:p>
    <w:p w14:paraId="4850F9D3" w14:textId="53776004" w:rsidR="00F602EB" w:rsidRPr="00FF334E" w:rsidRDefault="00F602EB" w:rsidP="00D71BF6">
      <w:pPr>
        <w:pStyle w:val="Bullet"/>
        <w:tabs>
          <w:tab w:val="clear" w:pos="472"/>
          <w:tab w:val="num" w:pos="1305"/>
        </w:tabs>
        <w:ind w:left="1305"/>
      </w:pPr>
      <w:r w:rsidRPr="00FF334E">
        <w:t>it relates to incident(s) occurring in connection with the person</w:t>
      </w:r>
      <w:r w:rsidR="00621310" w:rsidRPr="00FF334E">
        <w:t>’</w:t>
      </w:r>
      <w:r w:rsidRPr="00FF334E">
        <w:t>s practice as an eligible midwife</w:t>
      </w:r>
    </w:p>
    <w:p w14:paraId="658CDEF4" w14:textId="0B9DD629" w:rsidR="00F602EB" w:rsidRPr="00FF334E" w:rsidRDefault="00F602EB" w:rsidP="00D71BF6">
      <w:pPr>
        <w:pStyle w:val="Bullet"/>
        <w:tabs>
          <w:tab w:val="clear" w:pos="472"/>
          <w:tab w:val="num" w:pos="1305"/>
        </w:tabs>
        <w:ind w:left="1305"/>
      </w:pPr>
      <w:r w:rsidRPr="00FF334E">
        <w:t xml:space="preserve">the person has midwife professional indemnity </w:t>
      </w:r>
      <w:r w:rsidR="002630DA">
        <w:t>run-off</w:t>
      </w:r>
      <w:r w:rsidRPr="00FF334E">
        <w:t xml:space="preserve"> cover that indemnifies the person in relation to the claim</w:t>
      </w:r>
    </w:p>
    <w:p w14:paraId="68522588" w14:textId="096075E6" w:rsidR="00F602EB" w:rsidRPr="00FF334E" w:rsidRDefault="00F602EB" w:rsidP="00D71BF6">
      <w:pPr>
        <w:pStyle w:val="Bullet"/>
        <w:tabs>
          <w:tab w:val="clear" w:pos="472"/>
          <w:tab w:val="num" w:pos="1305"/>
        </w:tabs>
        <w:ind w:left="1305"/>
      </w:pPr>
      <w:r w:rsidRPr="00FF334E">
        <w:t>the claim would be paid in the ordinary course of the insurer</w:t>
      </w:r>
      <w:r w:rsidR="00621310" w:rsidRPr="00FF334E">
        <w:t>’</w:t>
      </w:r>
      <w:r w:rsidRPr="00FF334E">
        <w:t>s business.</w:t>
      </w:r>
    </w:p>
    <w:p w14:paraId="3276CC04" w14:textId="0B1CE123" w:rsidR="00F602EB" w:rsidRPr="00FF334E" w:rsidRDefault="00F602EB" w:rsidP="00D71BF6">
      <w:pPr>
        <w:pStyle w:val="ListParagraph"/>
        <w:numPr>
          <w:ilvl w:val="0"/>
          <w:numId w:val="42"/>
        </w:numPr>
        <w:ind w:left="737" w:hanging="737"/>
      </w:pPr>
      <w:r w:rsidRPr="00FF334E">
        <w:t xml:space="preserve">Where these criteria are met, the Commonwealth is liable to pay </w:t>
      </w:r>
      <w:r w:rsidR="002630DA">
        <w:t>run-off</w:t>
      </w:r>
      <w:r w:rsidRPr="00FF334E">
        <w:t xml:space="preserve"> cover indemnities regardless of whether the insurer has sought private reinsurance (section 71).</w:t>
      </w:r>
    </w:p>
    <w:p w14:paraId="127D87BA" w14:textId="6417226D" w:rsidR="00F602EB" w:rsidRPr="00FF334E" w:rsidRDefault="00F602EB" w:rsidP="00D71BF6">
      <w:pPr>
        <w:pStyle w:val="ListParagraph"/>
        <w:numPr>
          <w:ilvl w:val="0"/>
          <w:numId w:val="42"/>
        </w:numPr>
        <w:ind w:left="737" w:hanging="737"/>
      </w:pPr>
      <w:r w:rsidRPr="00FF334E">
        <w:t>Applications for ROC Commonwealth contributions must be made to Services Australia (section 58 of the Act)</w:t>
      </w:r>
      <w:r w:rsidR="00621310" w:rsidRPr="00FF334E">
        <w:t xml:space="preserve">. </w:t>
      </w:r>
      <w:r w:rsidRPr="00FF334E">
        <w:t>They are paid by the Chief Executive Medicare before the end of the month that immediately follows the month in which the eligible insurer applies for the indemnity (section 59).</w:t>
      </w:r>
    </w:p>
    <w:p w14:paraId="7B02197D" w14:textId="078DA29C" w:rsidR="0098347F" w:rsidRPr="00FF334E" w:rsidRDefault="00F602EB" w:rsidP="00FD3B26">
      <w:pPr>
        <w:pStyle w:val="ListParagraph"/>
        <w:numPr>
          <w:ilvl w:val="0"/>
          <w:numId w:val="42"/>
        </w:numPr>
        <w:ind w:left="737" w:hanging="737"/>
      </w:pPr>
      <w:r w:rsidRPr="00FF334E">
        <w:t xml:space="preserve">If a Level 1 or Level 2 Commonwealth contribution is payable in respect of that payment, the amount of the </w:t>
      </w:r>
      <w:r w:rsidR="002630DA">
        <w:t>run-off</w:t>
      </w:r>
      <w:r w:rsidRPr="00FF334E">
        <w:t xml:space="preserve"> cover Commonwealth contribution is reduced by the amount of the Level 1 or Level 2 Commonwealth contribution (section 35(2)).</w:t>
      </w:r>
      <w:bookmarkStart w:id="107" w:name="_Toc63865428"/>
      <w:bookmarkStart w:id="108" w:name="_Toc63866229"/>
      <w:bookmarkStart w:id="109" w:name="_Toc63866559"/>
      <w:bookmarkStart w:id="110" w:name="_Toc63866691"/>
      <w:r w:rsidR="0098347F" w:rsidRPr="00FF334E">
        <w:br w:type="page"/>
      </w:r>
    </w:p>
    <w:p w14:paraId="36E87FBC" w14:textId="24DAC5CF" w:rsidR="00F602EB" w:rsidRPr="00FF334E" w:rsidRDefault="00F602EB" w:rsidP="006735DF">
      <w:pPr>
        <w:pStyle w:val="Heading1"/>
      </w:pPr>
      <w:bookmarkStart w:id="111" w:name="_Toc192842033"/>
      <w:r w:rsidRPr="00FF334E">
        <w:lastRenderedPageBreak/>
        <w:t xml:space="preserve">APPENDIX 4: </w:t>
      </w:r>
      <w:r w:rsidR="00852234" w:rsidRPr="00FF334E">
        <w:br/>
      </w:r>
      <w:r w:rsidR="005902BA" w:rsidRPr="00FF334E">
        <w:t>Methodology</w:t>
      </w:r>
      <w:r w:rsidRPr="00FF334E">
        <w:t xml:space="preserve">, </w:t>
      </w:r>
      <w:r w:rsidR="005902BA" w:rsidRPr="00FF334E">
        <w:t xml:space="preserve">assumptions and </w:t>
      </w:r>
      <w:bookmarkEnd w:id="107"/>
      <w:bookmarkEnd w:id="108"/>
      <w:bookmarkEnd w:id="109"/>
      <w:bookmarkEnd w:id="110"/>
      <w:r w:rsidR="005902BA" w:rsidRPr="00FF334E">
        <w:t>uncertainty</w:t>
      </w:r>
      <w:bookmarkEnd w:id="111"/>
    </w:p>
    <w:p w14:paraId="10792BC3" w14:textId="255DE9DD" w:rsidR="00F602EB" w:rsidRPr="00FF334E" w:rsidRDefault="00F602EB" w:rsidP="006735DF">
      <w:pPr>
        <w:pStyle w:val="Heading3"/>
      </w:pPr>
      <w:bookmarkStart w:id="112" w:name="_Toc63865429"/>
      <w:bookmarkStart w:id="113" w:name="_Toc63866230"/>
      <w:bookmarkStart w:id="114" w:name="_Toc63866560"/>
      <w:bookmarkStart w:id="115" w:name="_Toc63866692"/>
      <w:r w:rsidRPr="00FF334E">
        <w:t>ASSUMPTIONS</w:t>
      </w:r>
      <w:bookmarkEnd w:id="112"/>
      <w:bookmarkEnd w:id="113"/>
      <w:bookmarkEnd w:id="114"/>
      <w:bookmarkEnd w:id="115"/>
    </w:p>
    <w:p w14:paraId="139090DD" w14:textId="686A642F" w:rsidR="00F602EB" w:rsidRPr="00FF334E" w:rsidRDefault="00F602EB" w:rsidP="009C24ED">
      <w:pPr>
        <w:rPr>
          <w:b/>
          <w:color w:val="74000E" w:themeColor="accent1"/>
          <w:sz w:val="24"/>
        </w:rPr>
      </w:pPr>
      <w:bookmarkStart w:id="116" w:name="_Toc63865430"/>
      <w:bookmarkStart w:id="117" w:name="_Toc63866231"/>
      <w:bookmarkStart w:id="118" w:name="_Toc63866561"/>
      <w:bookmarkStart w:id="119" w:name="_Toc63866693"/>
      <w:r w:rsidRPr="00FF334E">
        <w:rPr>
          <w:b/>
          <w:color w:val="74000E" w:themeColor="accent1"/>
          <w:sz w:val="24"/>
        </w:rPr>
        <w:t>Claim frequency</w:t>
      </w:r>
      <w:bookmarkEnd w:id="116"/>
      <w:bookmarkEnd w:id="117"/>
      <w:bookmarkEnd w:id="118"/>
      <w:bookmarkEnd w:id="119"/>
    </w:p>
    <w:p w14:paraId="2C122A87" w14:textId="5A7B9765" w:rsidR="00F602EB" w:rsidRPr="00FF334E" w:rsidRDefault="00F602EB" w:rsidP="00D71BF6">
      <w:pPr>
        <w:pStyle w:val="ListParagraph"/>
        <w:numPr>
          <w:ilvl w:val="0"/>
          <w:numId w:val="43"/>
        </w:numPr>
        <w:ind w:left="737" w:hanging="737"/>
      </w:pPr>
      <w:r w:rsidRPr="00FF334E">
        <w:t>We have adopted the same assumption as that used for costing the Commonwealth</w:t>
      </w:r>
      <w:r w:rsidR="00621310" w:rsidRPr="00FF334E">
        <w:t>’</w:t>
      </w:r>
      <w:r w:rsidRPr="00FF334E">
        <w:t>s Level 1 and Level 2 contributions</w:t>
      </w:r>
      <w:r w:rsidR="00621310" w:rsidRPr="00FF334E">
        <w:t xml:space="preserve">. </w:t>
      </w:r>
      <w:r w:rsidRPr="00FF334E">
        <w:t xml:space="preserve">That is, we have assumed an underlying claim frequency of </w:t>
      </w:r>
      <w:r w:rsidRPr="005D5F60">
        <w:t>1.1 claims per 1,000 births</w:t>
      </w:r>
      <w:r w:rsidRPr="00FF334E">
        <w:t xml:space="preserve"> for births in clinical settings.</w:t>
      </w:r>
    </w:p>
    <w:p w14:paraId="4FF65861" w14:textId="0E9B8DB9" w:rsidR="00F602EB" w:rsidRPr="00FF334E" w:rsidRDefault="00F602EB" w:rsidP="00D71BF6">
      <w:pPr>
        <w:pStyle w:val="ListParagraph"/>
        <w:numPr>
          <w:ilvl w:val="0"/>
          <w:numId w:val="43"/>
        </w:numPr>
        <w:ind w:left="737" w:hanging="737"/>
      </w:pPr>
      <w:r w:rsidRPr="00FF334E">
        <w:t xml:space="preserve">I do not regard this assumption as unreasonable because, when combined with the number of births we have assumed that each midwife manages per annum, it is </w:t>
      </w:r>
      <w:proofErr w:type="gramStart"/>
      <w:r w:rsidRPr="00FF334E">
        <w:t>similar to</w:t>
      </w:r>
      <w:proofErr w:type="gramEnd"/>
      <w:r w:rsidRPr="00FF334E">
        <w:t xml:space="preserve"> the assumption that we have adopted in a model we built for medical practitioners</w:t>
      </w:r>
      <w:r w:rsidR="00621310" w:rsidRPr="00FF334E">
        <w:t xml:space="preserve">. </w:t>
      </w:r>
      <w:r w:rsidRPr="00FF334E">
        <w:t>However, it is clearly subject to a high level of uncertainty.</w:t>
      </w:r>
    </w:p>
    <w:p w14:paraId="38A96B30" w14:textId="6F8E6715" w:rsidR="00F602EB" w:rsidRPr="00FF334E" w:rsidRDefault="00F602EB" w:rsidP="009C24ED">
      <w:pPr>
        <w:rPr>
          <w:b/>
          <w:color w:val="74000E" w:themeColor="accent1"/>
          <w:sz w:val="24"/>
        </w:rPr>
      </w:pPr>
      <w:bookmarkStart w:id="120" w:name="_Toc63865431"/>
      <w:bookmarkStart w:id="121" w:name="_Toc63866232"/>
      <w:bookmarkStart w:id="122" w:name="_Toc63866562"/>
      <w:bookmarkStart w:id="123" w:name="_Toc63866694"/>
      <w:r w:rsidRPr="00FF334E">
        <w:rPr>
          <w:b/>
          <w:color w:val="74000E" w:themeColor="accent1"/>
          <w:sz w:val="24"/>
        </w:rPr>
        <w:t>Claim size</w:t>
      </w:r>
      <w:bookmarkEnd w:id="120"/>
      <w:bookmarkEnd w:id="121"/>
      <w:bookmarkEnd w:id="122"/>
      <w:bookmarkEnd w:id="123"/>
    </w:p>
    <w:p w14:paraId="2D3F3EAB" w14:textId="56E69341" w:rsidR="00EF3E9F" w:rsidRDefault="00F602EB" w:rsidP="00D71BF6">
      <w:pPr>
        <w:pStyle w:val="ListParagraph"/>
        <w:numPr>
          <w:ilvl w:val="0"/>
          <w:numId w:val="43"/>
        </w:numPr>
        <w:ind w:left="737" w:hanging="737"/>
      </w:pPr>
      <w:r w:rsidRPr="00FF334E">
        <w:t>Due to the small number of claims against midwives to date, the average size is not statistically reliable</w:t>
      </w:r>
      <w:r w:rsidR="00621310" w:rsidRPr="00FF334E">
        <w:t xml:space="preserve">. </w:t>
      </w:r>
      <w:r w:rsidRPr="00FF334E">
        <w:t xml:space="preserve">We have therefore adopted a claim size assumption of </w:t>
      </w:r>
      <w:r w:rsidR="00B832F2">
        <w:t xml:space="preserve">around </w:t>
      </w:r>
      <w:r w:rsidR="007A2724" w:rsidRPr="00B53F6A">
        <w:t>$263,28</w:t>
      </w:r>
      <w:r w:rsidR="00B53F6A" w:rsidRPr="00B53F6A">
        <w:t>0</w:t>
      </w:r>
      <w:r w:rsidR="00B832F2" w:rsidRPr="00B53F6A">
        <w:t xml:space="preserve"> </w:t>
      </w:r>
      <w:r w:rsidR="00CE319B" w:rsidRPr="00B53F6A">
        <w:t>(</w:t>
      </w:r>
      <w:r w:rsidR="00CE319B" w:rsidRPr="00AD345B">
        <w:t>i.e. $200,000 in 20</w:t>
      </w:r>
      <w:r w:rsidR="005337F5" w:rsidRPr="00AD345B">
        <w:t>17-</w:t>
      </w:r>
      <w:r w:rsidR="00CE319B" w:rsidRPr="00AD345B">
        <w:t xml:space="preserve">18 dollars) </w:t>
      </w:r>
      <w:r w:rsidRPr="00AD345B">
        <w:t>which is about 80 per cent of the average claim size against obstetricians</w:t>
      </w:r>
      <w:r w:rsidR="004311BA" w:rsidRPr="00AD345B">
        <w:t xml:space="preserve"> based on the NCPD data</w:t>
      </w:r>
      <w:r w:rsidR="00621310" w:rsidRPr="00FF334E">
        <w:t xml:space="preserve">. </w:t>
      </w:r>
      <w:r w:rsidRPr="00FF334E">
        <w:t>This assumption is very subjective, and we intend to review this assumption as more claim experience becomes available</w:t>
      </w:r>
      <w:r w:rsidR="00621310" w:rsidRPr="00FF334E">
        <w:t xml:space="preserve">. </w:t>
      </w:r>
    </w:p>
    <w:p w14:paraId="2516EE7E" w14:textId="162CC6C4" w:rsidR="00EF3E9F" w:rsidRDefault="00EF3E9F" w:rsidP="00D71BF6">
      <w:pPr>
        <w:pStyle w:val="ListParagraph"/>
        <w:numPr>
          <w:ilvl w:val="0"/>
          <w:numId w:val="43"/>
        </w:numPr>
        <w:ind w:left="737" w:hanging="737"/>
      </w:pPr>
      <w:r w:rsidRPr="00EF3E9F">
        <w:t xml:space="preserve">So far, </w:t>
      </w:r>
      <w:r w:rsidR="002F02A4">
        <w:t>few</w:t>
      </w:r>
      <w:r w:rsidRPr="00EF3E9F">
        <w:t xml:space="preserve"> claims received by </w:t>
      </w:r>
      <w:r>
        <w:t>MIGA</w:t>
      </w:r>
      <w:r w:rsidRPr="00EF3E9F">
        <w:t xml:space="preserve"> have been flagged as potentially eligible for </w:t>
      </w:r>
      <w:r>
        <w:t>Level 1 and Level 2 payments</w:t>
      </w:r>
      <w:r w:rsidR="002F02A4">
        <w:t xml:space="preserve"> (and none potentially eligible for the ROC Scheme)</w:t>
      </w:r>
      <w:r w:rsidRPr="00EF3E9F">
        <w:t xml:space="preserve">, </w:t>
      </w:r>
      <w:r w:rsidR="00985A19">
        <w:t>spread over a wide</w:t>
      </w:r>
      <w:r w:rsidRPr="00EF3E9F">
        <w:t xml:space="preserve"> size range. Th</w:t>
      </w:r>
      <w:r w:rsidR="004274AA">
        <w:t>ere</w:t>
      </w:r>
      <w:r w:rsidRPr="00EF3E9F">
        <w:t xml:space="preserve"> is insufficient </w:t>
      </w:r>
      <w:r w:rsidR="00C1638D">
        <w:t xml:space="preserve">information from these claims </w:t>
      </w:r>
      <w:r w:rsidRPr="00EF3E9F">
        <w:t xml:space="preserve">to update the </w:t>
      </w:r>
      <w:r w:rsidRPr="00B53F6A">
        <w:t>assumption. On the other hand, the NCPD data that we</w:t>
      </w:r>
      <w:r w:rsidR="000C0174" w:rsidRPr="00B53F6A">
        <w:t xml:space="preserve"> </w:t>
      </w:r>
      <w:r w:rsidRPr="00B53F6A">
        <w:t xml:space="preserve">received from APRA </w:t>
      </w:r>
      <w:r w:rsidR="005D6AA5" w:rsidRPr="00B53F6A">
        <w:t>in 202</w:t>
      </w:r>
      <w:r w:rsidR="00B53F6A" w:rsidRPr="00B53F6A">
        <w:t>2</w:t>
      </w:r>
      <w:r w:rsidR="000C0174" w:rsidRPr="00B53F6A">
        <w:t xml:space="preserve"> </w:t>
      </w:r>
      <w:r w:rsidRPr="00B53F6A">
        <w:t xml:space="preserve">had an average claim size of around $240,000 (unadjusted for inflation). None of </w:t>
      </w:r>
      <w:r w:rsidR="00C1638D" w:rsidRPr="00B53F6A">
        <w:t>this</w:t>
      </w:r>
      <w:r w:rsidR="00C1638D">
        <w:t xml:space="preserve"> </w:t>
      </w:r>
      <w:r w:rsidR="009C411E">
        <w:t xml:space="preserve">new </w:t>
      </w:r>
      <w:r>
        <w:t xml:space="preserve">information </w:t>
      </w:r>
      <w:r w:rsidR="009C411E">
        <w:t xml:space="preserve">suggests </w:t>
      </w:r>
      <w:r w:rsidR="00C1638D">
        <w:t xml:space="preserve">that </w:t>
      </w:r>
      <w:r w:rsidR="009C411E">
        <w:t>our assumption should be changed</w:t>
      </w:r>
      <w:r>
        <w:t xml:space="preserve">. </w:t>
      </w:r>
    </w:p>
    <w:p w14:paraId="5019C212" w14:textId="1432F987" w:rsidR="00F602EB" w:rsidRPr="00FF334E" w:rsidRDefault="00F602EB" w:rsidP="00D71BF6">
      <w:pPr>
        <w:pStyle w:val="ListParagraph"/>
        <w:numPr>
          <w:ilvl w:val="0"/>
          <w:numId w:val="43"/>
        </w:numPr>
        <w:ind w:left="737" w:hanging="737"/>
      </w:pPr>
      <w:r w:rsidRPr="00FF334E">
        <w:t>For all claims, we have assumed a gamma distribution of claim size which varies approximately along the following lines</w:t>
      </w:r>
      <w:r w:rsidR="00CE319B">
        <w:t xml:space="preserve"> in 2018 dollars</w:t>
      </w:r>
      <w:r w:rsidRPr="00FF334E">
        <w:t>.</w:t>
      </w:r>
    </w:p>
    <w:p w14:paraId="7215E680" w14:textId="236FB916" w:rsidR="008B6F94" w:rsidRPr="00FF334E" w:rsidRDefault="00F602EB" w:rsidP="00166BEE">
      <w:pPr>
        <w:pStyle w:val="Caption"/>
      </w:pPr>
      <w:r w:rsidRPr="009C6EB1">
        <w:t>Table 7:</w:t>
      </w:r>
      <w:r w:rsidRPr="009B773E">
        <w:t xml:space="preserve"> G</w:t>
      </w:r>
      <w:r w:rsidR="008B6F94" w:rsidRPr="009B773E">
        <w:t>amma distribution of claim size</w:t>
      </w:r>
    </w:p>
    <w:tbl>
      <w:tblPr>
        <w:tblW w:w="7797" w:type="dxa"/>
        <w:tblLook w:val="04A0" w:firstRow="1" w:lastRow="0" w:firstColumn="1" w:lastColumn="0" w:noHBand="0" w:noVBand="1"/>
      </w:tblPr>
      <w:tblGrid>
        <w:gridCol w:w="1500"/>
        <w:gridCol w:w="6297"/>
      </w:tblGrid>
      <w:tr w:rsidR="008B6F94" w:rsidRPr="00FF334E" w14:paraId="6609E6BD" w14:textId="77777777" w:rsidTr="0050084D">
        <w:trPr>
          <w:trHeight w:val="225"/>
        </w:trPr>
        <w:tc>
          <w:tcPr>
            <w:tcW w:w="1500" w:type="dxa"/>
            <w:tcBorders>
              <w:top w:val="single" w:sz="4" w:space="0" w:color="auto"/>
              <w:left w:val="nil"/>
              <w:bottom w:val="single" w:sz="4" w:space="0" w:color="auto"/>
              <w:right w:val="nil"/>
            </w:tcBorders>
            <w:shd w:val="clear" w:color="auto" w:fill="auto"/>
            <w:noWrap/>
            <w:vAlign w:val="center"/>
            <w:hideMark/>
          </w:tcPr>
          <w:p w14:paraId="4D38BD87" w14:textId="77777777" w:rsidR="008B6F94" w:rsidRPr="00FF334E" w:rsidRDefault="008B6F94" w:rsidP="008B6F94">
            <w:pPr>
              <w:spacing w:after="0" w:line="240" w:lineRule="auto"/>
              <w:jc w:val="left"/>
              <w:rPr>
                <w:rFonts w:cs="Arial"/>
                <w:b/>
                <w:bCs/>
                <w:sz w:val="16"/>
                <w:szCs w:val="16"/>
              </w:rPr>
            </w:pPr>
            <w:r w:rsidRPr="00FF334E">
              <w:rPr>
                <w:rFonts w:cs="Arial"/>
                <w:b/>
                <w:bCs/>
                <w:sz w:val="16"/>
                <w:szCs w:val="16"/>
              </w:rPr>
              <w:t>Size of claim</w:t>
            </w:r>
          </w:p>
        </w:tc>
        <w:tc>
          <w:tcPr>
            <w:tcW w:w="6297" w:type="dxa"/>
            <w:tcBorders>
              <w:top w:val="single" w:sz="4" w:space="0" w:color="auto"/>
              <w:left w:val="nil"/>
              <w:bottom w:val="single" w:sz="4" w:space="0" w:color="auto"/>
              <w:right w:val="nil"/>
            </w:tcBorders>
            <w:shd w:val="clear" w:color="auto" w:fill="auto"/>
            <w:noWrap/>
            <w:vAlign w:val="center"/>
            <w:hideMark/>
          </w:tcPr>
          <w:p w14:paraId="14CBB5CB" w14:textId="77777777" w:rsidR="008B6F94" w:rsidRPr="00FF334E" w:rsidRDefault="008B6F94" w:rsidP="008B6F94">
            <w:pPr>
              <w:spacing w:after="0" w:line="240" w:lineRule="auto"/>
              <w:jc w:val="center"/>
              <w:rPr>
                <w:rFonts w:cs="Arial"/>
                <w:b/>
                <w:bCs/>
                <w:sz w:val="16"/>
                <w:szCs w:val="16"/>
              </w:rPr>
            </w:pPr>
            <w:r w:rsidRPr="00FF334E">
              <w:rPr>
                <w:rFonts w:cs="Arial"/>
                <w:b/>
                <w:bCs/>
                <w:sz w:val="16"/>
                <w:szCs w:val="16"/>
              </w:rPr>
              <w:t>Proportion of all claims (by number) less than upper bound of band</w:t>
            </w:r>
          </w:p>
        </w:tc>
      </w:tr>
      <w:tr w:rsidR="008B6F94" w:rsidRPr="00FF334E" w14:paraId="2575665B" w14:textId="77777777" w:rsidTr="0050084D">
        <w:trPr>
          <w:trHeight w:val="225"/>
        </w:trPr>
        <w:tc>
          <w:tcPr>
            <w:tcW w:w="1500" w:type="dxa"/>
            <w:tcBorders>
              <w:top w:val="nil"/>
              <w:left w:val="nil"/>
              <w:bottom w:val="nil"/>
              <w:right w:val="nil"/>
            </w:tcBorders>
            <w:shd w:val="clear" w:color="auto" w:fill="auto"/>
            <w:noWrap/>
            <w:vAlign w:val="center"/>
            <w:hideMark/>
          </w:tcPr>
          <w:p w14:paraId="24E5D121" w14:textId="77777777" w:rsidR="008B6F94" w:rsidRPr="00FF334E" w:rsidRDefault="008B6F94" w:rsidP="008B6F94">
            <w:pPr>
              <w:spacing w:after="0" w:line="240" w:lineRule="auto"/>
              <w:jc w:val="left"/>
              <w:rPr>
                <w:rFonts w:cs="Arial"/>
                <w:sz w:val="16"/>
                <w:szCs w:val="16"/>
              </w:rPr>
            </w:pPr>
            <w:r w:rsidRPr="00FF334E">
              <w:rPr>
                <w:rFonts w:cs="Arial"/>
                <w:sz w:val="16"/>
                <w:szCs w:val="16"/>
              </w:rPr>
              <w:t>Up to $100,000</w:t>
            </w:r>
          </w:p>
        </w:tc>
        <w:tc>
          <w:tcPr>
            <w:tcW w:w="6297" w:type="dxa"/>
            <w:tcBorders>
              <w:top w:val="nil"/>
              <w:left w:val="nil"/>
              <w:bottom w:val="nil"/>
              <w:right w:val="nil"/>
            </w:tcBorders>
            <w:shd w:val="clear" w:color="auto" w:fill="auto"/>
            <w:noWrap/>
            <w:vAlign w:val="center"/>
            <w:hideMark/>
          </w:tcPr>
          <w:p w14:paraId="1F94AB1E" w14:textId="77777777" w:rsidR="008B6F94" w:rsidRPr="00FF334E" w:rsidRDefault="008B6F94" w:rsidP="008B6F94">
            <w:pPr>
              <w:spacing w:after="0" w:line="240" w:lineRule="auto"/>
              <w:jc w:val="center"/>
              <w:rPr>
                <w:rFonts w:cs="Arial"/>
                <w:sz w:val="16"/>
                <w:szCs w:val="16"/>
              </w:rPr>
            </w:pPr>
            <w:r w:rsidRPr="00FF334E">
              <w:rPr>
                <w:rFonts w:cs="Arial"/>
                <w:sz w:val="16"/>
                <w:szCs w:val="16"/>
              </w:rPr>
              <w:t>78 per cent</w:t>
            </w:r>
          </w:p>
        </w:tc>
      </w:tr>
      <w:tr w:rsidR="008B6F94" w:rsidRPr="00FF334E" w14:paraId="66A28B3F" w14:textId="77777777" w:rsidTr="0050084D">
        <w:trPr>
          <w:trHeight w:val="225"/>
        </w:trPr>
        <w:tc>
          <w:tcPr>
            <w:tcW w:w="1500" w:type="dxa"/>
            <w:tcBorders>
              <w:top w:val="nil"/>
              <w:left w:val="nil"/>
              <w:bottom w:val="nil"/>
              <w:right w:val="nil"/>
            </w:tcBorders>
            <w:shd w:val="clear" w:color="auto" w:fill="auto"/>
            <w:noWrap/>
            <w:vAlign w:val="center"/>
            <w:hideMark/>
          </w:tcPr>
          <w:p w14:paraId="23E47D56" w14:textId="77777777" w:rsidR="008B6F94" w:rsidRPr="00FF334E" w:rsidRDefault="008B6F94" w:rsidP="008B6F94">
            <w:pPr>
              <w:spacing w:after="0" w:line="240" w:lineRule="auto"/>
              <w:jc w:val="left"/>
              <w:rPr>
                <w:rFonts w:cs="Arial"/>
                <w:sz w:val="16"/>
                <w:szCs w:val="16"/>
              </w:rPr>
            </w:pPr>
            <w:r w:rsidRPr="00FF334E">
              <w:rPr>
                <w:rFonts w:cs="Arial"/>
                <w:sz w:val="16"/>
                <w:szCs w:val="16"/>
              </w:rPr>
              <w:t>Up to $300,000</w:t>
            </w:r>
          </w:p>
        </w:tc>
        <w:tc>
          <w:tcPr>
            <w:tcW w:w="6297" w:type="dxa"/>
            <w:tcBorders>
              <w:top w:val="nil"/>
              <w:left w:val="nil"/>
              <w:bottom w:val="nil"/>
              <w:right w:val="nil"/>
            </w:tcBorders>
            <w:shd w:val="clear" w:color="auto" w:fill="auto"/>
            <w:noWrap/>
            <w:vAlign w:val="center"/>
            <w:hideMark/>
          </w:tcPr>
          <w:p w14:paraId="0FA922A3" w14:textId="77777777" w:rsidR="008B6F94" w:rsidRPr="00FF334E" w:rsidRDefault="008B6F94" w:rsidP="008B6F94">
            <w:pPr>
              <w:spacing w:after="0" w:line="240" w:lineRule="auto"/>
              <w:jc w:val="center"/>
              <w:rPr>
                <w:rFonts w:cs="Arial"/>
                <w:sz w:val="16"/>
                <w:szCs w:val="16"/>
              </w:rPr>
            </w:pPr>
            <w:r w:rsidRPr="00FF334E">
              <w:rPr>
                <w:rFonts w:cs="Arial"/>
                <w:sz w:val="16"/>
                <w:szCs w:val="16"/>
              </w:rPr>
              <w:t>86 per cent</w:t>
            </w:r>
          </w:p>
        </w:tc>
      </w:tr>
      <w:tr w:rsidR="008B6F94" w:rsidRPr="00FF334E" w14:paraId="0BF825DF" w14:textId="77777777" w:rsidTr="0050084D">
        <w:trPr>
          <w:trHeight w:val="225"/>
        </w:trPr>
        <w:tc>
          <w:tcPr>
            <w:tcW w:w="1500" w:type="dxa"/>
            <w:tcBorders>
              <w:top w:val="nil"/>
              <w:left w:val="nil"/>
              <w:bottom w:val="nil"/>
              <w:right w:val="nil"/>
            </w:tcBorders>
            <w:shd w:val="clear" w:color="auto" w:fill="auto"/>
            <w:noWrap/>
            <w:vAlign w:val="center"/>
            <w:hideMark/>
          </w:tcPr>
          <w:p w14:paraId="04C4ED65" w14:textId="77777777" w:rsidR="008B6F94" w:rsidRPr="00FF334E" w:rsidRDefault="008B6F94" w:rsidP="008B6F94">
            <w:pPr>
              <w:spacing w:after="0" w:line="240" w:lineRule="auto"/>
              <w:jc w:val="left"/>
              <w:rPr>
                <w:rFonts w:cs="Arial"/>
                <w:sz w:val="16"/>
                <w:szCs w:val="16"/>
              </w:rPr>
            </w:pPr>
            <w:r w:rsidRPr="00FF334E">
              <w:rPr>
                <w:rFonts w:cs="Arial"/>
                <w:sz w:val="16"/>
                <w:szCs w:val="16"/>
              </w:rPr>
              <w:t>Up to $500,000</w:t>
            </w:r>
          </w:p>
        </w:tc>
        <w:tc>
          <w:tcPr>
            <w:tcW w:w="6297" w:type="dxa"/>
            <w:tcBorders>
              <w:top w:val="nil"/>
              <w:left w:val="nil"/>
              <w:bottom w:val="nil"/>
              <w:right w:val="nil"/>
            </w:tcBorders>
            <w:shd w:val="clear" w:color="auto" w:fill="auto"/>
            <w:noWrap/>
            <w:vAlign w:val="center"/>
            <w:hideMark/>
          </w:tcPr>
          <w:p w14:paraId="11D3F8B0" w14:textId="77777777" w:rsidR="008B6F94" w:rsidRPr="00FF334E" w:rsidRDefault="008B6F94" w:rsidP="008B6F94">
            <w:pPr>
              <w:spacing w:after="0" w:line="240" w:lineRule="auto"/>
              <w:jc w:val="center"/>
              <w:rPr>
                <w:rFonts w:cs="Arial"/>
                <w:sz w:val="16"/>
                <w:szCs w:val="16"/>
              </w:rPr>
            </w:pPr>
            <w:r w:rsidRPr="00FF334E">
              <w:rPr>
                <w:rFonts w:cs="Arial"/>
                <w:sz w:val="16"/>
                <w:szCs w:val="16"/>
              </w:rPr>
              <w:t>90 per cent</w:t>
            </w:r>
          </w:p>
        </w:tc>
      </w:tr>
      <w:tr w:rsidR="008B6F94" w:rsidRPr="00FF334E" w14:paraId="403FB5AB" w14:textId="77777777" w:rsidTr="0050084D">
        <w:trPr>
          <w:trHeight w:val="225"/>
        </w:trPr>
        <w:tc>
          <w:tcPr>
            <w:tcW w:w="1500" w:type="dxa"/>
            <w:tcBorders>
              <w:top w:val="nil"/>
              <w:left w:val="nil"/>
              <w:bottom w:val="single" w:sz="4" w:space="0" w:color="auto"/>
              <w:right w:val="nil"/>
            </w:tcBorders>
            <w:shd w:val="clear" w:color="auto" w:fill="auto"/>
            <w:noWrap/>
            <w:vAlign w:val="center"/>
            <w:hideMark/>
          </w:tcPr>
          <w:p w14:paraId="49D19CC0" w14:textId="77777777" w:rsidR="008B6F94" w:rsidRPr="00FF334E" w:rsidRDefault="008B6F94" w:rsidP="008B6F94">
            <w:pPr>
              <w:spacing w:after="0" w:line="240" w:lineRule="auto"/>
              <w:jc w:val="left"/>
              <w:rPr>
                <w:rFonts w:cs="Arial"/>
                <w:sz w:val="16"/>
                <w:szCs w:val="16"/>
              </w:rPr>
            </w:pPr>
            <w:r w:rsidRPr="00FF334E">
              <w:rPr>
                <w:rFonts w:cs="Arial"/>
                <w:sz w:val="16"/>
                <w:szCs w:val="16"/>
              </w:rPr>
              <w:t>Up to $1,000,000</w:t>
            </w:r>
          </w:p>
        </w:tc>
        <w:tc>
          <w:tcPr>
            <w:tcW w:w="6297" w:type="dxa"/>
            <w:tcBorders>
              <w:top w:val="nil"/>
              <w:left w:val="nil"/>
              <w:bottom w:val="single" w:sz="4" w:space="0" w:color="auto"/>
              <w:right w:val="nil"/>
            </w:tcBorders>
            <w:shd w:val="clear" w:color="auto" w:fill="auto"/>
            <w:noWrap/>
            <w:vAlign w:val="center"/>
            <w:hideMark/>
          </w:tcPr>
          <w:p w14:paraId="09774932" w14:textId="77777777" w:rsidR="008B6F94" w:rsidRPr="00FF334E" w:rsidRDefault="008B6F94" w:rsidP="008B6F94">
            <w:pPr>
              <w:spacing w:after="0" w:line="240" w:lineRule="auto"/>
              <w:jc w:val="center"/>
              <w:rPr>
                <w:rFonts w:cs="Arial"/>
                <w:sz w:val="16"/>
                <w:szCs w:val="16"/>
              </w:rPr>
            </w:pPr>
            <w:r w:rsidRPr="00FF334E">
              <w:rPr>
                <w:rFonts w:cs="Arial"/>
                <w:sz w:val="16"/>
                <w:szCs w:val="16"/>
              </w:rPr>
              <w:t>94 per cent</w:t>
            </w:r>
          </w:p>
        </w:tc>
      </w:tr>
    </w:tbl>
    <w:p w14:paraId="63D1965C" w14:textId="56AAD0B7" w:rsidR="00F602EB" w:rsidRPr="00FF334E" w:rsidRDefault="00F602EB" w:rsidP="00F602EB"/>
    <w:p w14:paraId="0B1A0C84" w14:textId="7519CCF8" w:rsidR="00F602EB" w:rsidRPr="00FF334E" w:rsidRDefault="00F602EB" w:rsidP="009C24ED">
      <w:pPr>
        <w:rPr>
          <w:b/>
          <w:color w:val="74000E" w:themeColor="accent1"/>
          <w:sz w:val="24"/>
        </w:rPr>
      </w:pPr>
      <w:bookmarkStart w:id="124" w:name="_Toc63865432"/>
      <w:bookmarkStart w:id="125" w:name="_Toc63866233"/>
      <w:bookmarkStart w:id="126" w:name="_Toc63866563"/>
      <w:bookmarkStart w:id="127" w:name="_Toc63866695"/>
      <w:r w:rsidRPr="00FF334E">
        <w:rPr>
          <w:b/>
          <w:color w:val="74000E" w:themeColor="accent1"/>
          <w:sz w:val="24"/>
        </w:rPr>
        <w:lastRenderedPageBreak/>
        <w:t>Number of eligible midwives and number of births</w:t>
      </w:r>
      <w:bookmarkEnd w:id="124"/>
      <w:bookmarkEnd w:id="125"/>
      <w:bookmarkEnd w:id="126"/>
      <w:bookmarkEnd w:id="127"/>
    </w:p>
    <w:p w14:paraId="315B4787" w14:textId="29D4564B" w:rsidR="00F602EB" w:rsidRPr="00FF334E" w:rsidRDefault="00F602EB" w:rsidP="00D71BF6">
      <w:pPr>
        <w:pStyle w:val="ListParagraph"/>
        <w:numPr>
          <w:ilvl w:val="0"/>
          <w:numId w:val="43"/>
        </w:numPr>
        <w:ind w:left="737" w:hanging="737"/>
      </w:pPr>
      <w:r w:rsidRPr="00FF334E">
        <w:t xml:space="preserve">In order to undertake </w:t>
      </w:r>
      <w:proofErr w:type="gramStart"/>
      <w:r w:rsidRPr="00FF334E">
        <w:t>costings</w:t>
      </w:r>
      <w:proofErr w:type="gramEnd"/>
      <w:r w:rsidRPr="00FF334E">
        <w:t xml:space="preserve"> it is necessary to make assumptions regarding the number of midwives who will become eligible for Commonwealth supported professional indemnity cover and the number of births each eligible midwife will manage in clinical settings.</w:t>
      </w:r>
    </w:p>
    <w:p w14:paraId="2A7A6FCC" w14:textId="7BE8D6BD" w:rsidR="00982C23" w:rsidRPr="009C6EB1" w:rsidRDefault="00DA437B" w:rsidP="009818B9">
      <w:pPr>
        <w:pStyle w:val="ListParagraph"/>
        <w:numPr>
          <w:ilvl w:val="0"/>
          <w:numId w:val="43"/>
        </w:numPr>
        <w:ind w:left="737" w:hanging="737"/>
      </w:pPr>
      <w:r w:rsidRPr="009C6EB1">
        <w:t>Based on the data provided by MIGA in late 202</w:t>
      </w:r>
      <w:r w:rsidR="00F2013D" w:rsidRPr="009C6EB1">
        <w:t>4</w:t>
      </w:r>
      <w:r w:rsidRPr="009C6EB1">
        <w:t xml:space="preserve">, there were </w:t>
      </w:r>
      <w:r w:rsidR="00235097" w:rsidRPr="009C6EB1">
        <w:t>4</w:t>
      </w:r>
      <w:r w:rsidR="00F2013D" w:rsidRPr="009C6EB1">
        <w:t>84</w:t>
      </w:r>
      <w:r w:rsidRPr="009C6EB1">
        <w:t xml:space="preserve"> midwives </w:t>
      </w:r>
      <w:r w:rsidR="00A63F98" w:rsidRPr="009C6EB1">
        <w:t xml:space="preserve">who contributed to the ROCS </w:t>
      </w:r>
      <w:r w:rsidRPr="009C6EB1">
        <w:t>during 202</w:t>
      </w:r>
      <w:r w:rsidR="00F2013D" w:rsidRPr="009C6EB1">
        <w:t>3</w:t>
      </w:r>
      <w:r w:rsidR="00621310" w:rsidRPr="009C6EB1">
        <w:noBreakHyphen/>
      </w:r>
      <w:r w:rsidRPr="009C6EB1">
        <w:t>2</w:t>
      </w:r>
      <w:r w:rsidR="00F2013D" w:rsidRPr="009C6EB1">
        <w:t>4</w:t>
      </w:r>
      <w:r w:rsidR="00621310" w:rsidRPr="009C6EB1">
        <w:t xml:space="preserve">. </w:t>
      </w:r>
    </w:p>
    <w:p w14:paraId="22BCDAE6" w14:textId="0653118E" w:rsidR="002631CF" w:rsidRDefault="002D1D12" w:rsidP="002F7A69">
      <w:pPr>
        <w:pStyle w:val="ListParagraph"/>
        <w:numPr>
          <w:ilvl w:val="0"/>
          <w:numId w:val="43"/>
        </w:numPr>
        <w:ind w:left="737" w:hanging="737"/>
      </w:pPr>
      <w:r w:rsidRPr="00E47965">
        <w:t xml:space="preserve">For our purposes, </w:t>
      </w:r>
      <w:r w:rsidR="000957F8">
        <w:t xml:space="preserve">only the </w:t>
      </w:r>
      <w:r w:rsidRPr="00E47965">
        <w:t>m</w:t>
      </w:r>
      <w:r w:rsidR="00982C23" w:rsidRPr="00E47965">
        <w:t xml:space="preserve">idwives whose ROC Scheme support payment exceeded a certain threshold are </w:t>
      </w:r>
      <w:r w:rsidR="005B2D7A" w:rsidRPr="00E47965">
        <w:t>considered to contribute to a potential future liability</w:t>
      </w:r>
      <w:r w:rsidR="00982C23" w:rsidRPr="00E47965">
        <w:t xml:space="preserve">. This year, the threshold is set </w:t>
      </w:r>
      <w:r w:rsidR="005B2D7A" w:rsidRPr="00E47965">
        <w:t xml:space="preserve">at </w:t>
      </w:r>
      <w:r w:rsidR="00982C23" w:rsidRPr="00E47965">
        <w:t>$</w:t>
      </w:r>
      <w:r w:rsidR="00982C23" w:rsidRPr="00922A4D">
        <w:t>50</w:t>
      </w:r>
      <w:r w:rsidR="00982C23" w:rsidRPr="00E47965">
        <w:t>. Th</w:t>
      </w:r>
      <w:r w:rsidR="002B3AA7" w:rsidRPr="00E47965">
        <w:t xml:space="preserve">e implied premium </w:t>
      </w:r>
      <w:r w:rsidR="005B2D7A" w:rsidRPr="00E47965">
        <w:t xml:space="preserve">threshold </w:t>
      </w:r>
      <w:r w:rsidR="002B3AA7" w:rsidRPr="00E47965">
        <w:t xml:space="preserve">is </w:t>
      </w:r>
      <w:r w:rsidR="0040606D" w:rsidRPr="00E47965">
        <w:t xml:space="preserve">around </w:t>
      </w:r>
      <w:r w:rsidR="002B3AA7" w:rsidRPr="00E47965">
        <w:t>$</w:t>
      </w:r>
      <w:r w:rsidR="002B3AA7" w:rsidRPr="00922A4D">
        <w:t>500</w:t>
      </w:r>
      <w:r w:rsidR="005B2D7A" w:rsidRPr="00E47965">
        <w:t xml:space="preserve">. This </w:t>
      </w:r>
      <w:r w:rsidR="00982C23" w:rsidRPr="00E47965">
        <w:t xml:space="preserve">is a lower threshold than our equivalent assumption for </w:t>
      </w:r>
      <w:r w:rsidR="0040606D" w:rsidRPr="00E47965">
        <w:t xml:space="preserve">valuing the liabilities of </w:t>
      </w:r>
      <w:r w:rsidR="00982C23" w:rsidRPr="00E47965">
        <w:t>the Commonwealth medical indemnity schemes for doctors</w:t>
      </w:r>
      <w:r w:rsidR="002B3AA7" w:rsidRPr="00E47965">
        <w:t xml:space="preserve">. </w:t>
      </w:r>
      <w:r w:rsidR="00C50629" w:rsidRPr="00E47965">
        <w:t xml:space="preserve">A lower threshold </w:t>
      </w:r>
      <w:r w:rsidR="005B2D7A" w:rsidRPr="00E47965">
        <w:t xml:space="preserve">includes </w:t>
      </w:r>
      <w:r w:rsidR="00307640" w:rsidRPr="00E47965">
        <w:t xml:space="preserve">more midwives </w:t>
      </w:r>
      <w:r w:rsidR="00C50629" w:rsidRPr="00E47965">
        <w:t xml:space="preserve">in </w:t>
      </w:r>
      <w:r w:rsidR="00307640" w:rsidRPr="00E47965">
        <w:t xml:space="preserve">the liability </w:t>
      </w:r>
      <w:r w:rsidR="00C50629" w:rsidRPr="00E47965">
        <w:t>calculation</w:t>
      </w:r>
      <w:r w:rsidR="00307640" w:rsidRPr="00E47965">
        <w:t>. T</w:t>
      </w:r>
      <w:r w:rsidR="002B3AA7" w:rsidRPr="00E47965">
        <w:t>h</w:t>
      </w:r>
      <w:r w:rsidR="00307640" w:rsidRPr="00E47965">
        <w:t>is relatively more conservative assumption is warranted by the</w:t>
      </w:r>
      <w:r w:rsidR="00982C23" w:rsidRPr="00E47965">
        <w:t xml:space="preserve"> higher uncertainties </w:t>
      </w:r>
      <w:r w:rsidR="002B3AA7" w:rsidRPr="00E47965">
        <w:t xml:space="preserve">associated </w:t>
      </w:r>
      <w:r w:rsidR="00982C23" w:rsidRPr="00E47965">
        <w:t>with this Scheme</w:t>
      </w:r>
      <w:r w:rsidR="00307640" w:rsidRPr="00E47965">
        <w:t xml:space="preserve"> and relatively lower premiums charged to midwives compared to doctors</w:t>
      </w:r>
      <w:r w:rsidR="00982C23" w:rsidRPr="00E47965">
        <w:t xml:space="preserve">. </w:t>
      </w:r>
      <w:r w:rsidR="00982C23" w:rsidRPr="00982C23">
        <w:t xml:space="preserve">Under this approach, </w:t>
      </w:r>
      <w:r w:rsidR="000957F8">
        <w:t xml:space="preserve">there were 441 </w:t>
      </w:r>
      <w:r w:rsidR="0018572A">
        <w:t xml:space="preserve">such midwives in 2023-24. </w:t>
      </w:r>
    </w:p>
    <w:p w14:paraId="15D3CC41" w14:textId="6ED8D875" w:rsidR="00F602EB" w:rsidRPr="00E101DD" w:rsidRDefault="0018572A" w:rsidP="001C4B35">
      <w:pPr>
        <w:pStyle w:val="ListParagraph"/>
        <w:numPr>
          <w:ilvl w:val="0"/>
          <w:numId w:val="43"/>
        </w:numPr>
        <w:ind w:left="737" w:hanging="737"/>
      </w:pPr>
      <w:r>
        <w:t>T</w:t>
      </w:r>
      <w:r w:rsidR="00982C23" w:rsidRPr="00982C23">
        <w:t xml:space="preserve">he growth in the number of </w:t>
      </w:r>
      <w:r>
        <w:t xml:space="preserve">such </w:t>
      </w:r>
      <w:r w:rsidR="00982C23" w:rsidRPr="00982C23">
        <w:t xml:space="preserve">midwives has </w:t>
      </w:r>
      <w:r w:rsidR="006350BD">
        <w:t>f</w:t>
      </w:r>
      <w:r w:rsidR="00982C23" w:rsidRPr="00982C23">
        <w:t xml:space="preserve">ollowed a consistent upward trend since 2016, as </w:t>
      </w:r>
      <w:r w:rsidR="00982C23" w:rsidRPr="007026D6">
        <w:t>shown in</w:t>
      </w:r>
      <w:r w:rsidR="007026D6">
        <w:t xml:space="preserve"> Figure 2 below</w:t>
      </w:r>
      <w:r w:rsidR="00982C23" w:rsidRPr="007026D6">
        <w:t>.</w:t>
      </w:r>
      <w:r w:rsidR="00982C23" w:rsidRPr="00982C23">
        <w:t xml:space="preserve"> </w:t>
      </w:r>
      <w:r w:rsidR="002415DF" w:rsidRPr="002415DF">
        <w:t xml:space="preserve">As a result, we have assumed that the annual growth in the number of midwives </w:t>
      </w:r>
      <w:r w:rsidR="00ED0CFA">
        <w:t>who contribute materially to l</w:t>
      </w:r>
      <w:r w:rsidR="007A0382">
        <w:t>i</w:t>
      </w:r>
      <w:r w:rsidR="00ED0CFA">
        <w:t xml:space="preserve">abilities </w:t>
      </w:r>
      <w:r w:rsidR="002415DF" w:rsidRPr="002415DF">
        <w:t xml:space="preserve">will </w:t>
      </w:r>
      <w:r w:rsidR="0003647C">
        <w:t xml:space="preserve">be </w:t>
      </w:r>
      <w:r w:rsidR="00552FB6">
        <w:t>16</w:t>
      </w:r>
      <w:r w:rsidR="0003647C">
        <w:t>% per annum</w:t>
      </w:r>
      <w:r w:rsidR="002415DF" w:rsidRPr="002415DF">
        <w:t xml:space="preserve">. </w:t>
      </w:r>
      <w:r w:rsidR="00F602EB" w:rsidRPr="00FF334E">
        <w:t>The current projections are set out in</w:t>
      </w:r>
      <w:r w:rsidR="007026D6">
        <w:t xml:space="preserve"> Figure 2 below</w:t>
      </w:r>
      <w:r w:rsidR="00F602EB" w:rsidRPr="00FF334E">
        <w:t>, along with the actual numbers from 2010</w:t>
      </w:r>
      <w:r w:rsidR="00621310" w:rsidRPr="00E101DD">
        <w:noBreakHyphen/>
      </w:r>
      <w:r w:rsidR="0055333D" w:rsidRPr="00E101DD">
        <w:t>11 to 20</w:t>
      </w:r>
      <w:r w:rsidR="00DA437B" w:rsidRPr="00E101DD">
        <w:t>2</w:t>
      </w:r>
      <w:r w:rsidR="00247FAD" w:rsidRPr="00E101DD">
        <w:t>3</w:t>
      </w:r>
      <w:r w:rsidR="00621310" w:rsidRPr="00E101DD">
        <w:noBreakHyphen/>
      </w:r>
      <w:r w:rsidR="0055333D" w:rsidRPr="00E101DD">
        <w:t>2</w:t>
      </w:r>
      <w:r w:rsidR="00247FAD" w:rsidRPr="00E101DD">
        <w:t>4</w:t>
      </w:r>
      <w:r w:rsidR="00F602EB" w:rsidRPr="00E101DD">
        <w:t>.</w:t>
      </w:r>
      <w:r w:rsidR="00E87FB7" w:rsidRPr="00E101DD">
        <w:t xml:space="preserve"> The projections are </w:t>
      </w:r>
      <w:r w:rsidR="0016786F" w:rsidRPr="00E101DD">
        <w:t xml:space="preserve">slighter </w:t>
      </w:r>
      <w:r w:rsidR="006849C4" w:rsidRPr="00E101DD">
        <w:t>larger</w:t>
      </w:r>
      <w:r w:rsidR="00E87FB7" w:rsidRPr="00E101DD">
        <w:t xml:space="preserve"> than last year’s, given the </w:t>
      </w:r>
      <w:r w:rsidR="0016786F" w:rsidRPr="00E101DD">
        <w:t>marginally higher</w:t>
      </w:r>
      <w:r w:rsidR="00DA1098" w:rsidRPr="00E101DD">
        <w:t xml:space="preserve"> growth </w:t>
      </w:r>
      <w:r w:rsidR="0016786F" w:rsidRPr="00E101DD">
        <w:t xml:space="preserve">than expected </w:t>
      </w:r>
      <w:r w:rsidR="00DA1098" w:rsidRPr="00E101DD">
        <w:t>in 202</w:t>
      </w:r>
      <w:r w:rsidR="0016786F" w:rsidRPr="00E101DD">
        <w:t>3</w:t>
      </w:r>
      <w:r w:rsidR="00DA1098" w:rsidRPr="00E101DD">
        <w:t>-2</w:t>
      </w:r>
      <w:r w:rsidR="0016786F" w:rsidRPr="00E101DD">
        <w:t>4</w:t>
      </w:r>
      <w:r w:rsidR="00DA1098" w:rsidRPr="00E101DD">
        <w:t xml:space="preserve">. </w:t>
      </w:r>
    </w:p>
    <w:p w14:paraId="7EC00C1C" w14:textId="02C0CDF5" w:rsidR="00F602EB" w:rsidRPr="00FF334E" w:rsidRDefault="00BA1930" w:rsidP="00166BEE">
      <w:pPr>
        <w:pStyle w:val="Caption"/>
      </w:pPr>
      <w:r w:rsidRPr="00E101DD">
        <w:lastRenderedPageBreak/>
        <w:t>Figure 2:</w:t>
      </w:r>
      <w:r w:rsidRPr="009B773E">
        <w:t xml:space="preserve"> Number of </w:t>
      </w:r>
      <w:r w:rsidR="00E96026" w:rsidRPr="009B773E">
        <w:t xml:space="preserve">material </w:t>
      </w:r>
      <w:r w:rsidRPr="009B773E">
        <w:t>midwives eligible for Commonwealth supported professional indemnity cover</w:t>
      </w:r>
    </w:p>
    <w:p w14:paraId="404C0089" w14:textId="7DF6338B" w:rsidR="00F602EB" w:rsidRPr="003B0ADA" w:rsidRDefault="000509B8" w:rsidP="003B0ADA">
      <w:pPr>
        <w:spacing w:line="240" w:lineRule="auto"/>
      </w:pPr>
      <w:r>
        <w:rPr>
          <w:noProof/>
        </w:rPr>
        <w:drawing>
          <wp:inline distT="0" distB="0" distL="0" distR="0" wp14:anchorId="6924454B" wp14:editId="3B5AD95A">
            <wp:extent cx="4663331" cy="2520000"/>
            <wp:effectExtent l="0" t="0" r="0" b="0"/>
            <wp:docPr id="1388588456" name="Chart 1" descr="The number of eligible midwives increased steadily from below 100 in 2011/12 to approximately 450 in 2023/24. From 2024/25 onwards, the eligibility is expected to rise to approximately 900 by 2028/29">
              <a:extLst xmlns:a="http://schemas.openxmlformats.org/drawingml/2006/main">
                <a:ext uri="{FF2B5EF4-FFF2-40B4-BE49-F238E27FC236}">
                  <a16:creationId xmlns:a16="http://schemas.microsoft.com/office/drawing/2014/main" id="{D8CBA8A5-441D-4DAB-919A-113AE6BD24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D7313AB" w14:textId="2EE1E530" w:rsidR="003B0ADA" w:rsidRPr="00FF334E" w:rsidRDefault="003B0ADA" w:rsidP="003B0ADA">
      <w:pPr>
        <w:pStyle w:val="ListParagraph"/>
        <w:numPr>
          <w:ilvl w:val="0"/>
          <w:numId w:val="43"/>
        </w:numPr>
        <w:ind w:left="737" w:hanging="737"/>
      </w:pPr>
      <w:r w:rsidRPr="00FF334E">
        <w:t xml:space="preserve">We have assumed that midwives who are </w:t>
      </w:r>
      <w:r w:rsidR="00E96026">
        <w:t xml:space="preserve">contributing materially to the liabilities and </w:t>
      </w:r>
      <w:r w:rsidRPr="00FF334E">
        <w:t>eligible for Commonwealth supported professional indemnity cover will manage 40 births each per annum. This assumption is the same as that used for costing of the Commonwealth’s Level 1 and Level 2 contributions.</w:t>
      </w:r>
      <w:r w:rsidR="00C63AA6">
        <w:t xml:space="preserve"> </w:t>
      </w:r>
      <w:r w:rsidR="00A65C7A">
        <w:t xml:space="preserve">As the Scheme matures, we recommend more data be collected to allow this assumption </w:t>
      </w:r>
      <w:proofErr w:type="gramStart"/>
      <w:r w:rsidR="00A65C7A">
        <w:t>be</w:t>
      </w:r>
      <w:proofErr w:type="gramEnd"/>
      <w:r w:rsidR="00A65C7A">
        <w:t xml:space="preserve"> reviewed periodically. </w:t>
      </w:r>
    </w:p>
    <w:p w14:paraId="1DE1E0A0" w14:textId="39267337" w:rsidR="003B0ADA" w:rsidRDefault="003B0ADA" w:rsidP="003B0ADA">
      <w:bookmarkStart w:id="128" w:name="_Toc63865433"/>
      <w:bookmarkStart w:id="129" w:name="_Toc63866234"/>
      <w:bookmarkStart w:id="130" w:name="_Toc63866564"/>
      <w:bookmarkStart w:id="131" w:name="_Toc63866696"/>
      <w:r w:rsidRPr="00FF334E">
        <w:rPr>
          <w:b/>
          <w:color w:val="74000E" w:themeColor="accent1"/>
          <w:sz w:val="24"/>
        </w:rPr>
        <w:t>Economic assumptions</w:t>
      </w:r>
      <w:bookmarkEnd w:id="128"/>
      <w:bookmarkEnd w:id="129"/>
      <w:bookmarkEnd w:id="130"/>
      <w:bookmarkEnd w:id="131"/>
    </w:p>
    <w:p w14:paraId="3EBD5997" w14:textId="135AC926" w:rsidR="00F602EB" w:rsidRPr="00FF334E" w:rsidRDefault="00F602EB" w:rsidP="00D71BF6">
      <w:pPr>
        <w:pStyle w:val="ListParagraph"/>
        <w:numPr>
          <w:ilvl w:val="0"/>
          <w:numId w:val="43"/>
        </w:numPr>
        <w:ind w:left="737" w:hanging="737"/>
      </w:pPr>
      <w:r w:rsidRPr="00FF334E">
        <w:t xml:space="preserve">Professional indemnity claim costs are assumed to be increasing by </w:t>
      </w:r>
      <w:r w:rsidR="005D5DB3">
        <w:t>3.7</w:t>
      </w:r>
      <w:r w:rsidRPr="00FF334E">
        <w:t xml:space="preserve"> per cent per annum</w:t>
      </w:r>
      <w:r w:rsidR="00621310" w:rsidRPr="00FF334E">
        <w:t xml:space="preserve">. </w:t>
      </w:r>
      <w:r w:rsidRPr="00FF334E">
        <w:t>This is intended to be neither optimistic nor conservative</w:t>
      </w:r>
      <w:r w:rsidR="00621310" w:rsidRPr="00FF334E">
        <w:t xml:space="preserve">. </w:t>
      </w:r>
      <w:r w:rsidRPr="00FF334E">
        <w:t>However, over the medium term, it is conceivable that claim inflation could exceed this rate.</w:t>
      </w:r>
      <w:r w:rsidR="005D5DB3">
        <w:t xml:space="preserve"> This rate has </w:t>
      </w:r>
      <w:r w:rsidR="00F83F31">
        <w:t>not changed from last year and is still</w:t>
      </w:r>
      <w:r w:rsidR="0021682A">
        <w:t xml:space="preserve"> </w:t>
      </w:r>
      <w:r w:rsidR="007D15E4" w:rsidRPr="007D15E4">
        <w:t>consistent with the current long-term wage growth assumption adopted for several Commonwealth schemes</w:t>
      </w:r>
      <w:r w:rsidR="007D15E4">
        <w:t>.</w:t>
      </w:r>
    </w:p>
    <w:p w14:paraId="0122DD30" w14:textId="7F8FF927" w:rsidR="00F602EB" w:rsidRPr="00FF334E" w:rsidRDefault="00F602EB" w:rsidP="00D71BF6">
      <w:pPr>
        <w:pStyle w:val="ListParagraph"/>
        <w:numPr>
          <w:ilvl w:val="0"/>
          <w:numId w:val="43"/>
        </w:numPr>
        <w:ind w:left="737" w:hanging="737"/>
      </w:pPr>
      <w:r w:rsidRPr="00FF334E">
        <w:t>Claim payments were discounted at a rate of 5 per cent per annum</w:t>
      </w:r>
      <w:r w:rsidR="00621310" w:rsidRPr="00FF334E">
        <w:t xml:space="preserve">. </w:t>
      </w:r>
      <w:r w:rsidRPr="00FF334E">
        <w:t>This is unchanged from last year</w:t>
      </w:r>
      <w:r w:rsidR="00621310" w:rsidRPr="00FF334E">
        <w:t xml:space="preserve">. </w:t>
      </w:r>
      <w:r w:rsidRPr="00FF334E">
        <w:t xml:space="preserve">The chosen rate provides consistency with the rate adopted in a number of similar contexts and therefore is suitable from a whole of government perspective </w:t>
      </w:r>
      <w:proofErr w:type="gramStart"/>
      <w:r w:rsidRPr="00FF334E">
        <w:t>at</w:t>
      </w:r>
      <w:proofErr w:type="gramEnd"/>
      <w:r w:rsidRPr="00FF334E">
        <w:t xml:space="preserve"> 30 </w:t>
      </w:r>
      <w:r w:rsidRPr="00F83F31">
        <w:t>June 20</w:t>
      </w:r>
      <w:r w:rsidR="008B6F94" w:rsidRPr="00F83F31">
        <w:t>2</w:t>
      </w:r>
      <w:r w:rsidR="00355CEF" w:rsidRPr="00F83F31">
        <w:t>4</w:t>
      </w:r>
      <w:r w:rsidRPr="00F83F31">
        <w:t>.</w:t>
      </w:r>
    </w:p>
    <w:p w14:paraId="318C1A0F" w14:textId="52551213" w:rsidR="00F602EB" w:rsidRPr="00FF334E" w:rsidRDefault="00AD7A61" w:rsidP="00AD7A61">
      <w:pPr>
        <w:pStyle w:val="Heading3"/>
      </w:pPr>
      <w:bookmarkStart w:id="132" w:name="_Toc63865434"/>
      <w:bookmarkStart w:id="133" w:name="_Toc63866235"/>
      <w:bookmarkStart w:id="134" w:name="_Toc63866565"/>
      <w:bookmarkStart w:id="135" w:name="_Toc63866697"/>
      <w:r w:rsidRPr="00FF334E">
        <w:t>METHODOLOGY</w:t>
      </w:r>
      <w:bookmarkEnd w:id="132"/>
      <w:bookmarkEnd w:id="133"/>
      <w:bookmarkEnd w:id="134"/>
      <w:bookmarkEnd w:id="135"/>
    </w:p>
    <w:p w14:paraId="66D07DF3" w14:textId="74B1F35F" w:rsidR="00F602EB" w:rsidRPr="00FF334E" w:rsidRDefault="00F602EB" w:rsidP="00D71BF6">
      <w:pPr>
        <w:pStyle w:val="ListParagraph"/>
        <w:numPr>
          <w:ilvl w:val="0"/>
          <w:numId w:val="43"/>
        </w:numPr>
        <w:ind w:left="737" w:hanging="737"/>
      </w:pPr>
      <w:r w:rsidRPr="00FF334E">
        <w:t xml:space="preserve">There </w:t>
      </w:r>
      <w:r w:rsidR="00DA1098">
        <w:t>is still only a small number of</w:t>
      </w:r>
      <w:r w:rsidRPr="00FF334E">
        <w:t xml:space="preserve"> midwives who </w:t>
      </w:r>
      <w:r w:rsidR="00DA1098">
        <w:t>are</w:t>
      </w:r>
      <w:r w:rsidRPr="00FF334E">
        <w:t xml:space="preserve"> eligible for the ROC Scheme</w:t>
      </w:r>
      <w:r w:rsidR="00621310" w:rsidRPr="00FF334E">
        <w:t xml:space="preserve">. </w:t>
      </w:r>
      <w:r w:rsidRPr="00FF334E">
        <w:t xml:space="preserve">There is insufficient data to project when the current practising midwives will </w:t>
      </w:r>
      <w:r w:rsidR="008B6F94" w:rsidRPr="00FF334E">
        <w:t>become</w:t>
      </w:r>
      <w:r w:rsidRPr="00FF334E">
        <w:t xml:space="preserve"> eligible for the Scheme.</w:t>
      </w:r>
    </w:p>
    <w:p w14:paraId="677CCA13" w14:textId="56D5C155" w:rsidR="00F602EB" w:rsidRPr="00FF334E" w:rsidRDefault="00F602EB" w:rsidP="00D71BF6">
      <w:pPr>
        <w:pStyle w:val="ListParagraph"/>
        <w:numPr>
          <w:ilvl w:val="0"/>
          <w:numId w:val="43"/>
        </w:numPr>
        <w:ind w:left="737" w:hanging="737"/>
      </w:pPr>
      <w:r w:rsidRPr="00FF334E">
        <w:lastRenderedPageBreak/>
        <w:t xml:space="preserve">Thus, the model used for estimation of the </w:t>
      </w:r>
      <w:r w:rsidR="001303D4" w:rsidRPr="00FF334E">
        <w:t xml:space="preserve">current and </w:t>
      </w:r>
      <w:r w:rsidRPr="00FF334E">
        <w:t>future liabilities of the Scheme is based on a model developed within this office for the costs of the Level 1 and Level 2 Commonwealth contributions.</w:t>
      </w:r>
    </w:p>
    <w:p w14:paraId="16328427" w14:textId="0F89F327" w:rsidR="007D6C3C" w:rsidRPr="00FB4786" w:rsidRDefault="00F602EB" w:rsidP="00D71BF6">
      <w:pPr>
        <w:pStyle w:val="ListParagraph"/>
        <w:numPr>
          <w:ilvl w:val="0"/>
          <w:numId w:val="43"/>
        </w:numPr>
        <w:ind w:left="737" w:hanging="737"/>
      </w:pPr>
      <w:r w:rsidRPr="00FF334E">
        <w:t>We have assumed that the ROC Scheme will pick up 6 per cent of the total amount of the net cost to the insurer, after the Level 1 and Level 2 contributions are made to the insurer</w:t>
      </w:r>
      <w:r w:rsidR="00621310" w:rsidRPr="00FF334E">
        <w:t xml:space="preserve">. </w:t>
      </w:r>
    </w:p>
    <w:p w14:paraId="3961278D" w14:textId="5EE4451B" w:rsidR="00F602EB" w:rsidRPr="00FB4786" w:rsidRDefault="00F602EB" w:rsidP="00D71BF6">
      <w:pPr>
        <w:pStyle w:val="ListParagraph"/>
        <w:numPr>
          <w:ilvl w:val="0"/>
          <w:numId w:val="43"/>
        </w:numPr>
        <w:ind w:left="737" w:hanging="737"/>
      </w:pPr>
      <w:r w:rsidRPr="00FB4786">
        <w:t xml:space="preserve">The model estimates the net cost to be </w:t>
      </w:r>
      <w:r w:rsidRPr="00757C07">
        <w:t xml:space="preserve">around </w:t>
      </w:r>
      <w:r w:rsidR="008E2DA7" w:rsidRPr="00757C07">
        <w:t>$</w:t>
      </w:r>
      <w:r w:rsidR="006A3C40" w:rsidRPr="00757C07">
        <w:t>7</w:t>
      </w:r>
      <w:r w:rsidR="000A7B08" w:rsidRPr="00757C07">
        <w:t>7</w:t>
      </w:r>
      <w:r w:rsidR="006A3C40" w:rsidRPr="00757C07">
        <w:t>,</w:t>
      </w:r>
      <w:r w:rsidR="00F81436" w:rsidRPr="00757C07">
        <w:t>600</w:t>
      </w:r>
      <w:r w:rsidR="00D62259" w:rsidRPr="00757C07">
        <w:t xml:space="preserve"> per claim </w:t>
      </w:r>
      <w:r w:rsidR="00F81436" w:rsidRPr="00757C07">
        <w:t>in current dollars</w:t>
      </w:r>
      <w:r w:rsidRPr="00757C07">
        <w:t>, that is, the ROC</w:t>
      </w:r>
      <w:r w:rsidR="008E2DA7" w:rsidRPr="00757C07">
        <w:t xml:space="preserve"> Scheme will pick up around $</w:t>
      </w:r>
      <w:r w:rsidR="007D78EF" w:rsidRPr="00757C07">
        <w:t>4,</w:t>
      </w:r>
      <w:r w:rsidR="000A7B08" w:rsidRPr="00757C07">
        <w:t>6</w:t>
      </w:r>
      <w:r w:rsidR="00757C07">
        <w:t>5</w:t>
      </w:r>
      <w:r w:rsidR="00FB4786" w:rsidRPr="00757C07">
        <w:t>0</w:t>
      </w:r>
      <w:r w:rsidRPr="00757C07">
        <w:t>.</w:t>
      </w:r>
    </w:p>
    <w:p w14:paraId="5F370E3C" w14:textId="517AA792" w:rsidR="00F602EB" w:rsidRPr="00FF334E" w:rsidRDefault="00F602EB" w:rsidP="00D71BF6">
      <w:pPr>
        <w:pStyle w:val="ListParagraph"/>
        <w:numPr>
          <w:ilvl w:val="0"/>
          <w:numId w:val="43"/>
        </w:numPr>
        <w:ind w:left="737" w:hanging="737"/>
      </w:pPr>
      <w:r w:rsidRPr="00FF334E">
        <w:t xml:space="preserve">In developing this assumption, we have </w:t>
      </w:r>
      <w:r w:rsidR="002A4E30" w:rsidRPr="00FF334E">
        <w:t>considered</w:t>
      </w:r>
      <w:r w:rsidRPr="00FF334E">
        <w:t xml:space="preserve"> the experience of the ROC Scheme for medical practitioners as well as considerable uncertainties associated with midwife ROCS due to the absence of any claim</w:t>
      </w:r>
      <w:r w:rsidR="00621310" w:rsidRPr="00FF334E">
        <w:t xml:space="preserve">. </w:t>
      </w:r>
      <w:r w:rsidRPr="00FF334E">
        <w:t>This approach is unchanged from last year.</w:t>
      </w:r>
    </w:p>
    <w:p w14:paraId="02F717A5" w14:textId="4B4911D1" w:rsidR="00F602EB" w:rsidRPr="00FF334E" w:rsidRDefault="00F602EB" w:rsidP="00D71BF6">
      <w:pPr>
        <w:pStyle w:val="ListParagraph"/>
        <w:numPr>
          <w:ilvl w:val="0"/>
          <w:numId w:val="43"/>
        </w:numPr>
        <w:ind w:left="737" w:hanging="737"/>
      </w:pPr>
      <w:r w:rsidRPr="00FF334E">
        <w:t>The new accrual for each of the next five years is calculated based on the assumptions above</w:t>
      </w:r>
      <w:r w:rsidR="00621310" w:rsidRPr="00FF334E">
        <w:t xml:space="preserve">. </w:t>
      </w:r>
      <w:r w:rsidRPr="00FF334E">
        <w:t>The interest is credited each year to the opening balance of the liability.</w:t>
      </w:r>
    </w:p>
    <w:p w14:paraId="167AD4BC" w14:textId="73D62A55" w:rsidR="00AB2A1A" w:rsidRPr="00FF334E" w:rsidRDefault="00AB2A1A" w:rsidP="00D71BF6">
      <w:pPr>
        <w:pStyle w:val="ListParagraph"/>
        <w:numPr>
          <w:ilvl w:val="0"/>
          <w:numId w:val="43"/>
        </w:numPr>
        <w:ind w:left="737" w:hanging="737"/>
      </w:pPr>
      <w:r w:rsidRPr="00FF334E">
        <w:t>Given our assumptions are more conservative than those implied by MIGA</w:t>
      </w:r>
      <w:r w:rsidR="00621310" w:rsidRPr="00FF334E">
        <w:t>’</w:t>
      </w:r>
      <w:r w:rsidRPr="00FF334E">
        <w:t xml:space="preserve">s projections and the claims experience to date, we have </w:t>
      </w:r>
      <w:r w:rsidR="00C927C8">
        <w:t xml:space="preserve">again </w:t>
      </w:r>
      <w:r w:rsidRPr="00FF334E">
        <w:t xml:space="preserve">not made any </w:t>
      </w:r>
      <w:r w:rsidR="00C927C8">
        <w:t>changes to the assumptions</w:t>
      </w:r>
      <w:r w:rsidRPr="00FF334E">
        <w:t>.</w:t>
      </w:r>
    </w:p>
    <w:p w14:paraId="6819D7CE" w14:textId="691312CB" w:rsidR="00620E54" w:rsidRPr="00797917" w:rsidRDefault="00620E54" w:rsidP="00797917">
      <w:pPr>
        <w:ind w:left="833" w:hanging="720"/>
      </w:pPr>
    </w:p>
    <w:sectPr w:rsidR="00620E54" w:rsidRPr="00797917" w:rsidSect="00914A3B">
      <w:headerReference w:type="even" r:id="rId33"/>
      <w:headerReference w:type="default" r:id="rId34"/>
      <w:footerReference w:type="even" r:id="rId35"/>
      <w:footerReference w:type="default" r:id="rId36"/>
      <w:headerReference w:type="first" r:id="rId37"/>
      <w:footerReference w:type="first" r:id="rId38"/>
      <w:type w:val="oddPage"/>
      <w:pgSz w:w="11906" w:h="16838" w:code="9"/>
      <w:pgMar w:top="2466" w:right="2098" w:bottom="2466" w:left="2098" w:header="1899" w:footer="18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6AAAB" w14:textId="77777777" w:rsidR="00BC77E9" w:rsidRDefault="00BC77E9" w:rsidP="008F7491">
      <w:pPr>
        <w:spacing w:after="0" w:line="240" w:lineRule="auto"/>
      </w:pPr>
      <w:r>
        <w:separator/>
      </w:r>
    </w:p>
    <w:p w14:paraId="067E52BE" w14:textId="77777777" w:rsidR="00BC77E9" w:rsidRDefault="00BC77E9"/>
  </w:endnote>
  <w:endnote w:type="continuationSeparator" w:id="0">
    <w:p w14:paraId="1F60DDA8" w14:textId="77777777" w:rsidR="00BC77E9" w:rsidRDefault="00BC77E9" w:rsidP="008F7491">
      <w:pPr>
        <w:spacing w:after="0" w:line="240" w:lineRule="auto"/>
      </w:pPr>
      <w:r>
        <w:continuationSeparator/>
      </w:r>
    </w:p>
    <w:p w14:paraId="62243EEF" w14:textId="77777777" w:rsidR="00BC77E9" w:rsidRDefault="00BC77E9"/>
  </w:endnote>
  <w:endnote w:type="continuationNotice" w:id="1">
    <w:p w14:paraId="4B866AAC" w14:textId="77777777" w:rsidR="00BC77E9" w:rsidRDefault="00BC77E9">
      <w:pPr>
        <w:spacing w:after="0" w:line="240" w:lineRule="auto"/>
      </w:pPr>
    </w:p>
    <w:p w14:paraId="7EB73520" w14:textId="77777777" w:rsidR="00BC77E9" w:rsidRDefault="00BC77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Univers 55">
    <w:altName w:val="Calibri"/>
    <w:panose1 w:val="00000000000000000000"/>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4965" w14:textId="3EBCF974" w:rsidR="004958C4" w:rsidRDefault="004958C4" w:rsidP="00F07449">
    <w:pPr>
      <w:pStyle w:val="Footer"/>
    </w:pPr>
  </w:p>
  <w:sdt>
    <w:sdtPr>
      <w:id w:val="1268038870"/>
      <w:docPartObj>
        <w:docPartGallery w:val="Page Numbers (Bottom of Page)"/>
        <w:docPartUnique/>
      </w:docPartObj>
    </w:sdtPr>
    <w:sdtEndPr/>
    <w:sdtContent>
      <w:sdt>
        <w:sdtPr>
          <w:id w:val="-1365443234"/>
          <w:docPartObj>
            <w:docPartGallery w:val="Page Numbers (Top of Page)"/>
            <w:docPartUnique/>
          </w:docPartObj>
        </w:sdtPr>
        <w:sdtEndPr/>
        <w:sdtContent>
          <w:p w14:paraId="3C5F58CD" w14:textId="77777777" w:rsidR="004958C4" w:rsidRDefault="004958C4" w:rsidP="00F07449">
            <w:pPr>
              <w:pStyle w:val="Footer"/>
            </w:pPr>
            <w:r w:rsidRPr="0098347F">
              <w:rPr>
                <w:color w:val="auto"/>
              </w:rPr>
              <w:t xml:space="preserve">Page </w:t>
            </w:r>
            <w:r w:rsidRPr="0098347F">
              <w:rPr>
                <w:b/>
                <w:bCs/>
                <w:color w:val="auto"/>
              </w:rPr>
              <w:fldChar w:fldCharType="begin"/>
            </w:r>
            <w:r w:rsidRPr="0098347F">
              <w:rPr>
                <w:b/>
                <w:bCs/>
                <w:color w:val="auto"/>
              </w:rPr>
              <w:instrText xml:space="preserve"> PAGE  \* Arabic  \* MERGEFORMAT </w:instrText>
            </w:r>
            <w:r w:rsidRPr="0098347F">
              <w:rPr>
                <w:b/>
                <w:bCs/>
                <w:color w:val="auto"/>
              </w:rPr>
              <w:fldChar w:fldCharType="separate"/>
            </w:r>
            <w:r w:rsidRPr="0098347F">
              <w:rPr>
                <w:b/>
                <w:bCs/>
                <w:noProof/>
                <w:color w:val="auto"/>
              </w:rPr>
              <w:t>1</w:t>
            </w:r>
            <w:r w:rsidRPr="0098347F">
              <w:rPr>
                <w:b/>
                <w:bCs/>
                <w:color w:val="auto"/>
              </w:rPr>
              <w:fldChar w:fldCharType="end"/>
            </w:r>
            <w:r w:rsidRPr="0098347F">
              <w:rPr>
                <w:color w:val="auto"/>
              </w:rPr>
              <w:t xml:space="preserve"> of </w:t>
            </w:r>
            <w:r w:rsidRPr="0098347F">
              <w:rPr>
                <w:b/>
                <w:bCs/>
                <w:color w:val="auto"/>
              </w:rPr>
              <w:fldChar w:fldCharType="begin"/>
            </w:r>
            <w:r w:rsidRPr="0098347F">
              <w:rPr>
                <w:b/>
                <w:bCs/>
                <w:color w:val="auto"/>
              </w:rPr>
              <w:instrText xml:space="preserve"> NUMPAGES  \* Arabic  \* MERGEFORMAT </w:instrText>
            </w:r>
            <w:r w:rsidRPr="0098347F">
              <w:rPr>
                <w:b/>
                <w:bCs/>
                <w:color w:val="auto"/>
              </w:rPr>
              <w:fldChar w:fldCharType="separate"/>
            </w:r>
            <w:r>
              <w:rPr>
                <w:b/>
                <w:bCs/>
                <w:noProof/>
                <w:color w:val="auto"/>
              </w:rPr>
              <w:t>25</w:t>
            </w:r>
            <w:r w:rsidRPr="0098347F">
              <w:rPr>
                <w:b/>
                <w:bCs/>
                <w:color w:val="auto"/>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F928D" w14:textId="4A903C18" w:rsidR="004958C4" w:rsidRPr="006B08DA" w:rsidRDefault="001D0A02">
    <w:pPr>
      <w:pStyle w:val="Footer"/>
      <w:jc w:val="right"/>
      <w:rPr>
        <w:color w:val="auto"/>
      </w:rPr>
    </w:pPr>
    <w:sdt>
      <w:sdtPr>
        <w:id w:val="1632129812"/>
        <w:docPartObj>
          <w:docPartGallery w:val="Page Numbers (Bottom of Page)"/>
          <w:docPartUnique/>
        </w:docPartObj>
      </w:sdtPr>
      <w:sdtEndPr>
        <w:rPr>
          <w:color w:val="auto"/>
        </w:rPr>
      </w:sdtEndPr>
      <w:sdtContent>
        <w:sdt>
          <w:sdtPr>
            <w:rPr>
              <w:color w:val="auto"/>
            </w:rPr>
            <w:id w:val="-1769616900"/>
            <w:docPartObj>
              <w:docPartGallery w:val="Page Numbers (Top of Page)"/>
              <w:docPartUnique/>
            </w:docPartObj>
          </w:sdtPr>
          <w:sdtEndPr/>
          <w:sdtContent>
            <w:r w:rsidR="004958C4" w:rsidRPr="006B08DA">
              <w:rPr>
                <w:color w:val="auto"/>
              </w:rPr>
              <w:t xml:space="preserve">Page </w:t>
            </w:r>
            <w:r w:rsidR="004958C4" w:rsidRPr="006B08DA">
              <w:rPr>
                <w:bCs/>
                <w:color w:val="auto"/>
                <w:sz w:val="24"/>
                <w:szCs w:val="24"/>
              </w:rPr>
              <w:fldChar w:fldCharType="begin"/>
            </w:r>
            <w:r w:rsidR="004958C4" w:rsidRPr="006B08DA">
              <w:rPr>
                <w:bCs/>
                <w:color w:val="auto"/>
              </w:rPr>
              <w:instrText xml:space="preserve"> PAGE </w:instrText>
            </w:r>
            <w:r w:rsidR="004958C4" w:rsidRPr="006B08DA">
              <w:rPr>
                <w:bCs/>
                <w:color w:val="auto"/>
                <w:sz w:val="24"/>
                <w:szCs w:val="24"/>
              </w:rPr>
              <w:fldChar w:fldCharType="separate"/>
            </w:r>
            <w:r w:rsidR="004958C4">
              <w:rPr>
                <w:bCs/>
                <w:noProof/>
                <w:color w:val="auto"/>
              </w:rPr>
              <w:t>19</w:t>
            </w:r>
            <w:r w:rsidR="004958C4" w:rsidRPr="006B08DA">
              <w:rPr>
                <w:bCs/>
                <w:color w:val="auto"/>
                <w:sz w:val="24"/>
                <w:szCs w:val="24"/>
              </w:rPr>
              <w:fldChar w:fldCharType="end"/>
            </w:r>
            <w:r w:rsidR="004958C4" w:rsidRPr="006B08DA">
              <w:rPr>
                <w:color w:val="auto"/>
              </w:rPr>
              <w:t xml:space="preserve"> </w:t>
            </w:r>
          </w:sdtContent>
        </w:sdt>
      </w:sdtContent>
    </w:sdt>
  </w:p>
  <w:p w14:paraId="0D660CDC" w14:textId="77777777" w:rsidR="004958C4" w:rsidRDefault="004958C4" w:rsidP="008E6BEA">
    <w:pPr>
      <w:pStyle w:val="FooterOd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2BB92" w14:textId="165D77B3" w:rsidR="00927425" w:rsidRDefault="009274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1735B" w14:textId="77523512" w:rsidR="00927425" w:rsidRDefault="0092742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765C7" w14:textId="42C9DB7E" w:rsidR="004958C4" w:rsidRDefault="004958C4" w:rsidP="008E6BEA">
    <w:pPr>
      <w:pStyle w:val="FooterOd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105BD" w14:textId="78DD8B2A" w:rsidR="004958C4" w:rsidRPr="00A70F15" w:rsidRDefault="001D0A02" w:rsidP="00A70F15">
    <w:pPr>
      <w:pStyle w:val="Footer"/>
      <w:rPr>
        <w:color w:val="auto"/>
      </w:rPr>
    </w:pPr>
    <w:sdt>
      <w:sdtPr>
        <w:rPr>
          <w:color w:val="auto"/>
        </w:rPr>
        <w:id w:val="2022584952"/>
        <w:docPartObj>
          <w:docPartGallery w:val="Page Numbers (Bottom of Page)"/>
          <w:docPartUnique/>
        </w:docPartObj>
      </w:sdtPr>
      <w:sdtEndPr>
        <w:rPr>
          <w:noProof/>
        </w:rPr>
      </w:sdtEndPr>
      <w:sdtContent>
        <w:r w:rsidR="004958C4" w:rsidRPr="006B08DA">
          <w:rPr>
            <w:color w:val="auto"/>
          </w:rPr>
          <w:t xml:space="preserve">Page </w:t>
        </w:r>
        <w:r w:rsidR="004958C4" w:rsidRPr="006B08DA">
          <w:rPr>
            <w:bCs/>
            <w:color w:val="auto"/>
          </w:rPr>
          <w:fldChar w:fldCharType="begin"/>
        </w:r>
        <w:r w:rsidR="004958C4" w:rsidRPr="006B08DA">
          <w:rPr>
            <w:bCs/>
            <w:color w:val="auto"/>
          </w:rPr>
          <w:instrText xml:space="preserve"> PAGE  \* Arabic  \* MERGEFORMAT </w:instrText>
        </w:r>
        <w:r w:rsidR="004958C4" w:rsidRPr="006B08DA">
          <w:rPr>
            <w:bCs/>
            <w:color w:val="auto"/>
          </w:rPr>
          <w:fldChar w:fldCharType="separate"/>
        </w:r>
        <w:r w:rsidR="004958C4">
          <w:rPr>
            <w:bCs/>
            <w:noProof/>
            <w:color w:val="auto"/>
          </w:rPr>
          <w:t>20</w:t>
        </w:r>
        <w:r w:rsidR="004958C4" w:rsidRPr="006B08DA">
          <w:rPr>
            <w:bCs/>
            <w:color w:val="auto"/>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0AE03" w14:textId="7552904D" w:rsidR="00927425" w:rsidRDefault="0092742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E8AB2" w14:textId="7DA2FBB0" w:rsidR="004958C4" w:rsidRDefault="001D0A02" w:rsidP="00914A3B">
    <w:pPr>
      <w:pStyle w:val="Footer"/>
      <w:jc w:val="right"/>
    </w:pPr>
    <w:sdt>
      <w:sdtPr>
        <w:id w:val="300199708"/>
        <w:docPartObj>
          <w:docPartGallery w:val="Page Numbers (Bottom of Page)"/>
          <w:docPartUnique/>
        </w:docPartObj>
      </w:sdtPr>
      <w:sdtEndPr/>
      <w:sdtContent>
        <w:sdt>
          <w:sdtPr>
            <w:id w:val="-1705238520"/>
            <w:docPartObj>
              <w:docPartGallery w:val="Page Numbers (Top of Page)"/>
              <w:docPartUnique/>
            </w:docPartObj>
          </w:sdtPr>
          <w:sdtEndPr/>
          <w:sdtContent>
            <w:r w:rsidR="004958C4" w:rsidRPr="006B08DA">
              <w:rPr>
                <w:color w:val="auto"/>
              </w:rPr>
              <w:t xml:space="preserve">Page </w:t>
            </w:r>
            <w:r w:rsidR="004958C4" w:rsidRPr="006B08DA">
              <w:rPr>
                <w:bCs/>
                <w:color w:val="auto"/>
                <w:sz w:val="24"/>
                <w:szCs w:val="24"/>
              </w:rPr>
              <w:fldChar w:fldCharType="begin"/>
            </w:r>
            <w:r w:rsidR="004958C4" w:rsidRPr="006B08DA">
              <w:rPr>
                <w:bCs/>
                <w:color w:val="auto"/>
              </w:rPr>
              <w:instrText xml:space="preserve"> PAGE </w:instrText>
            </w:r>
            <w:r w:rsidR="004958C4" w:rsidRPr="006B08DA">
              <w:rPr>
                <w:bCs/>
                <w:color w:val="auto"/>
                <w:sz w:val="24"/>
                <w:szCs w:val="24"/>
              </w:rPr>
              <w:fldChar w:fldCharType="separate"/>
            </w:r>
            <w:r w:rsidR="004958C4">
              <w:rPr>
                <w:bCs/>
                <w:noProof/>
                <w:color w:val="auto"/>
              </w:rPr>
              <w:t>3</w:t>
            </w:r>
            <w:r w:rsidR="004958C4" w:rsidRPr="006B08DA">
              <w:rPr>
                <w:bCs/>
                <w:color w:val="auto"/>
                <w:sz w:val="24"/>
                <w:szCs w:val="24"/>
              </w:rPr>
              <w:fldChar w:fldCharType="end"/>
            </w:r>
            <w:r w:rsidR="004958C4" w:rsidRPr="006B08DA">
              <w:rPr>
                <w:color w:val="auto"/>
              </w:rPr>
              <w:t xml:space="preserve"> </w:t>
            </w:r>
          </w:sdtContent>
        </w:sdt>
      </w:sdtContent>
    </w:sdt>
  </w:p>
  <w:p w14:paraId="090BBB8A" w14:textId="77777777" w:rsidR="004958C4" w:rsidRDefault="004958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76DF0" w14:textId="77777777" w:rsidR="00BC77E9" w:rsidRDefault="00BC77E9" w:rsidP="008F7491">
      <w:pPr>
        <w:spacing w:after="0" w:line="240" w:lineRule="auto"/>
      </w:pPr>
      <w:r>
        <w:separator/>
      </w:r>
    </w:p>
    <w:p w14:paraId="08D14F5B" w14:textId="77777777" w:rsidR="00BC77E9" w:rsidRDefault="00BC77E9"/>
  </w:footnote>
  <w:footnote w:type="continuationSeparator" w:id="0">
    <w:p w14:paraId="41D5B64B" w14:textId="77777777" w:rsidR="00BC77E9" w:rsidRDefault="00BC77E9" w:rsidP="008F7491">
      <w:pPr>
        <w:spacing w:after="0" w:line="240" w:lineRule="auto"/>
      </w:pPr>
      <w:r>
        <w:continuationSeparator/>
      </w:r>
    </w:p>
    <w:p w14:paraId="3EBF3D8D" w14:textId="77777777" w:rsidR="00BC77E9" w:rsidRDefault="00BC77E9"/>
  </w:footnote>
  <w:footnote w:type="continuationNotice" w:id="1">
    <w:p w14:paraId="7AA536CA" w14:textId="77777777" w:rsidR="00BC77E9" w:rsidRDefault="00BC77E9">
      <w:pPr>
        <w:spacing w:after="0" w:line="240" w:lineRule="auto"/>
      </w:pPr>
    </w:p>
    <w:p w14:paraId="2F33DBF2" w14:textId="77777777" w:rsidR="00BC77E9" w:rsidRDefault="00BC77E9"/>
  </w:footnote>
  <w:footnote w:id="2">
    <w:p w14:paraId="6340C921" w14:textId="67E15676" w:rsidR="00465924" w:rsidRDefault="00621310">
      <w:pPr>
        <w:pStyle w:val="FootnoteText"/>
      </w:pPr>
      <w:r w:rsidRPr="00621310">
        <w:rPr>
          <w:rStyle w:val="FootnoteReference"/>
          <w:vertAlign w:val="baseline"/>
        </w:rPr>
        <w:footnoteRef/>
      </w:r>
      <w:r w:rsidR="00465924">
        <w:t xml:space="preserve"> </w:t>
      </w:r>
      <w:bookmarkStart w:id="10" w:name="_Hlk95827215"/>
      <w:r w:rsidR="00F33461" w:rsidRPr="00886E3D">
        <w:rPr>
          <w:b/>
        </w:rPr>
        <w:fldChar w:fldCharType="begin"/>
      </w:r>
      <w:r w:rsidR="00F33461" w:rsidRPr="00886E3D">
        <w:rPr>
          <w:b/>
        </w:rPr>
        <w:instrText xml:space="preserve"> HYPERLINK "http://www.aga.gov.au/publications/insurance" </w:instrText>
      </w:r>
      <w:r w:rsidR="00F33461" w:rsidRPr="00886E3D">
        <w:rPr>
          <w:b/>
        </w:rPr>
      </w:r>
      <w:r w:rsidR="00F33461" w:rsidRPr="00886E3D">
        <w:rPr>
          <w:b/>
        </w:rPr>
        <w:fldChar w:fldCharType="separate"/>
      </w:r>
      <w:r w:rsidR="00F33461" w:rsidRPr="00886E3D">
        <w:rPr>
          <w:rStyle w:val="Hyperlink"/>
          <w:b w:val="0"/>
        </w:rPr>
        <w:t>www.aga.gov.au/publications/insurance</w:t>
      </w:r>
      <w:r w:rsidR="00F33461" w:rsidRPr="00886E3D">
        <w:rPr>
          <w:b/>
        </w:rPr>
        <w:fldChar w:fldCharType="end"/>
      </w:r>
      <w:bookmarkEnd w:id="10"/>
    </w:p>
  </w:footnote>
  <w:footnote w:id="3">
    <w:p w14:paraId="6D1DB984" w14:textId="0729DBD5" w:rsidR="004958C4" w:rsidRDefault="00621310" w:rsidP="004D628B">
      <w:pPr>
        <w:pStyle w:val="FootnoteText"/>
        <w:tabs>
          <w:tab w:val="left" w:pos="284"/>
        </w:tabs>
        <w:spacing w:before="0" w:after="0" w:line="240" w:lineRule="auto"/>
        <w:ind w:left="284" w:hanging="284"/>
      </w:pPr>
      <w:r w:rsidRPr="00621310">
        <w:rPr>
          <w:rStyle w:val="FootnoteReference"/>
          <w:vertAlign w:val="baseline"/>
        </w:rPr>
        <w:footnoteRef/>
      </w:r>
      <w:r w:rsidR="004958C4">
        <w:t xml:space="preserve"> </w:t>
      </w:r>
      <w:r w:rsidR="004958C4">
        <w:tab/>
        <w:t>Midwife professional indemnity insurance can also cover other costs such as those associated with appearing at coronial inquiries.</w:t>
      </w:r>
    </w:p>
  </w:footnote>
  <w:footnote w:id="4">
    <w:p w14:paraId="1FEC1E9B" w14:textId="5F707F96" w:rsidR="004958C4" w:rsidRDefault="00621310" w:rsidP="004D628B">
      <w:pPr>
        <w:pStyle w:val="FootnoteText"/>
        <w:tabs>
          <w:tab w:val="left" w:pos="284"/>
        </w:tabs>
        <w:spacing w:before="0" w:after="0" w:line="240" w:lineRule="auto"/>
        <w:ind w:left="284" w:hanging="284"/>
      </w:pPr>
      <w:r w:rsidRPr="00621310">
        <w:rPr>
          <w:rStyle w:val="FootnoteReference"/>
          <w:vertAlign w:val="baseline"/>
        </w:rPr>
        <w:footnoteRef/>
      </w:r>
      <w:r w:rsidR="004958C4">
        <w:t xml:space="preserve"> </w:t>
      </w:r>
      <w:r w:rsidR="004958C4">
        <w:tab/>
        <w:t>On the other hand, many employed midwives practising in a hospital will be indemnified by their employer against negligence.</w:t>
      </w:r>
    </w:p>
  </w:footnote>
  <w:footnote w:id="5">
    <w:p w14:paraId="279E5650" w14:textId="06B8B716" w:rsidR="004958C4" w:rsidRDefault="00621310" w:rsidP="007869E9">
      <w:pPr>
        <w:pStyle w:val="FootnoteText"/>
        <w:tabs>
          <w:tab w:val="left" w:pos="284"/>
        </w:tabs>
        <w:spacing w:before="0" w:after="0" w:line="240" w:lineRule="auto"/>
        <w:ind w:left="284" w:hanging="284"/>
      </w:pPr>
      <w:r w:rsidRPr="00621310">
        <w:rPr>
          <w:rStyle w:val="FootnoteReference"/>
          <w:vertAlign w:val="baseline"/>
        </w:rPr>
        <w:footnoteRef/>
      </w:r>
      <w:r w:rsidR="004958C4">
        <w:t xml:space="preserve"> </w:t>
      </w:r>
      <w:r w:rsidR="004958C4">
        <w:tab/>
      </w:r>
      <w:r w:rsidR="004958C4" w:rsidRPr="006E7778">
        <w:t>Vero offered professional indemnity cover to privately practising midwives until 2015/16.</w:t>
      </w:r>
    </w:p>
  </w:footnote>
  <w:footnote w:id="6">
    <w:p w14:paraId="34B69790" w14:textId="381FEFB0" w:rsidR="004958C4" w:rsidRDefault="00621310" w:rsidP="007869E9">
      <w:pPr>
        <w:pStyle w:val="FootnoteText"/>
        <w:tabs>
          <w:tab w:val="left" w:pos="284"/>
        </w:tabs>
        <w:spacing w:before="0" w:after="0" w:line="240" w:lineRule="auto"/>
        <w:ind w:left="284" w:hanging="284"/>
      </w:pPr>
      <w:r w:rsidRPr="00621310">
        <w:rPr>
          <w:rStyle w:val="FootnoteReference"/>
          <w:vertAlign w:val="baseline"/>
        </w:rPr>
        <w:footnoteRef/>
      </w:r>
      <w:r w:rsidR="004958C4">
        <w:t xml:space="preserve"> </w:t>
      </w:r>
      <w:r w:rsidR="004958C4">
        <w:tab/>
      </w:r>
      <w:r w:rsidR="004958C4" w:rsidRPr="006E7778">
        <w:t>At the valuation date, MIGA was the only eligible insurer.</w:t>
      </w:r>
    </w:p>
  </w:footnote>
  <w:footnote w:id="7">
    <w:p w14:paraId="2F6F5F11" w14:textId="2DA0AE9A" w:rsidR="004958C4" w:rsidRDefault="00621310" w:rsidP="007869E9">
      <w:pPr>
        <w:pStyle w:val="FootnoteText"/>
        <w:tabs>
          <w:tab w:val="left" w:pos="284"/>
        </w:tabs>
        <w:spacing w:before="0" w:after="0" w:line="240" w:lineRule="auto"/>
        <w:ind w:left="284" w:hanging="284"/>
      </w:pPr>
      <w:r w:rsidRPr="00621310">
        <w:rPr>
          <w:rStyle w:val="FootnoteReference"/>
          <w:vertAlign w:val="baseline"/>
        </w:rPr>
        <w:footnoteRef/>
      </w:r>
      <w:r w:rsidR="004958C4">
        <w:t xml:space="preserve"> </w:t>
      </w:r>
      <w:r w:rsidR="004958C4">
        <w:tab/>
        <w:t>The premium for the run</w:t>
      </w:r>
      <w:r>
        <w:noBreakHyphen/>
      </w:r>
      <w:r w:rsidR="004958C4">
        <w:t>off cover is zero for eligible midwives who have ceased private practice</w:t>
      </w:r>
      <w:r>
        <w:t xml:space="preserve">. </w:t>
      </w:r>
      <w:r w:rsidR="004958C4">
        <w:t>However, they pay a levy on their premiums during the period of private practice.</w:t>
      </w:r>
    </w:p>
  </w:footnote>
  <w:footnote w:id="8">
    <w:p w14:paraId="04BE3BE6" w14:textId="12EB0FA7" w:rsidR="004958C4" w:rsidRDefault="00621310" w:rsidP="002F07DE">
      <w:pPr>
        <w:pStyle w:val="FootnoteText"/>
        <w:tabs>
          <w:tab w:val="left" w:pos="284"/>
        </w:tabs>
        <w:spacing w:before="0" w:after="0" w:line="240" w:lineRule="auto"/>
        <w:ind w:left="284" w:hanging="284"/>
      </w:pPr>
      <w:r w:rsidRPr="00621310">
        <w:rPr>
          <w:rStyle w:val="FootnoteReference"/>
          <w:vertAlign w:val="baseline"/>
        </w:rPr>
        <w:footnoteRef/>
      </w:r>
      <w:r w:rsidR="004958C4">
        <w:t xml:space="preserve"> </w:t>
      </w:r>
      <w:r w:rsidR="004958C4">
        <w:tab/>
      </w:r>
      <w:r w:rsidR="004958C4" w:rsidRPr="0092361A">
        <w:t>A database of ROC support payments is maintained by Services Australia.</w:t>
      </w:r>
    </w:p>
  </w:footnote>
  <w:footnote w:id="9">
    <w:p w14:paraId="415E29C9" w14:textId="19B17AC6" w:rsidR="000B5801" w:rsidRDefault="00621310" w:rsidP="002F07DE">
      <w:pPr>
        <w:pStyle w:val="FootnoteText"/>
        <w:tabs>
          <w:tab w:val="left" w:pos="284"/>
        </w:tabs>
        <w:spacing w:before="0" w:after="0" w:line="240" w:lineRule="auto"/>
        <w:ind w:left="284" w:hanging="284"/>
      </w:pPr>
      <w:r w:rsidRPr="002F07DE">
        <w:footnoteRef/>
      </w:r>
      <w:r w:rsidR="000B5801">
        <w:t xml:space="preserve"> </w:t>
      </w:r>
      <w:r w:rsidR="002F07DE">
        <w:tab/>
      </w:r>
      <w:r w:rsidR="000B5801">
        <w:t xml:space="preserve">The </w:t>
      </w:r>
      <w:r w:rsidR="00D10F98">
        <w:t>three</w:t>
      </w:r>
      <w:r>
        <w:noBreakHyphen/>
      </w:r>
      <w:r w:rsidR="00D10F98">
        <w:t>year</w:t>
      </w:r>
      <w:r w:rsidR="000B5801">
        <w:t xml:space="preserve"> waiting period is waived from 1 July 2020 as legislated in the </w:t>
      </w:r>
      <w:r w:rsidR="000B5801" w:rsidRPr="004F5A41">
        <w:rPr>
          <w:i/>
        </w:rPr>
        <w:t>Medical and Midwife Indemnity Legislation Amendment Act 2019</w:t>
      </w:r>
      <w:r w:rsidR="000B5801" w:rsidRPr="007C2561">
        <w:t xml:space="preserve"> </w:t>
      </w:r>
      <w:r w:rsidR="000B5801">
        <w:t>(Amendment Act).</w:t>
      </w:r>
    </w:p>
  </w:footnote>
  <w:footnote w:id="10">
    <w:p w14:paraId="1C10220F" w14:textId="0432E5D5" w:rsidR="004958C4" w:rsidRDefault="00621310" w:rsidP="00AD38E4">
      <w:pPr>
        <w:pStyle w:val="FootnoteText"/>
        <w:tabs>
          <w:tab w:val="left" w:pos="284"/>
        </w:tabs>
        <w:spacing w:before="0" w:after="0" w:line="240" w:lineRule="auto"/>
        <w:ind w:left="284" w:hanging="284"/>
      </w:pPr>
      <w:r w:rsidRPr="00621310">
        <w:rPr>
          <w:rStyle w:val="FootnoteReference"/>
          <w:vertAlign w:val="baseline"/>
        </w:rPr>
        <w:footnoteRef/>
      </w:r>
      <w:r w:rsidR="004958C4">
        <w:t xml:space="preserve"> </w:t>
      </w:r>
      <w:r w:rsidR="004958C4">
        <w:tab/>
      </w:r>
      <w:r w:rsidR="004958C4" w:rsidRPr="00745574">
        <w:t>Refer paragraph A.2.1.</w:t>
      </w:r>
    </w:p>
  </w:footnote>
  <w:footnote w:id="11">
    <w:p w14:paraId="2CA2BEB6" w14:textId="67C759F9" w:rsidR="004958C4" w:rsidRDefault="00621310" w:rsidP="00AD38E4">
      <w:pPr>
        <w:pStyle w:val="FootnoteText"/>
        <w:tabs>
          <w:tab w:val="left" w:pos="284"/>
        </w:tabs>
        <w:spacing w:before="0" w:after="0" w:line="240" w:lineRule="auto"/>
        <w:ind w:left="284" w:hanging="284"/>
      </w:pPr>
      <w:r w:rsidRPr="00621310">
        <w:rPr>
          <w:rStyle w:val="FootnoteReference"/>
          <w:vertAlign w:val="baseline"/>
        </w:rPr>
        <w:footnoteRef/>
      </w:r>
      <w:r w:rsidR="004958C4">
        <w:t xml:space="preserve"> </w:t>
      </w:r>
      <w:r w:rsidR="004958C4">
        <w:tab/>
      </w:r>
      <w:r w:rsidR="004958C4" w:rsidRPr="00745574">
        <w:t>Refer paragraph A.3.2.</w:t>
      </w:r>
    </w:p>
  </w:footnote>
  <w:footnote w:id="12">
    <w:p w14:paraId="17C19E25" w14:textId="44FF97CD" w:rsidR="004958C4" w:rsidRDefault="00621310" w:rsidP="00121D42">
      <w:pPr>
        <w:pStyle w:val="FootnoteText"/>
        <w:tabs>
          <w:tab w:val="left" w:pos="284"/>
        </w:tabs>
        <w:spacing w:after="0" w:line="240" w:lineRule="auto"/>
        <w:ind w:left="284" w:hanging="284"/>
      </w:pPr>
      <w:r w:rsidRPr="00621310">
        <w:rPr>
          <w:rStyle w:val="FootnoteReference"/>
          <w:vertAlign w:val="baseline"/>
        </w:rPr>
        <w:footnoteRef/>
      </w:r>
      <w:r w:rsidR="004958C4">
        <w:t xml:space="preserve"> </w:t>
      </w:r>
      <w:r w:rsidR="004958C4">
        <w:tab/>
        <w:t xml:space="preserve">The </w:t>
      </w:r>
      <w:r w:rsidR="001F2743" w:rsidRPr="00DC6418">
        <w:rPr>
          <w:i/>
        </w:rPr>
        <w:t>Medical and Midwife Indemnity Legislation Amendment Act 2019</w:t>
      </w:r>
      <w:r w:rsidR="001F2743" w:rsidRPr="00DE03C6">
        <w:t xml:space="preserve"> </w:t>
      </w:r>
      <w:r w:rsidR="001F2743">
        <w:t>(</w:t>
      </w:r>
      <w:r w:rsidR="004958C4">
        <w:t>Amendment Act</w:t>
      </w:r>
      <w:r w:rsidR="001F2743">
        <w:t>)</w:t>
      </w:r>
      <w:r w:rsidR="004054D5">
        <w:t xml:space="preserve"> </w:t>
      </w:r>
      <w:r w:rsidR="004054D5" w:rsidRPr="004054D5">
        <w:t xml:space="preserve">replaces the existing reference to the General Interest Charge rate with a rate based on the annual change in the Consumer Price Index rate in sections 10 of the </w:t>
      </w:r>
      <w:r w:rsidR="004054D5" w:rsidRPr="004054D5">
        <w:rPr>
          <w:i/>
          <w:iCs/>
        </w:rPr>
        <w:t xml:space="preserve">Medical Indemnity Rules 2020 </w:t>
      </w:r>
      <w:r w:rsidR="004054D5" w:rsidRPr="004054D5">
        <w:t xml:space="preserve">and the </w:t>
      </w:r>
      <w:r w:rsidR="004054D5" w:rsidRPr="004054D5">
        <w:rPr>
          <w:i/>
          <w:iCs/>
        </w:rPr>
        <w:t>Midwife Professional Indemnity (Commonwealth Contribution) Scheme Rules 202</w:t>
      </w:r>
      <w:r w:rsidR="00AA7C4A">
        <w:rPr>
          <w:i/>
          <w:iCs/>
        </w:rPr>
        <w:t>0</w:t>
      </w:r>
      <w:r w:rsidR="00121D42" w:rsidRPr="00121D42">
        <w:rPr>
          <w:iCs/>
        </w:rPr>
        <w:t>.</w:t>
      </w:r>
    </w:p>
  </w:footnote>
  <w:footnote w:id="13">
    <w:p w14:paraId="5E276B1B" w14:textId="3565D510" w:rsidR="004958C4" w:rsidRDefault="00621310" w:rsidP="0022668C">
      <w:pPr>
        <w:pStyle w:val="FootnoteText"/>
        <w:tabs>
          <w:tab w:val="left" w:pos="284"/>
        </w:tabs>
        <w:spacing w:before="0" w:after="0" w:line="240" w:lineRule="auto"/>
        <w:ind w:left="284" w:hanging="284"/>
      </w:pPr>
      <w:r w:rsidRPr="00621310">
        <w:rPr>
          <w:rStyle w:val="FootnoteReference"/>
          <w:vertAlign w:val="baseline"/>
        </w:rPr>
        <w:footnoteRef/>
      </w:r>
      <w:r w:rsidR="004958C4">
        <w:t xml:space="preserve"> </w:t>
      </w:r>
      <w:r w:rsidR="004958C4">
        <w:tab/>
      </w:r>
      <w:r w:rsidR="004958C4" w:rsidRPr="00DE03C6">
        <w:t xml:space="preserve">The </w:t>
      </w:r>
      <w:r w:rsidR="00852234" w:rsidRPr="00DE03C6">
        <w:t>three</w:t>
      </w:r>
      <w:r>
        <w:noBreakHyphen/>
      </w:r>
      <w:r w:rsidR="00852234" w:rsidRPr="00DE03C6">
        <w:t>year</w:t>
      </w:r>
      <w:r w:rsidR="004958C4" w:rsidRPr="00DE03C6">
        <w:t xml:space="preserve"> waiting period </w:t>
      </w:r>
      <w:r w:rsidR="004958C4">
        <w:t>has been</w:t>
      </w:r>
      <w:r w:rsidR="004958C4" w:rsidRPr="00DE03C6">
        <w:t xml:space="preserve"> waived from 1 July 2020 as legislated in the Amendment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A2E00" w14:textId="493752E9" w:rsidR="004958C4" w:rsidRDefault="004958C4" w:rsidP="008E6BEA">
    <w:pPr>
      <w:pStyle w:val="HeaderEven"/>
    </w:pPr>
    <w:r>
      <w:t>Second report on the costs of the Australian Government</w:t>
    </w:r>
    <w:r w:rsidR="00621310">
      <w:t>’</w:t>
    </w:r>
    <w:r>
      <w:t>s Run</w:t>
    </w:r>
    <w:r w:rsidR="00621310">
      <w:noBreakHyphen/>
    </w:r>
    <w:r>
      <w:t>Off Cover Scheme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560F" w14:textId="0F936226" w:rsidR="004958C4" w:rsidRPr="0052425B" w:rsidRDefault="004958C4" w:rsidP="008E6BEA">
    <w:pPr>
      <w:pStyle w:val="HeaderOdd"/>
      <w:jc w:val="left"/>
    </w:pPr>
    <w:r>
      <w:t xml:space="preserve">Second </w:t>
    </w:r>
    <w:r w:rsidRPr="0052425B">
      <w:t>Report on the costs of the Australian Government</w:t>
    </w:r>
    <w:r w:rsidR="00621310">
      <w:t>’</w:t>
    </w:r>
    <w:r w:rsidRPr="0052425B">
      <w:t xml:space="preserve">s </w:t>
    </w:r>
    <w:r w:rsidRPr="00FC6F97">
      <w:rPr>
        <w:lang w:val="en-US"/>
      </w:rPr>
      <w:t>Run</w:t>
    </w:r>
    <w:r w:rsidR="00621310">
      <w:rPr>
        <w:lang w:val="en-US"/>
      </w:rPr>
      <w:noBreakHyphen/>
    </w:r>
    <w:r w:rsidRPr="00FC6F97">
      <w:rPr>
        <w:lang w:val="en-US"/>
      </w:rPr>
      <w:t>Off Cover Scheme</w:t>
    </w:r>
    <w:r w:rsidRPr="0052425B">
      <w:t xml:space="preserve"> for Medical Indemnity Insurers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65B12" w14:textId="1D72BB4E" w:rsidR="004958C4" w:rsidRPr="0052425B" w:rsidRDefault="004958C4" w:rsidP="008E6BEA">
    <w:pPr>
      <w:pStyle w:val="Header"/>
      <w:jc w:val="center"/>
    </w:pPr>
    <w:r>
      <w:rPr>
        <w:noProof/>
      </w:rPr>
      <w:drawing>
        <wp:anchor distT="0" distB="0" distL="114300" distR="114300" simplePos="0" relativeHeight="251648000" behindDoc="1" locked="0" layoutInCell="1" allowOverlap="1" wp14:anchorId="415D4B83" wp14:editId="2432F6AC">
          <wp:simplePos x="0" y="0"/>
          <wp:positionH relativeFrom="page">
            <wp:align>right</wp:align>
          </wp:positionH>
          <wp:positionV relativeFrom="paragraph">
            <wp:posOffset>-1534795</wp:posOffset>
          </wp:positionV>
          <wp:extent cx="7533317" cy="106560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317" cy="1065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F5F22" w14:textId="15D71911" w:rsidR="004958C4" w:rsidRPr="00620E54" w:rsidRDefault="004958C4" w:rsidP="00DA665A">
    <w:pPr>
      <w:pStyle w:val="Header"/>
      <w:pBdr>
        <w:bottom w:val="single" w:sz="4" w:space="1" w:color="C00000"/>
      </w:pBdr>
      <w:tabs>
        <w:tab w:val="left" w:pos="7088"/>
      </w:tabs>
      <w:rPr>
        <w:b/>
      </w:rPr>
    </w:pPr>
    <w:r>
      <w:t>Tenth report on the costs of the Australian Government</w:t>
    </w:r>
    <w:r w:rsidR="00621310">
      <w:t>’</w:t>
    </w:r>
    <w:r>
      <w:t>s Run</w:t>
    </w:r>
    <w:r w:rsidR="00621310">
      <w:noBreakHyphen/>
    </w:r>
    <w:r>
      <w:t>Off Cover Scheme for midwife professional indemnity insurers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49706" w14:textId="1C658359" w:rsidR="004958C4" w:rsidRPr="008332CF" w:rsidRDefault="004958C4" w:rsidP="008332CF">
    <w:pPr>
      <w:pStyle w:val="Header"/>
      <w:pBdr>
        <w:bottom w:val="single" w:sz="4" w:space="1" w:color="C00000"/>
      </w:pBdr>
      <w:tabs>
        <w:tab w:val="left" w:pos="7088"/>
      </w:tabs>
    </w:pPr>
    <w:r>
      <w:t>Ten</w:t>
    </w:r>
    <w:r w:rsidRPr="008332CF">
      <w:t>th report on the costs of the Australian Government</w:t>
    </w:r>
    <w:r w:rsidR="00621310">
      <w:t>’</w:t>
    </w:r>
    <w:r w:rsidRPr="008332CF">
      <w:t>s Run</w:t>
    </w:r>
    <w:r w:rsidR="00621310">
      <w:noBreakHyphen/>
    </w:r>
    <w:r w:rsidRPr="008332CF">
      <w:t>Off Cover Scheme for midwife professional indemnity insurers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3A23E" w14:textId="4F98BD4E" w:rsidR="004958C4" w:rsidRPr="0052425B" w:rsidRDefault="004958C4" w:rsidP="008E6BEA">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0CD6" w14:textId="0540C9D7" w:rsidR="004958C4" w:rsidRDefault="004958C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57926" w14:textId="724C5AEE" w:rsidR="004958C4" w:rsidRDefault="004958C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4ED5F" w14:textId="4DBB02B5" w:rsidR="004958C4" w:rsidRPr="0098347F" w:rsidRDefault="004958C4" w:rsidP="009834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0DB1"/>
    <w:multiLevelType w:val="multilevel"/>
    <w:tmpl w:val="E06882EC"/>
    <w:name w:val="StandardNumberedList22232222222"/>
    <w:lvl w:ilvl="0">
      <w:start w:val="1"/>
      <w:numFmt w:val="decimal"/>
      <w:lvlText w:val="%1"/>
      <w:lvlJc w:val="left"/>
      <w:pPr>
        <w:ind w:left="833" w:hanging="360"/>
      </w:pPr>
      <w:rPr>
        <w:rFonts w:hint="default"/>
      </w:rPr>
    </w:lvl>
    <w:lvl w:ilvl="1">
      <w:start w:val="1"/>
      <w:numFmt w:val="decimal"/>
      <w:isLgl/>
      <w:lvlText w:val="%1.%2."/>
      <w:lvlJc w:val="left"/>
      <w:pPr>
        <w:ind w:left="1043" w:hanging="57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193" w:hanging="720"/>
      </w:pPr>
      <w:rPr>
        <w:rFonts w:hint="default"/>
      </w:rPr>
    </w:lvl>
    <w:lvl w:ilvl="4">
      <w:start w:val="1"/>
      <w:numFmt w:val="decimal"/>
      <w:isLgl/>
      <w:lvlText w:val="%1.%2.%3.%4.%5."/>
      <w:lvlJc w:val="left"/>
      <w:pPr>
        <w:ind w:left="1553" w:hanging="1080"/>
      </w:pPr>
      <w:rPr>
        <w:rFonts w:hint="default"/>
      </w:rPr>
    </w:lvl>
    <w:lvl w:ilvl="5">
      <w:start w:val="1"/>
      <w:numFmt w:val="decimal"/>
      <w:isLgl/>
      <w:lvlText w:val="%1.%2.%3.%4.%5.%6."/>
      <w:lvlJc w:val="left"/>
      <w:pPr>
        <w:ind w:left="1553" w:hanging="1080"/>
      </w:pPr>
      <w:rPr>
        <w:rFonts w:hint="default"/>
      </w:rPr>
    </w:lvl>
    <w:lvl w:ilvl="6">
      <w:start w:val="1"/>
      <w:numFmt w:val="decimal"/>
      <w:isLgl/>
      <w:lvlText w:val="%1.%2.%3.%4.%5.%6.%7."/>
      <w:lvlJc w:val="left"/>
      <w:pPr>
        <w:ind w:left="1913" w:hanging="1440"/>
      </w:pPr>
      <w:rPr>
        <w:rFonts w:hint="default"/>
      </w:rPr>
    </w:lvl>
    <w:lvl w:ilvl="7">
      <w:start w:val="1"/>
      <w:numFmt w:val="decimal"/>
      <w:isLgl/>
      <w:lvlText w:val="%1.%2.%3.%4.%5.%6.%7.%8."/>
      <w:lvlJc w:val="left"/>
      <w:pPr>
        <w:ind w:left="1913" w:hanging="1440"/>
      </w:pPr>
      <w:rPr>
        <w:rFonts w:hint="default"/>
      </w:rPr>
    </w:lvl>
    <w:lvl w:ilvl="8">
      <w:start w:val="1"/>
      <w:numFmt w:val="decimal"/>
      <w:isLgl/>
      <w:lvlText w:val="%1.%2.%3.%4.%5.%6.%7.%8.%9."/>
      <w:lvlJc w:val="left"/>
      <w:pPr>
        <w:ind w:left="2273" w:hanging="1800"/>
      </w:pPr>
      <w:rPr>
        <w:rFonts w:hint="default"/>
      </w:rPr>
    </w:lvl>
  </w:abstractNum>
  <w:abstractNum w:abstractNumId="1" w15:restartNumberingAfterBreak="0">
    <w:nsid w:val="01D62D80"/>
    <w:multiLevelType w:val="hybridMultilevel"/>
    <w:tmpl w:val="64F6936C"/>
    <w:lvl w:ilvl="0" w:tplc="3B9E75A6">
      <w:start w:val="1"/>
      <w:numFmt w:val="decimal"/>
      <w:lvlText w:val="4.4.%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 w15:restartNumberingAfterBreak="0">
    <w:nsid w:val="030F15E9"/>
    <w:multiLevelType w:val="multilevel"/>
    <w:tmpl w:val="0C70999A"/>
    <w:styleLink w:val="NormalWhiteBullet"/>
    <w:lvl w:ilvl="0">
      <w:start w:val="1"/>
      <w:numFmt w:val="bullet"/>
      <w:pStyle w:val="TableTextNormalWhiteBullet"/>
      <w:lvlText w:val=""/>
      <w:lvlJc w:val="left"/>
      <w:pPr>
        <w:ind w:left="284" w:hanging="284"/>
      </w:pPr>
      <w:rPr>
        <w:rFonts w:ascii="Symbol" w:hAnsi="Symbol"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57214D9"/>
    <w:multiLevelType w:val="multilevel"/>
    <w:tmpl w:val="BDBA3604"/>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4883" w:hanging="360"/>
      </w:pPr>
    </w:lvl>
    <w:lvl w:ilvl="4">
      <w:start w:val="1"/>
      <w:numFmt w:val="lowerLetter"/>
      <w:lvlText w:val="(%5)"/>
      <w:lvlJc w:val="left"/>
      <w:pPr>
        <w:ind w:left="5243" w:hanging="360"/>
      </w:pPr>
    </w:lvl>
    <w:lvl w:ilvl="5">
      <w:start w:val="1"/>
      <w:numFmt w:val="lowerRoman"/>
      <w:lvlText w:val="(%6)"/>
      <w:lvlJc w:val="left"/>
      <w:pPr>
        <w:ind w:left="5603" w:hanging="360"/>
      </w:pPr>
    </w:lvl>
    <w:lvl w:ilvl="6">
      <w:start w:val="1"/>
      <w:numFmt w:val="decimal"/>
      <w:lvlText w:val="%7."/>
      <w:lvlJc w:val="left"/>
      <w:pPr>
        <w:ind w:left="5963" w:hanging="360"/>
      </w:pPr>
    </w:lvl>
    <w:lvl w:ilvl="7">
      <w:start w:val="1"/>
      <w:numFmt w:val="lowerLetter"/>
      <w:lvlText w:val="%8."/>
      <w:lvlJc w:val="left"/>
      <w:pPr>
        <w:ind w:left="6323" w:hanging="360"/>
      </w:pPr>
    </w:lvl>
    <w:lvl w:ilvl="8">
      <w:start w:val="1"/>
      <w:numFmt w:val="lowerRoman"/>
      <w:lvlText w:val="%9."/>
      <w:lvlJc w:val="left"/>
      <w:pPr>
        <w:ind w:left="6683" w:hanging="360"/>
      </w:pPr>
    </w:lvl>
  </w:abstractNum>
  <w:abstractNum w:abstractNumId="4" w15:restartNumberingAfterBreak="0">
    <w:nsid w:val="062F6E3B"/>
    <w:multiLevelType w:val="hybridMultilevel"/>
    <w:tmpl w:val="12747220"/>
    <w:name w:val="StandardNumberedList222422222223"/>
    <w:lvl w:ilvl="0" w:tplc="D8E8D558">
      <w:start w:val="1"/>
      <w:numFmt w:val="decimal"/>
      <w:lvlText w:val="4.2.%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5" w15:restartNumberingAfterBreak="0">
    <w:nsid w:val="068F4C6E"/>
    <w:multiLevelType w:val="hybridMultilevel"/>
    <w:tmpl w:val="C3BA6EAC"/>
    <w:name w:val="StandardNumberedList222422"/>
    <w:lvl w:ilvl="0" w:tplc="EFB0DAD8">
      <w:start w:val="1"/>
      <w:numFmt w:val="decimal"/>
      <w:lvlText w:val="2.3.%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112352"/>
    <w:multiLevelType w:val="multilevel"/>
    <w:tmpl w:val="A0E0581C"/>
    <w:styleLink w:val="Bullets"/>
    <w:lvl w:ilvl="0">
      <w:start w:val="1"/>
      <w:numFmt w:val="bullet"/>
      <w:lvlText w:val=""/>
      <w:lvlJc w:val="left"/>
      <w:pPr>
        <w:tabs>
          <w:tab w:val="num" w:pos="284"/>
        </w:tabs>
        <w:ind w:left="284" w:hanging="284"/>
      </w:pPr>
      <w:rPr>
        <w:rFonts w:ascii="Symbol" w:hAnsi="Symbol" w:hint="default"/>
        <w:color w:val="404040" w:themeColor="text1" w:themeTint="BF"/>
      </w:rPr>
    </w:lvl>
    <w:lvl w:ilvl="1">
      <w:start w:val="1"/>
      <w:numFmt w:val="bullet"/>
      <w:lvlText w:val="–"/>
      <w:lvlJc w:val="left"/>
      <w:pPr>
        <w:tabs>
          <w:tab w:val="num" w:pos="567"/>
        </w:tabs>
        <w:ind w:left="568" w:hanging="284"/>
      </w:pPr>
      <w:rPr>
        <w:rFonts w:ascii="Arial" w:hAnsi="Arial" w:cs="Times New Roman" w:hint="default"/>
        <w:color w:val="404040" w:themeColor="text1" w:themeTint="BF"/>
      </w:rPr>
    </w:lvl>
    <w:lvl w:ilvl="2">
      <w:start w:val="1"/>
      <w:numFmt w:val="bullet"/>
      <w:lvlText w:val="◦"/>
      <w:lvlJc w:val="left"/>
      <w:pPr>
        <w:tabs>
          <w:tab w:val="num" w:pos="851"/>
        </w:tabs>
        <w:ind w:left="852" w:hanging="284"/>
      </w:pPr>
      <w:rPr>
        <w:rFonts w:ascii="Georgia" w:hAnsi="Georgia"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lvl>
    <w:lvl w:ilvl="5">
      <w:start w:val="1"/>
      <w:numFmt w:val="lowerRoman"/>
      <w:lvlText w:val="(%6)"/>
      <w:lvlJc w:val="left"/>
      <w:pPr>
        <w:tabs>
          <w:tab w:val="num" w:pos="1701"/>
        </w:tabs>
        <w:ind w:left="1701" w:hanging="281"/>
      </w:pPr>
    </w:lvl>
    <w:lvl w:ilvl="6">
      <w:start w:val="1"/>
      <w:numFmt w:val="decimal"/>
      <w:lvlText w:val="%7."/>
      <w:lvlJc w:val="left"/>
      <w:pPr>
        <w:tabs>
          <w:tab w:val="num" w:pos="1985"/>
        </w:tabs>
        <w:ind w:left="1985" w:hanging="284"/>
      </w:pPr>
    </w:lvl>
    <w:lvl w:ilvl="7">
      <w:start w:val="1"/>
      <w:numFmt w:val="lowerLetter"/>
      <w:lvlText w:val="%8."/>
      <w:lvlJc w:val="left"/>
      <w:pPr>
        <w:tabs>
          <w:tab w:val="num" w:pos="2268"/>
        </w:tabs>
        <w:ind w:left="2268" w:hanging="283"/>
      </w:pPr>
    </w:lvl>
    <w:lvl w:ilvl="8">
      <w:start w:val="1"/>
      <w:numFmt w:val="lowerRoman"/>
      <w:lvlText w:val="%9."/>
      <w:lvlJc w:val="left"/>
      <w:pPr>
        <w:tabs>
          <w:tab w:val="num" w:pos="2552"/>
        </w:tabs>
        <w:ind w:left="2552" w:hanging="284"/>
      </w:pPr>
    </w:lvl>
  </w:abstractNum>
  <w:abstractNum w:abstractNumId="7" w15:restartNumberingAfterBreak="0">
    <w:nsid w:val="09C4627C"/>
    <w:multiLevelType w:val="hybridMultilevel"/>
    <w:tmpl w:val="50B22358"/>
    <w:name w:val="StandardNumberedList22242222222"/>
    <w:lvl w:ilvl="0" w:tplc="17B0086C">
      <w:start w:val="1"/>
      <w:numFmt w:val="decimal"/>
      <w:lvlText w:val="3.6.%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7936D9"/>
    <w:multiLevelType w:val="hybridMultilevel"/>
    <w:tmpl w:val="C0CE1C66"/>
    <w:name w:val="StandardNumberedList222422222"/>
    <w:lvl w:ilvl="0" w:tplc="918E7C1A">
      <w:start w:val="1"/>
      <w:numFmt w:val="decimal"/>
      <w:lvlText w:val="3.3.%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0F3F128B"/>
    <w:multiLevelType w:val="hybridMultilevel"/>
    <w:tmpl w:val="1BE8E9EC"/>
    <w:name w:val="StandardNumberedList2224222222"/>
    <w:lvl w:ilvl="0" w:tplc="918E7C1A">
      <w:start w:val="1"/>
      <w:numFmt w:val="decimal"/>
      <w:lvlText w:val="3.3.%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7B4376"/>
    <w:multiLevelType w:val="hybridMultilevel"/>
    <w:tmpl w:val="A684BD38"/>
    <w:lvl w:ilvl="0" w:tplc="0298DA28">
      <w:start w:val="1"/>
      <w:numFmt w:val="decimal"/>
      <w:lvlText w:val="2.1.%1"/>
      <w:lvlJc w:val="left"/>
      <w:pPr>
        <w:ind w:left="720" w:hanging="360"/>
      </w:pPr>
      <w:rPr>
        <w:rFonts w:hint="default"/>
      </w:rPr>
    </w:lvl>
    <w:lvl w:ilvl="1" w:tplc="0C090019" w:tentative="1">
      <w:start w:val="1"/>
      <w:numFmt w:val="lowerLetter"/>
      <w:lvlText w:val="%2."/>
      <w:lvlJc w:val="left"/>
      <w:pPr>
        <w:ind w:left="1440" w:hanging="360"/>
      </w:pPr>
    </w:lvl>
    <w:lvl w:ilvl="2" w:tplc="2C1E09A8">
      <w:start w:val="1"/>
      <w:numFmt w:val="decimal"/>
      <w:pStyle w:val="OutlineNumbered45"/>
      <w:lvlText w:val="2.1.%3"/>
      <w:lvlJc w:val="left"/>
      <w:pPr>
        <w:ind w:left="2160" w:hanging="18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DB33DB"/>
    <w:multiLevelType w:val="hybridMultilevel"/>
    <w:tmpl w:val="20A6D550"/>
    <w:lvl w:ilvl="0" w:tplc="B468B16C">
      <w:start w:val="1"/>
      <w:numFmt w:val="decimal"/>
      <w:lvlText w:val="4.1.%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BA1656"/>
    <w:multiLevelType w:val="hybridMultilevel"/>
    <w:tmpl w:val="994EB6CA"/>
    <w:name w:val="StandardNumberedList222"/>
    <w:lvl w:ilvl="0" w:tplc="13BA2C4E">
      <w:start w:val="1"/>
      <w:numFmt w:val="decimal"/>
      <w:lvlText w:val="4.5.%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E5104D66">
      <w:start w:val="1"/>
      <w:numFmt w:val="decimal"/>
      <w:lvlText w:val="2.2.%4"/>
      <w:lvlJc w:val="left"/>
      <w:pPr>
        <w:ind w:left="2880" w:hanging="360"/>
      </w:pPr>
      <w:rPr>
        <w:rFonts w:hint="default"/>
      </w:r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3294102"/>
    <w:multiLevelType w:val="hybridMultilevel"/>
    <w:tmpl w:val="60C02D36"/>
    <w:lvl w:ilvl="0" w:tplc="3B62B160">
      <w:start w:val="1"/>
      <w:numFmt w:val="decimal"/>
      <w:lvlText w:val="4.6.%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4" w15:restartNumberingAfterBreak="0">
    <w:nsid w:val="13991811"/>
    <w:multiLevelType w:val="multilevel"/>
    <w:tmpl w:val="CFA8F280"/>
    <w:styleLink w:val="Style3"/>
    <w:lvl w:ilvl="0">
      <w:start w:val="1"/>
      <w:numFmt w:val="decimal"/>
      <w:lvlText w:val="%1"/>
      <w:lvlJc w:val="left"/>
      <w:pPr>
        <w:tabs>
          <w:tab w:val="num" w:pos="850"/>
        </w:tabs>
        <w:ind w:left="850" w:hanging="850"/>
      </w:pPr>
      <w:rPr>
        <w:rFonts w:ascii="Arial" w:hAnsi="Arial" w:cs="Arial" w:hint="default"/>
        <w:b/>
        <w:i w:val="0"/>
        <w:sz w:val="28"/>
        <w:szCs w:val="28"/>
      </w:rPr>
    </w:lvl>
    <w:lvl w:ilvl="1">
      <w:start w:val="1"/>
      <w:numFmt w:val="decimal"/>
      <w:lvlText w:val="%1.%2"/>
      <w:lvlJc w:val="left"/>
      <w:pPr>
        <w:tabs>
          <w:tab w:val="num" w:pos="850"/>
        </w:tabs>
        <w:ind w:left="850" w:hanging="850"/>
      </w:pPr>
      <w:rPr>
        <w:rFonts w:ascii="Arial" w:hAnsi="Arial" w:cs="Arial" w:hint="default"/>
        <w:b/>
        <w:i/>
        <w:sz w:val="24"/>
        <w:szCs w:val="24"/>
      </w:rPr>
    </w:lvl>
    <w:lvl w:ilvl="2">
      <w:start w:val="1"/>
      <w:numFmt w:val="decimal"/>
      <w:lvlText w:val="%1.%3"/>
      <w:lvlJc w:val="left"/>
      <w:pPr>
        <w:tabs>
          <w:tab w:val="num" w:pos="850"/>
        </w:tabs>
        <w:ind w:left="850" w:hanging="850"/>
      </w:pPr>
      <w:rPr>
        <w:rFonts w:ascii="Univers 55" w:hAnsi="Univers 55" w:hint="default"/>
        <w:b w:val="0"/>
        <w:i w:val="0"/>
        <w:sz w:val="22"/>
        <w:szCs w:val="22"/>
      </w:rPr>
    </w:lvl>
    <w:lvl w:ilvl="3">
      <w:start w:val="1"/>
      <w:numFmt w:val="decimal"/>
      <w:lvlRestart w:val="2"/>
      <w:lvlText w:val="%1.%2.%4"/>
      <w:lvlJc w:val="left"/>
      <w:pPr>
        <w:tabs>
          <w:tab w:val="num" w:pos="850"/>
        </w:tabs>
        <w:ind w:left="850" w:hanging="850"/>
      </w:pPr>
      <w:rPr>
        <w:rFonts w:ascii="Arial" w:hAnsi="Arial" w:hint="default"/>
        <w:b w:val="0"/>
        <w:i w:val="0"/>
        <w:sz w:val="20"/>
        <w:szCs w:val="22"/>
      </w:rPr>
    </w:lvl>
    <w:lvl w:ilvl="4">
      <w:start w:val="1"/>
      <w:numFmt w:val="bullet"/>
      <w:lvlText w:val=""/>
      <w:lvlJc w:val="left"/>
      <w:pPr>
        <w:tabs>
          <w:tab w:val="num" w:pos="1418"/>
        </w:tabs>
        <w:ind w:left="1418" w:hanging="567"/>
      </w:pPr>
      <w:rPr>
        <w:rFonts w:ascii="Symbol" w:hAnsi="Symbol" w:hint="default"/>
        <w:sz w:val="28"/>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1796191B"/>
    <w:multiLevelType w:val="hybridMultilevel"/>
    <w:tmpl w:val="9D6E139A"/>
    <w:name w:val="StandardNumberedList222422222223222"/>
    <w:lvl w:ilvl="0" w:tplc="B3B8385A">
      <w:start w:val="1"/>
      <w:numFmt w:val="decimal"/>
      <w:lvlText w:val="4.5.%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6" w15:restartNumberingAfterBreak="0">
    <w:nsid w:val="17F95EF0"/>
    <w:multiLevelType w:val="hybridMultilevel"/>
    <w:tmpl w:val="A9F6C0F4"/>
    <w:name w:val="StandardNumberedList32"/>
    <w:lvl w:ilvl="0" w:tplc="FE34CD38">
      <w:start w:val="1"/>
      <w:numFmt w:val="decimal"/>
      <w:lvlText w:val="A.3.%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7" w15:restartNumberingAfterBreak="0">
    <w:nsid w:val="19C960FD"/>
    <w:multiLevelType w:val="multilevel"/>
    <w:tmpl w:val="4D9CCDFA"/>
    <w:name w:val="OneLevelNumberedParagraphList"/>
    <w:lvl w:ilvl="0">
      <w:start w:val="1"/>
      <w:numFmt w:val="decimal"/>
      <w:lvlRestart w:val="0"/>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8" w15:restartNumberingAfterBreak="0">
    <w:nsid w:val="1B0678B1"/>
    <w:multiLevelType w:val="hybridMultilevel"/>
    <w:tmpl w:val="BC5C9FA2"/>
    <w:name w:val="StandardNumberedList2224222222232222"/>
    <w:lvl w:ilvl="0" w:tplc="B3B8385A">
      <w:start w:val="1"/>
      <w:numFmt w:val="decimal"/>
      <w:lvlText w:val="4.5.%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9" w15:restartNumberingAfterBreak="0">
    <w:nsid w:val="1D021A93"/>
    <w:multiLevelType w:val="hybridMultilevel"/>
    <w:tmpl w:val="5AFAA8B0"/>
    <w:lvl w:ilvl="0" w:tplc="C39CAE06">
      <w:start w:val="1"/>
      <w:numFmt w:val="decimal"/>
      <w:lvlText w:val="3.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D557711"/>
    <w:multiLevelType w:val="hybridMultilevel"/>
    <w:tmpl w:val="34DC24B8"/>
    <w:lvl w:ilvl="0" w:tplc="5DB8F6F6">
      <w:start w:val="1"/>
      <w:numFmt w:val="decimal"/>
      <w:lvlText w:val="3.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F0362CA"/>
    <w:multiLevelType w:val="hybridMultilevel"/>
    <w:tmpl w:val="47B686B0"/>
    <w:name w:val="StandardNumberedList2222"/>
    <w:lvl w:ilvl="0" w:tplc="D6261A5A">
      <w:start w:val="1"/>
      <w:numFmt w:val="decimal"/>
      <w:pStyle w:val="OutlineNumbered46"/>
      <w:lvlText w:val="4.6.%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pStyle w:val="OutlineNumbered46"/>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FDD0F5A"/>
    <w:multiLevelType w:val="singleLevel"/>
    <w:tmpl w:val="6F14EA2A"/>
    <w:name w:val="StandardNumberedParagraphList"/>
    <w:lvl w:ilvl="0">
      <w:start w:val="2"/>
      <w:numFmt w:val="decimal"/>
      <w:lvlText w:val="%1"/>
      <w:lvlJc w:val="left"/>
      <w:pPr>
        <w:tabs>
          <w:tab w:val="num" w:pos="850"/>
        </w:tabs>
        <w:ind w:left="850" w:hanging="850"/>
      </w:pPr>
    </w:lvl>
  </w:abstractNum>
  <w:abstractNum w:abstractNumId="23" w15:restartNumberingAfterBreak="0">
    <w:nsid w:val="23C201DF"/>
    <w:multiLevelType w:val="hybridMultilevel"/>
    <w:tmpl w:val="CE263AFC"/>
    <w:lvl w:ilvl="0" w:tplc="69A44884">
      <w:start w:val="1"/>
      <w:numFmt w:val="decimal"/>
      <w:pStyle w:val="OutlineNumbered373"/>
      <w:lvlText w:val="3.7.3.%1."/>
      <w:lvlJc w:val="left"/>
      <w:pPr>
        <w:ind w:left="2138" w:hanging="360"/>
      </w:pPr>
      <w:rPr>
        <w:rFonts w:hint="default"/>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4" w15:restartNumberingAfterBreak="0">
    <w:nsid w:val="23F52004"/>
    <w:multiLevelType w:val="hybridMultilevel"/>
    <w:tmpl w:val="6EB0D1E0"/>
    <w:lvl w:ilvl="0" w:tplc="A112ADA6">
      <w:start w:val="1"/>
      <w:numFmt w:val="decimal"/>
      <w:lvlText w:val="3.%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4BE4696"/>
    <w:multiLevelType w:val="hybridMultilevel"/>
    <w:tmpl w:val="71A06AA0"/>
    <w:name w:val="StandardNumberedList3"/>
    <w:lvl w:ilvl="0" w:tplc="1646FFB0">
      <w:start w:val="1"/>
      <w:numFmt w:val="decimal"/>
      <w:lvlText w:val="A.2.%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6" w15:restartNumberingAfterBreak="0">
    <w:nsid w:val="27440C8B"/>
    <w:multiLevelType w:val="multilevel"/>
    <w:tmpl w:val="D0222E32"/>
    <w:name w:val="StandardBulletedList_"/>
    <w:lvl w:ilvl="0">
      <w:start w:val="1"/>
      <w:numFmt w:val="bullet"/>
      <w:lvlRestart w:val="0"/>
      <w:lvlText w:val="•"/>
      <w:lvlJc w:val="left"/>
      <w:pPr>
        <w:tabs>
          <w:tab w:val="num" w:pos="992"/>
        </w:tabs>
        <w:ind w:left="992" w:hanging="283"/>
      </w:pPr>
      <w:rPr>
        <w:rFonts w:ascii="Times New Roman" w:hAnsi="Times New Roman" w:hint="default"/>
        <w:b w:val="0"/>
        <w:i w:val="0"/>
      </w:rPr>
    </w:lvl>
    <w:lvl w:ilvl="1">
      <w:start w:val="1"/>
      <w:numFmt w:val="bullet"/>
      <w:lvlText w:val="–"/>
      <w:lvlJc w:val="left"/>
      <w:pPr>
        <w:tabs>
          <w:tab w:val="num" w:pos="1276"/>
        </w:tabs>
        <w:ind w:left="1276" w:hanging="284"/>
      </w:pPr>
      <w:rPr>
        <w:rFonts w:ascii="Times New Roman" w:hAnsi="Times New Roman" w:cs="Times New Roman"/>
        <w:b w:val="0"/>
        <w:i w:val="0"/>
      </w:rPr>
    </w:lvl>
    <w:lvl w:ilvl="2">
      <w:start w:val="1"/>
      <w:numFmt w:val="bullet"/>
      <w:lvlText w:val=":"/>
      <w:lvlJc w:val="left"/>
      <w:pPr>
        <w:tabs>
          <w:tab w:val="num" w:pos="1559"/>
        </w:tabs>
        <w:ind w:left="1559"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7" w15:restartNumberingAfterBreak="0">
    <w:nsid w:val="28255C9E"/>
    <w:multiLevelType w:val="hybridMultilevel"/>
    <w:tmpl w:val="E7A2B188"/>
    <w:name w:val="StandardNumberedList22232222"/>
    <w:lvl w:ilvl="0" w:tplc="B914E236">
      <w:start w:val="1"/>
      <w:numFmt w:val="decimal"/>
      <w:lvlText w:val="3.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9C35A5A"/>
    <w:multiLevelType w:val="hybridMultilevel"/>
    <w:tmpl w:val="CF2C7F3C"/>
    <w:name w:val="StandardNumberedList22242222222322"/>
    <w:lvl w:ilvl="0" w:tplc="1174CC82">
      <w:start w:val="1"/>
      <w:numFmt w:val="decimal"/>
      <w:lvlText w:val="4.2.%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9" w15:restartNumberingAfterBreak="0">
    <w:nsid w:val="2BBD1E40"/>
    <w:multiLevelType w:val="multilevel"/>
    <w:tmpl w:val="F2843F60"/>
    <w:name w:val="AppendixNumberedParagraphList"/>
    <w:lvl w:ilvl="0">
      <w:start w:val="1"/>
      <w:numFmt w:val="decimal"/>
      <w:lvlRestart w:val="0"/>
      <w:pStyle w:val="AppendixHeading"/>
      <w:lvlText w:val=""/>
      <w:lvlJc w:val="left"/>
      <w:pPr>
        <w:tabs>
          <w:tab w:val="num" w:pos="0"/>
        </w:tabs>
        <w:ind w:left="0" w:firstLine="0"/>
      </w:pPr>
      <w:rPr>
        <w:b w:val="0"/>
        <w:i w:val="0"/>
        <w:color w:val="000000"/>
      </w:rPr>
    </w:lvl>
    <w:lvl w:ilvl="1">
      <w:start w:val="1"/>
      <w:numFmt w:val="decimal"/>
      <w:pStyle w:val="AppendixParagraph"/>
      <w:lvlText w:val="A.%1.%2"/>
      <w:lvlJc w:val="left"/>
      <w:pPr>
        <w:tabs>
          <w:tab w:val="num" w:pos="709"/>
        </w:tabs>
        <w:ind w:left="0" w:firstLine="0"/>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0" w15:restartNumberingAfterBreak="0">
    <w:nsid w:val="2D665DFA"/>
    <w:multiLevelType w:val="singleLevel"/>
    <w:tmpl w:val="66ECCB6A"/>
    <w:name w:val="OneLevelAlphaParagraphList"/>
    <w:lvl w:ilvl="0">
      <w:start w:val="1"/>
      <w:numFmt w:val="lowerLetter"/>
      <w:lvlRestart w:val="0"/>
      <w:lvlText w:val="(%1)"/>
      <w:lvlJc w:val="left"/>
      <w:pPr>
        <w:tabs>
          <w:tab w:val="num" w:pos="567"/>
        </w:tabs>
        <w:ind w:left="567" w:hanging="567"/>
      </w:pPr>
      <w:rPr>
        <w:rFonts w:ascii="Univers 55" w:hAnsi="Univers 55"/>
        <w:b w:val="0"/>
        <w:i w:val="0"/>
        <w:sz w:val="20"/>
      </w:rPr>
    </w:lvl>
  </w:abstractNum>
  <w:abstractNum w:abstractNumId="31" w15:restartNumberingAfterBreak="0">
    <w:nsid w:val="2DB37484"/>
    <w:multiLevelType w:val="hybridMultilevel"/>
    <w:tmpl w:val="6EB0D1E0"/>
    <w:name w:val="StandardNumberedList2224222"/>
    <w:lvl w:ilvl="0" w:tplc="A112ADA6">
      <w:start w:val="1"/>
      <w:numFmt w:val="decimal"/>
      <w:lvlText w:val="3.%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20C28B1"/>
    <w:multiLevelType w:val="multilevel"/>
    <w:tmpl w:val="D1EE12A0"/>
    <w:styleLink w:val="Style1"/>
    <w:lvl w:ilvl="0">
      <w:start w:val="1"/>
      <w:numFmt w:val="decimal"/>
      <w:lvlText w:val="%1"/>
      <w:lvlJc w:val="left"/>
      <w:pPr>
        <w:tabs>
          <w:tab w:val="num" w:pos="850"/>
        </w:tabs>
        <w:ind w:left="850" w:hanging="850"/>
      </w:pPr>
      <w:rPr>
        <w:rFonts w:ascii="Arial" w:hAnsi="Arial" w:hint="default"/>
        <w:b/>
        <w:i w:val="0"/>
        <w:sz w:val="28"/>
        <w:szCs w:val="28"/>
      </w:rPr>
    </w:lvl>
    <w:lvl w:ilvl="1">
      <w:start w:val="1"/>
      <w:numFmt w:val="decimal"/>
      <w:lvlText w:val="%1.%2"/>
      <w:lvlJc w:val="left"/>
      <w:pPr>
        <w:tabs>
          <w:tab w:val="num" w:pos="850"/>
        </w:tabs>
        <w:ind w:left="850" w:hanging="850"/>
      </w:pPr>
      <w:rPr>
        <w:rFonts w:ascii="Univers 55" w:hAnsi="Univers 55" w:hint="default"/>
        <w:b/>
        <w:i/>
        <w:sz w:val="24"/>
        <w:szCs w:val="24"/>
      </w:rPr>
    </w:lvl>
    <w:lvl w:ilvl="2">
      <w:start w:val="1"/>
      <w:numFmt w:val="decimal"/>
      <w:lvlText w:val="%1.%3"/>
      <w:lvlJc w:val="left"/>
      <w:pPr>
        <w:tabs>
          <w:tab w:val="num" w:pos="850"/>
        </w:tabs>
        <w:ind w:left="850" w:hanging="850"/>
      </w:pPr>
      <w:rPr>
        <w:rFonts w:ascii="Univers 55" w:hAnsi="Univers 55" w:hint="default"/>
        <w:b w:val="0"/>
        <w:i w:val="0"/>
        <w:sz w:val="22"/>
        <w:szCs w:val="22"/>
      </w:rPr>
    </w:lvl>
    <w:lvl w:ilvl="3">
      <w:start w:val="1"/>
      <w:numFmt w:val="decimal"/>
      <w:lvlText w:val="%1.%2.%4"/>
      <w:lvlJc w:val="left"/>
      <w:pPr>
        <w:tabs>
          <w:tab w:val="num" w:pos="850"/>
        </w:tabs>
        <w:ind w:left="850" w:hanging="850"/>
      </w:pPr>
      <w:rPr>
        <w:rFonts w:ascii="Univers 55" w:hAnsi="Univers 55" w:hint="default"/>
        <w:b w:val="0"/>
        <w:i w:val="0"/>
        <w:sz w:val="22"/>
        <w:szCs w:val="22"/>
      </w:rPr>
    </w:lvl>
    <w:lvl w:ilvl="4">
      <w:start w:val="1"/>
      <w:numFmt w:val="bullet"/>
      <w:lvlText w:val=""/>
      <w:lvlJc w:val="left"/>
      <w:pPr>
        <w:tabs>
          <w:tab w:val="num" w:pos="1418"/>
        </w:tabs>
        <w:ind w:left="1418" w:hanging="567"/>
      </w:pPr>
      <w:rPr>
        <w:rFonts w:ascii="Symbol" w:hAnsi="Symbol" w:hint="default"/>
        <w:sz w:val="28"/>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32326845"/>
    <w:multiLevelType w:val="hybridMultilevel"/>
    <w:tmpl w:val="F65CABB2"/>
    <w:name w:val="StandardNumberedList22232"/>
    <w:lvl w:ilvl="0" w:tplc="14B235E4">
      <w:start w:val="1"/>
      <w:numFmt w:val="decimal"/>
      <w:lvlText w:val="3.2.%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45B506C"/>
    <w:multiLevelType w:val="hybridMultilevel"/>
    <w:tmpl w:val="EA30C050"/>
    <w:name w:val="StandardNumberedList222322222222"/>
    <w:lvl w:ilvl="0" w:tplc="F8D0CFDA">
      <w:start w:val="1"/>
      <w:numFmt w:val="decimal"/>
      <w:lvlText w:val="1.1.%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61C063C"/>
    <w:multiLevelType w:val="hybridMultilevel"/>
    <w:tmpl w:val="81CA99F8"/>
    <w:name w:val="StandardNumberedList2"/>
    <w:lvl w:ilvl="0" w:tplc="45A42832">
      <w:start w:val="1"/>
      <w:numFmt w:val="decimal"/>
      <w:pStyle w:val="OutlineNumbered43"/>
      <w:lvlText w:val="4.3.%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6CB4923"/>
    <w:multiLevelType w:val="hybridMultilevel"/>
    <w:tmpl w:val="069277CC"/>
    <w:name w:val="StandardNumberedList22"/>
    <w:lvl w:ilvl="0" w:tplc="F38A94A8">
      <w:start w:val="1"/>
      <w:numFmt w:val="decimal"/>
      <w:pStyle w:val="OutlineNumbered44"/>
      <w:lvlText w:val="4.4.%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74337ED"/>
    <w:multiLevelType w:val="hybridMultilevel"/>
    <w:tmpl w:val="74DEDB3C"/>
    <w:name w:val="StandardNumberedList22242"/>
    <w:lvl w:ilvl="0" w:tplc="E5104D66">
      <w:start w:val="1"/>
      <w:numFmt w:val="decimal"/>
      <w:lvlText w:val="2.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4484645"/>
    <w:multiLevelType w:val="hybridMultilevel"/>
    <w:tmpl w:val="EECCCCC6"/>
    <w:name w:val="StandardNumberedList222322222223"/>
    <w:lvl w:ilvl="0" w:tplc="C15A1826">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69327CA"/>
    <w:multiLevelType w:val="hybridMultilevel"/>
    <w:tmpl w:val="D2161BFC"/>
    <w:name w:val="StandardNumberedList2223222222222"/>
    <w:lvl w:ilvl="0" w:tplc="C15A1826">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77E5F4D"/>
    <w:multiLevelType w:val="multilevel"/>
    <w:tmpl w:val="A3CEC064"/>
    <w:styleLink w:val="Numbers"/>
    <w:lvl w:ilvl="0">
      <w:start w:val="1"/>
      <w:numFmt w:val="decimal"/>
      <w:lvlRestart w:val="0"/>
      <w:lvlText w:val="%1."/>
      <w:lvlJc w:val="left"/>
      <w:pPr>
        <w:tabs>
          <w:tab w:val="num" w:pos="709"/>
        </w:tabs>
        <w:ind w:left="0" w:firstLine="0"/>
      </w:pPr>
      <w:rPr>
        <w:rFonts w:ascii="Arial" w:hAnsi="Arial" w:cs="Arial" w:hint="default"/>
        <w:b/>
        <w:i w:val="0"/>
      </w:rPr>
    </w:lvl>
    <w:lvl w:ilvl="1">
      <w:start w:val="1"/>
      <w:numFmt w:val="decimal"/>
      <w:lvlText w:val="%1.%2"/>
      <w:lvlJc w:val="left"/>
      <w:pPr>
        <w:tabs>
          <w:tab w:val="num" w:pos="709"/>
        </w:tabs>
        <w:ind w:left="0" w:firstLine="0"/>
      </w:pPr>
      <w:rPr>
        <w:rFonts w:ascii="Univers 55" w:hAnsi="Univers 55" w:hint="default"/>
        <w:b w:val="0"/>
        <w:i w:val="0"/>
      </w:rPr>
    </w:lvl>
    <w:lvl w:ilvl="2">
      <w:start w:val="1"/>
      <w:numFmt w:val="decimal"/>
      <w:lvlRestart w:val="1"/>
      <w:lvlText w:val="%1.%3"/>
      <w:lvlJc w:val="left"/>
      <w:pPr>
        <w:tabs>
          <w:tab w:val="num" w:pos="709"/>
        </w:tabs>
        <w:ind w:left="0" w:firstLine="0"/>
      </w:pPr>
      <w:rPr>
        <w:rFonts w:ascii="Arial" w:hAnsi="Arial" w:cs="Arial" w:hint="default"/>
        <w:b/>
        <w:i w:val="0"/>
      </w:rPr>
    </w:lvl>
    <w:lvl w:ilvl="3">
      <w:start w:val="1"/>
      <w:numFmt w:val="decimal"/>
      <w:lvlText w:val="%1.%2.%4"/>
      <w:lvlJc w:val="left"/>
      <w:pPr>
        <w:ind w:left="0" w:firstLine="0"/>
      </w:pPr>
      <w:rPr>
        <w:rFonts w:ascii="Univers 55" w:hAnsi="Univers 55"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1" w15:restartNumberingAfterBreak="0">
    <w:nsid w:val="48343405"/>
    <w:multiLevelType w:val="multilevel"/>
    <w:tmpl w:val="DF9E6994"/>
    <w:lvl w:ilvl="0">
      <w:start w:val="1"/>
      <w:numFmt w:val="decimal"/>
      <w:pStyle w:val="Clearformatting"/>
      <w:lvlText w:val="%1"/>
      <w:lvlJc w:val="left"/>
      <w:pPr>
        <w:ind w:left="574" w:hanging="432"/>
      </w:pPr>
    </w:lvl>
    <w:lvl w:ilvl="1">
      <w:start w:val="1"/>
      <w:numFmt w:val="decimal"/>
      <w:pStyle w:val="Clearformatting"/>
      <w:lvlText w:val="%1.%2"/>
      <w:lvlJc w:val="left"/>
      <w:pPr>
        <w:ind w:left="576" w:hanging="576"/>
      </w:pPr>
    </w:lvl>
    <w:lvl w:ilvl="2">
      <w:start w:val="1"/>
      <w:numFmt w:val="decimal"/>
      <w:lvlText w:val="%1.%2.%3"/>
      <w:lvlJc w:val="left"/>
      <w:pPr>
        <w:ind w:left="483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4A2833B4"/>
    <w:multiLevelType w:val="hybridMultilevel"/>
    <w:tmpl w:val="80C0A812"/>
    <w:name w:val="StandardNumberedList2223"/>
    <w:lvl w:ilvl="0" w:tplc="51209A28">
      <w:start w:val="1"/>
      <w:numFmt w:val="decimal"/>
      <w:lvlText w:val="3.1.%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3" w15:restartNumberingAfterBreak="0">
    <w:nsid w:val="4AAB5470"/>
    <w:multiLevelType w:val="multilevel"/>
    <w:tmpl w:val="70E46C8A"/>
    <w:lvl w:ilvl="0">
      <w:start w:val="1"/>
      <w:numFmt w:val="bullet"/>
      <w:pStyle w:val="ListBullet"/>
      <w:lvlText w:val=""/>
      <w:lvlJc w:val="left"/>
      <w:pPr>
        <w:tabs>
          <w:tab w:val="num" w:pos="284"/>
        </w:tabs>
        <w:ind w:left="284" w:hanging="284"/>
      </w:pPr>
      <w:rPr>
        <w:rFonts w:ascii="Symbol" w:hAnsi="Symbol" w:hint="default"/>
        <w:b w:val="0"/>
        <w:i w:val="0"/>
        <w:color w:val="auto"/>
      </w:rPr>
    </w:lvl>
    <w:lvl w:ilvl="1">
      <w:start w:val="1"/>
      <w:numFmt w:val="bullet"/>
      <w:lvlText w:val="–"/>
      <w:lvlJc w:val="left"/>
      <w:pPr>
        <w:tabs>
          <w:tab w:val="num" w:pos="567"/>
        </w:tabs>
        <w:ind w:left="568" w:hanging="284"/>
      </w:pPr>
      <w:rPr>
        <w:rFonts w:ascii="Arial" w:hAnsi="Arial" w:cs="Times New Roman" w:hint="default"/>
        <w:b w:val="0"/>
        <w:i w:val="0"/>
        <w:color w:val="auto"/>
      </w:rPr>
    </w:lvl>
    <w:lvl w:ilvl="2">
      <w:start w:val="1"/>
      <w:numFmt w:val="bullet"/>
      <w:lvlText w:val="◦"/>
      <w:lvlJc w:val="left"/>
      <w:pPr>
        <w:tabs>
          <w:tab w:val="num" w:pos="851"/>
        </w:tabs>
        <w:ind w:left="852" w:hanging="284"/>
      </w:pPr>
      <w:rPr>
        <w:rFonts w:ascii="Georgia" w:hAnsi="Georgia" w:hint="default"/>
        <w:b w:val="0"/>
        <w:i w:val="0"/>
        <w:color w:val="auto"/>
        <w:sz w:val="18"/>
        <w:szCs w:val="10"/>
      </w:rPr>
    </w:lvl>
    <w:lvl w:ilvl="3">
      <w:start w:val="1"/>
      <w:numFmt w:val="bullet"/>
      <w:lvlText w:val=""/>
      <w:lvlJc w:val="left"/>
      <w:pPr>
        <w:tabs>
          <w:tab w:val="num" w:pos="1134"/>
        </w:tabs>
        <w:ind w:left="1136" w:hanging="284"/>
      </w:pPr>
      <w:rPr>
        <w:rFonts w:ascii="Symbol" w:hAnsi="Symbol" w:hint="default"/>
        <w:b w:val="0"/>
        <w:i w:val="0"/>
        <w:color w:val="auto"/>
        <w:sz w:val="20"/>
        <w:szCs w:val="10"/>
      </w:rPr>
    </w:lvl>
    <w:lvl w:ilvl="4">
      <w:start w:val="1"/>
      <w:numFmt w:val="bullet"/>
      <w:pStyle w:val="ListBullet5"/>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lvl>
    <w:lvl w:ilvl="6">
      <w:start w:val="1"/>
      <w:numFmt w:val="decimal"/>
      <w:lvlText w:val="%7"/>
      <w:lvlJc w:val="left"/>
      <w:pPr>
        <w:tabs>
          <w:tab w:val="num" w:pos="1985"/>
        </w:tabs>
        <w:ind w:left="1985" w:hanging="964"/>
      </w:pPr>
    </w:lvl>
    <w:lvl w:ilvl="7">
      <w:start w:val="1"/>
      <w:numFmt w:val="lowerLetter"/>
      <w:lvlText w:val="%8"/>
      <w:lvlJc w:val="left"/>
      <w:pPr>
        <w:tabs>
          <w:tab w:val="num" w:pos="2268"/>
        </w:tabs>
        <w:ind w:left="2211" w:hanging="226"/>
      </w:pPr>
    </w:lvl>
    <w:lvl w:ilvl="8">
      <w:start w:val="1"/>
      <w:numFmt w:val="lowerRoman"/>
      <w:lvlText w:val="%9"/>
      <w:lvlJc w:val="left"/>
      <w:pPr>
        <w:tabs>
          <w:tab w:val="num" w:pos="2552"/>
        </w:tabs>
        <w:ind w:left="2552" w:hanging="284"/>
      </w:pPr>
    </w:lvl>
  </w:abstractNum>
  <w:abstractNum w:abstractNumId="44" w15:restartNumberingAfterBreak="0">
    <w:nsid w:val="4C2A30AF"/>
    <w:multiLevelType w:val="hybridMultilevel"/>
    <w:tmpl w:val="BC78FFA8"/>
    <w:name w:val="StandardNumberedList2223222222"/>
    <w:lvl w:ilvl="0" w:tplc="053C4940">
      <w:start w:val="1"/>
      <w:numFmt w:val="decimal"/>
      <w:lvlText w:val="3.5.%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CE06931"/>
    <w:multiLevelType w:val="singleLevel"/>
    <w:tmpl w:val="47B08EB8"/>
    <w:name w:val="StandardNumberedList2222"/>
    <w:lvl w:ilvl="0">
      <w:start w:val="1"/>
      <w:numFmt w:val="lowerLetter"/>
      <w:lvlText w:val="(%1)"/>
      <w:lvlJc w:val="left"/>
      <w:pPr>
        <w:ind w:left="360" w:hanging="360"/>
      </w:pPr>
      <w:rPr>
        <w:rFonts w:hint="default"/>
        <w:b w:val="0"/>
        <w:i w:val="0"/>
        <w:sz w:val="16"/>
      </w:rPr>
    </w:lvl>
  </w:abstractNum>
  <w:abstractNum w:abstractNumId="46" w15:restartNumberingAfterBreak="0">
    <w:nsid w:val="504C3E6C"/>
    <w:multiLevelType w:val="multilevel"/>
    <w:tmpl w:val="9078E2FE"/>
    <w:lvl w:ilvl="0">
      <w:start w:val="1"/>
      <w:numFmt w:val="decimal"/>
      <w:pStyle w:val="Heading2ExecutiveSummary"/>
      <w:suff w:val="nothing"/>
      <w:lvlText w:val="%1"/>
      <w:lvlJc w:val="left"/>
      <w:pPr>
        <w:ind w:left="0" w:firstLine="0"/>
      </w:pPr>
    </w:lvl>
    <w:lvl w:ilvl="1">
      <w:start w:val="1"/>
      <w:numFmt w:val="decimal"/>
      <w:pStyle w:val="Heading2ExecutiveSummary"/>
      <w:lvlText w:val="%2."/>
      <w:lvlJc w:val="left"/>
      <w:pPr>
        <w:tabs>
          <w:tab w:val="num" w:pos="851"/>
        </w:tabs>
        <w:ind w:left="851" w:hanging="851"/>
      </w:pPr>
    </w:lvl>
    <w:lvl w:ilvl="2">
      <w:start w:val="1"/>
      <w:numFmt w:val="decimal"/>
      <w:lvlText w:val="%2.%3"/>
      <w:lvlJc w:val="left"/>
      <w:pPr>
        <w:tabs>
          <w:tab w:val="num" w:pos="850"/>
        </w:tabs>
        <w:ind w:left="850" w:hanging="850"/>
      </w:pPr>
    </w:lvl>
    <w:lvl w:ilvl="3">
      <w:start w:val="1"/>
      <w:numFmt w:val="decimal"/>
      <w:lvlText w:val="%2.%3.%4"/>
      <w:lvlJc w:val="left"/>
      <w:pPr>
        <w:tabs>
          <w:tab w:val="num" w:pos="850"/>
        </w:tabs>
        <w:ind w:left="850" w:hanging="850"/>
      </w:pPr>
    </w:lvl>
    <w:lvl w:ilvl="4">
      <w:start w:val="1"/>
      <w:numFmt w:val="upperLetter"/>
      <w:lvlRestart w:val="0"/>
      <w:lvlText w:val="Appendix %5"/>
      <w:lvlJc w:val="left"/>
      <w:pPr>
        <w:tabs>
          <w:tab w:val="num" w:pos="3685"/>
        </w:tabs>
        <w:ind w:left="0" w:firstLine="0"/>
      </w:pPr>
    </w:lvl>
    <w:lvl w:ilvl="5">
      <w:start w:val="1"/>
      <w:numFmt w:val="upperLetter"/>
      <w:lvlRestart w:val="0"/>
      <w:suff w:val="nothing"/>
      <w:lvlText w:val="Appendix %6"/>
      <w:lvlJc w:val="left"/>
      <w:pPr>
        <w:ind w:left="0" w:firstLine="0"/>
      </w:pPr>
    </w:lvl>
    <w:lvl w:ilvl="6">
      <w:start w:val="1"/>
      <w:numFmt w:val="decimal"/>
      <w:lvlText w:val="%7"/>
      <w:lvlJc w:val="left"/>
      <w:pPr>
        <w:tabs>
          <w:tab w:val="num" w:pos="567"/>
        </w:tabs>
        <w:ind w:left="567" w:hanging="567"/>
      </w:pPr>
      <w:rPr>
        <w:b/>
        <w:i/>
      </w:rPr>
    </w:lvl>
    <w:lvl w:ilvl="7">
      <w:start w:val="1"/>
      <w:numFmt w:val="decimal"/>
      <w:lvlText w:val="%8"/>
      <w:lvlJc w:val="left"/>
      <w:pPr>
        <w:tabs>
          <w:tab w:val="num" w:pos="567"/>
        </w:tabs>
        <w:ind w:left="567" w:hanging="567"/>
      </w:pPr>
      <w:rPr>
        <w:b w:val="0"/>
        <w:i w:val="0"/>
        <w:color w:val="auto"/>
      </w:rPr>
    </w:lvl>
    <w:lvl w:ilvl="8">
      <w:start w:val="1"/>
      <w:numFmt w:val="lowerLetter"/>
      <w:lvlText w:val="%9"/>
      <w:lvlJc w:val="left"/>
      <w:pPr>
        <w:tabs>
          <w:tab w:val="num" w:pos="1134"/>
        </w:tabs>
        <w:ind w:left="1134" w:hanging="567"/>
      </w:pPr>
      <w:rPr>
        <w:b w:val="0"/>
        <w:i w:val="0"/>
        <w:color w:val="auto"/>
      </w:rPr>
    </w:lvl>
  </w:abstractNum>
  <w:abstractNum w:abstractNumId="47" w15:restartNumberingAfterBreak="0">
    <w:nsid w:val="504D7167"/>
    <w:multiLevelType w:val="multilevel"/>
    <w:tmpl w:val="21622140"/>
    <w:name w:val="AGAReportBulletedList"/>
    <w:lvl w:ilvl="0">
      <w:start w:val="1"/>
      <w:numFmt w:val="bullet"/>
      <w:lvlText w:val="•"/>
      <w:lvlJc w:val="left"/>
      <w:pPr>
        <w:tabs>
          <w:tab w:val="num" w:pos="11"/>
        </w:tabs>
        <w:ind w:left="11" w:hanging="567"/>
      </w:pPr>
      <w:rPr>
        <w:rFonts w:hint="default"/>
      </w:rPr>
    </w:lvl>
    <w:lvl w:ilvl="1">
      <w:start w:val="1"/>
      <w:numFmt w:val="bullet"/>
      <w:lvlText w:val="–"/>
      <w:lvlJc w:val="left"/>
      <w:pPr>
        <w:tabs>
          <w:tab w:val="num" w:pos="578"/>
        </w:tabs>
        <w:ind w:left="578" w:hanging="567"/>
      </w:pPr>
      <w:rPr>
        <w:rFonts w:hint="default"/>
      </w:rPr>
    </w:lvl>
    <w:lvl w:ilvl="2">
      <w:start w:val="1"/>
      <w:numFmt w:val="bullet"/>
      <w:lvlText w:val=":"/>
      <w:lvlJc w:val="left"/>
      <w:pPr>
        <w:tabs>
          <w:tab w:val="num" w:pos="1145"/>
        </w:tabs>
        <w:ind w:left="1145" w:hanging="567"/>
      </w:pPr>
      <w:rPr>
        <w:rFonts w:hint="default"/>
      </w:rPr>
    </w:lvl>
    <w:lvl w:ilvl="3">
      <w:start w:val="1"/>
      <w:numFmt w:val="lowerRoman"/>
      <w:lvlText w:val="(%4)"/>
      <w:lvlJc w:val="right"/>
      <w:pPr>
        <w:tabs>
          <w:tab w:val="num" w:pos="-543"/>
        </w:tabs>
        <w:ind w:left="-543" w:hanging="144"/>
      </w:pPr>
      <w:rPr>
        <w:rFonts w:hint="default"/>
      </w:rPr>
    </w:lvl>
    <w:lvl w:ilvl="4">
      <w:start w:val="1"/>
      <w:numFmt w:val="decimal"/>
      <w:lvlText w:val="%5)"/>
      <w:lvlJc w:val="left"/>
      <w:pPr>
        <w:tabs>
          <w:tab w:val="num" w:pos="-399"/>
        </w:tabs>
        <w:ind w:left="-399" w:hanging="432"/>
      </w:pPr>
      <w:rPr>
        <w:rFonts w:hint="default"/>
      </w:rPr>
    </w:lvl>
    <w:lvl w:ilvl="5">
      <w:start w:val="1"/>
      <w:numFmt w:val="lowerLetter"/>
      <w:lvlText w:val="%6)"/>
      <w:lvlJc w:val="left"/>
      <w:pPr>
        <w:tabs>
          <w:tab w:val="num" w:pos="-255"/>
        </w:tabs>
        <w:ind w:left="-255" w:hanging="432"/>
      </w:pPr>
      <w:rPr>
        <w:rFonts w:hint="default"/>
      </w:rPr>
    </w:lvl>
    <w:lvl w:ilvl="6">
      <w:start w:val="1"/>
      <w:numFmt w:val="lowerRoman"/>
      <w:lvlText w:val="%7)"/>
      <w:lvlJc w:val="right"/>
      <w:pPr>
        <w:tabs>
          <w:tab w:val="num" w:pos="-111"/>
        </w:tabs>
        <w:ind w:left="-111" w:hanging="288"/>
      </w:pPr>
      <w:rPr>
        <w:rFonts w:hint="default"/>
      </w:rPr>
    </w:lvl>
    <w:lvl w:ilvl="7">
      <w:start w:val="1"/>
      <w:numFmt w:val="lowerLetter"/>
      <w:lvlText w:val="%8."/>
      <w:lvlJc w:val="left"/>
      <w:pPr>
        <w:tabs>
          <w:tab w:val="num" w:pos="33"/>
        </w:tabs>
        <w:ind w:left="33" w:hanging="432"/>
      </w:pPr>
      <w:rPr>
        <w:rFonts w:hint="default"/>
      </w:rPr>
    </w:lvl>
    <w:lvl w:ilvl="8">
      <w:start w:val="1"/>
      <w:numFmt w:val="lowerRoman"/>
      <w:lvlText w:val="%9."/>
      <w:lvlJc w:val="right"/>
      <w:pPr>
        <w:tabs>
          <w:tab w:val="num" w:pos="177"/>
        </w:tabs>
        <w:ind w:left="177" w:hanging="144"/>
      </w:pPr>
      <w:rPr>
        <w:rFonts w:hint="default"/>
      </w:rPr>
    </w:lvl>
  </w:abstractNum>
  <w:abstractNum w:abstractNumId="48" w15:restartNumberingAfterBreak="0">
    <w:nsid w:val="50B73621"/>
    <w:multiLevelType w:val="hybridMultilevel"/>
    <w:tmpl w:val="F46C9D74"/>
    <w:name w:val="StandardNumberedList2223222223"/>
    <w:lvl w:ilvl="0" w:tplc="6D64337E">
      <w:start w:val="1"/>
      <w:numFmt w:val="decimal"/>
      <w:lvlText w:val="3.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4F449D5"/>
    <w:multiLevelType w:val="hybridMultilevel"/>
    <w:tmpl w:val="21343252"/>
    <w:lvl w:ilvl="0" w:tplc="D9A8B0B2">
      <w:start w:val="1"/>
      <w:numFmt w:val="decimal"/>
      <w:pStyle w:val="OutlineNumbered372"/>
      <w:lvlText w:val="3.7.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6374BEB"/>
    <w:multiLevelType w:val="multilevel"/>
    <w:tmpl w:val="C2A4B002"/>
    <w:styleLink w:val="Style2"/>
    <w:lvl w:ilvl="0">
      <w:start w:val="1"/>
      <w:numFmt w:val="decimal"/>
      <w:lvlText w:val="%1"/>
      <w:lvlJc w:val="left"/>
      <w:pPr>
        <w:tabs>
          <w:tab w:val="num" w:pos="850"/>
        </w:tabs>
        <w:ind w:left="850" w:hanging="850"/>
      </w:pPr>
      <w:rPr>
        <w:rFonts w:ascii="Arial" w:hAnsi="Arial" w:cs="Arial" w:hint="default"/>
        <w:b/>
        <w:i w:val="0"/>
        <w:sz w:val="28"/>
        <w:szCs w:val="28"/>
      </w:rPr>
    </w:lvl>
    <w:lvl w:ilvl="1">
      <w:start w:val="1"/>
      <w:numFmt w:val="decimal"/>
      <w:lvlText w:val="%1.%2"/>
      <w:lvlJc w:val="left"/>
      <w:pPr>
        <w:tabs>
          <w:tab w:val="num" w:pos="850"/>
        </w:tabs>
        <w:ind w:left="850" w:hanging="850"/>
      </w:pPr>
      <w:rPr>
        <w:rFonts w:ascii="Arial" w:hAnsi="Arial" w:cs="Arial" w:hint="default"/>
        <w:b/>
        <w:i/>
        <w:sz w:val="24"/>
        <w:szCs w:val="24"/>
      </w:rPr>
    </w:lvl>
    <w:lvl w:ilvl="2">
      <w:start w:val="1"/>
      <w:numFmt w:val="decimal"/>
      <w:lvlText w:val="%1.%3"/>
      <w:lvlJc w:val="left"/>
      <w:pPr>
        <w:tabs>
          <w:tab w:val="num" w:pos="850"/>
        </w:tabs>
        <w:ind w:left="850" w:hanging="850"/>
      </w:pPr>
      <w:rPr>
        <w:rFonts w:ascii="Univers 55" w:hAnsi="Univers 55" w:hint="default"/>
        <w:b w:val="0"/>
        <w:i w:val="0"/>
        <w:sz w:val="22"/>
        <w:szCs w:val="22"/>
      </w:rPr>
    </w:lvl>
    <w:lvl w:ilvl="3">
      <w:start w:val="1"/>
      <w:numFmt w:val="decimal"/>
      <w:lvlText w:val="%1.%2.%4"/>
      <w:lvlJc w:val="left"/>
      <w:pPr>
        <w:tabs>
          <w:tab w:val="num" w:pos="850"/>
        </w:tabs>
        <w:ind w:left="850" w:hanging="850"/>
      </w:pPr>
      <w:rPr>
        <w:rFonts w:ascii="Arial" w:hAnsi="Arial" w:hint="default"/>
        <w:b w:val="0"/>
        <w:i w:val="0"/>
        <w:sz w:val="20"/>
        <w:szCs w:val="22"/>
      </w:rPr>
    </w:lvl>
    <w:lvl w:ilvl="4">
      <w:start w:val="1"/>
      <w:numFmt w:val="bullet"/>
      <w:lvlText w:val=""/>
      <w:lvlJc w:val="left"/>
      <w:pPr>
        <w:tabs>
          <w:tab w:val="num" w:pos="1418"/>
        </w:tabs>
        <w:ind w:left="1418" w:hanging="567"/>
      </w:pPr>
      <w:rPr>
        <w:rFonts w:ascii="Symbol" w:hAnsi="Symbol" w:hint="default"/>
        <w:sz w:val="28"/>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58101827"/>
    <w:multiLevelType w:val="multilevel"/>
    <w:tmpl w:val="072C6E52"/>
    <w:name w:val="BoxBulletedList"/>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52" w15:restartNumberingAfterBreak="0">
    <w:nsid w:val="59AF5D4D"/>
    <w:multiLevelType w:val="hybridMultilevel"/>
    <w:tmpl w:val="33F482EC"/>
    <w:name w:val="StandardNumberedList2223222"/>
    <w:lvl w:ilvl="0" w:tplc="B914E236">
      <w:start w:val="1"/>
      <w:numFmt w:val="decimal"/>
      <w:lvlText w:val="3.4.%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53" w15:restartNumberingAfterBreak="0">
    <w:nsid w:val="5E0A6F8D"/>
    <w:multiLevelType w:val="multilevel"/>
    <w:tmpl w:val="51941ED6"/>
    <w:name w:val="RecommendationBulletedList"/>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54" w15:restartNumberingAfterBreak="0">
    <w:nsid w:val="5F67342A"/>
    <w:multiLevelType w:val="hybridMultilevel"/>
    <w:tmpl w:val="B7D031EE"/>
    <w:name w:val="StandardNumberedList22242222"/>
    <w:lvl w:ilvl="0" w:tplc="C39CAE06">
      <w:start w:val="1"/>
      <w:numFmt w:val="decimal"/>
      <w:lvlText w:val="3.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26F0D43"/>
    <w:multiLevelType w:val="hybridMultilevel"/>
    <w:tmpl w:val="E54E6B80"/>
    <w:name w:val="StandardNumberedList2224"/>
    <w:lvl w:ilvl="0" w:tplc="0298DA28">
      <w:start w:val="1"/>
      <w:numFmt w:val="decimal"/>
      <w:lvlText w:val="2.1.%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3917BB9"/>
    <w:multiLevelType w:val="multilevel"/>
    <w:tmpl w:val="D286DFA4"/>
    <w:lvl w:ilvl="0">
      <w:start w:val="1"/>
      <w:numFmt w:val="none"/>
      <w:pStyle w:val="PwCNormal"/>
      <w:suff w:val="nothing"/>
      <w:lvlText w:val=""/>
      <w:lvlJc w:val="left"/>
      <w:pPr>
        <w:ind w:left="0" w:firstLine="0"/>
      </w:pPr>
      <w:rPr>
        <w:color w:val="auto"/>
      </w:rPr>
    </w:lvl>
    <w:lvl w:ilvl="1">
      <w:start w:val="1"/>
      <w:numFmt w:val="none"/>
      <w:pStyle w:val="Indent1"/>
      <w:suff w:val="nothing"/>
      <w:lvlText w:val=""/>
      <w:lvlJc w:val="left"/>
      <w:pPr>
        <w:ind w:left="284" w:firstLine="0"/>
      </w:pPr>
    </w:lvl>
    <w:lvl w:ilvl="2">
      <w:start w:val="1"/>
      <w:numFmt w:val="none"/>
      <w:pStyle w:val="Indent2"/>
      <w:suff w:val="nothing"/>
      <w:lvlText w:val=""/>
      <w:lvlJc w:val="left"/>
      <w:pPr>
        <w:ind w:left="568" w:firstLine="0"/>
      </w:pPr>
    </w:lvl>
    <w:lvl w:ilvl="3">
      <w:start w:val="1"/>
      <w:numFmt w:val="none"/>
      <w:pStyle w:val="Indent3"/>
      <w:suff w:val="nothing"/>
      <w:lvlText w:val=""/>
      <w:lvlJc w:val="left"/>
      <w:pPr>
        <w:ind w:left="852" w:firstLine="0"/>
      </w:pPr>
    </w:lvl>
    <w:lvl w:ilvl="4">
      <w:start w:val="1"/>
      <w:numFmt w:val="none"/>
      <w:pStyle w:val="Indent4"/>
      <w:suff w:val="nothing"/>
      <w:lvlText w:val=""/>
      <w:lvlJc w:val="left"/>
      <w:pPr>
        <w:ind w:left="1136" w:firstLine="0"/>
      </w:pPr>
    </w:lvl>
    <w:lvl w:ilvl="5">
      <w:start w:val="1"/>
      <w:numFmt w:val="none"/>
      <w:pStyle w:val="Indent5"/>
      <w:suff w:val="nothing"/>
      <w:lvlText w:val=""/>
      <w:lvlJc w:val="left"/>
      <w:pPr>
        <w:ind w:left="1420" w:firstLine="0"/>
      </w:pPr>
    </w:lvl>
    <w:lvl w:ilvl="6">
      <w:start w:val="1"/>
      <w:numFmt w:val="none"/>
      <w:pStyle w:val="Indent6"/>
      <w:suff w:val="nothing"/>
      <w:lvlText w:val=""/>
      <w:lvlJc w:val="left"/>
      <w:pPr>
        <w:ind w:left="1704" w:firstLine="0"/>
      </w:pPr>
    </w:lvl>
    <w:lvl w:ilvl="7">
      <w:start w:val="1"/>
      <w:numFmt w:val="none"/>
      <w:pStyle w:val="Indent7"/>
      <w:suff w:val="nothing"/>
      <w:lvlText w:val=""/>
      <w:lvlJc w:val="left"/>
      <w:pPr>
        <w:ind w:left="1988" w:firstLine="0"/>
      </w:pPr>
    </w:lvl>
    <w:lvl w:ilvl="8">
      <w:start w:val="1"/>
      <w:numFmt w:val="none"/>
      <w:pStyle w:val="Indent8"/>
      <w:suff w:val="nothing"/>
      <w:lvlText w:val=""/>
      <w:lvlJc w:val="left"/>
      <w:pPr>
        <w:ind w:left="2272" w:firstLine="0"/>
      </w:pPr>
    </w:lvl>
  </w:abstractNum>
  <w:abstractNum w:abstractNumId="57" w15:restartNumberingAfterBreak="0">
    <w:nsid w:val="65C87953"/>
    <w:multiLevelType w:val="hybridMultilevel"/>
    <w:tmpl w:val="70420896"/>
    <w:name w:val="StandardNumberedList322"/>
    <w:lvl w:ilvl="0" w:tplc="01241AE8">
      <w:start w:val="1"/>
      <w:numFmt w:val="decimal"/>
      <w:lvlText w:val="A.4.%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58" w15:restartNumberingAfterBreak="0">
    <w:nsid w:val="66EB09AF"/>
    <w:multiLevelType w:val="multilevel"/>
    <w:tmpl w:val="CEBE02CA"/>
    <w:name w:val="StandardNumberedList"/>
    <w:lvl w:ilvl="0">
      <w:start w:val="1"/>
      <w:numFmt w:val="decimal"/>
      <w:lvlText w:val="A.2.%1."/>
      <w:lvlJc w:val="left"/>
      <w:pPr>
        <w:tabs>
          <w:tab w:val="num" w:pos="472"/>
        </w:tabs>
        <w:ind w:left="472" w:hanging="472"/>
      </w:pPr>
      <w:rPr>
        <w:rFonts w:hint="default"/>
      </w:rPr>
    </w:lvl>
    <w:lvl w:ilvl="1">
      <w:start w:val="1"/>
      <w:numFmt w:val="decimal"/>
      <w:pStyle w:val="OutlineNumbered2"/>
      <w:lvlText w:val="%1.%2."/>
      <w:lvlJc w:val="left"/>
      <w:pPr>
        <w:tabs>
          <w:tab w:val="num" w:pos="944"/>
        </w:tabs>
        <w:ind w:left="944" w:hanging="472"/>
      </w:pPr>
    </w:lvl>
    <w:lvl w:ilvl="2">
      <w:start w:val="1"/>
      <w:numFmt w:val="decimal"/>
      <w:pStyle w:val="OutlineNumbered3"/>
      <w:lvlText w:val="%1.%2.%3."/>
      <w:lvlJc w:val="left"/>
      <w:pPr>
        <w:tabs>
          <w:tab w:val="num" w:pos="1416"/>
        </w:tabs>
        <w:ind w:left="1416" w:hanging="472"/>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68E61EAC"/>
    <w:multiLevelType w:val="hybridMultilevel"/>
    <w:tmpl w:val="C0809A2A"/>
    <w:name w:val="StandardNumberedList2224222222232"/>
    <w:lvl w:ilvl="0" w:tplc="1174CC82">
      <w:start w:val="1"/>
      <w:numFmt w:val="decimal"/>
      <w:lvlText w:val="4.2.%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60" w15:restartNumberingAfterBreak="0">
    <w:nsid w:val="6A080A80"/>
    <w:multiLevelType w:val="hybridMultilevel"/>
    <w:tmpl w:val="18D04164"/>
    <w:name w:val="StandardNumberedList222322222"/>
    <w:lvl w:ilvl="0" w:tplc="B914E236">
      <w:start w:val="1"/>
      <w:numFmt w:val="decimal"/>
      <w:lvlText w:val="3.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B1E25C3"/>
    <w:multiLevelType w:val="multilevel"/>
    <w:tmpl w:val="AC8E3C26"/>
    <w:lvl w:ilvl="0">
      <w:start w:val="1"/>
      <w:numFmt w:val="decimal"/>
      <w:lvlText w:val="%1.2.1"/>
      <w:lvlJc w:val="left"/>
      <w:pPr>
        <w:ind w:left="502" w:hanging="360"/>
      </w:pPr>
      <w:rPr>
        <w:rFonts w:hint="default"/>
        <w:i w:val="0"/>
        <w:iCs w:val="0"/>
        <w: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3875"/>
        </w:tabs>
        <w:ind w:left="3875" w:hanging="472"/>
      </w:pPr>
      <w:rPr>
        <w:rFonts w:hint="default"/>
        <w:i w:val="0"/>
      </w:rPr>
    </w:lvl>
    <w:lvl w:ilvl="2">
      <w:start w:val="1"/>
      <w:numFmt w:val="decimal"/>
      <w:lvlText w:val="A.1.%3."/>
      <w:lvlJc w:val="left"/>
      <w:pPr>
        <w:tabs>
          <w:tab w:val="num" w:pos="1416"/>
        </w:tabs>
        <w:ind w:left="1416" w:hanging="472"/>
      </w:pPr>
      <w:rPr>
        <w:rFonts w:hint="default"/>
        <w:i w:val="0"/>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15:restartNumberingAfterBreak="0">
    <w:nsid w:val="6BEB684D"/>
    <w:multiLevelType w:val="multilevel"/>
    <w:tmpl w:val="755A8B90"/>
    <w:lvl w:ilvl="0">
      <w:start w:val="1"/>
      <w:numFmt w:val="decimal"/>
      <w:lvlText w:val="%1."/>
      <w:lvlJc w:val="left"/>
      <w:pPr>
        <w:tabs>
          <w:tab w:val="num" w:pos="472"/>
        </w:tabs>
        <w:ind w:left="472" w:hanging="472"/>
      </w:pPr>
      <w:rPr>
        <w:i w:val="0"/>
        <w:iCs w:val="0"/>
        <w: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944"/>
        </w:tabs>
        <w:ind w:left="944" w:hanging="472"/>
      </w:pPr>
    </w:lvl>
    <w:lvl w:ilvl="2">
      <w:start w:val="1"/>
      <w:numFmt w:val="decimal"/>
      <w:pStyle w:val="OutlineNumbered37"/>
      <w:lvlText w:val="3.7.1.%3."/>
      <w:lvlJc w:val="left"/>
      <w:pPr>
        <w:tabs>
          <w:tab w:val="num" w:pos="1416"/>
        </w:tabs>
        <w:ind w:left="1416" w:hanging="472"/>
      </w:pPr>
      <w:rPr>
        <w:rFonts w:hint="default"/>
        <w:i w:val="0"/>
        <w:color w:val="auto"/>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6E1D1E1F"/>
    <w:multiLevelType w:val="hybridMultilevel"/>
    <w:tmpl w:val="95D203A0"/>
    <w:name w:val="StandardNumberedList222422222222"/>
    <w:lvl w:ilvl="0" w:tplc="275C594A">
      <w:start w:val="1"/>
      <w:numFmt w:val="decimal"/>
      <w:lvlText w:val="4.%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FA02726"/>
    <w:multiLevelType w:val="hybridMultilevel"/>
    <w:tmpl w:val="4A261184"/>
    <w:lvl w:ilvl="0" w:tplc="F8D0CFDA">
      <w:start w:val="1"/>
      <w:numFmt w:val="decimal"/>
      <w:lvlText w:val="1.1.%1."/>
      <w:lvlJc w:val="left"/>
      <w:pPr>
        <w:ind w:left="720" w:hanging="360"/>
      </w:pPr>
      <w:rPr>
        <w:rFonts w:hint="default"/>
      </w:rPr>
    </w:lvl>
    <w:lvl w:ilvl="1" w:tplc="0C090019">
      <w:start w:val="1"/>
      <w:numFmt w:val="lowerLetter"/>
      <w:lvlText w:val="%2."/>
      <w:lvlJc w:val="left"/>
      <w:pPr>
        <w:ind w:left="1440" w:hanging="360"/>
      </w:pPr>
    </w:lvl>
    <w:lvl w:ilvl="2" w:tplc="F8D0CFDA">
      <w:start w:val="1"/>
      <w:numFmt w:val="decimal"/>
      <w:lvlText w:val="1.1.%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07518CF"/>
    <w:multiLevelType w:val="multilevel"/>
    <w:tmpl w:val="A0E0581C"/>
    <w:name w:val="Bullets2"/>
    <w:lvl w:ilvl="0">
      <w:start w:val="1"/>
      <w:numFmt w:val="bullet"/>
      <w:lvlText w:val=""/>
      <w:lvlJc w:val="left"/>
      <w:pPr>
        <w:tabs>
          <w:tab w:val="num" w:pos="284"/>
        </w:tabs>
        <w:ind w:left="284" w:hanging="284"/>
      </w:pPr>
      <w:rPr>
        <w:rFonts w:ascii="Symbol" w:hAnsi="Symbol" w:hint="default"/>
        <w:color w:val="404040" w:themeColor="text1" w:themeTint="BF"/>
      </w:rPr>
    </w:lvl>
    <w:lvl w:ilvl="1">
      <w:start w:val="1"/>
      <w:numFmt w:val="bullet"/>
      <w:lvlText w:val="–"/>
      <w:lvlJc w:val="left"/>
      <w:pPr>
        <w:tabs>
          <w:tab w:val="num" w:pos="567"/>
        </w:tabs>
        <w:ind w:left="568" w:hanging="284"/>
      </w:pPr>
      <w:rPr>
        <w:rFonts w:ascii="Arial" w:hAnsi="Arial" w:cs="Times New Roman" w:hint="default"/>
        <w:color w:val="404040" w:themeColor="text1" w:themeTint="BF"/>
      </w:rPr>
    </w:lvl>
    <w:lvl w:ilvl="2">
      <w:start w:val="1"/>
      <w:numFmt w:val="bullet"/>
      <w:lvlText w:val="◦"/>
      <w:lvlJc w:val="left"/>
      <w:pPr>
        <w:tabs>
          <w:tab w:val="num" w:pos="851"/>
        </w:tabs>
        <w:ind w:left="852" w:hanging="284"/>
      </w:pPr>
      <w:rPr>
        <w:rFonts w:ascii="Georgia" w:hAnsi="Georgia"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lvl>
    <w:lvl w:ilvl="5">
      <w:start w:val="1"/>
      <w:numFmt w:val="lowerRoman"/>
      <w:lvlText w:val="(%6)"/>
      <w:lvlJc w:val="left"/>
      <w:pPr>
        <w:tabs>
          <w:tab w:val="num" w:pos="1701"/>
        </w:tabs>
        <w:ind w:left="1701" w:hanging="281"/>
      </w:pPr>
    </w:lvl>
    <w:lvl w:ilvl="6">
      <w:start w:val="1"/>
      <w:numFmt w:val="decimal"/>
      <w:lvlText w:val="%7."/>
      <w:lvlJc w:val="left"/>
      <w:pPr>
        <w:tabs>
          <w:tab w:val="num" w:pos="1985"/>
        </w:tabs>
        <w:ind w:left="1985" w:hanging="284"/>
      </w:pPr>
    </w:lvl>
    <w:lvl w:ilvl="7">
      <w:start w:val="1"/>
      <w:numFmt w:val="lowerLetter"/>
      <w:lvlText w:val="%8."/>
      <w:lvlJc w:val="left"/>
      <w:pPr>
        <w:tabs>
          <w:tab w:val="num" w:pos="2268"/>
        </w:tabs>
        <w:ind w:left="2268" w:hanging="283"/>
      </w:pPr>
    </w:lvl>
    <w:lvl w:ilvl="8">
      <w:start w:val="1"/>
      <w:numFmt w:val="lowerRoman"/>
      <w:lvlText w:val="%9."/>
      <w:lvlJc w:val="left"/>
      <w:pPr>
        <w:tabs>
          <w:tab w:val="num" w:pos="2552"/>
        </w:tabs>
        <w:ind w:left="2552" w:hanging="284"/>
      </w:pPr>
    </w:lvl>
  </w:abstractNum>
  <w:abstractNum w:abstractNumId="66" w15:restartNumberingAfterBreak="0">
    <w:nsid w:val="76EE5208"/>
    <w:multiLevelType w:val="hybridMultilevel"/>
    <w:tmpl w:val="758C0B9A"/>
    <w:name w:val="StandardNumberedList222322"/>
    <w:lvl w:ilvl="0" w:tplc="C39CAE06">
      <w:start w:val="1"/>
      <w:numFmt w:val="decimal"/>
      <w:lvlText w:val="3.2.%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num w:numId="1" w16cid:durableId="1158110340">
    <w:abstractNumId w:val="51"/>
  </w:num>
  <w:num w:numId="2" w16cid:durableId="1945528384">
    <w:abstractNumId w:val="53"/>
  </w:num>
  <w:num w:numId="3" w16cid:durableId="345986689">
    <w:abstractNumId w:val="29"/>
  </w:num>
  <w:num w:numId="4" w16cid:durableId="1943679741">
    <w:abstractNumId w:val="61"/>
  </w:num>
  <w:num w:numId="5" w16cid:durableId="939601450">
    <w:abstractNumId w:val="40"/>
  </w:num>
  <w:num w:numId="6" w16cid:durableId="1990015819">
    <w:abstractNumId w:val="62"/>
  </w:num>
  <w:num w:numId="7" w16cid:durableId="1056200873">
    <w:abstractNumId w:val="49"/>
  </w:num>
  <w:num w:numId="8" w16cid:durableId="1112164743">
    <w:abstractNumId w:val="23"/>
  </w:num>
  <w:num w:numId="9" w16cid:durableId="2035615402">
    <w:abstractNumId w:val="41"/>
  </w:num>
  <w:num w:numId="10" w16cid:durableId="1366373381">
    <w:abstractNumId w:val="35"/>
  </w:num>
  <w:num w:numId="11" w16cid:durableId="867107600">
    <w:abstractNumId w:val="36"/>
  </w:num>
  <w:num w:numId="12" w16cid:durableId="145980180">
    <w:abstractNumId w:val="21"/>
  </w:num>
  <w:num w:numId="13" w16cid:durableId="1229917868">
    <w:abstractNumId w:val="6"/>
  </w:num>
  <w:num w:numId="14" w16cid:durableId="544873841">
    <w:abstractNumId w:val="43"/>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5" w16cid:durableId="175527898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4419628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45882815">
    <w:abstractNumId w:val="2"/>
  </w:num>
  <w:num w:numId="18" w16cid:durableId="941301268">
    <w:abstractNumId w:val="14"/>
  </w:num>
  <w:num w:numId="19" w16cid:durableId="632367517">
    <w:abstractNumId w:val="32"/>
  </w:num>
  <w:num w:numId="20" w16cid:durableId="373700196">
    <w:abstractNumId w:val="50"/>
  </w:num>
  <w:num w:numId="21" w16cid:durableId="1369378001">
    <w:abstractNumId w:val="3"/>
  </w:num>
  <w:num w:numId="22" w16cid:durableId="1035541097">
    <w:abstractNumId w:val="20"/>
  </w:num>
  <w:num w:numId="23" w16cid:durableId="1401781756">
    <w:abstractNumId w:val="60"/>
  </w:num>
  <w:num w:numId="24" w16cid:durableId="1077170800">
    <w:abstractNumId w:val="44"/>
  </w:num>
  <w:num w:numId="25" w16cid:durableId="631179714">
    <w:abstractNumId w:val="0"/>
  </w:num>
  <w:num w:numId="26" w16cid:durableId="10184004">
    <w:abstractNumId w:val="64"/>
  </w:num>
  <w:num w:numId="27" w16cid:durableId="1220676181">
    <w:abstractNumId w:val="38"/>
  </w:num>
  <w:num w:numId="28" w16cid:durableId="1828549415">
    <w:abstractNumId w:val="10"/>
  </w:num>
  <w:num w:numId="29" w16cid:durableId="1729566808">
    <w:abstractNumId w:val="37"/>
  </w:num>
  <w:num w:numId="30" w16cid:durableId="1105925750">
    <w:abstractNumId w:val="5"/>
  </w:num>
  <w:num w:numId="31" w16cid:durableId="918251232">
    <w:abstractNumId w:val="31"/>
  </w:num>
  <w:num w:numId="32" w16cid:durableId="1515223472">
    <w:abstractNumId w:val="19"/>
  </w:num>
  <w:num w:numId="33" w16cid:durableId="1987199623">
    <w:abstractNumId w:val="9"/>
  </w:num>
  <w:num w:numId="34" w16cid:durableId="14501807">
    <w:abstractNumId w:val="7"/>
  </w:num>
  <w:num w:numId="35" w16cid:durableId="1269243072">
    <w:abstractNumId w:val="63"/>
  </w:num>
  <w:num w:numId="36" w16cid:durableId="1957328997">
    <w:abstractNumId w:val="11"/>
  </w:num>
  <w:num w:numId="37" w16cid:durableId="410546719">
    <w:abstractNumId w:val="4"/>
  </w:num>
  <w:num w:numId="38" w16cid:durableId="1982884473">
    <w:abstractNumId w:val="1"/>
  </w:num>
  <w:num w:numId="39" w16cid:durableId="2057044976">
    <w:abstractNumId w:val="15"/>
  </w:num>
  <w:num w:numId="40" w16cid:durableId="411046951">
    <w:abstractNumId w:val="13"/>
  </w:num>
  <w:num w:numId="41" w16cid:durableId="1899124104">
    <w:abstractNumId w:val="58"/>
  </w:num>
  <w:num w:numId="42" w16cid:durableId="882714564">
    <w:abstractNumId w:val="16"/>
  </w:num>
  <w:num w:numId="43" w16cid:durableId="521170236">
    <w:abstractNumId w:val="57"/>
  </w:num>
  <w:num w:numId="44" w16cid:durableId="1061903802">
    <w:abstractNumId w:val="24"/>
  </w:num>
  <w:num w:numId="45" w16cid:durableId="1851026500">
    <w:abstractNumId w:val="27"/>
  </w:num>
  <w:num w:numId="46" w16cid:durableId="2049640627">
    <w:abstractNumId w:val="48"/>
  </w:num>
  <w:num w:numId="47" w16cid:durableId="961617274">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491"/>
    <w:rsid w:val="0000034F"/>
    <w:rsid w:val="000003C1"/>
    <w:rsid w:val="00000646"/>
    <w:rsid w:val="00000E7C"/>
    <w:rsid w:val="000019D9"/>
    <w:rsid w:val="000030F1"/>
    <w:rsid w:val="00003CC6"/>
    <w:rsid w:val="00004A96"/>
    <w:rsid w:val="00004F54"/>
    <w:rsid w:val="00005896"/>
    <w:rsid w:val="00005EDF"/>
    <w:rsid w:val="00006B5F"/>
    <w:rsid w:val="000070A4"/>
    <w:rsid w:val="00007772"/>
    <w:rsid w:val="000100AE"/>
    <w:rsid w:val="00010308"/>
    <w:rsid w:val="0001051E"/>
    <w:rsid w:val="00010C37"/>
    <w:rsid w:val="00010C5D"/>
    <w:rsid w:val="00010FB9"/>
    <w:rsid w:val="00011EE6"/>
    <w:rsid w:val="000130DA"/>
    <w:rsid w:val="000134DD"/>
    <w:rsid w:val="00014DA9"/>
    <w:rsid w:val="00014EF2"/>
    <w:rsid w:val="00014F3F"/>
    <w:rsid w:val="00015175"/>
    <w:rsid w:val="00015639"/>
    <w:rsid w:val="000160B5"/>
    <w:rsid w:val="0001644E"/>
    <w:rsid w:val="00016475"/>
    <w:rsid w:val="000168AF"/>
    <w:rsid w:val="00016A09"/>
    <w:rsid w:val="000175C0"/>
    <w:rsid w:val="00020188"/>
    <w:rsid w:val="000202B4"/>
    <w:rsid w:val="000207C8"/>
    <w:rsid w:val="00020983"/>
    <w:rsid w:val="0002181C"/>
    <w:rsid w:val="000220FB"/>
    <w:rsid w:val="00022CDE"/>
    <w:rsid w:val="00022EF2"/>
    <w:rsid w:val="0002342C"/>
    <w:rsid w:val="000235DC"/>
    <w:rsid w:val="000238BC"/>
    <w:rsid w:val="00023BCC"/>
    <w:rsid w:val="00023C88"/>
    <w:rsid w:val="00024392"/>
    <w:rsid w:val="00024EE1"/>
    <w:rsid w:val="000256FA"/>
    <w:rsid w:val="000258E4"/>
    <w:rsid w:val="00025A49"/>
    <w:rsid w:val="00026115"/>
    <w:rsid w:val="00026369"/>
    <w:rsid w:val="00026517"/>
    <w:rsid w:val="00026748"/>
    <w:rsid w:val="000269E9"/>
    <w:rsid w:val="0002710F"/>
    <w:rsid w:val="000276DC"/>
    <w:rsid w:val="0003093D"/>
    <w:rsid w:val="00030989"/>
    <w:rsid w:val="0003115D"/>
    <w:rsid w:val="00031649"/>
    <w:rsid w:val="00031826"/>
    <w:rsid w:val="00031F4E"/>
    <w:rsid w:val="00032359"/>
    <w:rsid w:val="00034015"/>
    <w:rsid w:val="0003403E"/>
    <w:rsid w:val="0003492C"/>
    <w:rsid w:val="000354E1"/>
    <w:rsid w:val="00035D2E"/>
    <w:rsid w:val="0003647C"/>
    <w:rsid w:val="00036921"/>
    <w:rsid w:val="00036CA1"/>
    <w:rsid w:val="00037047"/>
    <w:rsid w:val="000373F6"/>
    <w:rsid w:val="00037DDC"/>
    <w:rsid w:val="00040237"/>
    <w:rsid w:val="000404D0"/>
    <w:rsid w:val="00040B83"/>
    <w:rsid w:val="00040ECE"/>
    <w:rsid w:val="00041860"/>
    <w:rsid w:val="00041E4B"/>
    <w:rsid w:val="000426E9"/>
    <w:rsid w:val="0004294A"/>
    <w:rsid w:val="00042D58"/>
    <w:rsid w:val="00043038"/>
    <w:rsid w:val="0004305B"/>
    <w:rsid w:val="000430BC"/>
    <w:rsid w:val="000438C0"/>
    <w:rsid w:val="00043989"/>
    <w:rsid w:val="00043BF8"/>
    <w:rsid w:val="00043C5F"/>
    <w:rsid w:val="00043D81"/>
    <w:rsid w:val="00044289"/>
    <w:rsid w:val="0004482C"/>
    <w:rsid w:val="00044BB0"/>
    <w:rsid w:val="000453C4"/>
    <w:rsid w:val="000453E5"/>
    <w:rsid w:val="00045470"/>
    <w:rsid w:val="00045489"/>
    <w:rsid w:val="0004602C"/>
    <w:rsid w:val="000474E0"/>
    <w:rsid w:val="00047B75"/>
    <w:rsid w:val="000500F6"/>
    <w:rsid w:val="00050175"/>
    <w:rsid w:val="000504D6"/>
    <w:rsid w:val="000509B8"/>
    <w:rsid w:val="00050E1E"/>
    <w:rsid w:val="00050E6F"/>
    <w:rsid w:val="00051472"/>
    <w:rsid w:val="00051B5E"/>
    <w:rsid w:val="000531B4"/>
    <w:rsid w:val="00053494"/>
    <w:rsid w:val="00053F53"/>
    <w:rsid w:val="00054318"/>
    <w:rsid w:val="000543FA"/>
    <w:rsid w:val="0005583E"/>
    <w:rsid w:val="0005628A"/>
    <w:rsid w:val="00056686"/>
    <w:rsid w:val="00056906"/>
    <w:rsid w:val="0005731E"/>
    <w:rsid w:val="000573BE"/>
    <w:rsid w:val="00057712"/>
    <w:rsid w:val="00057809"/>
    <w:rsid w:val="00060F9D"/>
    <w:rsid w:val="00061D72"/>
    <w:rsid w:val="00062812"/>
    <w:rsid w:val="00062B16"/>
    <w:rsid w:val="00062CE1"/>
    <w:rsid w:val="0006328D"/>
    <w:rsid w:val="00065A9D"/>
    <w:rsid w:val="00066352"/>
    <w:rsid w:val="000663ED"/>
    <w:rsid w:val="00067ECF"/>
    <w:rsid w:val="00067F66"/>
    <w:rsid w:val="00067F7C"/>
    <w:rsid w:val="0007032D"/>
    <w:rsid w:val="0007042A"/>
    <w:rsid w:val="00070F2A"/>
    <w:rsid w:val="00071676"/>
    <w:rsid w:val="00071C6D"/>
    <w:rsid w:val="00071DD7"/>
    <w:rsid w:val="00071F54"/>
    <w:rsid w:val="00072160"/>
    <w:rsid w:val="000724D5"/>
    <w:rsid w:val="000726A8"/>
    <w:rsid w:val="0007286C"/>
    <w:rsid w:val="00072991"/>
    <w:rsid w:val="0007322F"/>
    <w:rsid w:val="000737F0"/>
    <w:rsid w:val="00073860"/>
    <w:rsid w:val="0007491C"/>
    <w:rsid w:val="00075AC0"/>
    <w:rsid w:val="00075B3E"/>
    <w:rsid w:val="00076414"/>
    <w:rsid w:val="0007655C"/>
    <w:rsid w:val="00076FA3"/>
    <w:rsid w:val="00077F64"/>
    <w:rsid w:val="000801EB"/>
    <w:rsid w:val="000807B6"/>
    <w:rsid w:val="00080BB6"/>
    <w:rsid w:val="00080E69"/>
    <w:rsid w:val="00080EB4"/>
    <w:rsid w:val="0008161D"/>
    <w:rsid w:val="000830D6"/>
    <w:rsid w:val="00083277"/>
    <w:rsid w:val="00083AA8"/>
    <w:rsid w:val="00083D92"/>
    <w:rsid w:val="00083DF9"/>
    <w:rsid w:val="00084450"/>
    <w:rsid w:val="00084480"/>
    <w:rsid w:val="000846C8"/>
    <w:rsid w:val="00084766"/>
    <w:rsid w:val="00084FC0"/>
    <w:rsid w:val="00085278"/>
    <w:rsid w:val="0008650D"/>
    <w:rsid w:val="00086656"/>
    <w:rsid w:val="000869B2"/>
    <w:rsid w:val="00086A80"/>
    <w:rsid w:val="00087631"/>
    <w:rsid w:val="000877C7"/>
    <w:rsid w:val="000878EA"/>
    <w:rsid w:val="00087E5F"/>
    <w:rsid w:val="00090BA6"/>
    <w:rsid w:val="00090F9D"/>
    <w:rsid w:val="00091168"/>
    <w:rsid w:val="00091204"/>
    <w:rsid w:val="00091BB4"/>
    <w:rsid w:val="00093C1D"/>
    <w:rsid w:val="00093F1D"/>
    <w:rsid w:val="00094308"/>
    <w:rsid w:val="00094794"/>
    <w:rsid w:val="0009561D"/>
    <w:rsid w:val="00095648"/>
    <w:rsid w:val="000957F8"/>
    <w:rsid w:val="00095E04"/>
    <w:rsid w:val="000962FF"/>
    <w:rsid w:val="00096886"/>
    <w:rsid w:val="00096B7A"/>
    <w:rsid w:val="00096BA0"/>
    <w:rsid w:val="000975D4"/>
    <w:rsid w:val="0009798E"/>
    <w:rsid w:val="000A003C"/>
    <w:rsid w:val="000A007C"/>
    <w:rsid w:val="000A0276"/>
    <w:rsid w:val="000A0388"/>
    <w:rsid w:val="000A1657"/>
    <w:rsid w:val="000A1AE7"/>
    <w:rsid w:val="000A2AEF"/>
    <w:rsid w:val="000A3BC3"/>
    <w:rsid w:val="000A3BE7"/>
    <w:rsid w:val="000A3F92"/>
    <w:rsid w:val="000A4A7F"/>
    <w:rsid w:val="000A593E"/>
    <w:rsid w:val="000A5BB9"/>
    <w:rsid w:val="000A687D"/>
    <w:rsid w:val="000A6EBF"/>
    <w:rsid w:val="000A7988"/>
    <w:rsid w:val="000A7B08"/>
    <w:rsid w:val="000A7B1A"/>
    <w:rsid w:val="000A7CA8"/>
    <w:rsid w:val="000B064D"/>
    <w:rsid w:val="000B079E"/>
    <w:rsid w:val="000B162C"/>
    <w:rsid w:val="000B16F2"/>
    <w:rsid w:val="000B1806"/>
    <w:rsid w:val="000B1FF2"/>
    <w:rsid w:val="000B20F2"/>
    <w:rsid w:val="000B2786"/>
    <w:rsid w:val="000B2794"/>
    <w:rsid w:val="000B2BE0"/>
    <w:rsid w:val="000B3B13"/>
    <w:rsid w:val="000B4E08"/>
    <w:rsid w:val="000B52BA"/>
    <w:rsid w:val="000B5319"/>
    <w:rsid w:val="000B5801"/>
    <w:rsid w:val="000B5B00"/>
    <w:rsid w:val="000B615E"/>
    <w:rsid w:val="000B639A"/>
    <w:rsid w:val="000B6EC0"/>
    <w:rsid w:val="000B73A6"/>
    <w:rsid w:val="000B7836"/>
    <w:rsid w:val="000B7A58"/>
    <w:rsid w:val="000B7BED"/>
    <w:rsid w:val="000B7F3F"/>
    <w:rsid w:val="000C00D1"/>
    <w:rsid w:val="000C0174"/>
    <w:rsid w:val="000C0ED2"/>
    <w:rsid w:val="000C101D"/>
    <w:rsid w:val="000C1313"/>
    <w:rsid w:val="000C1BA7"/>
    <w:rsid w:val="000C1C80"/>
    <w:rsid w:val="000C22F4"/>
    <w:rsid w:val="000C2CC2"/>
    <w:rsid w:val="000C2F64"/>
    <w:rsid w:val="000C327A"/>
    <w:rsid w:val="000C3361"/>
    <w:rsid w:val="000C347C"/>
    <w:rsid w:val="000C34E9"/>
    <w:rsid w:val="000C358F"/>
    <w:rsid w:val="000C3B4F"/>
    <w:rsid w:val="000C3CB4"/>
    <w:rsid w:val="000C3CDF"/>
    <w:rsid w:val="000C4140"/>
    <w:rsid w:val="000C43BA"/>
    <w:rsid w:val="000C43F6"/>
    <w:rsid w:val="000C5366"/>
    <w:rsid w:val="000C58CB"/>
    <w:rsid w:val="000C5954"/>
    <w:rsid w:val="000C6460"/>
    <w:rsid w:val="000C686B"/>
    <w:rsid w:val="000C686F"/>
    <w:rsid w:val="000C6DB8"/>
    <w:rsid w:val="000C7218"/>
    <w:rsid w:val="000C74D8"/>
    <w:rsid w:val="000C7C46"/>
    <w:rsid w:val="000D01A9"/>
    <w:rsid w:val="000D0F5C"/>
    <w:rsid w:val="000D1ADA"/>
    <w:rsid w:val="000D1D60"/>
    <w:rsid w:val="000D1ECE"/>
    <w:rsid w:val="000D1FBF"/>
    <w:rsid w:val="000D2859"/>
    <w:rsid w:val="000D2D72"/>
    <w:rsid w:val="000D30ED"/>
    <w:rsid w:val="000D31A8"/>
    <w:rsid w:val="000D33B7"/>
    <w:rsid w:val="000D379B"/>
    <w:rsid w:val="000D39D0"/>
    <w:rsid w:val="000D3FCF"/>
    <w:rsid w:val="000D402B"/>
    <w:rsid w:val="000D43AE"/>
    <w:rsid w:val="000D45F2"/>
    <w:rsid w:val="000D5C62"/>
    <w:rsid w:val="000D5E71"/>
    <w:rsid w:val="000E0606"/>
    <w:rsid w:val="000E0768"/>
    <w:rsid w:val="000E0BCF"/>
    <w:rsid w:val="000E1030"/>
    <w:rsid w:val="000E108A"/>
    <w:rsid w:val="000E1226"/>
    <w:rsid w:val="000E1634"/>
    <w:rsid w:val="000E1CC7"/>
    <w:rsid w:val="000E2272"/>
    <w:rsid w:val="000E23D4"/>
    <w:rsid w:val="000E246D"/>
    <w:rsid w:val="000E2D13"/>
    <w:rsid w:val="000E3FBD"/>
    <w:rsid w:val="000E4312"/>
    <w:rsid w:val="000E4C8C"/>
    <w:rsid w:val="000E4C8F"/>
    <w:rsid w:val="000E4DE6"/>
    <w:rsid w:val="000E4FEE"/>
    <w:rsid w:val="000E50B5"/>
    <w:rsid w:val="000E5256"/>
    <w:rsid w:val="000E5CD0"/>
    <w:rsid w:val="000E5DC4"/>
    <w:rsid w:val="000E619F"/>
    <w:rsid w:val="000E65A7"/>
    <w:rsid w:val="000E6C15"/>
    <w:rsid w:val="000E75FC"/>
    <w:rsid w:val="000E78A0"/>
    <w:rsid w:val="000E7E95"/>
    <w:rsid w:val="000E7FB1"/>
    <w:rsid w:val="000F03A9"/>
    <w:rsid w:val="000F0480"/>
    <w:rsid w:val="000F09DE"/>
    <w:rsid w:val="000F133C"/>
    <w:rsid w:val="000F1755"/>
    <w:rsid w:val="000F1B42"/>
    <w:rsid w:val="000F2D5E"/>
    <w:rsid w:val="000F40E8"/>
    <w:rsid w:val="000F4920"/>
    <w:rsid w:val="000F4AED"/>
    <w:rsid w:val="000F4E5A"/>
    <w:rsid w:val="000F54A5"/>
    <w:rsid w:val="000F60A8"/>
    <w:rsid w:val="000F6CAE"/>
    <w:rsid w:val="000F6E45"/>
    <w:rsid w:val="000F77DF"/>
    <w:rsid w:val="0010072D"/>
    <w:rsid w:val="00100F85"/>
    <w:rsid w:val="001011CC"/>
    <w:rsid w:val="00101BBB"/>
    <w:rsid w:val="00101E94"/>
    <w:rsid w:val="0010262F"/>
    <w:rsid w:val="00102A0C"/>
    <w:rsid w:val="00102DE7"/>
    <w:rsid w:val="00103331"/>
    <w:rsid w:val="00103D6B"/>
    <w:rsid w:val="00104004"/>
    <w:rsid w:val="0010446C"/>
    <w:rsid w:val="00104847"/>
    <w:rsid w:val="00104B1A"/>
    <w:rsid w:val="00105608"/>
    <w:rsid w:val="00105C55"/>
    <w:rsid w:val="00105FE2"/>
    <w:rsid w:val="00106105"/>
    <w:rsid w:val="0010659C"/>
    <w:rsid w:val="00107096"/>
    <w:rsid w:val="001073BA"/>
    <w:rsid w:val="00107425"/>
    <w:rsid w:val="001078D0"/>
    <w:rsid w:val="00107A53"/>
    <w:rsid w:val="00107D91"/>
    <w:rsid w:val="00110294"/>
    <w:rsid w:val="0011080B"/>
    <w:rsid w:val="00110C9C"/>
    <w:rsid w:val="00111426"/>
    <w:rsid w:val="001117CF"/>
    <w:rsid w:val="00111F8F"/>
    <w:rsid w:val="00112254"/>
    <w:rsid w:val="0011258D"/>
    <w:rsid w:val="00112651"/>
    <w:rsid w:val="00112737"/>
    <w:rsid w:val="00112E88"/>
    <w:rsid w:val="00113D0B"/>
    <w:rsid w:val="00113EC5"/>
    <w:rsid w:val="0011417D"/>
    <w:rsid w:val="00114186"/>
    <w:rsid w:val="00114454"/>
    <w:rsid w:val="00114BCF"/>
    <w:rsid w:val="001152D7"/>
    <w:rsid w:val="00115CD2"/>
    <w:rsid w:val="00116B5B"/>
    <w:rsid w:val="00116FC2"/>
    <w:rsid w:val="0011742F"/>
    <w:rsid w:val="00120543"/>
    <w:rsid w:val="0012062A"/>
    <w:rsid w:val="0012092F"/>
    <w:rsid w:val="00120955"/>
    <w:rsid w:val="00120B8E"/>
    <w:rsid w:val="00120BFF"/>
    <w:rsid w:val="001213F0"/>
    <w:rsid w:val="001215E9"/>
    <w:rsid w:val="00121D42"/>
    <w:rsid w:val="0012324F"/>
    <w:rsid w:val="001233AC"/>
    <w:rsid w:val="00123572"/>
    <w:rsid w:val="00123A4B"/>
    <w:rsid w:val="00123F2F"/>
    <w:rsid w:val="00124301"/>
    <w:rsid w:val="00124320"/>
    <w:rsid w:val="0012467D"/>
    <w:rsid w:val="00124EBB"/>
    <w:rsid w:val="00126358"/>
    <w:rsid w:val="00126622"/>
    <w:rsid w:val="00126D15"/>
    <w:rsid w:val="001276E6"/>
    <w:rsid w:val="00127B4D"/>
    <w:rsid w:val="001303D4"/>
    <w:rsid w:val="00130B7F"/>
    <w:rsid w:val="0013163B"/>
    <w:rsid w:val="001316F9"/>
    <w:rsid w:val="00131FCE"/>
    <w:rsid w:val="0013268F"/>
    <w:rsid w:val="00132819"/>
    <w:rsid w:val="00132E8E"/>
    <w:rsid w:val="001332F8"/>
    <w:rsid w:val="00133561"/>
    <w:rsid w:val="0013372E"/>
    <w:rsid w:val="00133A5C"/>
    <w:rsid w:val="00133D97"/>
    <w:rsid w:val="00134385"/>
    <w:rsid w:val="00134609"/>
    <w:rsid w:val="00134D6B"/>
    <w:rsid w:val="00135D83"/>
    <w:rsid w:val="00136351"/>
    <w:rsid w:val="00136876"/>
    <w:rsid w:val="001374CF"/>
    <w:rsid w:val="001377A2"/>
    <w:rsid w:val="0014004E"/>
    <w:rsid w:val="00140679"/>
    <w:rsid w:val="00140CCE"/>
    <w:rsid w:val="00140F6A"/>
    <w:rsid w:val="00141027"/>
    <w:rsid w:val="00141B74"/>
    <w:rsid w:val="001421D6"/>
    <w:rsid w:val="001428B3"/>
    <w:rsid w:val="001429FC"/>
    <w:rsid w:val="0014436C"/>
    <w:rsid w:val="00144754"/>
    <w:rsid w:val="0014475D"/>
    <w:rsid w:val="00144D19"/>
    <w:rsid w:val="001458C8"/>
    <w:rsid w:val="001459D2"/>
    <w:rsid w:val="00145B6F"/>
    <w:rsid w:val="0014638D"/>
    <w:rsid w:val="00146471"/>
    <w:rsid w:val="00146538"/>
    <w:rsid w:val="0014656F"/>
    <w:rsid w:val="00146C7A"/>
    <w:rsid w:val="00146CB5"/>
    <w:rsid w:val="00147106"/>
    <w:rsid w:val="001473BD"/>
    <w:rsid w:val="0015136C"/>
    <w:rsid w:val="001516C0"/>
    <w:rsid w:val="001519ED"/>
    <w:rsid w:val="00152243"/>
    <w:rsid w:val="00152BAE"/>
    <w:rsid w:val="00152C4B"/>
    <w:rsid w:val="00152E8E"/>
    <w:rsid w:val="001531A7"/>
    <w:rsid w:val="00153C8E"/>
    <w:rsid w:val="001543DF"/>
    <w:rsid w:val="0015464E"/>
    <w:rsid w:val="00154CF7"/>
    <w:rsid w:val="00154EFE"/>
    <w:rsid w:val="00155485"/>
    <w:rsid w:val="001556B2"/>
    <w:rsid w:val="00155CE5"/>
    <w:rsid w:val="00156296"/>
    <w:rsid w:val="00157054"/>
    <w:rsid w:val="00157A87"/>
    <w:rsid w:val="00157BA0"/>
    <w:rsid w:val="00160D4A"/>
    <w:rsid w:val="0016117E"/>
    <w:rsid w:val="00161700"/>
    <w:rsid w:val="0016180C"/>
    <w:rsid w:val="001621BB"/>
    <w:rsid w:val="001622EC"/>
    <w:rsid w:val="00162665"/>
    <w:rsid w:val="00162A7F"/>
    <w:rsid w:val="00163944"/>
    <w:rsid w:val="001639EC"/>
    <w:rsid w:val="00164159"/>
    <w:rsid w:val="00164626"/>
    <w:rsid w:val="00164C15"/>
    <w:rsid w:val="00164C5E"/>
    <w:rsid w:val="00164FA9"/>
    <w:rsid w:val="0016508C"/>
    <w:rsid w:val="001653AD"/>
    <w:rsid w:val="001657B0"/>
    <w:rsid w:val="00165D1B"/>
    <w:rsid w:val="00166329"/>
    <w:rsid w:val="00166BEE"/>
    <w:rsid w:val="0016786F"/>
    <w:rsid w:val="0017080B"/>
    <w:rsid w:val="00171A0B"/>
    <w:rsid w:val="00171D1F"/>
    <w:rsid w:val="00171D73"/>
    <w:rsid w:val="001721A0"/>
    <w:rsid w:val="00172AF3"/>
    <w:rsid w:val="0017310F"/>
    <w:rsid w:val="0017384D"/>
    <w:rsid w:val="00173965"/>
    <w:rsid w:val="00174595"/>
    <w:rsid w:val="001747F1"/>
    <w:rsid w:val="0017495E"/>
    <w:rsid w:val="00174C6D"/>
    <w:rsid w:val="00175CEB"/>
    <w:rsid w:val="00176530"/>
    <w:rsid w:val="00176B79"/>
    <w:rsid w:val="00176C40"/>
    <w:rsid w:val="00176C47"/>
    <w:rsid w:val="00177074"/>
    <w:rsid w:val="00177090"/>
    <w:rsid w:val="00177108"/>
    <w:rsid w:val="0017792E"/>
    <w:rsid w:val="00181FD6"/>
    <w:rsid w:val="0018276C"/>
    <w:rsid w:val="001827A0"/>
    <w:rsid w:val="00182A21"/>
    <w:rsid w:val="00183124"/>
    <w:rsid w:val="00183172"/>
    <w:rsid w:val="00183492"/>
    <w:rsid w:val="0018358B"/>
    <w:rsid w:val="00183788"/>
    <w:rsid w:val="00183A00"/>
    <w:rsid w:val="00184064"/>
    <w:rsid w:val="0018494E"/>
    <w:rsid w:val="00184B47"/>
    <w:rsid w:val="0018572A"/>
    <w:rsid w:val="00185BD9"/>
    <w:rsid w:val="00185BE5"/>
    <w:rsid w:val="00185E7B"/>
    <w:rsid w:val="001861DD"/>
    <w:rsid w:val="00186914"/>
    <w:rsid w:val="00186D7F"/>
    <w:rsid w:val="00186FBB"/>
    <w:rsid w:val="00187072"/>
    <w:rsid w:val="00187599"/>
    <w:rsid w:val="00187AC0"/>
    <w:rsid w:val="001905F4"/>
    <w:rsid w:val="001905FB"/>
    <w:rsid w:val="00190AEC"/>
    <w:rsid w:val="00191427"/>
    <w:rsid w:val="0019162C"/>
    <w:rsid w:val="00191CD9"/>
    <w:rsid w:val="00192154"/>
    <w:rsid w:val="00192173"/>
    <w:rsid w:val="0019260E"/>
    <w:rsid w:val="00192BC8"/>
    <w:rsid w:val="00192E26"/>
    <w:rsid w:val="0019322A"/>
    <w:rsid w:val="001932EA"/>
    <w:rsid w:val="00193428"/>
    <w:rsid w:val="001934F5"/>
    <w:rsid w:val="00193BA2"/>
    <w:rsid w:val="00193D83"/>
    <w:rsid w:val="00193FDB"/>
    <w:rsid w:val="00194623"/>
    <w:rsid w:val="00194988"/>
    <w:rsid w:val="00194C00"/>
    <w:rsid w:val="00194CA7"/>
    <w:rsid w:val="00196916"/>
    <w:rsid w:val="00196C6E"/>
    <w:rsid w:val="001978D0"/>
    <w:rsid w:val="001A0153"/>
    <w:rsid w:val="001A034C"/>
    <w:rsid w:val="001A07CF"/>
    <w:rsid w:val="001A0964"/>
    <w:rsid w:val="001A0BC1"/>
    <w:rsid w:val="001A1212"/>
    <w:rsid w:val="001A1570"/>
    <w:rsid w:val="001A17D5"/>
    <w:rsid w:val="001A2488"/>
    <w:rsid w:val="001A25AD"/>
    <w:rsid w:val="001A2C93"/>
    <w:rsid w:val="001A3B27"/>
    <w:rsid w:val="001A3FF8"/>
    <w:rsid w:val="001A42B3"/>
    <w:rsid w:val="001A4474"/>
    <w:rsid w:val="001A4C12"/>
    <w:rsid w:val="001A5934"/>
    <w:rsid w:val="001A605E"/>
    <w:rsid w:val="001A6A5A"/>
    <w:rsid w:val="001A6E38"/>
    <w:rsid w:val="001A7084"/>
    <w:rsid w:val="001A763B"/>
    <w:rsid w:val="001B0B93"/>
    <w:rsid w:val="001B11A5"/>
    <w:rsid w:val="001B1958"/>
    <w:rsid w:val="001B20C2"/>
    <w:rsid w:val="001B28DB"/>
    <w:rsid w:val="001B2B92"/>
    <w:rsid w:val="001B2E6F"/>
    <w:rsid w:val="001B3566"/>
    <w:rsid w:val="001B35DA"/>
    <w:rsid w:val="001B3A60"/>
    <w:rsid w:val="001B3EF1"/>
    <w:rsid w:val="001B43D4"/>
    <w:rsid w:val="001B4AB9"/>
    <w:rsid w:val="001B5233"/>
    <w:rsid w:val="001B54EB"/>
    <w:rsid w:val="001B598D"/>
    <w:rsid w:val="001B5BAA"/>
    <w:rsid w:val="001B617B"/>
    <w:rsid w:val="001B7170"/>
    <w:rsid w:val="001B75FC"/>
    <w:rsid w:val="001B7697"/>
    <w:rsid w:val="001B7A23"/>
    <w:rsid w:val="001C02B4"/>
    <w:rsid w:val="001C0C0E"/>
    <w:rsid w:val="001C0C9A"/>
    <w:rsid w:val="001C1141"/>
    <w:rsid w:val="001C1447"/>
    <w:rsid w:val="001C199D"/>
    <w:rsid w:val="001C1BE7"/>
    <w:rsid w:val="001C1ECF"/>
    <w:rsid w:val="001C2895"/>
    <w:rsid w:val="001C2997"/>
    <w:rsid w:val="001C29BC"/>
    <w:rsid w:val="001C30E3"/>
    <w:rsid w:val="001C39F1"/>
    <w:rsid w:val="001C3A12"/>
    <w:rsid w:val="001C3BB8"/>
    <w:rsid w:val="001C4112"/>
    <w:rsid w:val="001C5737"/>
    <w:rsid w:val="001C58E4"/>
    <w:rsid w:val="001C59A6"/>
    <w:rsid w:val="001C5C4E"/>
    <w:rsid w:val="001C5E9B"/>
    <w:rsid w:val="001C6D37"/>
    <w:rsid w:val="001C6E9D"/>
    <w:rsid w:val="001C76C1"/>
    <w:rsid w:val="001C78AE"/>
    <w:rsid w:val="001D0262"/>
    <w:rsid w:val="001D0A02"/>
    <w:rsid w:val="001D15A3"/>
    <w:rsid w:val="001D16D5"/>
    <w:rsid w:val="001D1B31"/>
    <w:rsid w:val="001D1B99"/>
    <w:rsid w:val="001D1EFA"/>
    <w:rsid w:val="001D1F30"/>
    <w:rsid w:val="001D3391"/>
    <w:rsid w:val="001D4829"/>
    <w:rsid w:val="001D482E"/>
    <w:rsid w:val="001D4B5F"/>
    <w:rsid w:val="001D4B6F"/>
    <w:rsid w:val="001D4C95"/>
    <w:rsid w:val="001D4D38"/>
    <w:rsid w:val="001D51A6"/>
    <w:rsid w:val="001D520F"/>
    <w:rsid w:val="001D56D1"/>
    <w:rsid w:val="001D5714"/>
    <w:rsid w:val="001D7599"/>
    <w:rsid w:val="001D7998"/>
    <w:rsid w:val="001D7FDC"/>
    <w:rsid w:val="001E009A"/>
    <w:rsid w:val="001E01EC"/>
    <w:rsid w:val="001E06D9"/>
    <w:rsid w:val="001E0BE5"/>
    <w:rsid w:val="001E0C1D"/>
    <w:rsid w:val="001E21CD"/>
    <w:rsid w:val="001E3EA7"/>
    <w:rsid w:val="001E448E"/>
    <w:rsid w:val="001E52FC"/>
    <w:rsid w:val="001E587B"/>
    <w:rsid w:val="001E5BD5"/>
    <w:rsid w:val="001E63FD"/>
    <w:rsid w:val="001E6A50"/>
    <w:rsid w:val="001E76E7"/>
    <w:rsid w:val="001E784F"/>
    <w:rsid w:val="001E7BF5"/>
    <w:rsid w:val="001E7D00"/>
    <w:rsid w:val="001F00CE"/>
    <w:rsid w:val="001F073D"/>
    <w:rsid w:val="001F0FCC"/>
    <w:rsid w:val="001F102A"/>
    <w:rsid w:val="001F127A"/>
    <w:rsid w:val="001F14FC"/>
    <w:rsid w:val="001F1A13"/>
    <w:rsid w:val="001F1E55"/>
    <w:rsid w:val="001F1FCE"/>
    <w:rsid w:val="001F2438"/>
    <w:rsid w:val="001F2743"/>
    <w:rsid w:val="001F284B"/>
    <w:rsid w:val="001F2AE7"/>
    <w:rsid w:val="001F2B8C"/>
    <w:rsid w:val="001F38AE"/>
    <w:rsid w:val="001F3984"/>
    <w:rsid w:val="001F3E3B"/>
    <w:rsid w:val="001F4333"/>
    <w:rsid w:val="001F435A"/>
    <w:rsid w:val="001F47F6"/>
    <w:rsid w:val="001F4D73"/>
    <w:rsid w:val="001F4D9C"/>
    <w:rsid w:val="001F5860"/>
    <w:rsid w:val="001F5A21"/>
    <w:rsid w:val="001F5AB3"/>
    <w:rsid w:val="001F5DC4"/>
    <w:rsid w:val="00200193"/>
    <w:rsid w:val="002003F1"/>
    <w:rsid w:val="00200837"/>
    <w:rsid w:val="00200978"/>
    <w:rsid w:val="00200A45"/>
    <w:rsid w:val="00200F62"/>
    <w:rsid w:val="0020107F"/>
    <w:rsid w:val="00201B7E"/>
    <w:rsid w:val="00202278"/>
    <w:rsid w:val="00202953"/>
    <w:rsid w:val="00202BE6"/>
    <w:rsid w:val="00202D06"/>
    <w:rsid w:val="00203165"/>
    <w:rsid w:val="00203CEE"/>
    <w:rsid w:val="00203DDF"/>
    <w:rsid w:val="002044E7"/>
    <w:rsid w:val="00204FDB"/>
    <w:rsid w:val="002050E9"/>
    <w:rsid w:val="0020517D"/>
    <w:rsid w:val="00205311"/>
    <w:rsid w:val="00205CF9"/>
    <w:rsid w:val="00205EA9"/>
    <w:rsid w:val="00206160"/>
    <w:rsid w:val="0020616A"/>
    <w:rsid w:val="00206DF7"/>
    <w:rsid w:val="00206E57"/>
    <w:rsid w:val="002071F9"/>
    <w:rsid w:val="002100AC"/>
    <w:rsid w:val="002107A2"/>
    <w:rsid w:val="00210A11"/>
    <w:rsid w:val="00212634"/>
    <w:rsid w:val="00212ABD"/>
    <w:rsid w:val="00212B0F"/>
    <w:rsid w:val="00212F13"/>
    <w:rsid w:val="0021328C"/>
    <w:rsid w:val="00213321"/>
    <w:rsid w:val="00213415"/>
    <w:rsid w:val="00213635"/>
    <w:rsid w:val="0021419D"/>
    <w:rsid w:val="002141A7"/>
    <w:rsid w:val="002149F4"/>
    <w:rsid w:val="00214B2E"/>
    <w:rsid w:val="00214F4E"/>
    <w:rsid w:val="00215F0E"/>
    <w:rsid w:val="0021682A"/>
    <w:rsid w:val="0021686E"/>
    <w:rsid w:val="00216EFE"/>
    <w:rsid w:val="00217065"/>
    <w:rsid w:val="00217D8A"/>
    <w:rsid w:val="00220126"/>
    <w:rsid w:val="002202EF"/>
    <w:rsid w:val="002202FD"/>
    <w:rsid w:val="00221AAC"/>
    <w:rsid w:val="00221C23"/>
    <w:rsid w:val="00221CEB"/>
    <w:rsid w:val="0022205E"/>
    <w:rsid w:val="002221AB"/>
    <w:rsid w:val="00222AE3"/>
    <w:rsid w:val="00222E4E"/>
    <w:rsid w:val="00223502"/>
    <w:rsid w:val="002237D1"/>
    <w:rsid w:val="002237FA"/>
    <w:rsid w:val="002241F5"/>
    <w:rsid w:val="00224413"/>
    <w:rsid w:val="002244B2"/>
    <w:rsid w:val="0022475E"/>
    <w:rsid w:val="00225483"/>
    <w:rsid w:val="002255F1"/>
    <w:rsid w:val="00225889"/>
    <w:rsid w:val="002261A9"/>
    <w:rsid w:val="00226435"/>
    <w:rsid w:val="0022668C"/>
    <w:rsid w:val="00226D30"/>
    <w:rsid w:val="0022704F"/>
    <w:rsid w:val="00227BAC"/>
    <w:rsid w:val="00227C50"/>
    <w:rsid w:val="00227EC1"/>
    <w:rsid w:val="002302E4"/>
    <w:rsid w:val="0023031F"/>
    <w:rsid w:val="00230876"/>
    <w:rsid w:val="0023099F"/>
    <w:rsid w:val="00230AE1"/>
    <w:rsid w:val="002311A0"/>
    <w:rsid w:val="00231516"/>
    <w:rsid w:val="00231F35"/>
    <w:rsid w:val="002327F8"/>
    <w:rsid w:val="00233193"/>
    <w:rsid w:val="00233406"/>
    <w:rsid w:val="002335D3"/>
    <w:rsid w:val="00233959"/>
    <w:rsid w:val="00233FF6"/>
    <w:rsid w:val="002343CC"/>
    <w:rsid w:val="00235097"/>
    <w:rsid w:val="00235568"/>
    <w:rsid w:val="00235FE4"/>
    <w:rsid w:val="0023606C"/>
    <w:rsid w:val="002361E3"/>
    <w:rsid w:val="00236211"/>
    <w:rsid w:val="002366B3"/>
    <w:rsid w:val="00236942"/>
    <w:rsid w:val="002369B8"/>
    <w:rsid w:val="00237595"/>
    <w:rsid w:val="00237990"/>
    <w:rsid w:val="00237B17"/>
    <w:rsid w:val="00240004"/>
    <w:rsid w:val="00240117"/>
    <w:rsid w:val="00240AA3"/>
    <w:rsid w:val="0024120C"/>
    <w:rsid w:val="002412C7"/>
    <w:rsid w:val="00241373"/>
    <w:rsid w:val="002415DF"/>
    <w:rsid w:val="00241634"/>
    <w:rsid w:val="00241647"/>
    <w:rsid w:val="00242159"/>
    <w:rsid w:val="002421DC"/>
    <w:rsid w:val="002423BE"/>
    <w:rsid w:val="00242EE4"/>
    <w:rsid w:val="00242F3F"/>
    <w:rsid w:val="0024436C"/>
    <w:rsid w:val="002445EC"/>
    <w:rsid w:val="00244E3D"/>
    <w:rsid w:val="002454E7"/>
    <w:rsid w:val="002461A6"/>
    <w:rsid w:val="00246383"/>
    <w:rsid w:val="0024671D"/>
    <w:rsid w:val="00247677"/>
    <w:rsid w:val="00247678"/>
    <w:rsid w:val="002476B5"/>
    <w:rsid w:val="00247721"/>
    <w:rsid w:val="00247D26"/>
    <w:rsid w:val="00247FAD"/>
    <w:rsid w:val="002506E0"/>
    <w:rsid w:val="0025070F"/>
    <w:rsid w:val="00250AE3"/>
    <w:rsid w:val="002523D9"/>
    <w:rsid w:val="00252E3C"/>
    <w:rsid w:val="00253DE0"/>
    <w:rsid w:val="00254019"/>
    <w:rsid w:val="00255230"/>
    <w:rsid w:val="002560E2"/>
    <w:rsid w:val="00256CC2"/>
    <w:rsid w:val="00256E25"/>
    <w:rsid w:val="0025749E"/>
    <w:rsid w:val="002574BD"/>
    <w:rsid w:val="0025763F"/>
    <w:rsid w:val="00257798"/>
    <w:rsid w:val="00257902"/>
    <w:rsid w:val="00257BFF"/>
    <w:rsid w:val="00260335"/>
    <w:rsid w:val="00260380"/>
    <w:rsid w:val="0026105A"/>
    <w:rsid w:val="0026140C"/>
    <w:rsid w:val="00261657"/>
    <w:rsid w:val="0026165B"/>
    <w:rsid w:val="0026202A"/>
    <w:rsid w:val="00262211"/>
    <w:rsid w:val="00262254"/>
    <w:rsid w:val="00262A8A"/>
    <w:rsid w:val="002630DA"/>
    <w:rsid w:val="002631CF"/>
    <w:rsid w:val="002632D9"/>
    <w:rsid w:val="00263985"/>
    <w:rsid w:val="00263DD5"/>
    <w:rsid w:val="00263E2D"/>
    <w:rsid w:val="002645C7"/>
    <w:rsid w:val="00264E26"/>
    <w:rsid w:val="00264FF2"/>
    <w:rsid w:val="00264FFD"/>
    <w:rsid w:val="00265A11"/>
    <w:rsid w:val="00265B36"/>
    <w:rsid w:val="00266312"/>
    <w:rsid w:val="002671CE"/>
    <w:rsid w:val="00267233"/>
    <w:rsid w:val="002703FC"/>
    <w:rsid w:val="00270A06"/>
    <w:rsid w:val="00270C8E"/>
    <w:rsid w:val="00271B65"/>
    <w:rsid w:val="00271ED8"/>
    <w:rsid w:val="002722C6"/>
    <w:rsid w:val="0027349A"/>
    <w:rsid w:val="002735ED"/>
    <w:rsid w:val="00274201"/>
    <w:rsid w:val="0027429F"/>
    <w:rsid w:val="002749F5"/>
    <w:rsid w:val="00274F36"/>
    <w:rsid w:val="002752F7"/>
    <w:rsid w:val="0027534E"/>
    <w:rsid w:val="00276898"/>
    <w:rsid w:val="00276AE7"/>
    <w:rsid w:val="00276CA1"/>
    <w:rsid w:val="00276CF8"/>
    <w:rsid w:val="00277556"/>
    <w:rsid w:val="00277E25"/>
    <w:rsid w:val="00277F5F"/>
    <w:rsid w:val="00280017"/>
    <w:rsid w:val="00280140"/>
    <w:rsid w:val="00280574"/>
    <w:rsid w:val="00280849"/>
    <w:rsid w:val="00281795"/>
    <w:rsid w:val="002826B7"/>
    <w:rsid w:val="00283EF9"/>
    <w:rsid w:val="00284D1A"/>
    <w:rsid w:val="00284D8F"/>
    <w:rsid w:val="00284FF8"/>
    <w:rsid w:val="00285408"/>
    <w:rsid w:val="0028544D"/>
    <w:rsid w:val="00285898"/>
    <w:rsid w:val="00286115"/>
    <w:rsid w:val="002864C9"/>
    <w:rsid w:val="002869A3"/>
    <w:rsid w:val="00286D0D"/>
    <w:rsid w:val="00290066"/>
    <w:rsid w:val="0029111C"/>
    <w:rsid w:val="0029154D"/>
    <w:rsid w:val="0029163A"/>
    <w:rsid w:val="00291C00"/>
    <w:rsid w:val="00292051"/>
    <w:rsid w:val="00292ACC"/>
    <w:rsid w:val="00292F4C"/>
    <w:rsid w:val="00292FB3"/>
    <w:rsid w:val="00292FD1"/>
    <w:rsid w:val="00293B41"/>
    <w:rsid w:val="002946DC"/>
    <w:rsid w:val="00294C3A"/>
    <w:rsid w:val="00294D41"/>
    <w:rsid w:val="00294E7E"/>
    <w:rsid w:val="00294ECC"/>
    <w:rsid w:val="0029503C"/>
    <w:rsid w:val="00295540"/>
    <w:rsid w:val="002955B7"/>
    <w:rsid w:val="00295DDC"/>
    <w:rsid w:val="00296208"/>
    <w:rsid w:val="00296E7E"/>
    <w:rsid w:val="002971CB"/>
    <w:rsid w:val="002971D9"/>
    <w:rsid w:val="0029790F"/>
    <w:rsid w:val="002A0316"/>
    <w:rsid w:val="002A0368"/>
    <w:rsid w:val="002A0C27"/>
    <w:rsid w:val="002A0F31"/>
    <w:rsid w:val="002A158C"/>
    <w:rsid w:val="002A1C3B"/>
    <w:rsid w:val="002A1D77"/>
    <w:rsid w:val="002A2488"/>
    <w:rsid w:val="002A2AFF"/>
    <w:rsid w:val="002A2BF6"/>
    <w:rsid w:val="002A2D9E"/>
    <w:rsid w:val="002A2EC0"/>
    <w:rsid w:val="002A2F33"/>
    <w:rsid w:val="002A3089"/>
    <w:rsid w:val="002A32A4"/>
    <w:rsid w:val="002A32AF"/>
    <w:rsid w:val="002A32C7"/>
    <w:rsid w:val="002A3378"/>
    <w:rsid w:val="002A3B74"/>
    <w:rsid w:val="002A3C1F"/>
    <w:rsid w:val="002A4E30"/>
    <w:rsid w:val="002A4E37"/>
    <w:rsid w:val="002A5FB5"/>
    <w:rsid w:val="002A62BE"/>
    <w:rsid w:val="002A671F"/>
    <w:rsid w:val="002A68F2"/>
    <w:rsid w:val="002A6D89"/>
    <w:rsid w:val="002B012E"/>
    <w:rsid w:val="002B087A"/>
    <w:rsid w:val="002B0AE6"/>
    <w:rsid w:val="002B0D81"/>
    <w:rsid w:val="002B1B4A"/>
    <w:rsid w:val="002B1F47"/>
    <w:rsid w:val="002B2000"/>
    <w:rsid w:val="002B2320"/>
    <w:rsid w:val="002B2D80"/>
    <w:rsid w:val="002B2D9F"/>
    <w:rsid w:val="002B3414"/>
    <w:rsid w:val="002B342E"/>
    <w:rsid w:val="002B3504"/>
    <w:rsid w:val="002B3AA7"/>
    <w:rsid w:val="002B47C4"/>
    <w:rsid w:val="002B4F91"/>
    <w:rsid w:val="002B553D"/>
    <w:rsid w:val="002B5769"/>
    <w:rsid w:val="002B58EC"/>
    <w:rsid w:val="002B6867"/>
    <w:rsid w:val="002B6925"/>
    <w:rsid w:val="002B6D84"/>
    <w:rsid w:val="002B766C"/>
    <w:rsid w:val="002B7BEC"/>
    <w:rsid w:val="002B7E95"/>
    <w:rsid w:val="002C07B6"/>
    <w:rsid w:val="002C0ADC"/>
    <w:rsid w:val="002C0D56"/>
    <w:rsid w:val="002C1B90"/>
    <w:rsid w:val="002C2CCD"/>
    <w:rsid w:val="002C30FE"/>
    <w:rsid w:val="002C31FE"/>
    <w:rsid w:val="002C4525"/>
    <w:rsid w:val="002C4FA5"/>
    <w:rsid w:val="002C5023"/>
    <w:rsid w:val="002C5093"/>
    <w:rsid w:val="002C5510"/>
    <w:rsid w:val="002C567B"/>
    <w:rsid w:val="002C59F0"/>
    <w:rsid w:val="002C5A8A"/>
    <w:rsid w:val="002C6BA9"/>
    <w:rsid w:val="002C6D15"/>
    <w:rsid w:val="002C7319"/>
    <w:rsid w:val="002C7595"/>
    <w:rsid w:val="002C7CC6"/>
    <w:rsid w:val="002C7DA1"/>
    <w:rsid w:val="002D00FC"/>
    <w:rsid w:val="002D0151"/>
    <w:rsid w:val="002D18C3"/>
    <w:rsid w:val="002D1D0D"/>
    <w:rsid w:val="002D1D12"/>
    <w:rsid w:val="002D25E6"/>
    <w:rsid w:val="002D349D"/>
    <w:rsid w:val="002D3B80"/>
    <w:rsid w:val="002D4F6E"/>
    <w:rsid w:val="002D5247"/>
    <w:rsid w:val="002D54A6"/>
    <w:rsid w:val="002D6539"/>
    <w:rsid w:val="002D66BB"/>
    <w:rsid w:val="002D6B5A"/>
    <w:rsid w:val="002D775B"/>
    <w:rsid w:val="002D7AE5"/>
    <w:rsid w:val="002D7B9B"/>
    <w:rsid w:val="002E0542"/>
    <w:rsid w:val="002E0685"/>
    <w:rsid w:val="002E1062"/>
    <w:rsid w:val="002E12D4"/>
    <w:rsid w:val="002E130A"/>
    <w:rsid w:val="002E14F8"/>
    <w:rsid w:val="002E1545"/>
    <w:rsid w:val="002E1655"/>
    <w:rsid w:val="002E21CB"/>
    <w:rsid w:val="002E2763"/>
    <w:rsid w:val="002E28EF"/>
    <w:rsid w:val="002E3EBD"/>
    <w:rsid w:val="002E443C"/>
    <w:rsid w:val="002E4DF3"/>
    <w:rsid w:val="002E646B"/>
    <w:rsid w:val="002E7660"/>
    <w:rsid w:val="002E77CB"/>
    <w:rsid w:val="002E7B2C"/>
    <w:rsid w:val="002F02A4"/>
    <w:rsid w:val="002F07DE"/>
    <w:rsid w:val="002F09B7"/>
    <w:rsid w:val="002F10B4"/>
    <w:rsid w:val="002F114E"/>
    <w:rsid w:val="002F1805"/>
    <w:rsid w:val="002F1817"/>
    <w:rsid w:val="002F27A2"/>
    <w:rsid w:val="002F3303"/>
    <w:rsid w:val="002F376A"/>
    <w:rsid w:val="002F3C17"/>
    <w:rsid w:val="002F3D5C"/>
    <w:rsid w:val="002F4EC6"/>
    <w:rsid w:val="002F5C26"/>
    <w:rsid w:val="002F60A6"/>
    <w:rsid w:val="002F677C"/>
    <w:rsid w:val="002F76DC"/>
    <w:rsid w:val="002F7A69"/>
    <w:rsid w:val="002F7C52"/>
    <w:rsid w:val="0030056B"/>
    <w:rsid w:val="003010B3"/>
    <w:rsid w:val="00301278"/>
    <w:rsid w:val="00301516"/>
    <w:rsid w:val="0030183A"/>
    <w:rsid w:val="00301900"/>
    <w:rsid w:val="00301E65"/>
    <w:rsid w:val="0030230A"/>
    <w:rsid w:val="00302997"/>
    <w:rsid w:val="00302CFD"/>
    <w:rsid w:val="00302D3B"/>
    <w:rsid w:val="003046E2"/>
    <w:rsid w:val="0030478B"/>
    <w:rsid w:val="003054CB"/>
    <w:rsid w:val="00306A2A"/>
    <w:rsid w:val="0030704F"/>
    <w:rsid w:val="00307104"/>
    <w:rsid w:val="00307640"/>
    <w:rsid w:val="00307769"/>
    <w:rsid w:val="0030798D"/>
    <w:rsid w:val="00307CE1"/>
    <w:rsid w:val="00307EEC"/>
    <w:rsid w:val="0031005E"/>
    <w:rsid w:val="00310684"/>
    <w:rsid w:val="0031169F"/>
    <w:rsid w:val="0031190A"/>
    <w:rsid w:val="003120D1"/>
    <w:rsid w:val="00313157"/>
    <w:rsid w:val="00314CC7"/>
    <w:rsid w:val="00314DF2"/>
    <w:rsid w:val="00315862"/>
    <w:rsid w:val="003158D0"/>
    <w:rsid w:val="00315A72"/>
    <w:rsid w:val="003168AC"/>
    <w:rsid w:val="0031747A"/>
    <w:rsid w:val="00317907"/>
    <w:rsid w:val="00317C89"/>
    <w:rsid w:val="00320DD2"/>
    <w:rsid w:val="00321298"/>
    <w:rsid w:val="00321635"/>
    <w:rsid w:val="0032212F"/>
    <w:rsid w:val="00323847"/>
    <w:rsid w:val="0032414F"/>
    <w:rsid w:val="00324AF2"/>
    <w:rsid w:val="003258C0"/>
    <w:rsid w:val="00325906"/>
    <w:rsid w:val="00327A63"/>
    <w:rsid w:val="00327E1E"/>
    <w:rsid w:val="0033080C"/>
    <w:rsid w:val="00330878"/>
    <w:rsid w:val="00330CA6"/>
    <w:rsid w:val="00331248"/>
    <w:rsid w:val="00331CEF"/>
    <w:rsid w:val="0033289B"/>
    <w:rsid w:val="003328BC"/>
    <w:rsid w:val="00332B1B"/>
    <w:rsid w:val="00332C82"/>
    <w:rsid w:val="00333523"/>
    <w:rsid w:val="0033371C"/>
    <w:rsid w:val="00333A9E"/>
    <w:rsid w:val="00333E32"/>
    <w:rsid w:val="00333E42"/>
    <w:rsid w:val="00333EB6"/>
    <w:rsid w:val="0033420C"/>
    <w:rsid w:val="0033585F"/>
    <w:rsid w:val="00335ABE"/>
    <w:rsid w:val="0033634C"/>
    <w:rsid w:val="00336ED4"/>
    <w:rsid w:val="00337244"/>
    <w:rsid w:val="003372F8"/>
    <w:rsid w:val="003374EA"/>
    <w:rsid w:val="00337E10"/>
    <w:rsid w:val="00337FA5"/>
    <w:rsid w:val="003401C8"/>
    <w:rsid w:val="00340F39"/>
    <w:rsid w:val="00340F8E"/>
    <w:rsid w:val="003410EE"/>
    <w:rsid w:val="0034112D"/>
    <w:rsid w:val="0034175C"/>
    <w:rsid w:val="00341FB3"/>
    <w:rsid w:val="00341FF4"/>
    <w:rsid w:val="003426CE"/>
    <w:rsid w:val="00342BD4"/>
    <w:rsid w:val="00342CAF"/>
    <w:rsid w:val="003433F2"/>
    <w:rsid w:val="003439F5"/>
    <w:rsid w:val="00343A7C"/>
    <w:rsid w:val="00344565"/>
    <w:rsid w:val="0034456A"/>
    <w:rsid w:val="00344627"/>
    <w:rsid w:val="0034630E"/>
    <w:rsid w:val="0034669B"/>
    <w:rsid w:val="0034771C"/>
    <w:rsid w:val="0034780B"/>
    <w:rsid w:val="00350082"/>
    <w:rsid w:val="003501D6"/>
    <w:rsid w:val="003502AB"/>
    <w:rsid w:val="00350B56"/>
    <w:rsid w:val="00351B95"/>
    <w:rsid w:val="00352083"/>
    <w:rsid w:val="0035216D"/>
    <w:rsid w:val="0035276C"/>
    <w:rsid w:val="00352862"/>
    <w:rsid w:val="003531C6"/>
    <w:rsid w:val="00353212"/>
    <w:rsid w:val="003536E3"/>
    <w:rsid w:val="0035389B"/>
    <w:rsid w:val="00353B76"/>
    <w:rsid w:val="00353CC1"/>
    <w:rsid w:val="003543E0"/>
    <w:rsid w:val="003549CD"/>
    <w:rsid w:val="00354C1E"/>
    <w:rsid w:val="00354D42"/>
    <w:rsid w:val="00354F4F"/>
    <w:rsid w:val="0035555B"/>
    <w:rsid w:val="003555D8"/>
    <w:rsid w:val="00355CEF"/>
    <w:rsid w:val="00355E4F"/>
    <w:rsid w:val="003569B5"/>
    <w:rsid w:val="003569C4"/>
    <w:rsid w:val="00356C8B"/>
    <w:rsid w:val="00356C94"/>
    <w:rsid w:val="0035773D"/>
    <w:rsid w:val="00357E81"/>
    <w:rsid w:val="003600C3"/>
    <w:rsid w:val="00360359"/>
    <w:rsid w:val="003606D8"/>
    <w:rsid w:val="003607E7"/>
    <w:rsid w:val="00360E9D"/>
    <w:rsid w:val="00361160"/>
    <w:rsid w:val="00362BE0"/>
    <w:rsid w:val="00362E81"/>
    <w:rsid w:val="003632CE"/>
    <w:rsid w:val="00363DC0"/>
    <w:rsid w:val="0036403F"/>
    <w:rsid w:val="0036437F"/>
    <w:rsid w:val="0036444D"/>
    <w:rsid w:val="00364F06"/>
    <w:rsid w:val="00365191"/>
    <w:rsid w:val="003655A4"/>
    <w:rsid w:val="00366B64"/>
    <w:rsid w:val="003672DF"/>
    <w:rsid w:val="00367382"/>
    <w:rsid w:val="0036762E"/>
    <w:rsid w:val="00367887"/>
    <w:rsid w:val="00370B1A"/>
    <w:rsid w:val="00370C43"/>
    <w:rsid w:val="00371021"/>
    <w:rsid w:val="0037124C"/>
    <w:rsid w:val="003719C2"/>
    <w:rsid w:val="00371DCF"/>
    <w:rsid w:val="003723FE"/>
    <w:rsid w:val="00372791"/>
    <w:rsid w:val="00372837"/>
    <w:rsid w:val="00373508"/>
    <w:rsid w:val="00373E44"/>
    <w:rsid w:val="0037488D"/>
    <w:rsid w:val="003750C3"/>
    <w:rsid w:val="00375365"/>
    <w:rsid w:val="003758F2"/>
    <w:rsid w:val="00375B67"/>
    <w:rsid w:val="00376428"/>
    <w:rsid w:val="003767DA"/>
    <w:rsid w:val="003774DD"/>
    <w:rsid w:val="00377564"/>
    <w:rsid w:val="003775B4"/>
    <w:rsid w:val="003806BC"/>
    <w:rsid w:val="00380E58"/>
    <w:rsid w:val="00381F34"/>
    <w:rsid w:val="00382F7F"/>
    <w:rsid w:val="0038348C"/>
    <w:rsid w:val="0038353C"/>
    <w:rsid w:val="003841CB"/>
    <w:rsid w:val="00384418"/>
    <w:rsid w:val="00384B7A"/>
    <w:rsid w:val="0038529A"/>
    <w:rsid w:val="00385B44"/>
    <w:rsid w:val="00385FAA"/>
    <w:rsid w:val="003864A0"/>
    <w:rsid w:val="00387CE7"/>
    <w:rsid w:val="00387D5E"/>
    <w:rsid w:val="003904FA"/>
    <w:rsid w:val="0039097E"/>
    <w:rsid w:val="003909A8"/>
    <w:rsid w:val="003913DE"/>
    <w:rsid w:val="00391AF5"/>
    <w:rsid w:val="003920E4"/>
    <w:rsid w:val="0039251D"/>
    <w:rsid w:val="00392C97"/>
    <w:rsid w:val="00393038"/>
    <w:rsid w:val="00393726"/>
    <w:rsid w:val="003946B5"/>
    <w:rsid w:val="00394F1B"/>
    <w:rsid w:val="0039515B"/>
    <w:rsid w:val="003958FD"/>
    <w:rsid w:val="00396651"/>
    <w:rsid w:val="003967C3"/>
    <w:rsid w:val="00396974"/>
    <w:rsid w:val="00396A75"/>
    <w:rsid w:val="0039768D"/>
    <w:rsid w:val="003A005B"/>
    <w:rsid w:val="003A09A3"/>
    <w:rsid w:val="003A0AF7"/>
    <w:rsid w:val="003A1972"/>
    <w:rsid w:val="003A1A86"/>
    <w:rsid w:val="003A1CCC"/>
    <w:rsid w:val="003A23B9"/>
    <w:rsid w:val="003A30DC"/>
    <w:rsid w:val="003A34E0"/>
    <w:rsid w:val="003A36F1"/>
    <w:rsid w:val="003A376B"/>
    <w:rsid w:val="003A387D"/>
    <w:rsid w:val="003A3968"/>
    <w:rsid w:val="003A3BB9"/>
    <w:rsid w:val="003A41F3"/>
    <w:rsid w:val="003A4267"/>
    <w:rsid w:val="003A4686"/>
    <w:rsid w:val="003A512D"/>
    <w:rsid w:val="003A59E0"/>
    <w:rsid w:val="003A606B"/>
    <w:rsid w:val="003A6498"/>
    <w:rsid w:val="003A68D0"/>
    <w:rsid w:val="003A68FB"/>
    <w:rsid w:val="003A6912"/>
    <w:rsid w:val="003A77DC"/>
    <w:rsid w:val="003B016A"/>
    <w:rsid w:val="003B05F3"/>
    <w:rsid w:val="003B09AB"/>
    <w:rsid w:val="003B0ADA"/>
    <w:rsid w:val="003B0BD6"/>
    <w:rsid w:val="003B2932"/>
    <w:rsid w:val="003B32BC"/>
    <w:rsid w:val="003B32DF"/>
    <w:rsid w:val="003B3836"/>
    <w:rsid w:val="003B397C"/>
    <w:rsid w:val="003B3A1D"/>
    <w:rsid w:val="003B3F42"/>
    <w:rsid w:val="003B418D"/>
    <w:rsid w:val="003B419F"/>
    <w:rsid w:val="003B486D"/>
    <w:rsid w:val="003B4CA5"/>
    <w:rsid w:val="003B5603"/>
    <w:rsid w:val="003B5987"/>
    <w:rsid w:val="003B5E9A"/>
    <w:rsid w:val="003B662A"/>
    <w:rsid w:val="003B6FA9"/>
    <w:rsid w:val="003B71E6"/>
    <w:rsid w:val="003B72EB"/>
    <w:rsid w:val="003B7764"/>
    <w:rsid w:val="003B7F93"/>
    <w:rsid w:val="003C0142"/>
    <w:rsid w:val="003C0193"/>
    <w:rsid w:val="003C02B6"/>
    <w:rsid w:val="003C04D3"/>
    <w:rsid w:val="003C1359"/>
    <w:rsid w:val="003C22F8"/>
    <w:rsid w:val="003C246A"/>
    <w:rsid w:val="003C2AB4"/>
    <w:rsid w:val="003C3119"/>
    <w:rsid w:val="003C31EE"/>
    <w:rsid w:val="003C360D"/>
    <w:rsid w:val="003C37FC"/>
    <w:rsid w:val="003C3C07"/>
    <w:rsid w:val="003C3E12"/>
    <w:rsid w:val="003C5230"/>
    <w:rsid w:val="003C561E"/>
    <w:rsid w:val="003C5DB2"/>
    <w:rsid w:val="003C5FED"/>
    <w:rsid w:val="003C643C"/>
    <w:rsid w:val="003C6D18"/>
    <w:rsid w:val="003C6D80"/>
    <w:rsid w:val="003C6EE7"/>
    <w:rsid w:val="003C70CB"/>
    <w:rsid w:val="003C7101"/>
    <w:rsid w:val="003C7FB8"/>
    <w:rsid w:val="003D1DC0"/>
    <w:rsid w:val="003D200C"/>
    <w:rsid w:val="003D205E"/>
    <w:rsid w:val="003D2758"/>
    <w:rsid w:val="003D2881"/>
    <w:rsid w:val="003D2A42"/>
    <w:rsid w:val="003D377C"/>
    <w:rsid w:val="003D3B56"/>
    <w:rsid w:val="003D3B95"/>
    <w:rsid w:val="003D3FD6"/>
    <w:rsid w:val="003D5033"/>
    <w:rsid w:val="003D5968"/>
    <w:rsid w:val="003D5C71"/>
    <w:rsid w:val="003D64AE"/>
    <w:rsid w:val="003D6583"/>
    <w:rsid w:val="003D69C7"/>
    <w:rsid w:val="003D76BE"/>
    <w:rsid w:val="003E019F"/>
    <w:rsid w:val="003E02A0"/>
    <w:rsid w:val="003E0905"/>
    <w:rsid w:val="003E0B28"/>
    <w:rsid w:val="003E0EF1"/>
    <w:rsid w:val="003E1481"/>
    <w:rsid w:val="003E1741"/>
    <w:rsid w:val="003E1A7A"/>
    <w:rsid w:val="003E1C0C"/>
    <w:rsid w:val="003E1C2D"/>
    <w:rsid w:val="003E212D"/>
    <w:rsid w:val="003E28D6"/>
    <w:rsid w:val="003E2CA5"/>
    <w:rsid w:val="003E2D3A"/>
    <w:rsid w:val="003E34D2"/>
    <w:rsid w:val="003E3D88"/>
    <w:rsid w:val="003E484C"/>
    <w:rsid w:val="003E4C16"/>
    <w:rsid w:val="003E4DCD"/>
    <w:rsid w:val="003E5DE5"/>
    <w:rsid w:val="003E656F"/>
    <w:rsid w:val="003E6AD2"/>
    <w:rsid w:val="003E7A24"/>
    <w:rsid w:val="003E7F9F"/>
    <w:rsid w:val="003F0355"/>
    <w:rsid w:val="003F051F"/>
    <w:rsid w:val="003F0706"/>
    <w:rsid w:val="003F08DF"/>
    <w:rsid w:val="003F0F4C"/>
    <w:rsid w:val="003F1C2B"/>
    <w:rsid w:val="003F26E3"/>
    <w:rsid w:val="003F2861"/>
    <w:rsid w:val="003F34E8"/>
    <w:rsid w:val="003F3A10"/>
    <w:rsid w:val="003F434F"/>
    <w:rsid w:val="003F46AB"/>
    <w:rsid w:val="003F4E71"/>
    <w:rsid w:val="003F5673"/>
    <w:rsid w:val="003F58B5"/>
    <w:rsid w:val="003F5B62"/>
    <w:rsid w:val="003F5FBE"/>
    <w:rsid w:val="003F6361"/>
    <w:rsid w:val="003F717F"/>
    <w:rsid w:val="003F7E73"/>
    <w:rsid w:val="00400BF3"/>
    <w:rsid w:val="00400E1A"/>
    <w:rsid w:val="0040134F"/>
    <w:rsid w:val="00402926"/>
    <w:rsid w:val="004034A2"/>
    <w:rsid w:val="00404388"/>
    <w:rsid w:val="00404948"/>
    <w:rsid w:val="004049AE"/>
    <w:rsid w:val="00405405"/>
    <w:rsid w:val="00405479"/>
    <w:rsid w:val="004054D5"/>
    <w:rsid w:val="004056AA"/>
    <w:rsid w:val="0040606D"/>
    <w:rsid w:val="0040780E"/>
    <w:rsid w:val="00407B60"/>
    <w:rsid w:val="00407BC9"/>
    <w:rsid w:val="004100BC"/>
    <w:rsid w:val="0041188C"/>
    <w:rsid w:val="00411A16"/>
    <w:rsid w:val="00412A0D"/>
    <w:rsid w:val="004130AB"/>
    <w:rsid w:val="0041327C"/>
    <w:rsid w:val="004132E3"/>
    <w:rsid w:val="00413D6D"/>
    <w:rsid w:val="004141B9"/>
    <w:rsid w:val="00414B08"/>
    <w:rsid w:val="004159F9"/>
    <w:rsid w:val="00415AD8"/>
    <w:rsid w:val="00415D49"/>
    <w:rsid w:val="004168A9"/>
    <w:rsid w:val="00416E5E"/>
    <w:rsid w:val="004171C8"/>
    <w:rsid w:val="004173B1"/>
    <w:rsid w:val="0041764E"/>
    <w:rsid w:val="00420947"/>
    <w:rsid w:val="00420BD2"/>
    <w:rsid w:val="00420D9B"/>
    <w:rsid w:val="00420FDC"/>
    <w:rsid w:val="00421284"/>
    <w:rsid w:val="00421616"/>
    <w:rsid w:val="00422437"/>
    <w:rsid w:val="00422820"/>
    <w:rsid w:val="00422A14"/>
    <w:rsid w:val="00423BCB"/>
    <w:rsid w:val="00423FF7"/>
    <w:rsid w:val="0042475A"/>
    <w:rsid w:val="004254DE"/>
    <w:rsid w:val="004269DD"/>
    <w:rsid w:val="004274AA"/>
    <w:rsid w:val="00427D9D"/>
    <w:rsid w:val="00427DC8"/>
    <w:rsid w:val="00430173"/>
    <w:rsid w:val="004311BA"/>
    <w:rsid w:val="00431E30"/>
    <w:rsid w:val="0043325D"/>
    <w:rsid w:val="00434110"/>
    <w:rsid w:val="00434153"/>
    <w:rsid w:val="00434200"/>
    <w:rsid w:val="00434A08"/>
    <w:rsid w:val="00434B05"/>
    <w:rsid w:val="00434C3A"/>
    <w:rsid w:val="0043529C"/>
    <w:rsid w:val="00435348"/>
    <w:rsid w:val="00435BB2"/>
    <w:rsid w:val="00435C03"/>
    <w:rsid w:val="00436090"/>
    <w:rsid w:val="004360E7"/>
    <w:rsid w:val="0043646E"/>
    <w:rsid w:val="0043769B"/>
    <w:rsid w:val="00437E06"/>
    <w:rsid w:val="00440357"/>
    <w:rsid w:val="004409F6"/>
    <w:rsid w:val="00440A0D"/>
    <w:rsid w:val="00440B54"/>
    <w:rsid w:val="004412D3"/>
    <w:rsid w:val="00441971"/>
    <w:rsid w:val="00442044"/>
    <w:rsid w:val="004420D1"/>
    <w:rsid w:val="004426FC"/>
    <w:rsid w:val="00443F19"/>
    <w:rsid w:val="00443FB3"/>
    <w:rsid w:val="0044447F"/>
    <w:rsid w:val="00444645"/>
    <w:rsid w:val="004449F8"/>
    <w:rsid w:val="0044620B"/>
    <w:rsid w:val="00446C84"/>
    <w:rsid w:val="00447638"/>
    <w:rsid w:val="0044798A"/>
    <w:rsid w:val="00450AFB"/>
    <w:rsid w:val="00450B18"/>
    <w:rsid w:val="0045129B"/>
    <w:rsid w:val="004513AA"/>
    <w:rsid w:val="00452304"/>
    <w:rsid w:val="004524C6"/>
    <w:rsid w:val="00452A62"/>
    <w:rsid w:val="00452B1B"/>
    <w:rsid w:val="00452C42"/>
    <w:rsid w:val="0045371A"/>
    <w:rsid w:val="00453A8E"/>
    <w:rsid w:val="00454430"/>
    <w:rsid w:val="004549AD"/>
    <w:rsid w:val="004551C3"/>
    <w:rsid w:val="004553C2"/>
    <w:rsid w:val="004555A9"/>
    <w:rsid w:val="00455A3F"/>
    <w:rsid w:val="00455A5D"/>
    <w:rsid w:val="00460168"/>
    <w:rsid w:val="004603BA"/>
    <w:rsid w:val="00460798"/>
    <w:rsid w:val="00460B9A"/>
    <w:rsid w:val="00460DFA"/>
    <w:rsid w:val="004622A8"/>
    <w:rsid w:val="00462438"/>
    <w:rsid w:val="00462B92"/>
    <w:rsid w:val="00463914"/>
    <w:rsid w:val="004648F9"/>
    <w:rsid w:val="00464BB5"/>
    <w:rsid w:val="00464EC0"/>
    <w:rsid w:val="00465564"/>
    <w:rsid w:val="00465924"/>
    <w:rsid w:val="0046628E"/>
    <w:rsid w:val="00466429"/>
    <w:rsid w:val="004664AF"/>
    <w:rsid w:val="0046684B"/>
    <w:rsid w:val="00466EBA"/>
    <w:rsid w:val="004670C5"/>
    <w:rsid w:val="0046782F"/>
    <w:rsid w:val="00467904"/>
    <w:rsid w:val="00467E8A"/>
    <w:rsid w:val="00470326"/>
    <w:rsid w:val="004703EB"/>
    <w:rsid w:val="0047078B"/>
    <w:rsid w:val="00470824"/>
    <w:rsid w:val="00470C11"/>
    <w:rsid w:val="004713CE"/>
    <w:rsid w:val="00471545"/>
    <w:rsid w:val="00471934"/>
    <w:rsid w:val="00471A7A"/>
    <w:rsid w:val="00471BCF"/>
    <w:rsid w:val="00471C83"/>
    <w:rsid w:val="00471FC8"/>
    <w:rsid w:val="004732CF"/>
    <w:rsid w:val="00473FA1"/>
    <w:rsid w:val="004740E3"/>
    <w:rsid w:val="00474CC8"/>
    <w:rsid w:val="0047583A"/>
    <w:rsid w:val="00475BD9"/>
    <w:rsid w:val="00475F01"/>
    <w:rsid w:val="0047604C"/>
    <w:rsid w:val="00476DD3"/>
    <w:rsid w:val="00477069"/>
    <w:rsid w:val="00477547"/>
    <w:rsid w:val="004779A1"/>
    <w:rsid w:val="00477A47"/>
    <w:rsid w:val="00477CD9"/>
    <w:rsid w:val="0048011D"/>
    <w:rsid w:val="00480804"/>
    <w:rsid w:val="00480913"/>
    <w:rsid w:val="00480C9A"/>
    <w:rsid w:val="00480CA4"/>
    <w:rsid w:val="00480F6E"/>
    <w:rsid w:val="00481465"/>
    <w:rsid w:val="0048194D"/>
    <w:rsid w:val="0048210C"/>
    <w:rsid w:val="00482678"/>
    <w:rsid w:val="0048348C"/>
    <w:rsid w:val="004838D3"/>
    <w:rsid w:val="00484615"/>
    <w:rsid w:val="00484A45"/>
    <w:rsid w:val="00484D0F"/>
    <w:rsid w:val="00485168"/>
    <w:rsid w:val="0048524B"/>
    <w:rsid w:val="0048526A"/>
    <w:rsid w:val="00485A39"/>
    <w:rsid w:val="004860A6"/>
    <w:rsid w:val="004860B3"/>
    <w:rsid w:val="00486B16"/>
    <w:rsid w:val="00487053"/>
    <w:rsid w:val="0049113C"/>
    <w:rsid w:val="00491456"/>
    <w:rsid w:val="00491784"/>
    <w:rsid w:val="00492281"/>
    <w:rsid w:val="00492429"/>
    <w:rsid w:val="004925FA"/>
    <w:rsid w:val="00492CD0"/>
    <w:rsid w:val="004931BF"/>
    <w:rsid w:val="004932BC"/>
    <w:rsid w:val="0049341B"/>
    <w:rsid w:val="00493C14"/>
    <w:rsid w:val="00493FEA"/>
    <w:rsid w:val="00494BA2"/>
    <w:rsid w:val="00494BE6"/>
    <w:rsid w:val="00494C55"/>
    <w:rsid w:val="00495637"/>
    <w:rsid w:val="0049578B"/>
    <w:rsid w:val="004958C4"/>
    <w:rsid w:val="0049599F"/>
    <w:rsid w:val="00495E40"/>
    <w:rsid w:val="00496471"/>
    <w:rsid w:val="004964FA"/>
    <w:rsid w:val="004968BA"/>
    <w:rsid w:val="00496A4C"/>
    <w:rsid w:val="00497469"/>
    <w:rsid w:val="00497B1A"/>
    <w:rsid w:val="004A0672"/>
    <w:rsid w:val="004A0900"/>
    <w:rsid w:val="004A0E52"/>
    <w:rsid w:val="004A1318"/>
    <w:rsid w:val="004A1583"/>
    <w:rsid w:val="004A1F33"/>
    <w:rsid w:val="004A2F6A"/>
    <w:rsid w:val="004A3A7B"/>
    <w:rsid w:val="004A3AFD"/>
    <w:rsid w:val="004A3B4C"/>
    <w:rsid w:val="004A3F9F"/>
    <w:rsid w:val="004A3FD1"/>
    <w:rsid w:val="004A435A"/>
    <w:rsid w:val="004A4913"/>
    <w:rsid w:val="004A5231"/>
    <w:rsid w:val="004A55EC"/>
    <w:rsid w:val="004A59D5"/>
    <w:rsid w:val="004A5B0C"/>
    <w:rsid w:val="004A5DBD"/>
    <w:rsid w:val="004A66F5"/>
    <w:rsid w:val="004A76CD"/>
    <w:rsid w:val="004A7A0A"/>
    <w:rsid w:val="004A7CAC"/>
    <w:rsid w:val="004A7EA5"/>
    <w:rsid w:val="004B015E"/>
    <w:rsid w:val="004B0539"/>
    <w:rsid w:val="004B16E9"/>
    <w:rsid w:val="004B1826"/>
    <w:rsid w:val="004B18A7"/>
    <w:rsid w:val="004B19D5"/>
    <w:rsid w:val="004B1CD1"/>
    <w:rsid w:val="004B214C"/>
    <w:rsid w:val="004B2B2F"/>
    <w:rsid w:val="004B2C57"/>
    <w:rsid w:val="004B3D48"/>
    <w:rsid w:val="004B47F3"/>
    <w:rsid w:val="004B530B"/>
    <w:rsid w:val="004B616A"/>
    <w:rsid w:val="004B7139"/>
    <w:rsid w:val="004B77B5"/>
    <w:rsid w:val="004B7E61"/>
    <w:rsid w:val="004C0034"/>
    <w:rsid w:val="004C00DC"/>
    <w:rsid w:val="004C0D9D"/>
    <w:rsid w:val="004C0DD9"/>
    <w:rsid w:val="004C1234"/>
    <w:rsid w:val="004C1247"/>
    <w:rsid w:val="004C1C68"/>
    <w:rsid w:val="004C2B68"/>
    <w:rsid w:val="004C2C39"/>
    <w:rsid w:val="004C395B"/>
    <w:rsid w:val="004C3B4F"/>
    <w:rsid w:val="004C3CB2"/>
    <w:rsid w:val="004C43C0"/>
    <w:rsid w:val="004C46DE"/>
    <w:rsid w:val="004C4E79"/>
    <w:rsid w:val="004C51E3"/>
    <w:rsid w:val="004C548A"/>
    <w:rsid w:val="004C54DA"/>
    <w:rsid w:val="004C5571"/>
    <w:rsid w:val="004C6729"/>
    <w:rsid w:val="004C6C56"/>
    <w:rsid w:val="004C6E43"/>
    <w:rsid w:val="004C6E6A"/>
    <w:rsid w:val="004C7533"/>
    <w:rsid w:val="004C7702"/>
    <w:rsid w:val="004C7FA8"/>
    <w:rsid w:val="004D0BCD"/>
    <w:rsid w:val="004D0D7D"/>
    <w:rsid w:val="004D0D96"/>
    <w:rsid w:val="004D1625"/>
    <w:rsid w:val="004D181E"/>
    <w:rsid w:val="004D20A3"/>
    <w:rsid w:val="004D2592"/>
    <w:rsid w:val="004D2907"/>
    <w:rsid w:val="004D2A4B"/>
    <w:rsid w:val="004D2F24"/>
    <w:rsid w:val="004D36D1"/>
    <w:rsid w:val="004D3837"/>
    <w:rsid w:val="004D4562"/>
    <w:rsid w:val="004D4CCD"/>
    <w:rsid w:val="004D6119"/>
    <w:rsid w:val="004D628B"/>
    <w:rsid w:val="004D704B"/>
    <w:rsid w:val="004D7D34"/>
    <w:rsid w:val="004D7F13"/>
    <w:rsid w:val="004E0548"/>
    <w:rsid w:val="004E15C3"/>
    <w:rsid w:val="004E17A7"/>
    <w:rsid w:val="004E2199"/>
    <w:rsid w:val="004E2845"/>
    <w:rsid w:val="004E2E29"/>
    <w:rsid w:val="004E3843"/>
    <w:rsid w:val="004E3F7E"/>
    <w:rsid w:val="004E423B"/>
    <w:rsid w:val="004E447F"/>
    <w:rsid w:val="004E451B"/>
    <w:rsid w:val="004E4D09"/>
    <w:rsid w:val="004E61F3"/>
    <w:rsid w:val="004E675A"/>
    <w:rsid w:val="004E683B"/>
    <w:rsid w:val="004E7C93"/>
    <w:rsid w:val="004F0764"/>
    <w:rsid w:val="004F19CC"/>
    <w:rsid w:val="004F1AE2"/>
    <w:rsid w:val="004F236E"/>
    <w:rsid w:val="004F3437"/>
    <w:rsid w:val="004F3450"/>
    <w:rsid w:val="004F3824"/>
    <w:rsid w:val="004F3AD6"/>
    <w:rsid w:val="004F3D27"/>
    <w:rsid w:val="004F434D"/>
    <w:rsid w:val="004F465E"/>
    <w:rsid w:val="004F48F9"/>
    <w:rsid w:val="004F4C1E"/>
    <w:rsid w:val="004F527D"/>
    <w:rsid w:val="004F5A86"/>
    <w:rsid w:val="004F5CA4"/>
    <w:rsid w:val="004F5FF5"/>
    <w:rsid w:val="004F60F0"/>
    <w:rsid w:val="004F6159"/>
    <w:rsid w:val="004F65A5"/>
    <w:rsid w:val="004F6852"/>
    <w:rsid w:val="004F6E10"/>
    <w:rsid w:val="004F6F5E"/>
    <w:rsid w:val="004F7672"/>
    <w:rsid w:val="004F7868"/>
    <w:rsid w:val="004F7F2B"/>
    <w:rsid w:val="00500009"/>
    <w:rsid w:val="00500107"/>
    <w:rsid w:val="0050077E"/>
    <w:rsid w:val="0050084D"/>
    <w:rsid w:val="005008B6"/>
    <w:rsid w:val="00500C45"/>
    <w:rsid w:val="005010E5"/>
    <w:rsid w:val="005013C7"/>
    <w:rsid w:val="0050265B"/>
    <w:rsid w:val="005026D9"/>
    <w:rsid w:val="00502BAD"/>
    <w:rsid w:val="00502DD8"/>
    <w:rsid w:val="005031F5"/>
    <w:rsid w:val="00503344"/>
    <w:rsid w:val="00504461"/>
    <w:rsid w:val="0050487F"/>
    <w:rsid w:val="005049C4"/>
    <w:rsid w:val="005050EE"/>
    <w:rsid w:val="005054AD"/>
    <w:rsid w:val="0050629C"/>
    <w:rsid w:val="00506B8F"/>
    <w:rsid w:val="0050720F"/>
    <w:rsid w:val="00507A38"/>
    <w:rsid w:val="00510052"/>
    <w:rsid w:val="00510EAD"/>
    <w:rsid w:val="00511484"/>
    <w:rsid w:val="005115E8"/>
    <w:rsid w:val="00511FE1"/>
    <w:rsid w:val="005122A5"/>
    <w:rsid w:val="005127D7"/>
    <w:rsid w:val="005128A7"/>
    <w:rsid w:val="005138F7"/>
    <w:rsid w:val="00513FED"/>
    <w:rsid w:val="00514844"/>
    <w:rsid w:val="00514906"/>
    <w:rsid w:val="00515B0D"/>
    <w:rsid w:val="00515E8C"/>
    <w:rsid w:val="0051604D"/>
    <w:rsid w:val="005169A8"/>
    <w:rsid w:val="00517243"/>
    <w:rsid w:val="00520714"/>
    <w:rsid w:val="0052175E"/>
    <w:rsid w:val="0052236B"/>
    <w:rsid w:val="00522878"/>
    <w:rsid w:val="00522E2A"/>
    <w:rsid w:val="00523333"/>
    <w:rsid w:val="00523550"/>
    <w:rsid w:val="00523570"/>
    <w:rsid w:val="0052395D"/>
    <w:rsid w:val="00523C51"/>
    <w:rsid w:val="00523E16"/>
    <w:rsid w:val="00523E20"/>
    <w:rsid w:val="005242C9"/>
    <w:rsid w:val="005247C6"/>
    <w:rsid w:val="0052511A"/>
    <w:rsid w:val="005258E9"/>
    <w:rsid w:val="00525D50"/>
    <w:rsid w:val="0052622A"/>
    <w:rsid w:val="00526BC7"/>
    <w:rsid w:val="00526F25"/>
    <w:rsid w:val="005273B8"/>
    <w:rsid w:val="00527518"/>
    <w:rsid w:val="00530425"/>
    <w:rsid w:val="00530502"/>
    <w:rsid w:val="00530EF0"/>
    <w:rsid w:val="005318DA"/>
    <w:rsid w:val="00533453"/>
    <w:rsid w:val="005337F5"/>
    <w:rsid w:val="00533E0A"/>
    <w:rsid w:val="00534695"/>
    <w:rsid w:val="00534CBC"/>
    <w:rsid w:val="00535091"/>
    <w:rsid w:val="00535233"/>
    <w:rsid w:val="005352CD"/>
    <w:rsid w:val="005354B7"/>
    <w:rsid w:val="005354E8"/>
    <w:rsid w:val="00535573"/>
    <w:rsid w:val="00535815"/>
    <w:rsid w:val="005369FC"/>
    <w:rsid w:val="00536BB7"/>
    <w:rsid w:val="00536CAF"/>
    <w:rsid w:val="00536DB8"/>
    <w:rsid w:val="00537B2F"/>
    <w:rsid w:val="00537F75"/>
    <w:rsid w:val="00540493"/>
    <w:rsid w:val="0054071D"/>
    <w:rsid w:val="00540992"/>
    <w:rsid w:val="00540B18"/>
    <w:rsid w:val="00540E9A"/>
    <w:rsid w:val="00540F8B"/>
    <w:rsid w:val="0054163C"/>
    <w:rsid w:val="0054169E"/>
    <w:rsid w:val="00541BC6"/>
    <w:rsid w:val="005421A2"/>
    <w:rsid w:val="00542242"/>
    <w:rsid w:val="00542318"/>
    <w:rsid w:val="005427C6"/>
    <w:rsid w:val="00542946"/>
    <w:rsid w:val="00542DE2"/>
    <w:rsid w:val="005434EA"/>
    <w:rsid w:val="0054356F"/>
    <w:rsid w:val="005435DE"/>
    <w:rsid w:val="00544017"/>
    <w:rsid w:val="005441DA"/>
    <w:rsid w:val="0054474E"/>
    <w:rsid w:val="005447DA"/>
    <w:rsid w:val="00544BF2"/>
    <w:rsid w:val="00544C39"/>
    <w:rsid w:val="00544E15"/>
    <w:rsid w:val="0054510A"/>
    <w:rsid w:val="00545C15"/>
    <w:rsid w:val="00545C3D"/>
    <w:rsid w:val="00545DA7"/>
    <w:rsid w:val="00546512"/>
    <w:rsid w:val="00546837"/>
    <w:rsid w:val="00546B09"/>
    <w:rsid w:val="00546C26"/>
    <w:rsid w:val="00546D19"/>
    <w:rsid w:val="00547280"/>
    <w:rsid w:val="00547A27"/>
    <w:rsid w:val="00547A3E"/>
    <w:rsid w:val="00550671"/>
    <w:rsid w:val="0055146F"/>
    <w:rsid w:val="00551CC1"/>
    <w:rsid w:val="0055238D"/>
    <w:rsid w:val="005527C1"/>
    <w:rsid w:val="00552FB6"/>
    <w:rsid w:val="005532C5"/>
    <w:rsid w:val="0055333D"/>
    <w:rsid w:val="0055342C"/>
    <w:rsid w:val="005535D7"/>
    <w:rsid w:val="005538B2"/>
    <w:rsid w:val="005539EA"/>
    <w:rsid w:val="00553DB4"/>
    <w:rsid w:val="00553E34"/>
    <w:rsid w:val="0055413F"/>
    <w:rsid w:val="00555351"/>
    <w:rsid w:val="00555A71"/>
    <w:rsid w:val="005566C8"/>
    <w:rsid w:val="00556847"/>
    <w:rsid w:val="00556879"/>
    <w:rsid w:val="00556951"/>
    <w:rsid w:val="00556EE5"/>
    <w:rsid w:val="0055715E"/>
    <w:rsid w:val="00557542"/>
    <w:rsid w:val="005575E8"/>
    <w:rsid w:val="00557B38"/>
    <w:rsid w:val="00557E94"/>
    <w:rsid w:val="0056037E"/>
    <w:rsid w:val="00560B6B"/>
    <w:rsid w:val="00560D44"/>
    <w:rsid w:val="0056173A"/>
    <w:rsid w:val="00561E80"/>
    <w:rsid w:val="00562196"/>
    <w:rsid w:val="0056226A"/>
    <w:rsid w:val="005623DA"/>
    <w:rsid w:val="005625DD"/>
    <w:rsid w:val="00563B8D"/>
    <w:rsid w:val="00564160"/>
    <w:rsid w:val="005647AA"/>
    <w:rsid w:val="00564886"/>
    <w:rsid w:val="00564F78"/>
    <w:rsid w:val="00565941"/>
    <w:rsid w:val="00565C16"/>
    <w:rsid w:val="00565E3B"/>
    <w:rsid w:val="0056683B"/>
    <w:rsid w:val="005671FF"/>
    <w:rsid w:val="00567A1D"/>
    <w:rsid w:val="00567E4A"/>
    <w:rsid w:val="00570121"/>
    <w:rsid w:val="00570251"/>
    <w:rsid w:val="005708C8"/>
    <w:rsid w:val="00570E18"/>
    <w:rsid w:val="00570E54"/>
    <w:rsid w:val="005711C9"/>
    <w:rsid w:val="005712D2"/>
    <w:rsid w:val="00571937"/>
    <w:rsid w:val="00571995"/>
    <w:rsid w:val="00571C33"/>
    <w:rsid w:val="00571D09"/>
    <w:rsid w:val="00571FA7"/>
    <w:rsid w:val="00572066"/>
    <w:rsid w:val="00572407"/>
    <w:rsid w:val="00572F55"/>
    <w:rsid w:val="005735DB"/>
    <w:rsid w:val="0057373E"/>
    <w:rsid w:val="00573994"/>
    <w:rsid w:val="00573BB4"/>
    <w:rsid w:val="0057473F"/>
    <w:rsid w:val="00574A3D"/>
    <w:rsid w:val="00574BFD"/>
    <w:rsid w:val="00574F75"/>
    <w:rsid w:val="00575086"/>
    <w:rsid w:val="005753AB"/>
    <w:rsid w:val="00575759"/>
    <w:rsid w:val="00575CEB"/>
    <w:rsid w:val="00576A5C"/>
    <w:rsid w:val="00576B00"/>
    <w:rsid w:val="00576F90"/>
    <w:rsid w:val="00577132"/>
    <w:rsid w:val="00577243"/>
    <w:rsid w:val="00577352"/>
    <w:rsid w:val="0057746F"/>
    <w:rsid w:val="0058027C"/>
    <w:rsid w:val="005802B9"/>
    <w:rsid w:val="00580C76"/>
    <w:rsid w:val="00580F66"/>
    <w:rsid w:val="00581545"/>
    <w:rsid w:val="00581CBE"/>
    <w:rsid w:val="005825D0"/>
    <w:rsid w:val="00582C93"/>
    <w:rsid w:val="00582EF6"/>
    <w:rsid w:val="005832F3"/>
    <w:rsid w:val="005832FD"/>
    <w:rsid w:val="00583BC6"/>
    <w:rsid w:val="00583E49"/>
    <w:rsid w:val="00584E97"/>
    <w:rsid w:val="00584F6A"/>
    <w:rsid w:val="005853F9"/>
    <w:rsid w:val="0058575B"/>
    <w:rsid w:val="00585C6F"/>
    <w:rsid w:val="005866F5"/>
    <w:rsid w:val="00586AA2"/>
    <w:rsid w:val="00586ADA"/>
    <w:rsid w:val="00586C90"/>
    <w:rsid w:val="00586DEE"/>
    <w:rsid w:val="00586EEE"/>
    <w:rsid w:val="00586FBF"/>
    <w:rsid w:val="0058734D"/>
    <w:rsid w:val="00587402"/>
    <w:rsid w:val="00587448"/>
    <w:rsid w:val="00587570"/>
    <w:rsid w:val="00590174"/>
    <w:rsid w:val="005902BA"/>
    <w:rsid w:val="005905E8"/>
    <w:rsid w:val="00590E28"/>
    <w:rsid w:val="0059140B"/>
    <w:rsid w:val="00591DB7"/>
    <w:rsid w:val="00592CBE"/>
    <w:rsid w:val="00594701"/>
    <w:rsid w:val="00594A37"/>
    <w:rsid w:val="00594B8C"/>
    <w:rsid w:val="005955C0"/>
    <w:rsid w:val="0059566E"/>
    <w:rsid w:val="00595B29"/>
    <w:rsid w:val="00596028"/>
    <w:rsid w:val="005962DE"/>
    <w:rsid w:val="00597151"/>
    <w:rsid w:val="00597B53"/>
    <w:rsid w:val="00597C23"/>
    <w:rsid w:val="00597C2B"/>
    <w:rsid w:val="00597C65"/>
    <w:rsid w:val="00597DCC"/>
    <w:rsid w:val="00597EF5"/>
    <w:rsid w:val="005A190F"/>
    <w:rsid w:val="005A1BC4"/>
    <w:rsid w:val="005A1CE5"/>
    <w:rsid w:val="005A2327"/>
    <w:rsid w:val="005A2331"/>
    <w:rsid w:val="005A2957"/>
    <w:rsid w:val="005A2C9F"/>
    <w:rsid w:val="005A2FDC"/>
    <w:rsid w:val="005A3107"/>
    <w:rsid w:val="005A40F4"/>
    <w:rsid w:val="005A4FA8"/>
    <w:rsid w:val="005A542D"/>
    <w:rsid w:val="005A5907"/>
    <w:rsid w:val="005A618F"/>
    <w:rsid w:val="005A675D"/>
    <w:rsid w:val="005A687F"/>
    <w:rsid w:val="005A6A37"/>
    <w:rsid w:val="005A6D99"/>
    <w:rsid w:val="005A7763"/>
    <w:rsid w:val="005A7E11"/>
    <w:rsid w:val="005B0027"/>
    <w:rsid w:val="005B039A"/>
    <w:rsid w:val="005B07C1"/>
    <w:rsid w:val="005B09B6"/>
    <w:rsid w:val="005B0ED3"/>
    <w:rsid w:val="005B1751"/>
    <w:rsid w:val="005B1D9A"/>
    <w:rsid w:val="005B27A9"/>
    <w:rsid w:val="005B2D7A"/>
    <w:rsid w:val="005B32DA"/>
    <w:rsid w:val="005B3AB1"/>
    <w:rsid w:val="005B3CAF"/>
    <w:rsid w:val="005B3E75"/>
    <w:rsid w:val="005B49B4"/>
    <w:rsid w:val="005B4C0E"/>
    <w:rsid w:val="005B4C4E"/>
    <w:rsid w:val="005B5AF4"/>
    <w:rsid w:val="005B5D2F"/>
    <w:rsid w:val="005B6C39"/>
    <w:rsid w:val="005B782F"/>
    <w:rsid w:val="005B7866"/>
    <w:rsid w:val="005C0114"/>
    <w:rsid w:val="005C0293"/>
    <w:rsid w:val="005C03AF"/>
    <w:rsid w:val="005C063B"/>
    <w:rsid w:val="005C1EAF"/>
    <w:rsid w:val="005C2E66"/>
    <w:rsid w:val="005C34B9"/>
    <w:rsid w:val="005C3788"/>
    <w:rsid w:val="005C3CF0"/>
    <w:rsid w:val="005C4286"/>
    <w:rsid w:val="005C43D3"/>
    <w:rsid w:val="005C44E3"/>
    <w:rsid w:val="005C4D40"/>
    <w:rsid w:val="005C5B4E"/>
    <w:rsid w:val="005C5E8E"/>
    <w:rsid w:val="005C632C"/>
    <w:rsid w:val="005C643C"/>
    <w:rsid w:val="005C6951"/>
    <w:rsid w:val="005C697E"/>
    <w:rsid w:val="005C6E22"/>
    <w:rsid w:val="005C7166"/>
    <w:rsid w:val="005C7883"/>
    <w:rsid w:val="005D002D"/>
    <w:rsid w:val="005D05ED"/>
    <w:rsid w:val="005D0667"/>
    <w:rsid w:val="005D1541"/>
    <w:rsid w:val="005D1860"/>
    <w:rsid w:val="005D30E7"/>
    <w:rsid w:val="005D35D2"/>
    <w:rsid w:val="005D3E5B"/>
    <w:rsid w:val="005D42A8"/>
    <w:rsid w:val="005D475D"/>
    <w:rsid w:val="005D4AAB"/>
    <w:rsid w:val="005D4B0B"/>
    <w:rsid w:val="005D5009"/>
    <w:rsid w:val="005D57EF"/>
    <w:rsid w:val="005D5AEE"/>
    <w:rsid w:val="005D5DB3"/>
    <w:rsid w:val="005D5F60"/>
    <w:rsid w:val="005D6AA5"/>
    <w:rsid w:val="005D6BDA"/>
    <w:rsid w:val="005D6EFE"/>
    <w:rsid w:val="005D6F27"/>
    <w:rsid w:val="005D7190"/>
    <w:rsid w:val="005D7769"/>
    <w:rsid w:val="005E0741"/>
    <w:rsid w:val="005E07E5"/>
    <w:rsid w:val="005E09BC"/>
    <w:rsid w:val="005E0D81"/>
    <w:rsid w:val="005E1064"/>
    <w:rsid w:val="005E1284"/>
    <w:rsid w:val="005E161E"/>
    <w:rsid w:val="005E1AAF"/>
    <w:rsid w:val="005E1D2C"/>
    <w:rsid w:val="005E2632"/>
    <w:rsid w:val="005E2A42"/>
    <w:rsid w:val="005E2FD4"/>
    <w:rsid w:val="005E421C"/>
    <w:rsid w:val="005E45CA"/>
    <w:rsid w:val="005E476F"/>
    <w:rsid w:val="005E4E8D"/>
    <w:rsid w:val="005E4EA0"/>
    <w:rsid w:val="005E631E"/>
    <w:rsid w:val="005E7075"/>
    <w:rsid w:val="005F03B3"/>
    <w:rsid w:val="005F177B"/>
    <w:rsid w:val="005F1C01"/>
    <w:rsid w:val="005F1F01"/>
    <w:rsid w:val="005F2620"/>
    <w:rsid w:val="005F33A1"/>
    <w:rsid w:val="005F364A"/>
    <w:rsid w:val="005F3A2D"/>
    <w:rsid w:val="005F3D62"/>
    <w:rsid w:val="005F3FE6"/>
    <w:rsid w:val="005F487A"/>
    <w:rsid w:val="005F4BCB"/>
    <w:rsid w:val="005F4D0F"/>
    <w:rsid w:val="005F5300"/>
    <w:rsid w:val="005F5324"/>
    <w:rsid w:val="005F533C"/>
    <w:rsid w:val="005F5C5F"/>
    <w:rsid w:val="005F61AC"/>
    <w:rsid w:val="005F6A3A"/>
    <w:rsid w:val="005F700D"/>
    <w:rsid w:val="005F7388"/>
    <w:rsid w:val="005F7E7C"/>
    <w:rsid w:val="006002E0"/>
    <w:rsid w:val="006005C1"/>
    <w:rsid w:val="00601001"/>
    <w:rsid w:val="00601F03"/>
    <w:rsid w:val="00602614"/>
    <w:rsid w:val="00602C1C"/>
    <w:rsid w:val="00602DEC"/>
    <w:rsid w:val="0060393E"/>
    <w:rsid w:val="00603967"/>
    <w:rsid w:val="00604360"/>
    <w:rsid w:val="00604971"/>
    <w:rsid w:val="006052F1"/>
    <w:rsid w:val="00605E81"/>
    <w:rsid w:val="0060715E"/>
    <w:rsid w:val="0061008E"/>
    <w:rsid w:val="00610331"/>
    <w:rsid w:val="00611551"/>
    <w:rsid w:val="00611E35"/>
    <w:rsid w:val="00612034"/>
    <w:rsid w:val="00612766"/>
    <w:rsid w:val="00612E2E"/>
    <w:rsid w:val="00612F83"/>
    <w:rsid w:val="00613158"/>
    <w:rsid w:val="0061430F"/>
    <w:rsid w:val="0061432D"/>
    <w:rsid w:val="006147A9"/>
    <w:rsid w:val="006147B6"/>
    <w:rsid w:val="00614950"/>
    <w:rsid w:val="0061499F"/>
    <w:rsid w:val="00615EFF"/>
    <w:rsid w:val="00616636"/>
    <w:rsid w:val="00616C15"/>
    <w:rsid w:val="00617288"/>
    <w:rsid w:val="006178AE"/>
    <w:rsid w:val="00617DFE"/>
    <w:rsid w:val="0062079E"/>
    <w:rsid w:val="0062092F"/>
    <w:rsid w:val="00620E54"/>
    <w:rsid w:val="00620E8A"/>
    <w:rsid w:val="00621310"/>
    <w:rsid w:val="00621A28"/>
    <w:rsid w:val="00621A46"/>
    <w:rsid w:val="00622130"/>
    <w:rsid w:val="00622798"/>
    <w:rsid w:val="0062393B"/>
    <w:rsid w:val="00623D0C"/>
    <w:rsid w:val="00623E17"/>
    <w:rsid w:val="006240CE"/>
    <w:rsid w:val="006265CE"/>
    <w:rsid w:val="006266C7"/>
    <w:rsid w:val="00627843"/>
    <w:rsid w:val="0062794A"/>
    <w:rsid w:val="00627A60"/>
    <w:rsid w:val="00627A62"/>
    <w:rsid w:val="00627B80"/>
    <w:rsid w:val="00627B9D"/>
    <w:rsid w:val="006304D5"/>
    <w:rsid w:val="006305B5"/>
    <w:rsid w:val="00630B87"/>
    <w:rsid w:val="00630F89"/>
    <w:rsid w:val="00631050"/>
    <w:rsid w:val="006312A5"/>
    <w:rsid w:val="006313F4"/>
    <w:rsid w:val="00631595"/>
    <w:rsid w:val="00631AFC"/>
    <w:rsid w:val="00632658"/>
    <w:rsid w:val="006329B9"/>
    <w:rsid w:val="00633443"/>
    <w:rsid w:val="006339F5"/>
    <w:rsid w:val="00633BD6"/>
    <w:rsid w:val="00634492"/>
    <w:rsid w:val="00634AA4"/>
    <w:rsid w:val="00634CF3"/>
    <w:rsid w:val="00634D4B"/>
    <w:rsid w:val="006350BD"/>
    <w:rsid w:val="0063541D"/>
    <w:rsid w:val="0063562B"/>
    <w:rsid w:val="00635A78"/>
    <w:rsid w:val="006364FD"/>
    <w:rsid w:val="00637D37"/>
    <w:rsid w:val="00637FBA"/>
    <w:rsid w:val="006402D8"/>
    <w:rsid w:val="00640AC6"/>
    <w:rsid w:val="00640C2E"/>
    <w:rsid w:val="00640D1A"/>
    <w:rsid w:val="006418CD"/>
    <w:rsid w:val="00641C54"/>
    <w:rsid w:val="00642BD0"/>
    <w:rsid w:val="00643BD6"/>
    <w:rsid w:val="00644524"/>
    <w:rsid w:val="00644A3E"/>
    <w:rsid w:val="00644AD2"/>
    <w:rsid w:val="00644C55"/>
    <w:rsid w:val="00644EEC"/>
    <w:rsid w:val="00645665"/>
    <w:rsid w:val="00645EB9"/>
    <w:rsid w:val="00645ED2"/>
    <w:rsid w:val="00646FC3"/>
    <w:rsid w:val="0064707A"/>
    <w:rsid w:val="006500D7"/>
    <w:rsid w:val="006503A1"/>
    <w:rsid w:val="00650547"/>
    <w:rsid w:val="006507CE"/>
    <w:rsid w:val="00650F35"/>
    <w:rsid w:val="006512CC"/>
    <w:rsid w:val="00652BC6"/>
    <w:rsid w:val="00652FB2"/>
    <w:rsid w:val="00653825"/>
    <w:rsid w:val="00654062"/>
    <w:rsid w:val="0065457E"/>
    <w:rsid w:val="00654BA1"/>
    <w:rsid w:val="00654FAA"/>
    <w:rsid w:val="00655FC6"/>
    <w:rsid w:val="00655FDE"/>
    <w:rsid w:val="00656685"/>
    <w:rsid w:val="00656C36"/>
    <w:rsid w:val="006570DD"/>
    <w:rsid w:val="00657B4A"/>
    <w:rsid w:val="00657C52"/>
    <w:rsid w:val="00657F3A"/>
    <w:rsid w:val="00660AB5"/>
    <w:rsid w:val="00662276"/>
    <w:rsid w:val="00662B64"/>
    <w:rsid w:val="00663447"/>
    <w:rsid w:val="00663660"/>
    <w:rsid w:val="006650BE"/>
    <w:rsid w:val="0066573F"/>
    <w:rsid w:val="00665A20"/>
    <w:rsid w:val="006664FD"/>
    <w:rsid w:val="00666A74"/>
    <w:rsid w:val="006671E5"/>
    <w:rsid w:val="0066745F"/>
    <w:rsid w:val="006674D8"/>
    <w:rsid w:val="00667D9B"/>
    <w:rsid w:val="00667E8D"/>
    <w:rsid w:val="0067009E"/>
    <w:rsid w:val="006702ED"/>
    <w:rsid w:val="00670452"/>
    <w:rsid w:val="00670903"/>
    <w:rsid w:val="00670B6D"/>
    <w:rsid w:val="00670D5F"/>
    <w:rsid w:val="006713EA"/>
    <w:rsid w:val="00671B53"/>
    <w:rsid w:val="006721D2"/>
    <w:rsid w:val="00672702"/>
    <w:rsid w:val="0067289D"/>
    <w:rsid w:val="00672ECE"/>
    <w:rsid w:val="006735DF"/>
    <w:rsid w:val="0067365D"/>
    <w:rsid w:val="006738B6"/>
    <w:rsid w:val="00674A56"/>
    <w:rsid w:val="006753DD"/>
    <w:rsid w:val="00675837"/>
    <w:rsid w:val="00675CE1"/>
    <w:rsid w:val="00675EEC"/>
    <w:rsid w:val="006769FA"/>
    <w:rsid w:val="00676C1D"/>
    <w:rsid w:val="00676C6C"/>
    <w:rsid w:val="0067710F"/>
    <w:rsid w:val="00677B1F"/>
    <w:rsid w:val="0068016E"/>
    <w:rsid w:val="00680347"/>
    <w:rsid w:val="00680600"/>
    <w:rsid w:val="00680964"/>
    <w:rsid w:val="00680C55"/>
    <w:rsid w:val="006826B0"/>
    <w:rsid w:val="00682B88"/>
    <w:rsid w:val="00682FF5"/>
    <w:rsid w:val="00683651"/>
    <w:rsid w:val="00683D35"/>
    <w:rsid w:val="006849C4"/>
    <w:rsid w:val="006853C9"/>
    <w:rsid w:val="00686072"/>
    <w:rsid w:val="00686102"/>
    <w:rsid w:val="00687B56"/>
    <w:rsid w:val="0069037C"/>
    <w:rsid w:val="00690EC4"/>
    <w:rsid w:val="00691187"/>
    <w:rsid w:val="00691317"/>
    <w:rsid w:val="00692AD2"/>
    <w:rsid w:val="00693464"/>
    <w:rsid w:val="0069361E"/>
    <w:rsid w:val="00693854"/>
    <w:rsid w:val="0069408F"/>
    <w:rsid w:val="006942FA"/>
    <w:rsid w:val="00694356"/>
    <w:rsid w:val="006944B3"/>
    <w:rsid w:val="0069478D"/>
    <w:rsid w:val="00695070"/>
    <w:rsid w:val="006955C4"/>
    <w:rsid w:val="00695767"/>
    <w:rsid w:val="00695BF8"/>
    <w:rsid w:val="006A07FD"/>
    <w:rsid w:val="006A0BD0"/>
    <w:rsid w:val="006A1590"/>
    <w:rsid w:val="006A1783"/>
    <w:rsid w:val="006A1852"/>
    <w:rsid w:val="006A1A20"/>
    <w:rsid w:val="006A1D75"/>
    <w:rsid w:val="006A21E9"/>
    <w:rsid w:val="006A30F2"/>
    <w:rsid w:val="006A3467"/>
    <w:rsid w:val="006A34B7"/>
    <w:rsid w:val="006A3936"/>
    <w:rsid w:val="006A3B3B"/>
    <w:rsid w:val="006A3C40"/>
    <w:rsid w:val="006A4134"/>
    <w:rsid w:val="006A521D"/>
    <w:rsid w:val="006A5B1E"/>
    <w:rsid w:val="006A5DCC"/>
    <w:rsid w:val="006A68EC"/>
    <w:rsid w:val="006A6B98"/>
    <w:rsid w:val="006A7135"/>
    <w:rsid w:val="006A7888"/>
    <w:rsid w:val="006B02A0"/>
    <w:rsid w:val="006B08DA"/>
    <w:rsid w:val="006B1936"/>
    <w:rsid w:val="006B1DE2"/>
    <w:rsid w:val="006B203E"/>
    <w:rsid w:val="006B2E3B"/>
    <w:rsid w:val="006B3B2F"/>
    <w:rsid w:val="006B415C"/>
    <w:rsid w:val="006B467C"/>
    <w:rsid w:val="006B5050"/>
    <w:rsid w:val="006B53AC"/>
    <w:rsid w:val="006B5749"/>
    <w:rsid w:val="006B70FC"/>
    <w:rsid w:val="006B7500"/>
    <w:rsid w:val="006B76C6"/>
    <w:rsid w:val="006B7A47"/>
    <w:rsid w:val="006C04D0"/>
    <w:rsid w:val="006C0C31"/>
    <w:rsid w:val="006C14EF"/>
    <w:rsid w:val="006C2A0D"/>
    <w:rsid w:val="006C303B"/>
    <w:rsid w:val="006C32C6"/>
    <w:rsid w:val="006C3E46"/>
    <w:rsid w:val="006C46CC"/>
    <w:rsid w:val="006C542B"/>
    <w:rsid w:val="006C6268"/>
    <w:rsid w:val="006C6966"/>
    <w:rsid w:val="006C6AC8"/>
    <w:rsid w:val="006C6C16"/>
    <w:rsid w:val="006C732D"/>
    <w:rsid w:val="006C768A"/>
    <w:rsid w:val="006C7FC3"/>
    <w:rsid w:val="006D000A"/>
    <w:rsid w:val="006D0639"/>
    <w:rsid w:val="006D080F"/>
    <w:rsid w:val="006D0AA8"/>
    <w:rsid w:val="006D11C4"/>
    <w:rsid w:val="006D16A6"/>
    <w:rsid w:val="006D2DF5"/>
    <w:rsid w:val="006D34A2"/>
    <w:rsid w:val="006D3A92"/>
    <w:rsid w:val="006D407E"/>
    <w:rsid w:val="006D48D9"/>
    <w:rsid w:val="006D518E"/>
    <w:rsid w:val="006D5C4D"/>
    <w:rsid w:val="006D609B"/>
    <w:rsid w:val="006D625A"/>
    <w:rsid w:val="006D64EB"/>
    <w:rsid w:val="006D748D"/>
    <w:rsid w:val="006E0222"/>
    <w:rsid w:val="006E0306"/>
    <w:rsid w:val="006E1916"/>
    <w:rsid w:val="006E1978"/>
    <w:rsid w:val="006E1BBE"/>
    <w:rsid w:val="006E1C06"/>
    <w:rsid w:val="006E2568"/>
    <w:rsid w:val="006E29AA"/>
    <w:rsid w:val="006E2B55"/>
    <w:rsid w:val="006E2F10"/>
    <w:rsid w:val="006E3C6E"/>
    <w:rsid w:val="006E4A0E"/>
    <w:rsid w:val="006E592E"/>
    <w:rsid w:val="006E5B65"/>
    <w:rsid w:val="006E62F3"/>
    <w:rsid w:val="006E6B0A"/>
    <w:rsid w:val="006E6C84"/>
    <w:rsid w:val="006E7778"/>
    <w:rsid w:val="006E78A7"/>
    <w:rsid w:val="006F0542"/>
    <w:rsid w:val="006F0930"/>
    <w:rsid w:val="006F0E7C"/>
    <w:rsid w:val="006F152A"/>
    <w:rsid w:val="006F155C"/>
    <w:rsid w:val="006F1B48"/>
    <w:rsid w:val="006F28AC"/>
    <w:rsid w:val="006F39F2"/>
    <w:rsid w:val="006F411B"/>
    <w:rsid w:val="006F478E"/>
    <w:rsid w:val="006F4B58"/>
    <w:rsid w:val="006F4F02"/>
    <w:rsid w:val="006F58B0"/>
    <w:rsid w:val="006F5E8E"/>
    <w:rsid w:val="006F6488"/>
    <w:rsid w:val="006F6621"/>
    <w:rsid w:val="006F6CC0"/>
    <w:rsid w:val="006F7A86"/>
    <w:rsid w:val="00700184"/>
    <w:rsid w:val="007002D2"/>
    <w:rsid w:val="00700361"/>
    <w:rsid w:val="00700784"/>
    <w:rsid w:val="00700C3A"/>
    <w:rsid w:val="00700D67"/>
    <w:rsid w:val="00701778"/>
    <w:rsid w:val="00701C21"/>
    <w:rsid w:val="00701DDA"/>
    <w:rsid w:val="007026D6"/>
    <w:rsid w:val="00702DBB"/>
    <w:rsid w:val="0070313C"/>
    <w:rsid w:val="0070316F"/>
    <w:rsid w:val="00703378"/>
    <w:rsid w:val="00703A15"/>
    <w:rsid w:val="00704513"/>
    <w:rsid w:val="00704644"/>
    <w:rsid w:val="00704DCF"/>
    <w:rsid w:val="00705240"/>
    <w:rsid w:val="00705545"/>
    <w:rsid w:val="00705BDE"/>
    <w:rsid w:val="00705D25"/>
    <w:rsid w:val="00706042"/>
    <w:rsid w:val="0070604D"/>
    <w:rsid w:val="007067A8"/>
    <w:rsid w:val="00706A86"/>
    <w:rsid w:val="00706CB6"/>
    <w:rsid w:val="0070746E"/>
    <w:rsid w:val="0070752F"/>
    <w:rsid w:val="00710158"/>
    <w:rsid w:val="0071129B"/>
    <w:rsid w:val="007112D7"/>
    <w:rsid w:val="00711329"/>
    <w:rsid w:val="00711588"/>
    <w:rsid w:val="00711A39"/>
    <w:rsid w:val="00712EF0"/>
    <w:rsid w:val="00712F39"/>
    <w:rsid w:val="007131A8"/>
    <w:rsid w:val="007133D6"/>
    <w:rsid w:val="00713C8D"/>
    <w:rsid w:val="00713D03"/>
    <w:rsid w:val="00714181"/>
    <w:rsid w:val="00714653"/>
    <w:rsid w:val="007148C2"/>
    <w:rsid w:val="007149F6"/>
    <w:rsid w:val="00715054"/>
    <w:rsid w:val="007157A8"/>
    <w:rsid w:val="007169A6"/>
    <w:rsid w:val="00716AF4"/>
    <w:rsid w:val="00717185"/>
    <w:rsid w:val="00717195"/>
    <w:rsid w:val="00717ACD"/>
    <w:rsid w:val="00717DF6"/>
    <w:rsid w:val="00720F03"/>
    <w:rsid w:val="00720FCC"/>
    <w:rsid w:val="00721115"/>
    <w:rsid w:val="007214D0"/>
    <w:rsid w:val="00721659"/>
    <w:rsid w:val="0072213B"/>
    <w:rsid w:val="00722188"/>
    <w:rsid w:val="00722704"/>
    <w:rsid w:val="007228EC"/>
    <w:rsid w:val="0072336F"/>
    <w:rsid w:val="00723396"/>
    <w:rsid w:val="007233FC"/>
    <w:rsid w:val="00723B48"/>
    <w:rsid w:val="00724602"/>
    <w:rsid w:val="0072521B"/>
    <w:rsid w:val="00725A84"/>
    <w:rsid w:val="00725DD4"/>
    <w:rsid w:val="007264AE"/>
    <w:rsid w:val="00726589"/>
    <w:rsid w:val="00726604"/>
    <w:rsid w:val="00726934"/>
    <w:rsid w:val="00726A5A"/>
    <w:rsid w:val="0072749B"/>
    <w:rsid w:val="0072769E"/>
    <w:rsid w:val="0073085E"/>
    <w:rsid w:val="00730BC6"/>
    <w:rsid w:val="00731664"/>
    <w:rsid w:val="00731C68"/>
    <w:rsid w:val="00733045"/>
    <w:rsid w:val="007340E0"/>
    <w:rsid w:val="00734196"/>
    <w:rsid w:val="00734B34"/>
    <w:rsid w:val="00735721"/>
    <w:rsid w:val="00735774"/>
    <w:rsid w:val="00735849"/>
    <w:rsid w:val="00735C0A"/>
    <w:rsid w:val="0073724E"/>
    <w:rsid w:val="0073725D"/>
    <w:rsid w:val="00740049"/>
    <w:rsid w:val="0074025C"/>
    <w:rsid w:val="007408EE"/>
    <w:rsid w:val="00740D1C"/>
    <w:rsid w:val="00740E4E"/>
    <w:rsid w:val="007412F6"/>
    <w:rsid w:val="00741D68"/>
    <w:rsid w:val="007421CE"/>
    <w:rsid w:val="00742342"/>
    <w:rsid w:val="00742ACB"/>
    <w:rsid w:val="00742CE3"/>
    <w:rsid w:val="007433EA"/>
    <w:rsid w:val="00743787"/>
    <w:rsid w:val="007443E6"/>
    <w:rsid w:val="007444D4"/>
    <w:rsid w:val="00744E4B"/>
    <w:rsid w:val="00745574"/>
    <w:rsid w:val="007457AB"/>
    <w:rsid w:val="00745B21"/>
    <w:rsid w:val="00745B84"/>
    <w:rsid w:val="00745E70"/>
    <w:rsid w:val="0074655B"/>
    <w:rsid w:val="0074677A"/>
    <w:rsid w:val="00746B32"/>
    <w:rsid w:val="00746DA0"/>
    <w:rsid w:val="00746DB7"/>
    <w:rsid w:val="0074731B"/>
    <w:rsid w:val="00747320"/>
    <w:rsid w:val="007473FA"/>
    <w:rsid w:val="00747AAC"/>
    <w:rsid w:val="00747AE1"/>
    <w:rsid w:val="00747B9B"/>
    <w:rsid w:val="00750F49"/>
    <w:rsid w:val="00750F69"/>
    <w:rsid w:val="00752AB2"/>
    <w:rsid w:val="00752E4B"/>
    <w:rsid w:val="007530BA"/>
    <w:rsid w:val="00753176"/>
    <w:rsid w:val="0075376A"/>
    <w:rsid w:val="0075379F"/>
    <w:rsid w:val="0075468D"/>
    <w:rsid w:val="007552F7"/>
    <w:rsid w:val="007555CA"/>
    <w:rsid w:val="00755722"/>
    <w:rsid w:val="00756363"/>
    <w:rsid w:val="007564B0"/>
    <w:rsid w:val="00756B45"/>
    <w:rsid w:val="007574F2"/>
    <w:rsid w:val="00757C07"/>
    <w:rsid w:val="00757F53"/>
    <w:rsid w:val="00760AEF"/>
    <w:rsid w:val="00760D7D"/>
    <w:rsid w:val="00760F09"/>
    <w:rsid w:val="00760FCD"/>
    <w:rsid w:val="0076149D"/>
    <w:rsid w:val="00761E72"/>
    <w:rsid w:val="00762F3B"/>
    <w:rsid w:val="00763623"/>
    <w:rsid w:val="00763E4C"/>
    <w:rsid w:val="00764244"/>
    <w:rsid w:val="00764298"/>
    <w:rsid w:val="007642CF"/>
    <w:rsid w:val="00764D78"/>
    <w:rsid w:val="00765B05"/>
    <w:rsid w:val="00765E26"/>
    <w:rsid w:val="00766BEC"/>
    <w:rsid w:val="00766C03"/>
    <w:rsid w:val="00766DB6"/>
    <w:rsid w:val="00767853"/>
    <w:rsid w:val="0076787C"/>
    <w:rsid w:val="00767AAF"/>
    <w:rsid w:val="00770894"/>
    <w:rsid w:val="00770908"/>
    <w:rsid w:val="00770FA9"/>
    <w:rsid w:val="00771024"/>
    <w:rsid w:val="0077134A"/>
    <w:rsid w:val="00771A59"/>
    <w:rsid w:val="007723D0"/>
    <w:rsid w:val="00772858"/>
    <w:rsid w:val="00772C83"/>
    <w:rsid w:val="00773609"/>
    <w:rsid w:val="00773C2C"/>
    <w:rsid w:val="007741E8"/>
    <w:rsid w:val="00774A21"/>
    <w:rsid w:val="0077543B"/>
    <w:rsid w:val="00775468"/>
    <w:rsid w:val="00775D0F"/>
    <w:rsid w:val="00775D4C"/>
    <w:rsid w:val="007766B2"/>
    <w:rsid w:val="00776F37"/>
    <w:rsid w:val="00777F93"/>
    <w:rsid w:val="0078072A"/>
    <w:rsid w:val="00780E10"/>
    <w:rsid w:val="00781252"/>
    <w:rsid w:val="00781253"/>
    <w:rsid w:val="00781296"/>
    <w:rsid w:val="00781416"/>
    <w:rsid w:val="007820D1"/>
    <w:rsid w:val="00783465"/>
    <w:rsid w:val="00783E7B"/>
    <w:rsid w:val="007846A3"/>
    <w:rsid w:val="00784773"/>
    <w:rsid w:val="00785089"/>
    <w:rsid w:val="00786130"/>
    <w:rsid w:val="00786277"/>
    <w:rsid w:val="007869E9"/>
    <w:rsid w:val="00786B20"/>
    <w:rsid w:val="00786CDB"/>
    <w:rsid w:val="00786CED"/>
    <w:rsid w:val="00787630"/>
    <w:rsid w:val="007876A1"/>
    <w:rsid w:val="00787D10"/>
    <w:rsid w:val="007902EF"/>
    <w:rsid w:val="007907BC"/>
    <w:rsid w:val="0079124B"/>
    <w:rsid w:val="00791288"/>
    <w:rsid w:val="0079179C"/>
    <w:rsid w:val="007917B9"/>
    <w:rsid w:val="00791833"/>
    <w:rsid w:val="00791E3D"/>
    <w:rsid w:val="007929E9"/>
    <w:rsid w:val="00794251"/>
    <w:rsid w:val="0079517B"/>
    <w:rsid w:val="007957A5"/>
    <w:rsid w:val="00795995"/>
    <w:rsid w:val="007959BC"/>
    <w:rsid w:val="00795AA0"/>
    <w:rsid w:val="00795B25"/>
    <w:rsid w:val="00795B62"/>
    <w:rsid w:val="00796206"/>
    <w:rsid w:val="00796220"/>
    <w:rsid w:val="00796325"/>
    <w:rsid w:val="007978E1"/>
    <w:rsid w:val="00797917"/>
    <w:rsid w:val="00797D42"/>
    <w:rsid w:val="007A00A6"/>
    <w:rsid w:val="007A0382"/>
    <w:rsid w:val="007A06C2"/>
    <w:rsid w:val="007A06E6"/>
    <w:rsid w:val="007A08A6"/>
    <w:rsid w:val="007A0BC5"/>
    <w:rsid w:val="007A0F51"/>
    <w:rsid w:val="007A1673"/>
    <w:rsid w:val="007A1E30"/>
    <w:rsid w:val="007A2724"/>
    <w:rsid w:val="007A29E1"/>
    <w:rsid w:val="007A366C"/>
    <w:rsid w:val="007A576E"/>
    <w:rsid w:val="007A59EB"/>
    <w:rsid w:val="007A5C9C"/>
    <w:rsid w:val="007A6384"/>
    <w:rsid w:val="007A71FD"/>
    <w:rsid w:val="007B016B"/>
    <w:rsid w:val="007B022E"/>
    <w:rsid w:val="007B0C5A"/>
    <w:rsid w:val="007B0F52"/>
    <w:rsid w:val="007B2124"/>
    <w:rsid w:val="007B29F5"/>
    <w:rsid w:val="007B436C"/>
    <w:rsid w:val="007B441E"/>
    <w:rsid w:val="007B4807"/>
    <w:rsid w:val="007B5275"/>
    <w:rsid w:val="007B5800"/>
    <w:rsid w:val="007B5F88"/>
    <w:rsid w:val="007B6893"/>
    <w:rsid w:val="007B6BF8"/>
    <w:rsid w:val="007B703A"/>
    <w:rsid w:val="007B7596"/>
    <w:rsid w:val="007B7D9D"/>
    <w:rsid w:val="007B7E0B"/>
    <w:rsid w:val="007C0BB0"/>
    <w:rsid w:val="007C157F"/>
    <w:rsid w:val="007C191F"/>
    <w:rsid w:val="007C1C09"/>
    <w:rsid w:val="007C1EAB"/>
    <w:rsid w:val="007C2771"/>
    <w:rsid w:val="007C343F"/>
    <w:rsid w:val="007C345A"/>
    <w:rsid w:val="007C3F59"/>
    <w:rsid w:val="007C4DEE"/>
    <w:rsid w:val="007C53CA"/>
    <w:rsid w:val="007C56F2"/>
    <w:rsid w:val="007C597E"/>
    <w:rsid w:val="007C5D9B"/>
    <w:rsid w:val="007C6290"/>
    <w:rsid w:val="007C784B"/>
    <w:rsid w:val="007C7A19"/>
    <w:rsid w:val="007D0089"/>
    <w:rsid w:val="007D1442"/>
    <w:rsid w:val="007D15E4"/>
    <w:rsid w:val="007D2692"/>
    <w:rsid w:val="007D2E85"/>
    <w:rsid w:val="007D32F1"/>
    <w:rsid w:val="007D3DDD"/>
    <w:rsid w:val="007D4A04"/>
    <w:rsid w:val="007D519F"/>
    <w:rsid w:val="007D5209"/>
    <w:rsid w:val="007D53AF"/>
    <w:rsid w:val="007D5DC5"/>
    <w:rsid w:val="007D674A"/>
    <w:rsid w:val="007D67DB"/>
    <w:rsid w:val="007D6C3C"/>
    <w:rsid w:val="007D6E95"/>
    <w:rsid w:val="007D712A"/>
    <w:rsid w:val="007D7593"/>
    <w:rsid w:val="007D78EF"/>
    <w:rsid w:val="007D7BC8"/>
    <w:rsid w:val="007E2462"/>
    <w:rsid w:val="007E25C5"/>
    <w:rsid w:val="007E2692"/>
    <w:rsid w:val="007E26F0"/>
    <w:rsid w:val="007E2AE3"/>
    <w:rsid w:val="007E2C43"/>
    <w:rsid w:val="007E384D"/>
    <w:rsid w:val="007E467D"/>
    <w:rsid w:val="007E4D4E"/>
    <w:rsid w:val="007E4FE4"/>
    <w:rsid w:val="007E5302"/>
    <w:rsid w:val="007E5CFC"/>
    <w:rsid w:val="007E6008"/>
    <w:rsid w:val="007E6723"/>
    <w:rsid w:val="007E69DF"/>
    <w:rsid w:val="007E6FA3"/>
    <w:rsid w:val="007E7BBE"/>
    <w:rsid w:val="007F026C"/>
    <w:rsid w:val="007F1113"/>
    <w:rsid w:val="007F11A3"/>
    <w:rsid w:val="007F1539"/>
    <w:rsid w:val="007F1678"/>
    <w:rsid w:val="007F1B3D"/>
    <w:rsid w:val="007F1E6A"/>
    <w:rsid w:val="007F1EC7"/>
    <w:rsid w:val="007F284C"/>
    <w:rsid w:val="007F3035"/>
    <w:rsid w:val="007F3504"/>
    <w:rsid w:val="007F38FE"/>
    <w:rsid w:val="007F4388"/>
    <w:rsid w:val="007F5085"/>
    <w:rsid w:val="007F5A9C"/>
    <w:rsid w:val="007F666C"/>
    <w:rsid w:val="007F72B1"/>
    <w:rsid w:val="007F7A10"/>
    <w:rsid w:val="008002BC"/>
    <w:rsid w:val="00800BBE"/>
    <w:rsid w:val="00800C6F"/>
    <w:rsid w:val="00801219"/>
    <w:rsid w:val="00801B15"/>
    <w:rsid w:val="00801F9C"/>
    <w:rsid w:val="00802552"/>
    <w:rsid w:val="00802D49"/>
    <w:rsid w:val="0080306A"/>
    <w:rsid w:val="00803573"/>
    <w:rsid w:val="008037C7"/>
    <w:rsid w:val="00803937"/>
    <w:rsid w:val="008039FB"/>
    <w:rsid w:val="00804E4F"/>
    <w:rsid w:val="00805784"/>
    <w:rsid w:val="0080637E"/>
    <w:rsid w:val="0080677A"/>
    <w:rsid w:val="0080689B"/>
    <w:rsid w:val="00806BB0"/>
    <w:rsid w:val="00806F1F"/>
    <w:rsid w:val="00807341"/>
    <w:rsid w:val="00807BE3"/>
    <w:rsid w:val="008100C2"/>
    <w:rsid w:val="0081047D"/>
    <w:rsid w:val="00810CFC"/>
    <w:rsid w:val="00810E7E"/>
    <w:rsid w:val="0081146C"/>
    <w:rsid w:val="00811A50"/>
    <w:rsid w:val="00811C3A"/>
    <w:rsid w:val="00811DAF"/>
    <w:rsid w:val="008123FD"/>
    <w:rsid w:val="008125F3"/>
    <w:rsid w:val="0081273B"/>
    <w:rsid w:val="00812CDB"/>
    <w:rsid w:val="00813075"/>
    <w:rsid w:val="00813894"/>
    <w:rsid w:val="00813DB6"/>
    <w:rsid w:val="00813E1F"/>
    <w:rsid w:val="008143CF"/>
    <w:rsid w:val="008146A0"/>
    <w:rsid w:val="008149FC"/>
    <w:rsid w:val="0081505C"/>
    <w:rsid w:val="00815BF5"/>
    <w:rsid w:val="00815C23"/>
    <w:rsid w:val="00815C5F"/>
    <w:rsid w:val="00816089"/>
    <w:rsid w:val="00816259"/>
    <w:rsid w:val="008165E4"/>
    <w:rsid w:val="008166FB"/>
    <w:rsid w:val="0081753F"/>
    <w:rsid w:val="00817E68"/>
    <w:rsid w:val="008202A1"/>
    <w:rsid w:val="008203FF"/>
    <w:rsid w:val="00820545"/>
    <w:rsid w:val="008219B4"/>
    <w:rsid w:val="008232BB"/>
    <w:rsid w:val="00823DAE"/>
    <w:rsid w:val="00824816"/>
    <w:rsid w:val="00825737"/>
    <w:rsid w:val="00825769"/>
    <w:rsid w:val="00825A49"/>
    <w:rsid w:val="00825C6C"/>
    <w:rsid w:val="00826897"/>
    <w:rsid w:val="00826AE9"/>
    <w:rsid w:val="0082702F"/>
    <w:rsid w:val="008272AD"/>
    <w:rsid w:val="008272CE"/>
    <w:rsid w:val="00827821"/>
    <w:rsid w:val="00831983"/>
    <w:rsid w:val="00832278"/>
    <w:rsid w:val="008325D8"/>
    <w:rsid w:val="0083307E"/>
    <w:rsid w:val="00833106"/>
    <w:rsid w:val="008332CF"/>
    <w:rsid w:val="008337FD"/>
    <w:rsid w:val="00834B93"/>
    <w:rsid w:val="008354C5"/>
    <w:rsid w:val="00835877"/>
    <w:rsid w:val="00835A35"/>
    <w:rsid w:val="00836675"/>
    <w:rsid w:val="00836AC0"/>
    <w:rsid w:val="00837757"/>
    <w:rsid w:val="0084069B"/>
    <w:rsid w:val="00840AE4"/>
    <w:rsid w:val="00840CF0"/>
    <w:rsid w:val="008411C1"/>
    <w:rsid w:val="00841783"/>
    <w:rsid w:val="00841B1E"/>
    <w:rsid w:val="008421BA"/>
    <w:rsid w:val="008428FD"/>
    <w:rsid w:val="008430C4"/>
    <w:rsid w:val="00843822"/>
    <w:rsid w:val="00843896"/>
    <w:rsid w:val="008439A3"/>
    <w:rsid w:val="00843FDE"/>
    <w:rsid w:val="00844854"/>
    <w:rsid w:val="00844A09"/>
    <w:rsid w:val="00844B68"/>
    <w:rsid w:val="00845309"/>
    <w:rsid w:val="008461FA"/>
    <w:rsid w:val="00846413"/>
    <w:rsid w:val="00846814"/>
    <w:rsid w:val="008468BA"/>
    <w:rsid w:val="00846BFF"/>
    <w:rsid w:val="008474CE"/>
    <w:rsid w:val="00847C0D"/>
    <w:rsid w:val="00850D3A"/>
    <w:rsid w:val="00850EC4"/>
    <w:rsid w:val="00850F00"/>
    <w:rsid w:val="0085125B"/>
    <w:rsid w:val="008514B5"/>
    <w:rsid w:val="0085165C"/>
    <w:rsid w:val="008518D8"/>
    <w:rsid w:val="008521EA"/>
    <w:rsid w:val="00852234"/>
    <w:rsid w:val="0085272A"/>
    <w:rsid w:val="00852971"/>
    <w:rsid w:val="00852AA4"/>
    <w:rsid w:val="00852E9C"/>
    <w:rsid w:val="00853A23"/>
    <w:rsid w:val="00854022"/>
    <w:rsid w:val="008549BC"/>
    <w:rsid w:val="00854FF8"/>
    <w:rsid w:val="00855B7F"/>
    <w:rsid w:val="008560E7"/>
    <w:rsid w:val="00856587"/>
    <w:rsid w:val="00856925"/>
    <w:rsid w:val="0085721A"/>
    <w:rsid w:val="0086142A"/>
    <w:rsid w:val="00861459"/>
    <w:rsid w:val="00861E5F"/>
    <w:rsid w:val="008626A2"/>
    <w:rsid w:val="00862D44"/>
    <w:rsid w:val="00863048"/>
    <w:rsid w:val="00863374"/>
    <w:rsid w:val="00863579"/>
    <w:rsid w:val="008635E7"/>
    <w:rsid w:val="00863BEB"/>
    <w:rsid w:val="00863DD7"/>
    <w:rsid w:val="00864CBF"/>
    <w:rsid w:val="00866544"/>
    <w:rsid w:val="00870544"/>
    <w:rsid w:val="00871199"/>
    <w:rsid w:val="00871674"/>
    <w:rsid w:val="008716AA"/>
    <w:rsid w:val="008716B8"/>
    <w:rsid w:val="00871B17"/>
    <w:rsid w:val="00872871"/>
    <w:rsid w:val="0087336C"/>
    <w:rsid w:val="00873642"/>
    <w:rsid w:val="008739EC"/>
    <w:rsid w:val="00873D29"/>
    <w:rsid w:val="008750E5"/>
    <w:rsid w:val="008754AA"/>
    <w:rsid w:val="0087706A"/>
    <w:rsid w:val="0087721E"/>
    <w:rsid w:val="008772E5"/>
    <w:rsid w:val="008775A1"/>
    <w:rsid w:val="008777FB"/>
    <w:rsid w:val="00877DAE"/>
    <w:rsid w:val="008802A8"/>
    <w:rsid w:val="0088077B"/>
    <w:rsid w:val="0088121D"/>
    <w:rsid w:val="008819D7"/>
    <w:rsid w:val="0088213C"/>
    <w:rsid w:val="00882226"/>
    <w:rsid w:val="008822F7"/>
    <w:rsid w:val="00882449"/>
    <w:rsid w:val="00882537"/>
    <w:rsid w:val="0088286E"/>
    <w:rsid w:val="008834D9"/>
    <w:rsid w:val="00883EB5"/>
    <w:rsid w:val="0088484D"/>
    <w:rsid w:val="0088497C"/>
    <w:rsid w:val="00886207"/>
    <w:rsid w:val="008864F4"/>
    <w:rsid w:val="00886E3D"/>
    <w:rsid w:val="0088782E"/>
    <w:rsid w:val="00887B83"/>
    <w:rsid w:val="00887DA4"/>
    <w:rsid w:val="00890DD7"/>
    <w:rsid w:val="008911DB"/>
    <w:rsid w:val="00892AC5"/>
    <w:rsid w:val="008934FC"/>
    <w:rsid w:val="00893549"/>
    <w:rsid w:val="00893DC0"/>
    <w:rsid w:val="00893E53"/>
    <w:rsid w:val="0089412A"/>
    <w:rsid w:val="0089477A"/>
    <w:rsid w:val="00894DCF"/>
    <w:rsid w:val="00894E82"/>
    <w:rsid w:val="0089500E"/>
    <w:rsid w:val="0089567B"/>
    <w:rsid w:val="0089569B"/>
    <w:rsid w:val="00895D81"/>
    <w:rsid w:val="00896A47"/>
    <w:rsid w:val="00896D66"/>
    <w:rsid w:val="00896E49"/>
    <w:rsid w:val="00897EBD"/>
    <w:rsid w:val="008A09AB"/>
    <w:rsid w:val="008A0BDE"/>
    <w:rsid w:val="008A0EDB"/>
    <w:rsid w:val="008A158C"/>
    <w:rsid w:val="008A19EA"/>
    <w:rsid w:val="008A1A9E"/>
    <w:rsid w:val="008A1B19"/>
    <w:rsid w:val="008A2048"/>
    <w:rsid w:val="008A2116"/>
    <w:rsid w:val="008A2779"/>
    <w:rsid w:val="008A2BFA"/>
    <w:rsid w:val="008A3CB8"/>
    <w:rsid w:val="008A497C"/>
    <w:rsid w:val="008A4F9B"/>
    <w:rsid w:val="008A5309"/>
    <w:rsid w:val="008A5895"/>
    <w:rsid w:val="008A5A6C"/>
    <w:rsid w:val="008A606A"/>
    <w:rsid w:val="008A6934"/>
    <w:rsid w:val="008A7C24"/>
    <w:rsid w:val="008A7CD9"/>
    <w:rsid w:val="008A7D45"/>
    <w:rsid w:val="008B0581"/>
    <w:rsid w:val="008B13E6"/>
    <w:rsid w:val="008B1528"/>
    <w:rsid w:val="008B1AFD"/>
    <w:rsid w:val="008B42F4"/>
    <w:rsid w:val="008B4935"/>
    <w:rsid w:val="008B4C92"/>
    <w:rsid w:val="008B4FFD"/>
    <w:rsid w:val="008B50CF"/>
    <w:rsid w:val="008B519F"/>
    <w:rsid w:val="008B57D2"/>
    <w:rsid w:val="008B6E62"/>
    <w:rsid w:val="008B6F94"/>
    <w:rsid w:val="008B70B1"/>
    <w:rsid w:val="008B7AF6"/>
    <w:rsid w:val="008C042A"/>
    <w:rsid w:val="008C0A60"/>
    <w:rsid w:val="008C117D"/>
    <w:rsid w:val="008C1709"/>
    <w:rsid w:val="008C260A"/>
    <w:rsid w:val="008C2828"/>
    <w:rsid w:val="008C352E"/>
    <w:rsid w:val="008C3F35"/>
    <w:rsid w:val="008C4660"/>
    <w:rsid w:val="008C4E0F"/>
    <w:rsid w:val="008C5207"/>
    <w:rsid w:val="008C580B"/>
    <w:rsid w:val="008C5B6B"/>
    <w:rsid w:val="008C5CA1"/>
    <w:rsid w:val="008C5CD1"/>
    <w:rsid w:val="008C5EE6"/>
    <w:rsid w:val="008C5F29"/>
    <w:rsid w:val="008C6E30"/>
    <w:rsid w:val="008C7B0B"/>
    <w:rsid w:val="008D03A3"/>
    <w:rsid w:val="008D0844"/>
    <w:rsid w:val="008D092A"/>
    <w:rsid w:val="008D0CCC"/>
    <w:rsid w:val="008D1303"/>
    <w:rsid w:val="008D169E"/>
    <w:rsid w:val="008D1CA5"/>
    <w:rsid w:val="008D1CF5"/>
    <w:rsid w:val="008D1D05"/>
    <w:rsid w:val="008D1FA8"/>
    <w:rsid w:val="008D207E"/>
    <w:rsid w:val="008D36AB"/>
    <w:rsid w:val="008D3A84"/>
    <w:rsid w:val="008D3F73"/>
    <w:rsid w:val="008D41CD"/>
    <w:rsid w:val="008D4701"/>
    <w:rsid w:val="008D5E26"/>
    <w:rsid w:val="008D5FA7"/>
    <w:rsid w:val="008D67F5"/>
    <w:rsid w:val="008D7E91"/>
    <w:rsid w:val="008E177C"/>
    <w:rsid w:val="008E1967"/>
    <w:rsid w:val="008E1A14"/>
    <w:rsid w:val="008E20E0"/>
    <w:rsid w:val="008E225D"/>
    <w:rsid w:val="008E2510"/>
    <w:rsid w:val="008E25DB"/>
    <w:rsid w:val="008E28B0"/>
    <w:rsid w:val="008E2A3C"/>
    <w:rsid w:val="008E2C3D"/>
    <w:rsid w:val="008E2D37"/>
    <w:rsid w:val="008E2DA7"/>
    <w:rsid w:val="008E34C5"/>
    <w:rsid w:val="008E388E"/>
    <w:rsid w:val="008E3896"/>
    <w:rsid w:val="008E3FE2"/>
    <w:rsid w:val="008E450B"/>
    <w:rsid w:val="008E56DF"/>
    <w:rsid w:val="008E6BEA"/>
    <w:rsid w:val="008E735D"/>
    <w:rsid w:val="008E7C83"/>
    <w:rsid w:val="008E7F01"/>
    <w:rsid w:val="008F05D9"/>
    <w:rsid w:val="008F0DC8"/>
    <w:rsid w:val="008F136B"/>
    <w:rsid w:val="008F237E"/>
    <w:rsid w:val="008F248B"/>
    <w:rsid w:val="008F298C"/>
    <w:rsid w:val="008F3200"/>
    <w:rsid w:val="008F39EE"/>
    <w:rsid w:val="008F3D3D"/>
    <w:rsid w:val="008F4B9A"/>
    <w:rsid w:val="008F4FB8"/>
    <w:rsid w:val="008F50C0"/>
    <w:rsid w:val="008F5999"/>
    <w:rsid w:val="008F6F48"/>
    <w:rsid w:val="008F71E3"/>
    <w:rsid w:val="008F7380"/>
    <w:rsid w:val="008F7491"/>
    <w:rsid w:val="008F77A8"/>
    <w:rsid w:val="008F7908"/>
    <w:rsid w:val="00900887"/>
    <w:rsid w:val="00900E42"/>
    <w:rsid w:val="00900FBD"/>
    <w:rsid w:val="0090151B"/>
    <w:rsid w:val="009017BD"/>
    <w:rsid w:val="00901922"/>
    <w:rsid w:val="00901C68"/>
    <w:rsid w:val="00902B3A"/>
    <w:rsid w:val="00902D2D"/>
    <w:rsid w:val="009034FF"/>
    <w:rsid w:val="00903D1E"/>
    <w:rsid w:val="0090434C"/>
    <w:rsid w:val="0090470E"/>
    <w:rsid w:val="00904982"/>
    <w:rsid w:val="009057A0"/>
    <w:rsid w:val="00905916"/>
    <w:rsid w:val="00906D33"/>
    <w:rsid w:val="00907370"/>
    <w:rsid w:val="009076E3"/>
    <w:rsid w:val="00907745"/>
    <w:rsid w:val="00907D6C"/>
    <w:rsid w:val="009100AF"/>
    <w:rsid w:val="00910FDA"/>
    <w:rsid w:val="00911148"/>
    <w:rsid w:val="00911E03"/>
    <w:rsid w:val="0091221A"/>
    <w:rsid w:val="0091232E"/>
    <w:rsid w:val="0091235D"/>
    <w:rsid w:val="00912C48"/>
    <w:rsid w:val="009132EE"/>
    <w:rsid w:val="009133C2"/>
    <w:rsid w:val="0091349C"/>
    <w:rsid w:val="009134B8"/>
    <w:rsid w:val="00913877"/>
    <w:rsid w:val="00913E74"/>
    <w:rsid w:val="009146C1"/>
    <w:rsid w:val="0091471D"/>
    <w:rsid w:val="009149AA"/>
    <w:rsid w:val="00914A3B"/>
    <w:rsid w:val="00914A8F"/>
    <w:rsid w:val="00914DB2"/>
    <w:rsid w:val="00915A81"/>
    <w:rsid w:val="00916358"/>
    <w:rsid w:val="00916CE4"/>
    <w:rsid w:val="00916D47"/>
    <w:rsid w:val="00917135"/>
    <w:rsid w:val="00917614"/>
    <w:rsid w:val="009217F2"/>
    <w:rsid w:val="00921830"/>
    <w:rsid w:val="00921D1F"/>
    <w:rsid w:val="00921D40"/>
    <w:rsid w:val="00922259"/>
    <w:rsid w:val="0092229B"/>
    <w:rsid w:val="00922A4D"/>
    <w:rsid w:val="0092309F"/>
    <w:rsid w:val="0092355F"/>
    <w:rsid w:val="0092361A"/>
    <w:rsid w:val="009245DA"/>
    <w:rsid w:val="00924C02"/>
    <w:rsid w:val="00924FF7"/>
    <w:rsid w:val="0092596E"/>
    <w:rsid w:val="00925D53"/>
    <w:rsid w:val="00927425"/>
    <w:rsid w:val="009276FC"/>
    <w:rsid w:val="00927CFB"/>
    <w:rsid w:val="00927DF5"/>
    <w:rsid w:val="00930E7C"/>
    <w:rsid w:val="00931CC6"/>
    <w:rsid w:val="009320CD"/>
    <w:rsid w:val="00933F16"/>
    <w:rsid w:val="009346A7"/>
    <w:rsid w:val="00935212"/>
    <w:rsid w:val="009357B5"/>
    <w:rsid w:val="009364F1"/>
    <w:rsid w:val="00936505"/>
    <w:rsid w:val="009369F3"/>
    <w:rsid w:val="00937182"/>
    <w:rsid w:val="009376EA"/>
    <w:rsid w:val="00937AF1"/>
    <w:rsid w:val="00937F35"/>
    <w:rsid w:val="0094023B"/>
    <w:rsid w:val="00940C18"/>
    <w:rsid w:val="00941CEC"/>
    <w:rsid w:val="00941CF5"/>
    <w:rsid w:val="009421D9"/>
    <w:rsid w:val="00942A60"/>
    <w:rsid w:val="00943165"/>
    <w:rsid w:val="0094340F"/>
    <w:rsid w:val="00944AEC"/>
    <w:rsid w:val="00944CD5"/>
    <w:rsid w:val="00944EC3"/>
    <w:rsid w:val="00945296"/>
    <w:rsid w:val="0094588A"/>
    <w:rsid w:val="00945BE9"/>
    <w:rsid w:val="00946029"/>
    <w:rsid w:val="00950944"/>
    <w:rsid w:val="00950BA4"/>
    <w:rsid w:val="00950DAC"/>
    <w:rsid w:val="009511A0"/>
    <w:rsid w:val="00951B0B"/>
    <w:rsid w:val="00951C8B"/>
    <w:rsid w:val="00951DAE"/>
    <w:rsid w:val="00952C1A"/>
    <w:rsid w:val="00952F5E"/>
    <w:rsid w:val="00952FAC"/>
    <w:rsid w:val="0095361C"/>
    <w:rsid w:val="009538A9"/>
    <w:rsid w:val="00953F99"/>
    <w:rsid w:val="0095457B"/>
    <w:rsid w:val="0095497B"/>
    <w:rsid w:val="00955092"/>
    <w:rsid w:val="00955278"/>
    <w:rsid w:val="00955E82"/>
    <w:rsid w:val="0095620F"/>
    <w:rsid w:val="00957778"/>
    <w:rsid w:val="009578AE"/>
    <w:rsid w:val="00957950"/>
    <w:rsid w:val="00957B37"/>
    <w:rsid w:val="00957F66"/>
    <w:rsid w:val="00960311"/>
    <w:rsid w:val="0096138E"/>
    <w:rsid w:val="009614F7"/>
    <w:rsid w:val="00961973"/>
    <w:rsid w:val="00961978"/>
    <w:rsid w:val="00961F14"/>
    <w:rsid w:val="0096347C"/>
    <w:rsid w:val="00963681"/>
    <w:rsid w:val="00963C3B"/>
    <w:rsid w:val="00963EF7"/>
    <w:rsid w:val="00963F6D"/>
    <w:rsid w:val="009652AC"/>
    <w:rsid w:val="00965516"/>
    <w:rsid w:val="00965B54"/>
    <w:rsid w:val="00965D7C"/>
    <w:rsid w:val="009663EC"/>
    <w:rsid w:val="009672E9"/>
    <w:rsid w:val="00967F48"/>
    <w:rsid w:val="0097094A"/>
    <w:rsid w:val="00970D92"/>
    <w:rsid w:val="0097137B"/>
    <w:rsid w:val="0097254F"/>
    <w:rsid w:val="009728E4"/>
    <w:rsid w:val="00972C6E"/>
    <w:rsid w:val="009731FA"/>
    <w:rsid w:val="009749E3"/>
    <w:rsid w:val="00974D9E"/>
    <w:rsid w:val="00974E18"/>
    <w:rsid w:val="00974FF0"/>
    <w:rsid w:val="009751E1"/>
    <w:rsid w:val="009763AB"/>
    <w:rsid w:val="00976838"/>
    <w:rsid w:val="00976D80"/>
    <w:rsid w:val="00976DFA"/>
    <w:rsid w:val="009771A2"/>
    <w:rsid w:val="00977658"/>
    <w:rsid w:val="00977725"/>
    <w:rsid w:val="00977888"/>
    <w:rsid w:val="00977D41"/>
    <w:rsid w:val="00977F28"/>
    <w:rsid w:val="00980658"/>
    <w:rsid w:val="009807EC"/>
    <w:rsid w:val="00980DC6"/>
    <w:rsid w:val="00981B38"/>
    <w:rsid w:val="00981EB7"/>
    <w:rsid w:val="009820BB"/>
    <w:rsid w:val="00982399"/>
    <w:rsid w:val="009826DD"/>
    <w:rsid w:val="00982717"/>
    <w:rsid w:val="00982862"/>
    <w:rsid w:val="00982C23"/>
    <w:rsid w:val="00982FBB"/>
    <w:rsid w:val="00983384"/>
    <w:rsid w:val="0098347F"/>
    <w:rsid w:val="009838F8"/>
    <w:rsid w:val="0098399A"/>
    <w:rsid w:val="00984493"/>
    <w:rsid w:val="009845DC"/>
    <w:rsid w:val="00984652"/>
    <w:rsid w:val="009847DD"/>
    <w:rsid w:val="00984908"/>
    <w:rsid w:val="009849B3"/>
    <w:rsid w:val="009854EC"/>
    <w:rsid w:val="00985A19"/>
    <w:rsid w:val="00985CAC"/>
    <w:rsid w:val="00986026"/>
    <w:rsid w:val="00986610"/>
    <w:rsid w:val="00986901"/>
    <w:rsid w:val="00987562"/>
    <w:rsid w:val="009875B9"/>
    <w:rsid w:val="009878FC"/>
    <w:rsid w:val="009879D4"/>
    <w:rsid w:val="00987E12"/>
    <w:rsid w:val="0099037C"/>
    <w:rsid w:val="00990554"/>
    <w:rsid w:val="00990A64"/>
    <w:rsid w:val="00990AB6"/>
    <w:rsid w:val="00991076"/>
    <w:rsid w:val="009925FA"/>
    <w:rsid w:val="00993063"/>
    <w:rsid w:val="009936BA"/>
    <w:rsid w:val="0099375A"/>
    <w:rsid w:val="0099462C"/>
    <w:rsid w:val="009946BB"/>
    <w:rsid w:val="00994880"/>
    <w:rsid w:val="0099494E"/>
    <w:rsid w:val="009949C9"/>
    <w:rsid w:val="00994A73"/>
    <w:rsid w:val="00994CBF"/>
    <w:rsid w:val="0099571C"/>
    <w:rsid w:val="00996092"/>
    <w:rsid w:val="009963A8"/>
    <w:rsid w:val="00997200"/>
    <w:rsid w:val="009A0970"/>
    <w:rsid w:val="009A0F7B"/>
    <w:rsid w:val="009A1037"/>
    <w:rsid w:val="009A1B40"/>
    <w:rsid w:val="009A1CF2"/>
    <w:rsid w:val="009A21EA"/>
    <w:rsid w:val="009A259E"/>
    <w:rsid w:val="009A25CD"/>
    <w:rsid w:val="009A27F4"/>
    <w:rsid w:val="009A287B"/>
    <w:rsid w:val="009A2B1E"/>
    <w:rsid w:val="009A2D48"/>
    <w:rsid w:val="009A351A"/>
    <w:rsid w:val="009A351E"/>
    <w:rsid w:val="009A39F2"/>
    <w:rsid w:val="009A3A40"/>
    <w:rsid w:val="009A3A7F"/>
    <w:rsid w:val="009A4437"/>
    <w:rsid w:val="009A46EF"/>
    <w:rsid w:val="009A4DAD"/>
    <w:rsid w:val="009A4EDB"/>
    <w:rsid w:val="009A50FD"/>
    <w:rsid w:val="009A51ED"/>
    <w:rsid w:val="009A5642"/>
    <w:rsid w:val="009A59F1"/>
    <w:rsid w:val="009A5B73"/>
    <w:rsid w:val="009A605A"/>
    <w:rsid w:val="009A60FC"/>
    <w:rsid w:val="009A68B1"/>
    <w:rsid w:val="009A6A0F"/>
    <w:rsid w:val="009A6AD4"/>
    <w:rsid w:val="009A7181"/>
    <w:rsid w:val="009A76FD"/>
    <w:rsid w:val="009A79E0"/>
    <w:rsid w:val="009A7A07"/>
    <w:rsid w:val="009B0277"/>
    <w:rsid w:val="009B07B3"/>
    <w:rsid w:val="009B0C30"/>
    <w:rsid w:val="009B0F71"/>
    <w:rsid w:val="009B136D"/>
    <w:rsid w:val="009B233B"/>
    <w:rsid w:val="009B2411"/>
    <w:rsid w:val="009B2500"/>
    <w:rsid w:val="009B253B"/>
    <w:rsid w:val="009B2AA3"/>
    <w:rsid w:val="009B3146"/>
    <w:rsid w:val="009B36AE"/>
    <w:rsid w:val="009B3BA7"/>
    <w:rsid w:val="009B3DE7"/>
    <w:rsid w:val="009B41A5"/>
    <w:rsid w:val="009B55A1"/>
    <w:rsid w:val="009B5890"/>
    <w:rsid w:val="009B6ECB"/>
    <w:rsid w:val="009B723D"/>
    <w:rsid w:val="009B773E"/>
    <w:rsid w:val="009C0517"/>
    <w:rsid w:val="009C0C24"/>
    <w:rsid w:val="009C1424"/>
    <w:rsid w:val="009C15C1"/>
    <w:rsid w:val="009C1AAE"/>
    <w:rsid w:val="009C241B"/>
    <w:rsid w:val="009C24ED"/>
    <w:rsid w:val="009C3375"/>
    <w:rsid w:val="009C3433"/>
    <w:rsid w:val="009C38CB"/>
    <w:rsid w:val="009C411E"/>
    <w:rsid w:val="009C4988"/>
    <w:rsid w:val="009C63E8"/>
    <w:rsid w:val="009C6C69"/>
    <w:rsid w:val="009C6EB1"/>
    <w:rsid w:val="009C6EF2"/>
    <w:rsid w:val="009C75A5"/>
    <w:rsid w:val="009C77AC"/>
    <w:rsid w:val="009C79B7"/>
    <w:rsid w:val="009D0387"/>
    <w:rsid w:val="009D0BE4"/>
    <w:rsid w:val="009D110E"/>
    <w:rsid w:val="009D166E"/>
    <w:rsid w:val="009D2316"/>
    <w:rsid w:val="009D2A31"/>
    <w:rsid w:val="009D312E"/>
    <w:rsid w:val="009D35F8"/>
    <w:rsid w:val="009D4015"/>
    <w:rsid w:val="009D4B73"/>
    <w:rsid w:val="009D51A6"/>
    <w:rsid w:val="009D5283"/>
    <w:rsid w:val="009D5B79"/>
    <w:rsid w:val="009D5F6F"/>
    <w:rsid w:val="009D61EA"/>
    <w:rsid w:val="009D738B"/>
    <w:rsid w:val="009D7504"/>
    <w:rsid w:val="009E05EE"/>
    <w:rsid w:val="009E0695"/>
    <w:rsid w:val="009E0B95"/>
    <w:rsid w:val="009E1706"/>
    <w:rsid w:val="009E1DE7"/>
    <w:rsid w:val="009E2B0B"/>
    <w:rsid w:val="009E340F"/>
    <w:rsid w:val="009E35A9"/>
    <w:rsid w:val="009E447D"/>
    <w:rsid w:val="009E48F6"/>
    <w:rsid w:val="009E4CBE"/>
    <w:rsid w:val="009E4F90"/>
    <w:rsid w:val="009E519B"/>
    <w:rsid w:val="009E610D"/>
    <w:rsid w:val="009E6237"/>
    <w:rsid w:val="009E684E"/>
    <w:rsid w:val="009E752C"/>
    <w:rsid w:val="009E789F"/>
    <w:rsid w:val="009E7A28"/>
    <w:rsid w:val="009E7A71"/>
    <w:rsid w:val="009F022F"/>
    <w:rsid w:val="009F02BA"/>
    <w:rsid w:val="009F0363"/>
    <w:rsid w:val="009F0899"/>
    <w:rsid w:val="009F1811"/>
    <w:rsid w:val="009F1A57"/>
    <w:rsid w:val="009F1E33"/>
    <w:rsid w:val="009F3311"/>
    <w:rsid w:val="009F395E"/>
    <w:rsid w:val="009F3E90"/>
    <w:rsid w:val="009F43EE"/>
    <w:rsid w:val="009F4A5A"/>
    <w:rsid w:val="009F5656"/>
    <w:rsid w:val="009F57E1"/>
    <w:rsid w:val="009F6207"/>
    <w:rsid w:val="009F662C"/>
    <w:rsid w:val="009F6BBB"/>
    <w:rsid w:val="009F6D9F"/>
    <w:rsid w:val="009F6F51"/>
    <w:rsid w:val="009F6F99"/>
    <w:rsid w:val="009F75E3"/>
    <w:rsid w:val="009F7CA5"/>
    <w:rsid w:val="009F7D4B"/>
    <w:rsid w:val="00A001C4"/>
    <w:rsid w:val="00A00225"/>
    <w:rsid w:val="00A0071F"/>
    <w:rsid w:val="00A00A26"/>
    <w:rsid w:val="00A00D48"/>
    <w:rsid w:val="00A00DA2"/>
    <w:rsid w:val="00A00FF4"/>
    <w:rsid w:val="00A0103A"/>
    <w:rsid w:val="00A0164A"/>
    <w:rsid w:val="00A0272A"/>
    <w:rsid w:val="00A03E26"/>
    <w:rsid w:val="00A04653"/>
    <w:rsid w:val="00A0492B"/>
    <w:rsid w:val="00A04998"/>
    <w:rsid w:val="00A04E82"/>
    <w:rsid w:val="00A05163"/>
    <w:rsid w:val="00A052E6"/>
    <w:rsid w:val="00A056AB"/>
    <w:rsid w:val="00A05816"/>
    <w:rsid w:val="00A059AB"/>
    <w:rsid w:val="00A05D28"/>
    <w:rsid w:val="00A05D71"/>
    <w:rsid w:val="00A05F1F"/>
    <w:rsid w:val="00A06E22"/>
    <w:rsid w:val="00A06EC0"/>
    <w:rsid w:val="00A07373"/>
    <w:rsid w:val="00A073B3"/>
    <w:rsid w:val="00A0766C"/>
    <w:rsid w:val="00A079FB"/>
    <w:rsid w:val="00A07B4C"/>
    <w:rsid w:val="00A07D2E"/>
    <w:rsid w:val="00A07F75"/>
    <w:rsid w:val="00A10678"/>
    <w:rsid w:val="00A10C46"/>
    <w:rsid w:val="00A11087"/>
    <w:rsid w:val="00A11793"/>
    <w:rsid w:val="00A11CBF"/>
    <w:rsid w:val="00A123E6"/>
    <w:rsid w:val="00A128CA"/>
    <w:rsid w:val="00A12A54"/>
    <w:rsid w:val="00A133C7"/>
    <w:rsid w:val="00A13685"/>
    <w:rsid w:val="00A146BF"/>
    <w:rsid w:val="00A1479D"/>
    <w:rsid w:val="00A14F9B"/>
    <w:rsid w:val="00A15D49"/>
    <w:rsid w:val="00A16437"/>
    <w:rsid w:val="00A16575"/>
    <w:rsid w:val="00A16F15"/>
    <w:rsid w:val="00A20548"/>
    <w:rsid w:val="00A21964"/>
    <w:rsid w:val="00A225D4"/>
    <w:rsid w:val="00A22E9E"/>
    <w:rsid w:val="00A231FB"/>
    <w:rsid w:val="00A23A15"/>
    <w:rsid w:val="00A23CD9"/>
    <w:rsid w:val="00A244B9"/>
    <w:rsid w:val="00A2507E"/>
    <w:rsid w:val="00A25244"/>
    <w:rsid w:val="00A25462"/>
    <w:rsid w:val="00A25C4D"/>
    <w:rsid w:val="00A260F7"/>
    <w:rsid w:val="00A268B5"/>
    <w:rsid w:val="00A27331"/>
    <w:rsid w:val="00A277A3"/>
    <w:rsid w:val="00A27B1F"/>
    <w:rsid w:val="00A27BC1"/>
    <w:rsid w:val="00A27C45"/>
    <w:rsid w:val="00A308B8"/>
    <w:rsid w:val="00A318E8"/>
    <w:rsid w:val="00A32303"/>
    <w:rsid w:val="00A3255C"/>
    <w:rsid w:val="00A32713"/>
    <w:rsid w:val="00A32CDF"/>
    <w:rsid w:val="00A3425E"/>
    <w:rsid w:val="00A34F57"/>
    <w:rsid w:val="00A34F8A"/>
    <w:rsid w:val="00A35336"/>
    <w:rsid w:val="00A354E1"/>
    <w:rsid w:val="00A35E3F"/>
    <w:rsid w:val="00A365BE"/>
    <w:rsid w:val="00A36870"/>
    <w:rsid w:val="00A3690F"/>
    <w:rsid w:val="00A36AC9"/>
    <w:rsid w:val="00A36F73"/>
    <w:rsid w:val="00A378E5"/>
    <w:rsid w:val="00A3793B"/>
    <w:rsid w:val="00A37A52"/>
    <w:rsid w:val="00A37AE8"/>
    <w:rsid w:val="00A4013A"/>
    <w:rsid w:val="00A4015C"/>
    <w:rsid w:val="00A401B0"/>
    <w:rsid w:val="00A41AB3"/>
    <w:rsid w:val="00A41CB1"/>
    <w:rsid w:val="00A428BC"/>
    <w:rsid w:val="00A42C87"/>
    <w:rsid w:val="00A42F74"/>
    <w:rsid w:val="00A4363E"/>
    <w:rsid w:val="00A436A2"/>
    <w:rsid w:val="00A43943"/>
    <w:rsid w:val="00A44811"/>
    <w:rsid w:val="00A45AB1"/>
    <w:rsid w:val="00A45F94"/>
    <w:rsid w:val="00A46268"/>
    <w:rsid w:val="00A4678D"/>
    <w:rsid w:val="00A46AA4"/>
    <w:rsid w:val="00A47265"/>
    <w:rsid w:val="00A503D3"/>
    <w:rsid w:val="00A50A7E"/>
    <w:rsid w:val="00A50E40"/>
    <w:rsid w:val="00A511A5"/>
    <w:rsid w:val="00A51257"/>
    <w:rsid w:val="00A5160E"/>
    <w:rsid w:val="00A51B60"/>
    <w:rsid w:val="00A51DF3"/>
    <w:rsid w:val="00A51F82"/>
    <w:rsid w:val="00A52CEA"/>
    <w:rsid w:val="00A53330"/>
    <w:rsid w:val="00A5339D"/>
    <w:rsid w:val="00A54090"/>
    <w:rsid w:val="00A5454B"/>
    <w:rsid w:val="00A54D4E"/>
    <w:rsid w:val="00A55735"/>
    <w:rsid w:val="00A5600F"/>
    <w:rsid w:val="00A5613B"/>
    <w:rsid w:val="00A562EC"/>
    <w:rsid w:val="00A56864"/>
    <w:rsid w:val="00A56954"/>
    <w:rsid w:val="00A576DD"/>
    <w:rsid w:val="00A60A6A"/>
    <w:rsid w:val="00A60C39"/>
    <w:rsid w:val="00A60CDC"/>
    <w:rsid w:val="00A60FAF"/>
    <w:rsid w:val="00A614C1"/>
    <w:rsid w:val="00A61709"/>
    <w:rsid w:val="00A618A0"/>
    <w:rsid w:val="00A62240"/>
    <w:rsid w:val="00A62E3F"/>
    <w:rsid w:val="00A634A2"/>
    <w:rsid w:val="00A63775"/>
    <w:rsid w:val="00A63B53"/>
    <w:rsid w:val="00A63F98"/>
    <w:rsid w:val="00A644B4"/>
    <w:rsid w:val="00A64918"/>
    <w:rsid w:val="00A64BAC"/>
    <w:rsid w:val="00A64D71"/>
    <w:rsid w:val="00A64D8F"/>
    <w:rsid w:val="00A65A14"/>
    <w:rsid w:val="00A65BAA"/>
    <w:rsid w:val="00A65C7A"/>
    <w:rsid w:val="00A65EEF"/>
    <w:rsid w:val="00A66495"/>
    <w:rsid w:val="00A667FC"/>
    <w:rsid w:val="00A66CF7"/>
    <w:rsid w:val="00A66F61"/>
    <w:rsid w:val="00A70B4B"/>
    <w:rsid w:val="00A70BF8"/>
    <w:rsid w:val="00A70F15"/>
    <w:rsid w:val="00A7152A"/>
    <w:rsid w:val="00A71604"/>
    <w:rsid w:val="00A71784"/>
    <w:rsid w:val="00A71944"/>
    <w:rsid w:val="00A71D88"/>
    <w:rsid w:val="00A725B8"/>
    <w:rsid w:val="00A730E5"/>
    <w:rsid w:val="00A733BD"/>
    <w:rsid w:val="00A733EB"/>
    <w:rsid w:val="00A75B83"/>
    <w:rsid w:val="00A75D92"/>
    <w:rsid w:val="00A7618E"/>
    <w:rsid w:val="00A76449"/>
    <w:rsid w:val="00A766A7"/>
    <w:rsid w:val="00A76B91"/>
    <w:rsid w:val="00A7707F"/>
    <w:rsid w:val="00A77837"/>
    <w:rsid w:val="00A7794C"/>
    <w:rsid w:val="00A7797E"/>
    <w:rsid w:val="00A80195"/>
    <w:rsid w:val="00A805CE"/>
    <w:rsid w:val="00A8086E"/>
    <w:rsid w:val="00A82389"/>
    <w:rsid w:val="00A8337B"/>
    <w:rsid w:val="00A83768"/>
    <w:rsid w:val="00A84C6D"/>
    <w:rsid w:val="00A851B4"/>
    <w:rsid w:val="00A853C2"/>
    <w:rsid w:val="00A85BE0"/>
    <w:rsid w:val="00A85E8D"/>
    <w:rsid w:val="00A85FE3"/>
    <w:rsid w:val="00A868C9"/>
    <w:rsid w:val="00A871E0"/>
    <w:rsid w:val="00A871FC"/>
    <w:rsid w:val="00A8751D"/>
    <w:rsid w:val="00A87ABF"/>
    <w:rsid w:val="00A87DB3"/>
    <w:rsid w:val="00A90445"/>
    <w:rsid w:val="00A9096E"/>
    <w:rsid w:val="00A90BB3"/>
    <w:rsid w:val="00A90FC0"/>
    <w:rsid w:val="00A91403"/>
    <w:rsid w:val="00A9196B"/>
    <w:rsid w:val="00A919F6"/>
    <w:rsid w:val="00A91ED4"/>
    <w:rsid w:val="00A92471"/>
    <w:rsid w:val="00A92566"/>
    <w:rsid w:val="00A92B22"/>
    <w:rsid w:val="00A92EB4"/>
    <w:rsid w:val="00A92EDC"/>
    <w:rsid w:val="00A9352B"/>
    <w:rsid w:val="00A936B1"/>
    <w:rsid w:val="00A93912"/>
    <w:rsid w:val="00A93A25"/>
    <w:rsid w:val="00A93D56"/>
    <w:rsid w:val="00A93EBE"/>
    <w:rsid w:val="00A941D3"/>
    <w:rsid w:val="00A9451E"/>
    <w:rsid w:val="00A94926"/>
    <w:rsid w:val="00A94D59"/>
    <w:rsid w:val="00A952CA"/>
    <w:rsid w:val="00A9679E"/>
    <w:rsid w:val="00A96B59"/>
    <w:rsid w:val="00A96D66"/>
    <w:rsid w:val="00A96F3F"/>
    <w:rsid w:val="00A97114"/>
    <w:rsid w:val="00AA0017"/>
    <w:rsid w:val="00AA0710"/>
    <w:rsid w:val="00AA0879"/>
    <w:rsid w:val="00AA1904"/>
    <w:rsid w:val="00AA1C85"/>
    <w:rsid w:val="00AA1DA9"/>
    <w:rsid w:val="00AA3079"/>
    <w:rsid w:val="00AA335D"/>
    <w:rsid w:val="00AA3733"/>
    <w:rsid w:val="00AA3BBD"/>
    <w:rsid w:val="00AA3E8C"/>
    <w:rsid w:val="00AA4435"/>
    <w:rsid w:val="00AA4D1F"/>
    <w:rsid w:val="00AA4F82"/>
    <w:rsid w:val="00AA4FD9"/>
    <w:rsid w:val="00AA502E"/>
    <w:rsid w:val="00AA51C2"/>
    <w:rsid w:val="00AA56A2"/>
    <w:rsid w:val="00AA5831"/>
    <w:rsid w:val="00AA5D38"/>
    <w:rsid w:val="00AA7A8B"/>
    <w:rsid w:val="00AA7C4A"/>
    <w:rsid w:val="00AB035C"/>
    <w:rsid w:val="00AB05D6"/>
    <w:rsid w:val="00AB0650"/>
    <w:rsid w:val="00AB0B20"/>
    <w:rsid w:val="00AB1385"/>
    <w:rsid w:val="00AB1B84"/>
    <w:rsid w:val="00AB1CBC"/>
    <w:rsid w:val="00AB2474"/>
    <w:rsid w:val="00AB261C"/>
    <w:rsid w:val="00AB2A1A"/>
    <w:rsid w:val="00AB38CF"/>
    <w:rsid w:val="00AB3AA0"/>
    <w:rsid w:val="00AB4376"/>
    <w:rsid w:val="00AB5567"/>
    <w:rsid w:val="00AB5655"/>
    <w:rsid w:val="00AB580D"/>
    <w:rsid w:val="00AB6354"/>
    <w:rsid w:val="00AB6B03"/>
    <w:rsid w:val="00AB6F28"/>
    <w:rsid w:val="00AB732B"/>
    <w:rsid w:val="00AB740D"/>
    <w:rsid w:val="00AB7593"/>
    <w:rsid w:val="00AB79BD"/>
    <w:rsid w:val="00AB7B68"/>
    <w:rsid w:val="00AB7E9A"/>
    <w:rsid w:val="00AB7EF5"/>
    <w:rsid w:val="00AC003D"/>
    <w:rsid w:val="00AC100D"/>
    <w:rsid w:val="00AC1720"/>
    <w:rsid w:val="00AC1A50"/>
    <w:rsid w:val="00AC258A"/>
    <w:rsid w:val="00AC268A"/>
    <w:rsid w:val="00AC28F2"/>
    <w:rsid w:val="00AC29AC"/>
    <w:rsid w:val="00AC31C5"/>
    <w:rsid w:val="00AC3893"/>
    <w:rsid w:val="00AC44E3"/>
    <w:rsid w:val="00AC4DE8"/>
    <w:rsid w:val="00AC4F66"/>
    <w:rsid w:val="00AC505F"/>
    <w:rsid w:val="00AC52DA"/>
    <w:rsid w:val="00AC56C1"/>
    <w:rsid w:val="00AC5883"/>
    <w:rsid w:val="00AC5938"/>
    <w:rsid w:val="00AC6026"/>
    <w:rsid w:val="00AC66B2"/>
    <w:rsid w:val="00AC7096"/>
    <w:rsid w:val="00AC781C"/>
    <w:rsid w:val="00AC7D11"/>
    <w:rsid w:val="00AD0BEA"/>
    <w:rsid w:val="00AD0CDB"/>
    <w:rsid w:val="00AD1004"/>
    <w:rsid w:val="00AD1111"/>
    <w:rsid w:val="00AD1231"/>
    <w:rsid w:val="00AD17BE"/>
    <w:rsid w:val="00AD197C"/>
    <w:rsid w:val="00AD1AC5"/>
    <w:rsid w:val="00AD331D"/>
    <w:rsid w:val="00AD345B"/>
    <w:rsid w:val="00AD3689"/>
    <w:rsid w:val="00AD386B"/>
    <w:rsid w:val="00AD38E4"/>
    <w:rsid w:val="00AD3F08"/>
    <w:rsid w:val="00AD58DD"/>
    <w:rsid w:val="00AD5E6C"/>
    <w:rsid w:val="00AD6E9E"/>
    <w:rsid w:val="00AD702B"/>
    <w:rsid w:val="00AD7502"/>
    <w:rsid w:val="00AD7A61"/>
    <w:rsid w:val="00AD7BCB"/>
    <w:rsid w:val="00AE02B5"/>
    <w:rsid w:val="00AE07F0"/>
    <w:rsid w:val="00AE0A56"/>
    <w:rsid w:val="00AE1221"/>
    <w:rsid w:val="00AE13C1"/>
    <w:rsid w:val="00AE1ABE"/>
    <w:rsid w:val="00AE25F4"/>
    <w:rsid w:val="00AE2856"/>
    <w:rsid w:val="00AE2EB8"/>
    <w:rsid w:val="00AE3135"/>
    <w:rsid w:val="00AE3D3C"/>
    <w:rsid w:val="00AE4022"/>
    <w:rsid w:val="00AE4619"/>
    <w:rsid w:val="00AE572B"/>
    <w:rsid w:val="00AE5744"/>
    <w:rsid w:val="00AE5926"/>
    <w:rsid w:val="00AE5EF0"/>
    <w:rsid w:val="00AE63FC"/>
    <w:rsid w:val="00AE6558"/>
    <w:rsid w:val="00AE6ACE"/>
    <w:rsid w:val="00AE6C71"/>
    <w:rsid w:val="00AE7143"/>
    <w:rsid w:val="00AE725F"/>
    <w:rsid w:val="00AE7519"/>
    <w:rsid w:val="00AE7C2A"/>
    <w:rsid w:val="00AE7D9E"/>
    <w:rsid w:val="00AE7FA4"/>
    <w:rsid w:val="00AF0018"/>
    <w:rsid w:val="00AF07F4"/>
    <w:rsid w:val="00AF0E56"/>
    <w:rsid w:val="00AF15D7"/>
    <w:rsid w:val="00AF181D"/>
    <w:rsid w:val="00AF183C"/>
    <w:rsid w:val="00AF19F8"/>
    <w:rsid w:val="00AF1AD1"/>
    <w:rsid w:val="00AF239A"/>
    <w:rsid w:val="00AF2AE3"/>
    <w:rsid w:val="00AF2C2A"/>
    <w:rsid w:val="00AF3786"/>
    <w:rsid w:val="00AF381E"/>
    <w:rsid w:val="00AF41B0"/>
    <w:rsid w:val="00AF4EEA"/>
    <w:rsid w:val="00AF5220"/>
    <w:rsid w:val="00AF550C"/>
    <w:rsid w:val="00AF5A51"/>
    <w:rsid w:val="00AF6639"/>
    <w:rsid w:val="00AF6AA0"/>
    <w:rsid w:val="00AF7D22"/>
    <w:rsid w:val="00AF7DAB"/>
    <w:rsid w:val="00AF7EAD"/>
    <w:rsid w:val="00B0042E"/>
    <w:rsid w:val="00B007AF"/>
    <w:rsid w:val="00B00865"/>
    <w:rsid w:val="00B01526"/>
    <w:rsid w:val="00B01BD5"/>
    <w:rsid w:val="00B01DCE"/>
    <w:rsid w:val="00B0296A"/>
    <w:rsid w:val="00B02C88"/>
    <w:rsid w:val="00B042BA"/>
    <w:rsid w:val="00B0603A"/>
    <w:rsid w:val="00B062A7"/>
    <w:rsid w:val="00B06EFE"/>
    <w:rsid w:val="00B073BB"/>
    <w:rsid w:val="00B0794F"/>
    <w:rsid w:val="00B079A4"/>
    <w:rsid w:val="00B07A7F"/>
    <w:rsid w:val="00B07A9E"/>
    <w:rsid w:val="00B07D96"/>
    <w:rsid w:val="00B1026D"/>
    <w:rsid w:val="00B1079F"/>
    <w:rsid w:val="00B10A9B"/>
    <w:rsid w:val="00B113DA"/>
    <w:rsid w:val="00B11A7F"/>
    <w:rsid w:val="00B11D52"/>
    <w:rsid w:val="00B12673"/>
    <w:rsid w:val="00B13AF8"/>
    <w:rsid w:val="00B13BAF"/>
    <w:rsid w:val="00B13E95"/>
    <w:rsid w:val="00B152D7"/>
    <w:rsid w:val="00B156D7"/>
    <w:rsid w:val="00B15BFA"/>
    <w:rsid w:val="00B160FC"/>
    <w:rsid w:val="00B169DD"/>
    <w:rsid w:val="00B173D4"/>
    <w:rsid w:val="00B17665"/>
    <w:rsid w:val="00B20132"/>
    <w:rsid w:val="00B20624"/>
    <w:rsid w:val="00B2079E"/>
    <w:rsid w:val="00B20AAA"/>
    <w:rsid w:val="00B21658"/>
    <w:rsid w:val="00B21DFA"/>
    <w:rsid w:val="00B22182"/>
    <w:rsid w:val="00B225A0"/>
    <w:rsid w:val="00B22B36"/>
    <w:rsid w:val="00B22D3C"/>
    <w:rsid w:val="00B231BF"/>
    <w:rsid w:val="00B2429A"/>
    <w:rsid w:val="00B24768"/>
    <w:rsid w:val="00B24AC3"/>
    <w:rsid w:val="00B24B4D"/>
    <w:rsid w:val="00B24B6C"/>
    <w:rsid w:val="00B24CD9"/>
    <w:rsid w:val="00B25810"/>
    <w:rsid w:val="00B25EFD"/>
    <w:rsid w:val="00B2677A"/>
    <w:rsid w:val="00B26A3F"/>
    <w:rsid w:val="00B26D68"/>
    <w:rsid w:val="00B26D81"/>
    <w:rsid w:val="00B26EF0"/>
    <w:rsid w:val="00B27124"/>
    <w:rsid w:val="00B27F05"/>
    <w:rsid w:val="00B305C7"/>
    <w:rsid w:val="00B309C4"/>
    <w:rsid w:val="00B30B5C"/>
    <w:rsid w:val="00B30BC1"/>
    <w:rsid w:val="00B30CB5"/>
    <w:rsid w:val="00B32202"/>
    <w:rsid w:val="00B32A20"/>
    <w:rsid w:val="00B32D6F"/>
    <w:rsid w:val="00B3329E"/>
    <w:rsid w:val="00B35445"/>
    <w:rsid w:val="00B35761"/>
    <w:rsid w:val="00B359DD"/>
    <w:rsid w:val="00B35CCB"/>
    <w:rsid w:val="00B4039D"/>
    <w:rsid w:val="00B40851"/>
    <w:rsid w:val="00B40E06"/>
    <w:rsid w:val="00B41127"/>
    <w:rsid w:val="00B41695"/>
    <w:rsid w:val="00B42685"/>
    <w:rsid w:val="00B42D62"/>
    <w:rsid w:val="00B43754"/>
    <w:rsid w:val="00B4381F"/>
    <w:rsid w:val="00B4395C"/>
    <w:rsid w:val="00B447EC"/>
    <w:rsid w:val="00B44CD6"/>
    <w:rsid w:val="00B45ACA"/>
    <w:rsid w:val="00B46034"/>
    <w:rsid w:val="00B4609F"/>
    <w:rsid w:val="00B464E7"/>
    <w:rsid w:val="00B46D9B"/>
    <w:rsid w:val="00B46F3A"/>
    <w:rsid w:val="00B47700"/>
    <w:rsid w:val="00B47AAE"/>
    <w:rsid w:val="00B47B7A"/>
    <w:rsid w:val="00B50D15"/>
    <w:rsid w:val="00B514DA"/>
    <w:rsid w:val="00B52005"/>
    <w:rsid w:val="00B52BA6"/>
    <w:rsid w:val="00B52D52"/>
    <w:rsid w:val="00B533C9"/>
    <w:rsid w:val="00B53988"/>
    <w:rsid w:val="00B53A39"/>
    <w:rsid w:val="00B53F6A"/>
    <w:rsid w:val="00B54492"/>
    <w:rsid w:val="00B54B31"/>
    <w:rsid w:val="00B553CF"/>
    <w:rsid w:val="00B5569C"/>
    <w:rsid w:val="00B55885"/>
    <w:rsid w:val="00B55DF0"/>
    <w:rsid w:val="00B55FA8"/>
    <w:rsid w:val="00B56295"/>
    <w:rsid w:val="00B57422"/>
    <w:rsid w:val="00B57C96"/>
    <w:rsid w:val="00B60168"/>
    <w:rsid w:val="00B6042A"/>
    <w:rsid w:val="00B60581"/>
    <w:rsid w:val="00B607B3"/>
    <w:rsid w:val="00B61232"/>
    <w:rsid w:val="00B6143E"/>
    <w:rsid w:val="00B614EF"/>
    <w:rsid w:val="00B61E6A"/>
    <w:rsid w:val="00B62165"/>
    <w:rsid w:val="00B62503"/>
    <w:rsid w:val="00B62638"/>
    <w:rsid w:val="00B628D1"/>
    <w:rsid w:val="00B62970"/>
    <w:rsid w:val="00B62E3D"/>
    <w:rsid w:val="00B62F2C"/>
    <w:rsid w:val="00B6344D"/>
    <w:rsid w:val="00B637F6"/>
    <w:rsid w:val="00B63A34"/>
    <w:rsid w:val="00B63D93"/>
    <w:rsid w:val="00B648E0"/>
    <w:rsid w:val="00B6531A"/>
    <w:rsid w:val="00B662A6"/>
    <w:rsid w:val="00B66C41"/>
    <w:rsid w:val="00B670FD"/>
    <w:rsid w:val="00B6725B"/>
    <w:rsid w:val="00B67364"/>
    <w:rsid w:val="00B67E8E"/>
    <w:rsid w:val="00B701EE"/>
    <w:rsid w:val="00B704C5"/>
    <w:rsid w:val="00B70689"/>
    <w:rsid w:val="00B70DC5"/>
    <w:rsid w:val="00B71674"/>
    <w:rsid w:val="00B717FE"/>
    <w:rsid w:val="00B725F7"/>
    <w:rsid w:val="00B726DE"/>
    <w:rsid w:val="00B72995"/>
    <w:rsid w:val="00B72FC6"/>
    <w:rsid w:val="00B72FEA"/>
    <w:rsid w:val="00B7407D"/>
    <w:rsid w:val="00B7423C"/>
    <w:rsid w:val="00B74281"/>
    <w:rsid w:val="00B752A1"/>
    <w:rsid w:val="00B7711A"/>
    <w:rsid w:val="00B77A18"/>
    <w:rsid w:val="00B77B97"/>
    <w:rsid w:val="00B77D41"/>
    <w:rsid w:val="00B804D2"/>
    <w:rsid w:val="00B80C48"/>
    <w:rsid w:val="00B8168E"/>
    <w:rsid w:val="00B82564"/>
    <w:rsid w:val="00B8328F"/>
    <w:rsid w:val="00B832F2"/>
    <w:rsid w:val="00B834C7"/>
    <w:rsid w:val="00B83A88"/>
    <w:rsid w:val="00B83FB7"/>
    <w:rsid w:val="00B84D27"/>
    <w:rsid w:val="00B85053"/>
    <w:rsid w:val="00B8579B"/>
    <w:rsid w:val="00B8625E"/>
    <w:rsid w:val="00B875F8"/>
    <w:rsid w:val="00B90C02"/>
    <w:rsid w:val="00B91137"/>
    <w:rsid w:val="00B9121D"/>
    <w:rsid w:val="00B9131D"/>
    <w:rsid w:val="00B9147C"/>
    <w:rsid w:val="00B92890"/>
    <w:rsid w:val="00B92967"/>
    <w:rsid w:val="00B92C7A"/>
    <w:rsid w:val="00B92CCA"/>
    <w:rsid w:val="00B9319B"/>
    <w:rsid w:val="00B9328C"/>
    <w:rsid w:val="00B93556"/>
    <w:rsid w:val="00B935EE"/>
    <w:rsid w:val="00B93CA2"/>
    <w:rsid w:val="00B93F7A"/>
    <w:rsid w:val="00B94428"/>
    <w:rsid w:val="00B94642"/>
    <w:rsid w:val="00B9477C"/>
    <w:rsid w:val="00B94C4F"/>
    <w:rsid w:val="00B94C94"/>
    <w:rsid w:val="00B955C6"/>
    <w:rsid w:val="00B95CC6"/>
    <w:rsid w:val="00B95E2B"/>
    <w:rsid w:val="00B974A2"/>
    <w:rsid w:val="00BA0041"/>
    <w:rsid w:val="00BA0144"/>
    <w:rsid w:val="00BA0E3F"/>
    <w:rsid w:val="00BA0EFA"/>
    <w:rsid w:val="00BA1504"/>
    <w:rsid w:val="00BA1930"/>
    <w:rsid w:val="00BA1D3B"/>
    <w:rsid w:val="00BA29BE"/>
    <w:rsid w:val="00BA2ABD"/>
    <w:rsid w:val="00BA39CA"/>
    <w:rsid w:val="00BA3A2C"/>
    <w:rsid w:val="00BA3C0A"/>
    <w:rsid w:val="00BA457A"/>
    <w:rsid w:val="00BA46FE"/>
    <w:rsid w:val="00BA47F0"/>
    <w:rsid w:val="00BA493E"/>
    <w:rsid w:val="00BA5B49"/>
    <w:rsid w:val="00BA6337"/>
    <w:rsid w:val="00BA6765"/>
    <w:rsid w:val="00BA6835"/>
    <w:rsid w:val="00BA6B43"/>
    <w:rsid w:val="00BA7C9B"/>
    <w:rsid w:val="00BB1F5C"/>
    <w:rsid w:val="00BB223D"/>
    <w:rsid w:val="00BB22DD"/>
    <w:rsid w:val="00BB23CB"/>
    <w:rsid w:val="00BB24CE"/>
    <w:rsid w:val="00BB2A9A"/>
    <w:rsid w:val="00BB2AEB"/>
    <w:rsid w:val="00BB2C3C"/>
    <w:rsid w:val="00BB2D1F"/>
    <w:rsid w:val="00BB3554"/>
    <w:rsid w:val="00BB3A3A"/>
    <w:rsid w:val="00BB3A98"/>
    <w:rsid w:val="00BB3FC6"/>
    <w:rsid w:val="00BB431A"/>
    <w:rsid w:val="00BB46B2"/>
    <w:rsid w:val="00BB4ECB"/>
    <w:rsid w:val="00BB502C"/>
    <w:rsid w:val="00BB58E3"/>
    <w:rsid w:val="00BB5D6A"/>
    <w:rsid w:val="00BB6303"/>
    <w:rsid w:val="00BB6841"/>
    <w:rsid w:val="00BB6CD3"/>
    <w:rsid w:val="00BB7078"/>
    <w:rsid w:val="00BC1BAD"/>
    <w:rsid w:val="00BC1D20"/>
    <w:rsid w:val="00BC3348"/>
    <w:rsid w:val="00BC4375"/>
    <w:rsid w:val="00BC43CD"/>
    <w:rsid w:val="00BC496D"/>
    <w:rsid w:val="00BC4B28"/>
    <w:rsid w:val="00BC4DF2"/>
    <w:rsid w:val="00BC54D9"/>
    <w:rsid w:val="00BC569C"/>
    <w:rsid w:val="00BC5CA8"/>
    <w:rsid w:val="00BC62DD"/>
    <w:rsid w:val="00BC69E1"/>
    <w:rsid w:val="00BC77E9"/>
    <w:rsid w:val="00BC7A36"/>
    <w:rsid w:val="00BD1C00"/>
    <w:rsid w:val="00BD1C9A"/>
    <w:rsid w:val="00BD27B7"/>
    <w:rsid w:val="00BD2DD0"/>
    <w:rsid w:val="00BD348B"/>
    <w:rsid w:val="00BD3E61"/>
    <w:rsid w:val="00BD478A"/>
    <w:rsid w:val="00BD48BF"/>
    <w:rsid w:val="00BD4F25"/>
    <w:rsid w:val="00BD51C7"/>
    <w:rsid w:val="00BD5709"/>
    <w:rsid w:val="00BD5861"/>
    <w:rsid w:val="00BD5A7A"/>
    <w:rsid w:val="00BD7052"/>
    <w:rsid w:val="00BD71E9"/>
    <w:rsid w:val="00BD757F"/>
    <w:rsid w:val="00BE03B8"/>
    <w:rsid w:val="00BE1594"/>
    <w:rsid w:val="00BE1897"/>
    <w:rsid w:val="00BE18EE"/>
    <w:rsid w:val="00BE18FC"/>
    <w:rsid w:val="00BE1A79"/>
    <w:rsid w:val="00BE2804"/>
    <w:rsid w:val="00BE28B2"/>
    <w:rsid w:val="00BE290B"/>
    <w:rsid w:val="00BE2A22"/>
    <w:rsid w:val="00BE2F24"/>
    <w:rsid w:val="00BE351E"/>
    <w:rsid w:val="00BE3B1A"/>
    <w:rsid w:val="00BE446B"/>
    <w:rsid w:val="00BE47B3"/>
    <w:rsid w:val="00BE4F47"/>
    <w:rsid w:val="00BE51CC"/>
    <w:rsid w:val="00BE52B7"/>
    <w:rsid w:val="00BE532B"/>
    <w:rsid w:val="00BE5402"/>
    <w:rsid w:val="00BE63AA"/>
    <w:rsid w:val="00BE674C"/>
    <w:rsid w:val="00BE6AC0"/>
    <w:rsid w:val="00BE7018"/>
    <w:rsid w:val="00BE7252"/>
    <w:rsid w:val="00BE74B7"/>
    <w:rsid w:val="00BE77D1"/>
    <w:rsid w:val="00BF043D"/>
    <w:rsid w:val="00BF0DD8"/>
    <w:rsid w:val="00BF10A3"/>
    <w:rsid w:val="00BF130A"/>
    <w:rsid w:val="00BF1375"/>
    <w:rsid w:val="00BF1A16"/>
    <w:rsid w:val="00BF1E38"/>
    <w:rsid w:val="00BF2337"/>
    <w:rsid w:val="00BF2B17"/>
    <w:rsid w:val="00BF36BD"/>
    <w:rsid w:val="00BF3757"/>
    <w:rsid w:val="00BF39A0"/>
    <w:rsid w:val="00BF4219"/>
    <w:rsid w:val="00BF422F"/>
    <w:rsid w:val="00BF49BE"/>
    <w:rsid w:val="00BF57B3"/>
    <w:rsid w:val="00BF5930"/>
    <w:rsid w:val="00BF604B"/>
    <w:rsid w:val="00BF6627"/>
    <w:rsid w:val="00BF67A6"/>
    <w:rsid w:val="00BF6A99"/>
    <w:rsid w:val="00BF6BB2"/>
    <w:rsid w:val="00BF7BA3"/>
    <w:rsid w:val="00BF7F32"/>
    <w:rsid w:val="00C001B6"/>
    <w:rsid w:val="00C00A91"/>
    <w:rsid w:val="00C010F6"/>
    <w:rsid w:val="00C017BE"/>
    <w:rsid w:val="00C01C0C"/>
    <w:rsid w:val="00C02417"/>
    <w:rsid w:val="00C02DD0"/>
    <w:rsid w:val="00C0412A"/>
    <w:rsid w:val="00C0429C"/>
    <w:rsid w:val="00C043AF"/>
    <w:rsid w:val="00C04574"/>
    <w:rsid w:val="00C045B8"/>
    <w:rsid w:val="00C04A9F"/>
    <w:rsid w:val="00C04C4E"/>
    <w:rsid w:val="00C053A5"/>
    <w:rsid w:val="00C05AE7"/>
    <w:rsid w:val="00C0611B"/>
    <w:rsid w:val="00C0675C"/>
    <w:rsid w:val="00C06C7A"/>
    <w:rsid w:val="00C071F0"/>
    <w:rsid w:val="00C07249"/>
    <w:rsid w:val="00C07402"/>
    <w:rsid w:val="00C077F7"/>
    <w:rsid w:val="00C0782B"/>
    <w:rsid w:val="00C10512"/>
    <w:rsid w:val="00C10D37"/>
    <w:rsid w:val="00C11414"/>
    <w:rsid w:val="00C11700"/>
    <w:rsid w:val="00C1200D"/>
    <w:rsid w:val="00C12629"/>
    <w:rsid w:val="00C1274B"/>
    <w:rsid w:val="00C12882"/>
    <w:rsid w:val="00C12BC0"/>
    <w:rsid w:val="00C12CA3"/>
    <w:rsid w:val="00C1370F"/>
    <w:rsid w:val="00C14F8C"/>
    <w:rsid w:val="00C161BF"/>
    <w:rsid w:val="00C1638D"/>
    <w:rsid w:val="00C16808"/>
    <w:rsid w:val="00C16A03"/>
    <w:rsid w:val="00C1753D"/>
    <w:rsid w:val="00C177CE"/>
    <w:rsid w:val="00C20A70"/>
    <w:rsid w:val="00C20D22"/>
    <w:rsid w:val="00C21476"/>
    <w:rsid w:val="00C21759"/>
    <w:rsid w:val="00C2180D"/>
    <w:rsid w:val="00C218B4"/>
    <w:rsid w:val="00C21A7D"/>
    <w:rsid w:val="00C224D7"/>
    <w:rsid w:val="00C2294D"/>
    <w:rsid w:val="00C22B82"/>
    <w:rsid w:val="00C22D61"/>
    <w:rsid w:val="00C22ECA"/>
    <w:rsid w:val="00C23828"/>
    <w:rsid w:val="00C238A0"/>
    <w:rsid w:val="00C23AC9"/>
    <w:rsid w:val="00C24221"/>
    <w:rsid w:val="00C2425D"/>
    <w:rsid w:val="00C24270"/>
    <w:rsid w:val="00C24333"/>
    <w:rsid w:val="00C24549"/>
    <w:rsid w:val="00C25626"/>
    <w:rsid w:val="00C25666"/>
    <w:rsid w:val="00C27076"/>
    <w:rsid w:val="00C2711B"/>
    <w:rsid w:val="00C27EDC"/>
    <w:rsid w:val="00C30353"/>
    <w:rsid w:val="00C30494"/>
    <w:rsid w:val="00C31263"/>
    <w:rsid w:val="00C315E9"/>
    <w:rsid w:val="00C31806"/>
    <w:rsid w:val="00C326A1"/>
    <w:rsid w:val="00C32F37"/>
    <w:rsid w:val="00C33062"/>
    <w:rsid w:val="00C3316B"/>
    <w:rsid w:val="00C33618"/>
    <w:rsid w:val="00C33F8F"/>
    <w:rsid w:val="00C347B9"/>
    <w:rsid w:val="00C356B1"/>
    <w:rsid w:val="00C35F77"/>
    <w:rsid w:val="00C3607F"/>
    <w:rsid w:val="00C369FE"/>
    <w:rsid w:val="00C36FF2"/>
    <w:rsid w:val="00C371C7"/>
    <w:rsid w:val="00C374FB"/>
    <w:rsid w:val="00C37585"/>
    <w:rsid w:val="00C37898"/>
    <w:rsid w:val="00C402F3"/>
    <w:rsid w:val="00C40338"/>
    <w:rsid w:val="00C4103A"/>
    <w:rsid w:val="00C412B7"/>
    <w:rsid w:val="00C413CB"/>
    <w:rsid w:val="00C41BC0"/>
    <w:rsid w:val="00C41FB6"/>
    <w:rsid w:val="00C421F8"/>
    <w:rsid w:val="00C43539"/>
    <w:rsid w:val="00C43682"/>
    <w:rsid w:val="00C43E63"/>
    <w:rsid w:val="00C43F56"/>
    <w:rsid w:val="00C458C7"/>
    <w:rsid w:val="00C4595F"/>
    <w:rsid w:val="00C45C8F"/>
    <w:rsid w:val="00C467CD"/>
    <w:rsid w:val="00C4692D"/>
    <w:rsid w:val="00C469B9"/>
    <w:rsid w:val="00C46A73"/>
    <w:rsid w:val="00C471C1"/>
    <w:rsid w:val="00C47795"/>
    <w:rsid w:val="00C47D42"/>
    <w:rsid w:val="00C50629"/>
    <w:rsid w:val="00C50E1C"/>
    <w:rsid w:val="00C51244"/>
    <w:rsid w:val="00C51888"/>
    <w:rsid w:val="00C5198A"/>
    <w:rsid w:val="00C519B8"/>
    <w:rsid w:val="00C53829"/>
    <w:rsid w:val="00C53E8A"/>
    <w:rsid w:val="00C54650"/>
    <w:rsid w:val="00C546AC"/>
    <w:rsid w:val="00C54B4E"/>
    <w:rsid w:val="00C5628F"/>
    <w:rsid w:val="00C56A17"/>
    <w:rsid w:val="00C57804"/>
    <w:rsid w:val="00C579A6"/>
    <w:rsid w:val="00C60775"/>
    <w:rsid w:val="00C60CF0"/>
    <w:rsid w:val="00C60D38"/>
    <w:rsid w:val="00C6126A"/>
    <w:rsid w:val="00C62009"/>
    <w:rsid w:val="00C63001"/>
    <w:rsid w:val="00C631D4"/>
    <w:rsid w:val="00C632FF"/>
    <w:rsid w:val="00C63707"/>
    <w:rsid w:val="00C63AA6"/>
    <w:rsid w:val="00C63EF2"/>
    <w:rsid w:val="00C643E1"/>
    <w:rsid w:val="00C644EC"/>
    <w:rsid w:val="00C646DC"/>
    <w:rsid w:val="00C64A4D"/>
    <w:rsid w:val="00C64E8D"/>
    <w:rsid w:val="00C65E28"/>
    <w:rsid w:val="00C670F9"/>
    <w:rsid w:val="00C67295"/>
    <w:rsid w:val="00C673F7"/>
    <w:rsid w:val="00C67A53"/>
    <w:rsid w:val="00C708AE"/>
    <w:rsid w:val="00C70E97"/>
    <w:rsid w:val="00C71645"/>
    <w:rsid w:val="00C71785"/>
    <w:rsid w:val="00C719BF"/>
    <w:rsid w:val="00C71A3C"/>
    <w:rsid w:val="00C71EFD"/>
    <w:rsid w:val="00C721C7"/>
    <w:rsid w:val="00C72685"/>
    <w:rsid w:val="00C72715"/>
    <w:rsid w:val="00C72AB1"/>
    <w:rsid w:val="00C733BC"/>
    <w:rsid w:val="00C73A6F"/>
    <w:rsid w:val="00C74213"/>
    <w:rsid w:val="00C74DC9"/>
    <w:rsid w:val="00C74EFB"/>
    <w:rsid w:val="00C753DE"/>
    <w:rsid w:val="00C76304"/>
    <w:rsid w:val="00C7646A"/>
    <w:rsid w:val="00C764A7"/>
    <w:rsid w:val="00C76A07"/>
    <w:rsid w:val="00C76ABB"/>
    <w:rsid w:val="00C76C61"/>
    <w:rsid w:val="00C800F2"/>
    <w:rsid w:val="00C80233"/>
    <w:rsid w:val="00C81052"/>
    <w:rsid w:val="00C81463"/>
    <w:rsid w:val="00C81B19"/>
    <w:rsid w:val="00C826DE"/>
    <w:rsid w:val="00C82CB4"/>
    <w:rsid w:val="00C83657"/>
    <w:rsid w:val="00C83D5C"/>
    <w:rsid w:val="00C8493B"/>
    <w:rsid w:val="00C84B04"/>
    <w:rsid w:val="00C85B47"/>
    <w:rsid w:val="00C864A1"/>
    <w:rsid w:val="00C8694B"/>
    <w:rsid w:val="00C87A45"/>
    <w:rsid w:val="00C87D74"/>
    <w:rsid w:val="00C87D89"/>
    <w:rsid w:val="00C87E87"/>
    <w:rsid w:val="00C90618"/>
    <w:rsid w:val="00C90654"/>
    <w:rsid w:val="00C90943"/>
    <w:rsid w:val="00C9192C"/>
    <w:rsid w:val="00C91A18"/>
    <w:rsid w:val="00C91A64"/>
    <w:rsid w:val="00C91E7F"/>
    <w:rsid w:val="00C91FDA"/>
    <w:rsid w:val="00C9232A"/>
    <w:rsid w:val="00C92486"/>
    <w:rsid w:val="00C927C8"/>
    <w:rsid w:val="00C92BD6"/>
    <w:rsid w:val="00C931EF"/>
    <w:rsid w:val="00C93AE6"/>
    <w:rsid w:val="00C94D2E"/>
    <w:rsid w:val="00C94DFA"/>
    <w:rsid w:val="00C95071"/>
    <w:rsid w:val="00C954FA"/>
    <w:rsid w:val="00C959CD"/>
    <w:rsid w:val="00C961E3"/>
    <w:rsid w:val="00C96F6C"/>
    <w:rsid w:val="00C9776E"/>
    <w:rsid w:val="00CA01CD"/>
    <w:rsid w:val="00CA052D"/>
    <w:rsid w:val="00CA0753"/>
    <w:rsid w:val="00CA089F"/>
    <w:rsid w:val="00CA0D53"/>
    <w:rsid w:val="00CA0F30"/>
    <w:rsid w:val="00CA1508"/>
    <w:rsid w:val="00CA1B6D"/>
    <w:rsid w:val="00CA1D0C"/>
    <w:rsid w:val="00CA1D52"/>
    <w:rsid w:val="00CA2047"/>
    <w:rsid w:val="00CA2605"/>
    <w:rsid w:val="00CA2864"/>
    <w:rsid w:val="00CA2A0E"/>
    <w:rsid w:val="00CA3A60"/>
    <w:rsid w:val="00CA4C8D"/>
    <w:rsid w:val="00CA4E6D"/>
    <w:rsid w:val="00CA4FBB"/>
    <w:rsid w:val="00CA521F"/>
    <w:rsid w:val="00CA5A2F"/>
    <w:rsid w:val="00CA5ED0"/>
    <w:rsid w:val="00CA65EB"/>
    <w:rsid w:val="00CA6AD4"/>
    <w:rsid w:val="00CA6F0E"/>
    <w:rsid w:val="00CA703A"/>
    <w:rsid w:val="00CA74C5"/>
    <w:rsid w:val="00CA76DE"/>
    <w:rsid w:val="00CA7BB7"/>
    <w:rsid w:val="00CA7C1E"/>
    <w:rsid w:val="00CA7EE8"/>
    <w:rsid w:val="00CB0174"/>
    <w:rsid w:val="00CB0421"/>
    <w:rsid w:val="00CB0438"/>
    <w:rsid w:val="00CB2138"/>
    <w:rsid w:val="00CB2451"/>
    <w:rsid w:val="00CB2BF5"/>
    <w:rsid w:val="00CB39E2"/>
    <w:rsid w:val="00CB3EE9"/>
    <w:rsid w:val="00CB43EC"/>
    <w:rsid w:val="00CB4C90"/>
    <w:rsid w:val="00CB4DFB"/>
    <w:rsid w:val="00CB57EF"/>
    <w:rsid w:val="00CB5AEF"/>
    <w:rsid w:val="00CB68E2"/>
    <w:rsid w:val="00CB69C5"/>
    <w:rsid w:val="00CB7A17"/>
    <w:rsid w:val="00CC01D1"/>
    <w:rsid w:val="00CC047C"/>
    <w:rsid w:val="00CC07FC"/>
    <w:rsid w:val="00CC0BC6"/>
    <w:rsid w:val="00CC0DDC"/>
    <w:rsid w:val="00CC0E8F"/>
    <w:rsid w:val="00CC1BEC"/>
    <w:rsid w:val="00CC2B5B"/>
    <w:rsid w:val="00CC2F81"/>
    <w:rsid w:val="00CC30DA"/>
    <w:rsid w:val="00CC35FE"/>
    <w:rsid w:val="00CC371F"/>
    <w:rsid w:val="00CC406E"/>
    <w:rsid w:val="00CC41DD"/>
    <w:rsid w:val="00CC430C"/>
    <w:rsid w:val="00CC4ACF"/>
    <w:rsid w:val="00CC4B6E"/>
    <w:rsid w:val="00CC4C51"/>
    <w:rsid w:val="00CC4E5E"/>
    <w:rsid w:val="00CC53E3"/>
    <w:rsid w:val="00CC5ADE"/>
    <w:rsid w:val="00CC65E8"/>
    <w:rsid w:val="00CC670B"/>
    <w:rsid w:val="00CC6A86"/>
    <w:rsid w:val="00CC71AC"/>
    <w:rsid w:val="00CC75F8"/>
    <w:rsid w:val="00CD0514"/>
    <w:rsid w:val="00CD09C6"/>
    <w:rsid w:val="00CD0FD8"/>
    <w:rsid w:val="00CD15A4"/>
    <w:rsid w:val="00CD1800"/>
    <w:rsid w:val="00CD199C"/>
    <w:rsid w:val="00CD206C"/>
    <w:rsid w:val="00CD2084"/>
    <w:rsid w:val="00CD2CEA"/>
    <w:rsid w:val="00CD3ACD"/>
    <w:rsid w:val="00CD4950"/>
    <w:rsid w:val="00CD4AE4"/>
    <w:rsid w:val="00CD4E8A"/>
    <w:rsid w:val="00CD52B8"/>
    <w:rsid w:val="00CD579C"/>
    <w:rsid w:val="00CD57F7"/>
    <w:rsid w:val="00CD592C"/>
    <w:rsid w:val="00CD6665"/>
    <w:rsid w:val="00CD6D77"/>
    <w:rsid w:val="00CD6F25"/>
    <w:rsid w:val="00CD7588"/>
    <w:rsid w:val="00CD7FE8"/>
    <w:rsid w:val="00CE0CC0"/>
    <w:rsid w:val="00CE27D6"/>
    <w:rsid w:val="00CE2861"/>
    <w:rsid w:val="00CE2B6D"/>
    <w:rsid w:val="00CE2BE6"/>
    <w:rsid w:val="00CE2EFA"/>
    <w:rsid w:val="00CE2F50"/>
    <w:rsid w:val="00CE2FD3"/>
    <w:rsid w:val="00CE319B"/>
    <w:rsid w:val="00CE3A1D"/>
    <w:rsid w:val="00CE4589"/>
    <w:rsid w:val="00CE469A"/>
    <w:rsid w:val="00CE49CB"/>
    <w:rsid w:val="00CE4A30"/>
    <w:rsid w:val="00CE4DA9"/>
    <w:rsid w:val="00CE4F59"/>
    <w:rsid w:val="00CE5178"/>
    <w:rsid w:val="00CE5350"/>
    <w:rsid w:val="00CE5361"/>
    <w:rsid w:val="00CE6682"/>
    <w:rsid w:val="00CE6DA9"/>
    <w:rsid w:val="00CE6FDB"/>
    <w:rsid w:val="00CE72D6"/>
    <w:rsid w:val="00CE7716"/>
    <w:rsid w:val="00CE7A38"/>
    <w:rsid w:val="00CE7B5B"/>
    <w:rsid w:val="00CE7C15"/>
    <w:rsid w:val="00CE7CE8"/>
    <w:rsid w:val="00CE7F07"/>
    <w:rsid w:val="00CF0123"/>
    <w:rsid w:val="00CF165B"/>
    <w:rsid w:val="00CF19F5"/>
    <w:rsid w:val="00CF2649"/>
    <w:rsid w:val="00CF26CF"/>
    <w:rsid w:val="00CF2B9B"/>
    <w:rsid w:val="00CF2F13"/>
    <w:rsid w:val="00CF3098"/>
    <w:rsid w:val="00CF36BE"/>
    <w:rsid w:val="00CF3907"/>
    <w:rsid w:val="00CF3F2D"/>
    <w:rsid w:val="00CF49B4"/>
    <w:rsid w:val="00CF531A"/>
    <w:rsid w:val="00CF53E6"/>
    <w:rsid w:val="00CF584C"/>
    <w:rsid w:val="00CF648B"/>
    <w:rsid w:val="00CF6A57"/>
    <w:rsid w:val="00CF6D4D"/>
    <w:rsid w:val="00CF73E6"/>
    <w:rsid w:val="00CF7B6B"/>
    <w:rsid w:val="00CF7CF1"/>
    <w:rsid w:val="00D01A62"/>
    <w:rsid w:val="00D01CA4"/>
    <w:rsid w:val="00D01DC1"/>
    <w:rsid w:val="00D02566"/>
    <w:rsid w:val="00D02E00"/>
    <w:rsid w:val="00D03303"/>
    <w:rsid w:val="00D04096"/>
    <w:rsid w:val="00D046D1"/>
    <w:rsid w:val="00D04CB9"/>
    <w:rsid w:val="00D04ED2"/>
    <w:rsid w:val="00D0502F"/>
    <w:rsid w:val="00D050AC"/>
    <w:rsid w:val="00D05596"/>
    <w:rsid w:val="00D05682"/>
    <w:rsid w:val="00D05BBB"/>
    <w:rsid w:val="00D05CA4"/>
    <w:rsid w:val="00D05FBC"/>
    <w:rsid w:val="00D060CC"/>
    <w:rsid w:val="00D066CC"/>
    <w:rsid w:val="00D06842"/>
    <w:rsid w:val="00D06C7E"/>
    <w:rsid w:val="00D06FD5"/>
    <w:rsid w:val="00D07066"/>
    <w:rsid w:val="00D075AA"/>
    <w:rsid w:val="00D075F8"/>
    <w:rsid w:val="00D078C8"/>
    <w:rsid w:val="00D07F89"/>
    <w:rsid w:val="00D101E9"/>
    <w:rsid w:val="00D1023E"/>
    <w:rsid w:val="00D102BD"/>
    <w:rsid w:val="00D10EF7"/>
    <w:rsid w:val="00D10F98"/>
    <w:rsid w:val="00D1133E"/>
    <w:rsid w:val="00D1163F"/>
    <w:rsid w:val="00D11D28"/>
    <w:rsid w:val="00D12299"/>
    <w:rsid w:val="00D12F74"/>
    <w:rsid w:val="00D14487"/>
    <w:rsid w:val="00D14DC2"/>
    <w:rsid w:val="00D14E27"/>
    <w:rsid w:val="00D150B8"/>
    <w:rsid w:val="00D1524C"/>
    <w:rsid w:val="00D15EE4"/>
    <w:rsid w:val="00D16424"/>
    <w:rsid w:val="00D164CA"/>
    <w:rsid w:val="00D166D1"/>
    <w:rsid w:val="00D16F9F"/>
    <w:rsid w:val="00D177CC"/>
    <w:rsid w:val="00D17ADB"/>
    <w:rsid w:val="00D17DCE"/>
    <w:rsid w:val="00D20195"/>
    <w:rsid w:val="00D21041"/>
    <w:rsid w:val="00D2190D"/>
    <w:rsid w:val="00D221AD"/>
    <w:rsid w:val="00D22499"/>
    <w:rsid w:val="00D2268C"/>
    <w:rsid w:val="00D22767"/>
    <w:rsid w:val="00D228E3"/>
    <w:rsid w:val="00D22B81"/>
    <w:rsid w:val="00D233E9"/>
    <w:rsid w:val="00D248CE"/>
    <w:rsid w:val="00D2516F"/>
    <w:rsid w:val="00D258B7"/>
    <w:rsid w:val="00D25EB1"/>
    <w:rsid w:val="00D26327"/>
    <w:rsid w:val="00D26340"/>
    <w:rsid w:val="00D2646B"/>
    <w:rsid w:val="00D26911"/>
    <w:rsid w:val="00D275AF"/>
    <w:rsid w:val="00D27996"/>
    <w:rsid w:val="00D27DF4"/>
    <w:rsid w:val="00D27FEA"/>
    <w:rsid w:val="00D30457"/>
    <w:rsid w:val="00D30AAE"/>
    <w:rsid w:val="00D318B7"/>
    <w:rsid w:val="00D31C30"/>
    <w:rsid w:val="00D32654"/>
    <w:rsid w:val="00D32C49"/>
    <w:rsid w:val="00D32D21"/>
    <w:rsid w:val="00D32F4D"/>
    <w:rsid w:val="00D337D5"/>
    <w:rsid w:val="00D3388C"/>
    <w:rsid w:val="00D342EE"/>
    <w:rsid w:val="00D34D0F"/>
    <w:rsid w:val="00D34FED"/>
    <w:rsid w:val="00D353E2"/>
    <w:rsid w:val="00D35B92"/>
    <w:rsid w:val="00D35DFE"/>
    <w:rsid w:val="00D36A0C"/>
    <w:rsid w:val="00D37271"/>
    <w:rsid w:val="00D37272"/>
    <w:rsid w:val="00D373E0"/>
    <w:rsid w:val="00D375C4"/>
    <w:rsid w:val="00D37EE0"/>
    <w:rsid w:val="00D405E4"/>
    <w:rsid w:val="00D40AF2"/>
    <w:rsid w:val="00D40CB8"/>
    <w:rsid w:val="00D4105A"/>
    <w:rsid w:val="00D410B1"/>
    <w:rsid w:val="00D41D0F"/>
    <w:rsid w:val="00D41D51"/>
    <w:rsid w:val="00D41E1E"/>
    <w:rsid w:val="00D41F08"/>
    <w:rsid w:val="00D41FF3"/>
    <w:rsid w:val="00D42866"/>
    <w:rsid w:val="00D431C4"/>
    <w:rsid w:val="00D43579"/>
    <w:rsid w:val="00D44E77"/>
    <w:rsid w:val="00D453D1"/>
    <w:rsid w:val="00D456C5"/>
    <w:rsid w:val="00D46714"/>
    <w:rsid w:val="00D474C8"/>
    <w:rsid w:val="00D477AB"/>
    <w:rsid w:val="00D47E77"/>
    <w:rsid w:val="00D47F7E"/>
    <w:rsid w:val="00D508B2"/>
    <w:rsid w:val="00D50C57"/>
    <w:rsid w:val="00D513BA"/>
    <w:rsid w:val="00D5147C"/>
    <w:rsid w:val="00D51651"/>
    <w:rsid w:val="00D51F9A"/>
    <w:rsid w:val="00D52BF6"/>
    <w:rsid w:val="00D52C80"/>
    <w:rsid w:val="00D52E76"/>
    <w:rsid w:val="00D52FC5"/>
    <w:rsid w:val="00D5449B"/>
    <w:rsid w:val="00D55247"/>
    <w:rsid w:val="00D554B3"/>
    <w:rsid w:val="00D55A3A"/>
    <w:rsid w:val="00D55D9D"/>
    <w:rsid w:val="00D56A4C"/>
    <w:rsid w:val="00D56ADF"/>
    <w:rsid w:val="00D56FA8"/>
    <w:rsid w:val="00D5712D"/>
    <w:rsid w:val="00D57C55"/>
    <w:rsid w:val="00D57D66"/>
    <w:rsid w:val="00D6070B"/>
    <w:rsid w:val="00D6099E"/>
    <w:rsid w:val="00D61111"/>
    <w:rsid w:val="00D611CC"/>
    <w:rsid w:val="00D61ADC"/>
    <w:rsid w:val="00D62259"/>
    <w:rsid w:val="00D6228B"/>
    <w:rsid w:val="00D626EA"/>
    <w:rsid w:val="00D62B19"/>
    <w:rsid w:val="00D62D70"/>
    <w:rsid w:val="00D6319F"/>
    <w:rsid w:val="00D634FA"/>
    <w:rsid w:val="00D63688"/>
    <w:rsid w:val="00D6394D"/>
    <w:rsid w:val="00D63BF0"/>
    <w:rsid w:val="00D63D6C"/>
    <w:rsid w:val="00D63D7A"/>
    <w:rsid w:val="00D64075"/>
    <w:rsid w:val="00D6451C"/>
    <w:rsid w:val="00D646C5"/>
    <w:rsid w:val="00D647B0"/>
    <w:rsid w:val="00D65153"/>
    <w:rsid w:val="00D65F50"/>
    <w:rsid w:val="00D6624C"/>
    <w:rsid w:val="00D664F3"/>
    <w:rsid w:val="00D668B4"/>
    <w:rsid w:val="00D67A62"/>
    <w:rsid w:val="00D7029B"/>
    <w:rsid w:val="00D70301"/>
    <w:rsid w:val="00D711FE"/>
    <w:rsid w:val="00D71277"/>
    <w:rsid w:val="00D7147F"/>
    <w:rsid w:val="00D716DD"/>
    <w:rsid w:val="00D7184B"/>
    <w:rsid w:val="00D71BF6"/>
    <w:rsid w:val="00D722EC"/>
    <w:rsid w:val="00D72517"/>
    <w:rsid w:val="00D728C6"/>
    <w:rsid w:val="00D7293C"/>
    <w:rsid w:val="00D72C12"/>
    <w:rsid w:val="00D72FC2"/>
    <w:rsid w:val="00D7300A"/>
    <w:rsid w:val="00D733F5"/>
    <w:rsid w:val="00D736D6"/>
    <w:rsid w:val="00D73C54"/>
    <w:rsid w:val="00D73FAC"/>
    <w:rsid w:val="00D740A6"/>
    <w:rsid w:val="00D743E3"/>
    <w:rsid w:val="00D745F7"/>
    <w:rsid w:val="00D74E8C"/>
    <w:rsid w:val="00D74ECE"/>
    <w:rsid w:val="00D751A1"/>
    <w:rsid w:val="00D7556C"/>
    <w:rsid w:val="00D756C0"/>
    <w:rsid w:val="00D7572C"/>
    <w:rsid w:val="00D758BF"/>
    <w:rsid w:val="00D75F82"/>
    <w:rsid w:val="00D7669F"/>
    <w:rsid w:val="00D76E2E"/>
    <w:rsid w:val="00D77198"/>
    <w:rsid w:val="00D77351"/>
    <w:rsid w:val="00D77482"/>
    <w:rsid w:val="00D77A77"/>
    <w:rsid w:val="00D8160D"/>
    <w:rsid w:val="00D819E9"/>
    <w:rsid w:val="00D827D5"/>
    <w:rsid w:val="00D8356B"/>
    <w:rsid w:val="00D8397A"/>
    <w:rsid w:val="00D845A9"/>
    <w:rsid w:val="00D8493E"/>
    <w:rsid w:val="00D850C7"/>
    <w:rsid w:val="00D85422"/>
    <w:rsid w:val="00D8583F"/>
    <w:rsid w:val="00D85BA4"/>
    <w:rsid w:val="00D85DB4"/>
    <w:rsid w:val="00D8603B"/>
    <w:rsid w:val="00D86653"/>
    <w:rsid w:val="00D8666C"/>
    <w:rsid w:val="00D86AB7"/>
    <w:rsid w:val="00D86E46"/>
    <w:rsid w:val="00D8740C"/>
    <w:rsid w:val="00D91ADE"/>
    <w:rsid w:val="00D91E86"/>
    <w:rsid w:val="00D91F04"/>
    <w:rsid w:val="00D92087"/>
    <w:rsid w:val="00D922FF"/>
    <w:rsid w:val="00D9242D"/>
    <w:rsid w:val="00D9294D"/>
    <w:rsid w:val="00D92B75"/>
    <w:rsid w:val="00D93C9A"/>
    <w:rsid w:val="00D9407B"/>
    <w:rsid w:val="00D94846"/>
    <w:rsid w:val="00D949C3"/>
    <w:rsid w:val="00D94CFE"/>
    <w:rsid w:val="00D95512"/>
    <w:rsid w:val="00D95681"/>
    <w:rsid w:val="00D95DAA"/>
    <w:rsid w:val="00D95FBD"/>
    <w:rsid w:val="00D961A9"/>
    <w:rsid w:val="00D96506"/>
    <w:rsid w:val="00D96620"/>
    <w:rsid w:val="00D972EC"/>
    <w:rsid w:val="00D973C9"/>
    <w:rsid w:val="00D974F0"/>
    <w:rsid w:val="00D97615"/>
    <w:rsid w:val="00D97788"/>
    <w:rsid w:val="00D978C2"/>
    <w:rsid w:val="00D97B34"/>
    <w:rsid w:val="00D97BD5"/>
    <w:rsid w:val="00D97D13"/>
    <w:rsid w:val="00DA01E8"/>
    <w:rsid w:val="00DA0537"/>
    <w:rsid w:val="00DA0613"/>
    <w:rsid w:val="00DA0FD5"/>
    <w:rsid w:val="00DA1098"/>
    <w:rsid w:val="00DA1449"/>
    <w:rsid w:val="00DA21FC"/>
    <w:rsid w:val="00DA231B"/>
    <w:rsid w:val="00DA32B4"/>
    <w:rsid w:val="00DA437B"/>
    <w:rsid w:val="00DA502D"/>
    <w:rsid w:val="00DA51EF"/>
    <w:rsid w:val="00DA53EA"/>
    <w:rsid w:val="00DA5433"/>
    <w:rsid w:val="00DA5C79"/>
    <w:rsid w:val="00DA5C9B"/>
    <w:rsid w:val="00DA665A"/>
    <w:rsid w:val="00DA670E"/>
    <w:rsid w:val="00DA6CC4"/>
    <w:rsid w:val="00DA75EB"/>
    <w:rsid w:val="00DA777A"/>
    <w:rsid w:val="00DA7CBB"/>
    <w:rsid w:val="00DB1463"/>
    <w:rsid w:val="00DB15CD"/>
    <w:rsid w:val="00DB1C37"/>
    <w:rsid w:val="00DB2762"/>
    <w:rsid w:val="00DB28D0"/>
    <w:rsid w:val="00DB3170"/>
    <w:rsid w:val="00DB3497"/>
    <w:rsid w:val="00DB3944"/>
    <w:rsid w:val="00DB40A0"/>
    <w:rsid w:val="00DB4F17"/>
    <w:rsid w:val="00DB5473"/>
    <w:rsid w:val="00DB57D1"/>
    <w:rsid w:val="00DB61CF"/>
    <w:rsid w:val="00DB6BD9"/>
    <w:rsid w:val="00DB6D1E"/>
    <w:rsid w:val="00DB6E35"/>
    <w:rsid w:val="00DB6F1C"/>
    <w:rsid w:val="00DB7C84"/>
    <w:rsid w:val="00DC0026"/>
    <w:rsid w:val="00DC00BC"/>
    <w:rsid w:val="00DC0151"/>
    <w:rsid w:val="00DC0378"/>
    <w:rsid w:val="00DC05F3"/>
    <w:rsid w:val="00DC1261"/>
    <w:rsid w:val="00DC1842"/>
    <w:rsid w:val="00DC20D6"/>
    <w:rsid w:val="00DC25B2"/>
    <w:rsid w:val="00DC2A1B"/>
    <w:rsid w:val="00DC2BFD"/>
    <w:rsid w:val="00DC330E"/>
    <w:rsid w:val="00DC3918"/>
    <w:rsid w:val="00DC396C"/>
    <w:rsid w:val="00DC3A4C"/>
    <w:rsid w:val="00DC3A55"/>
    <w:rsid w:val="00DC3EC6"/>
    <w:rsid w:val="00DC4167"/>
    <w:rsid w:val="00DC435E"/>
    <w:rsid w:val="00DC54F5"/>
    <w:rsid w:val="00DC557D"/>
    <w:rsid w:val="00DC586F"/>
    <w:rsid w:val="00DC5E18"/>
    <w:rsid w:val="00DC63C5"/>
    <w:rsid w:val="00DC6418"/>
    <w:rsid w:val="00DC646C"/>
    <w:rsid w:val="00DC7454"/>
    <w:rsid w:val="00DC7E13"/>
    <w:rsid w:val="00DD011E"/>
    <w:rsid w:val="00DD05EF"/>
    <w:rsid w:val="00DD0809"/>
    <w:rsid w:val="00DD09B3"/>
    <w:rsid w:val="00DD0D77"/>
    <w:rsid w:val="00DD1223"/>
    <w:rsid w:val="00DD17E7"/>
    <w:rsid w:val="00DD191B"/>
    <w:rsid w:val="00DD1E76"/>
    <w:rsid w:val="00DD2219"/>
    <w:rsid w:val="00DD2C74"/>
    <w:rsid w:val="00DD3689"/>
    <w:rsid w:val="00DD449F"/>
    <w:rsid w:val="00DD48E4"/>
    <w:rsid w:val="00DD4A27"/>
    <w:rsid w:val="00DD50D7"/>
    <w:rsid w:val="00DD5344"/>
    <w:rsid w:val="00DD585B"/>
    <w:rsid w:val="00DD58C2"/>
    <w:rsid w:val="00DD5C7A"/>
    <w:rsid w:val="00DD6441"/>
    <w:rsid w:val="00DD69DE"/>
    <w:rsid w:val="00DD7BA7"/>
    <w:rsid w:val="00DE0361"/>
    <w:rsid w:val="00DE03C6"/>
    <w:rsid w:val="00DE0411"/>
    <w:rsid w:val="00DE0BC4"/>
    <w:rsid w:val="00DE13EF"/>
    <w:rsid w:val="00DE247D"/>
    <w:rsid w:val="00DE2C69"/>
    <w:rsid w:val="00DE3BEB"/>
    <w:rsid w:val="00DE3D78"/>
    <w:rsid w:val="00DE4201"/>
    <w:rsid w:val="00DE4A2F"/>
    <w:rsid w:val="00DE4F79"/>
    <w:rsid w:val="00DE55D9"/>
    <w:rsid w:val="00DE6264"/>
    <w:rsid w:val="00DE699E"/>
    <w:rsid w:val="00DE6B29"/>
    <w:rsid w:val="00DE6F08"/>
    <w:rsid w:val="00DE7085"/>
    <w:rsid w:val="00DE74A5"/>
    <w:rsid w:val="00DE7875"/>
    <w:rsid w:val="00DE7BDC"/>
    <w:rsid w:val="00DF002E"/>
    <w:rsid w:val="00DF022F"/>
    <w:rsid w:val="00DF033A"/>
    <w:rsid w:val="00DF0E0B"/>
    <w:rsid w:val="00DF1049"/>
    <w:rsid w:val="00DF196D"/>
    <w:rsid w:val="00DF214C"/>
    <w:rsid w:val="00DF2782"/>
    <w:rsid w:val="00DF2F8F"/>
    <w:rsid w:val="00DF34DF"/>
    <w:rsid w:val="00DF3792"/>
    <w:rsid w:val="00DF3CA2"/>
    <w:rsid w:val="00DF4977"/>
    <w:rsid w:val="00DF608C"/>
    <w:rsid w:val="00DF6311"/>
    <w:rsid w:val="00DF64A0"/>
    <w:rsid w:val="00DF64A8"/>
    <w:rsid w:val="00DF6582"/>
    <w:rsid w:val="00DF7132"/>
    <w:rsid w:val="00DF727E"/>
    <w:rsid w:val="00DF77B7"/>
    <w:rsid w:val="00DF7842"/>
    <w:rsid w:val="00E0041A"/>
    <w:rsid w:val="00E006C1"/>
    <w:rsid w:val="00E006D2"/>
    <w:rsid w:val="00E01035"/>
    <w:rsid w:val="00E01629"/>
    <w:rsid w:val="00E01789"/>
    <w:rsid w:val="00E01D04"/>
    <w:rsid w:val="00E022A3"/>
    <w:rsid w:val="00E02AB1"/>
    <w:rsid w:val="00E02B2A"/>
    <w:rsid w:val="00E02B47"/>
    <w:rsid w:val="00E030A5"/>
    <w:rsid w:val="00E03849"/>
    <w:rsid w:val="00E03943"/>
    <w:rsid w:val="00E03B92"/>
    <w:rsid w:val="00E03BE2"/>
    <w:rsid w:val="00E0449A"/>
    <w:rsid w:val="00E05637"/>
    <w:rsid w:val="00E05A6E"/>
    <w:rsid w:val="00E0634C"/>
    <w:rsid w:val="00E06DDF"/>
    <w:rsid w:val="00E07A8C"/>
    <w:rsid w:val="00E101DD"/>
    <w:rsid w:val="00E102F0"/>
    <w:rsid w:val="00E1041D"/>
    <w:rsid w:val="00E10550"/>
    <w:rsid w:val="00E10631"/>
    <w:rsid w:val="00E10B99"/>
    <w:rsid w:val="00E1150F"/>
    <w:rsid w:val="00E116C5"/>
    <w:rsid w:val="00E11A4E"/>
    <w:rsid w:val="00E11DE2"/>
    <w:rsid w:val="00E121AA"/>
    <w:rsid w:val="00E12397"/>
    <w:rsid w:val="00E127C2"/>
    <w:rsid w:val="00E131D6"/>
    <w:rsid w:val="00E13F3E"/>
    <w:rsid w:val="00E145DF"/>
    <w:rsid w:val="00E150E2"/>
    <w:rsid w:val="00E160AA"/>
    <w:rsid w:val="00E17114"/>
    <w:rsid w:val="00E1744C"/>
    <w:rsid w:val="00E1795A"/>
    <w:rsid w:val="00E17C5E"/>
    <w:rsid w:val="00E2005F"/>
    <w:rsid w:val="00E20869"/>
    <w:rsid w:val="00E20FE6"/>
    <w:rsid w:val="00E21986"/>
    <w:rsid w:val="00E21E14"/>
    <w:rsid w:val="00E21F66"/>
    <w:rsid w:val="00E22FD0"/>
    <w:rsid w:val="00E238B5"/>
    <w:rsid w:val="00E23E13"/>
    <w:rsid w:val="00E2452B"/>
    <w:rsid w:val="00E24593"/>
    <w:rsid w:val="00E245B5"/>
    <w:rsid w:val="00E246E2"/>
    <w:rsid w:val="00E251E4"/>
    <w:rsid w:val="00E25B36"/>
    <w:rsid w:val="00E26AF4"/>
    <w:rsid w:val="00E27138"/>
    <w:rsid w:val="00E27259"/>
    <w:rsid w:val="00E274DC"/>
    <w:rsid w:val="00E3051A"/>
    <w:rsid w:val="00E30616"/>
    <w:rsid w:val="00E307B9"/>
    <w:rsid w:val="00E30CB8"/>
    <w:rsid w:val="00E3105A"/>
    <w:rsid w:val="00E312B0"/>
    <w:rsid w:val="00E3156A"/>
    <w:rsid w:val="00E31A1B"/>
    <w:rsid w:val="00E3209A"/>
    <w:rsid w:val="00E32516"/>
    <w:rsid w:val="00E330B0"/>
    <w:rsid w:val="00E3324B"/>
    <w:rsid w:val="00E332DE"/>
    <w:rsid w:val="00E333E5"/>
    <w:rsid w:val="00E33654"/>
    <w:rsid w:val="00E33761"/>
    <w:rsid w:val="00E33885"/>
    <w:rsid w:val="00E34CB8"/>
    <w:rsid w:val="00E3645D"/>
    <w:rsid w:val="00E36626"/>
    <w:rsid w:val="00E36B31"/>
    <w:rsid w:val="00E36FC0"/>
    <w:rsid w:val="00E4002E"/>
    <w:rsid w:val="00E40E2D"/>
    <w:rsid w:val="00E41202"/>
    <w:rsid w:val="00E4123B"/>
    <w:rsid w:val="00E427AA"/>
    <w:rsid w:val="00E427C2"/>
    <w:rsid w:val="00E42FDA"/>
    <w:rsid w:val="00E43C0D"/>
    <w:rsid w:val="00E4432D"/>
    <w:rsid w:val="00E449A2"/>
    <w:rsid w:val="00E451AA"/>
    <w:rsid w:val="00E454D1"/>
    <w:rsid w:val="00E461CA"/>
    <w:rsid w:val="00E462A3"/>
    <w:rsid w:val="00E462FB"/>
    <w:rsid w:val="00E46DEC"/>
    <w:rsid w:val="00E47061"/>
    <w:rsid w:val="00E473AB"/>
    <w:rsid w:val="00E476BC"/>
    <w:rsid w:val="00E47965"/>
    <w:rsid w:val="00E47E9A"/>
    <w:rsid w:val="00E5062E"/>
    <w:rsid w:val="00E50AB5"/>
    <w:rsid w:val="00E5127E"/>
    <w:rsid w:val="00E514AF"/>
    <w:rsid w:val="00E52430"/>
    <w:rsid w:val="00E52897"/>
    <w:rsid w:val="00E52D23"/>
    <w:rsid w:val="00E53659"/>
    <w:rsid w:val="00E53730"/>
    <w:rsid w:val="00E5472A"/>
    <w:rsid w:val="00E54DA5"/>
    <w:rsid w:val="00E552C1"/>
    <w:rsid w:val="00E554DD"/>
    <w:rsid w:val="00E5575F"/>
    <w:rsid w:val="00E559F1"/>
    <w:rsid w:val="00E55D07"/>
    <w:rsid w:val="00E57BE5"/>
    <w:rsid w:val="00E57DA4"/>
    <w:rsid w:val="00E57DB9"/>
    <w:rsid w:val="00E57E89"/>
    <w:rsid w:val="00E604FD"/>
    <w:rsid w:val="00E60D45"/>
    <w:rsid w:val="00E60D5B"/>
    <w:rsid w:val="00E60EF2"/>
    <w:rsid w:val="00E6130D"/>
    <w:rsid w:val="00E619F1"/>
    <w:rsid w:val="00E61AEF"/>
    <w:rsid w:val="00E621C0"/>
    <w:rsid w:val="00E62525"/>
    <w:rsid w:val="00E62EEF"/>
    <w:rsid w:val="00E64040"/>
    <w:rsid w:val="00E64145"/>
    <w:rsid w:val="00E65012"/>
    <w:rsid w:val="00E65FFD"/>
    <w:rsid w:val="00E6676E"/>
    <w:rsid w:val="00E66976"/>
    <w:rsid w:val="00E6777A"/>
    <w:rsid w:val="00E702F9"/>
    <w:rsid w:val="00E70719"/>
    <w:rsid w:val="00E7076A"/>
    <w:rsid w:val="00E70D53"/>
    <w:rsid w:val="00E70DD0"/>
    <w:rsid w:val="00E7114C"/>
    <w:rsid w:val="00E711F9"/>
    <w:rsid w:val="00E7120B"/>
    <w:rsid w:val="00E72EA4"/>
    <w:rsid w:val="00E73CEB"/>
    <w:rsid w:val="00E74BBE"/>
    <w:rsid w:val="00E751DD"/>
    <w:rsid w:val="00E75895"/>
    <w:rsid w:val="00E7599D"/>
    <w:rsid w:val="00E766ED"/>
    <w:rsid w:val="00E76961"/>
    <w:rsid w:val="00E76ECB"/>
    <w:rsid w:val="00E772E2"/>
    <w:rsid w:val="00E773FD"/>
    <w:rsid w:val="00E774F9"/>
    <w:rsid w:val="00E77C6C"/>
    <w:rsid w:val="00E80688"/>
    <w:rsid w:val="00E80FA6"/>
    <w:rsid w:val="00E814A7"/>
    <w:rsid w:val="00E81A36"/>
    <w:rsid w:val="00E81E7C"/>
    <w:rsid w:val="00E8225F"/>
    <w:rsid w:val="00E82A77"/>
    <w:rsid w:val="00E82DE2"/>
    <w:rsid w:val="00E82E24"/>
    <w:rsid w:val="00E83294"/>
    <w:rsid w:val="00E832F4"/>
    <w:rsid w:val="00E83D93"/>
    <w:rsid w:val="00E83DC6"/>
    <w:rsid w:val="00E8479E"/>
    <w:rsid w:val="00E848DA"/>
    <w:rsid w:val="00E8511B"/>
    <w:rsid w:val="00E85870"/>
    <w:rsid w:val="00E858F3"/>
    <w:rsid w:val="00E862FA"/>
    <w:rsid w:val="00E86316"/>
    <w:rsid w:val="00E86C58"/>
    <w:rsid w:val="00E8714E"/>
    <w:rsid w:val="00E879C9"/>
    <w:rsid w:val="00E87FB7"/>
    <w:rsid w:val="00E90573"/>
    <w:rsid w:val="00E90C39"/>
    <w:rsid w:val="00E91D4A"/>
    <w:rsid w:val="00E9213F"/>
    <w:rsid w:val="00E921B1"/>
    <w:rsid w:val="00E925AF"/>
    <w:rsid w:val="00E93010"/>
    <w:rsid w:val="00E93DD3"/>
    <w:rsid w:val="00E9427D"/>
    <w:rsid w:val="00E94694"/>
    <w:rsid w:val="00E948A0"/>
    <w:rsid w:val="00E954EB"/>
    <w:rsid w:val="00E95524"/>
    <w:rsid w:val="00E955B0"/>
    <w:rsid w:val="00E96026"/>
    <w:rsid w:val="00E96346"/>
    <w:rsid w:val="00E97070"/>
    <w:rsid w:val="00E975FF"/>
    <w:rsid w:val="00E97B0F"/>
    <w:rsid w:val="00EA0004"/>
    <w:rsid w:val="00EA0D19"/>
    <w:rsid w:val="00EA10D1"/>
    <w:rsid w:val="00EA1561"/>
    <w:rsid w:val="00EA159D"/>
    <w:rsid w:val="00EA1B32"/>
    <w:rsid w:val="00EA2768"/>
    <w:rsid w:val="00EA2EA1"/>
    <w:rsid w:val="00EA3238"/>
    <w:rsid w:val="00EA3715"/>
    <w:rsid w:val="00EA381A"/>
    <w:rsid w:val="00EA3A51"/>
    <w:rsid w:val="00EA3D6F"/>
    <w:rsid w:val="00EA4067"/>
    <w:rsid w:val="00EA41DA"/>
    <w:rsid w:val="00EA420B"/>
    <w:rsid w:val="00EA46A0"/>
    <w:rsid w:val="00EA4AB8"/>
    <w:rsid w:val="00EA4E7D"/>
    <w:rsid w:val="00EA5B47"/>
    <w:rsid w:val="00EA5D0B"/>
    <w:rsid w:val="00EA7B31"/>
    <w:rsid w:val="00EB018B"/>
    <w:rsid w:val="00EB07AD"/>
    <w:rsid w:val="00EB0FED"/>
    <w:rsid w:val="00EB1270"/>
    <w:rsid w:val="00EB1445"/>
    <w:rsid w:val="00EB1B55"/>
    <w:rsid w:val="00EB1D70"/>
    <w:rsid w:val="00EB1E68"/>
    <w:rsid w:val="00EB2B2C"/>
    <w:rsid w:val="00EB2B76"/>
    <w:rsid w:val="00EB2E91"/>
    <w:rsid w:val="00EB3143"/>
    <w:rsid w:val="00EB3324"/>
    <w:rsid w:val="00EB3E70"/>
    <w:rsid w:val="00EB41B0"/>
    <w:rsid w:val="00EB439E"/>
    <w:rsid w:val="00EB54BB"/>
    <w:rsid w:val="00EB5751"/>
    <w:rsid w:val="00EB5A2D"/>
    <w:rsid w:val="00EB5BCE"/>
    <w:rsid w:val="00EB5BD4"/>
    <w:rsid w:val="00EB6E36"/>
    <w:rsid w:val="00EB7795"/>
    <w:rsid w:val="00EC01D4"/>
    <w:rsid w:val="00EC0441"/>
    <w:rsid w:val="00EC0EE0"/>
    <w:rsid w:val="00EC16D4"/>
    <w:rsid w:val="00EC1860"/>
    <w:rsid w:val="00EC204B"/>
    <w:rsid w:val="00EC20E8"/>
    <w:rsid w:val="00EC23BC"/>
    <w:rsid w:val="00EC25E2"/>
    <w:rsid w:val="00EC272A"/>
    <w:rsid w:val="00EC2D2F"/>
    <w:rsid w:val="00EC30AA"/>
    <w:rsid w:val="00EC3A60"/>
    <w:rsid w:val="00EC69F2"/>
    <w:rsid w:val="00EC6B25"/>
    <w:rsid w:val="00EC6C6D"/>
    <w:rsid w:val="00EC7DBC"/>
    <w:rsid w:val="00ED050D"/>
    <w:rsid w:val="00ED0B92"/>
    <w:rsid w:val="00ED0CFA"/>
    <w:rsid w:val="00ED179D"/>
    <w:rsid w:val="00ED1AE2"/>
    <w:rsid w:val="00ED1BD5"/>
    <w:rsid w:val="00ED1CC0"/>
    <w:rsid w:val="00ED1EB2"/>
    <w:rsid w:val="00ED251E"/>
    <w:rsid w:val="00ED2F91"/>
    <w:rsid w:val="00ED4693"/>
    <w:rsid w:val="00ED6312"/>
    <w:rsid w:val="00ED720A"/>
    <w:rsid w:val="00ED7889"/>
    <w:rsid w:val="00EE02F1"/>
    <w:rsid w:val="00EE0FEB"/>
    <w:rsid w:val="00EE1816"/>
    <w:rsid w:val="00EE1894"/>
    <w:rsid w:val="00EE18EB"/>
    <w:rsid w:val="00EE199A"/>
    <w:rsid w:val="00EE2539"/>
    <w:rsid w:val="00EE2544"/>
    <w:rsid w:val="00EE34F2"/>
    <w:rsid w:val="00EE3514"/>
    <w:rsid w:val="00EE3998"/>
    <w:rsid w:val="00EE3FDE"/>
    <w:rsid w:val="00EE404D"/>
    <w:rsid w:val="00EE4349"/>
    <w:rsid w:val="00EE4622"/>
    <w:rsid w:val="00EE483A"/>
    <w:rsid w:val="00EE4A12"/>
    <w:rsid w:val="00EE587A"/>
    <w:rsid w:val="00EE59B0"/>
    <w:rsid w:val="00EE5A61"/>
    <w:rsid w:val="00EE5AAF"/>
    <w:rsid w:val="00EE615B"/>
    <w:rsid w:val="00EE6173"/>
    <w:rsid w:val="00EE6F2B"/>
    <w:rsid w:val="00EE7DC2"/>
    <w:rsid w:val="00EF0656"/>
    <w:rsid w:val="00EF098C"/>
    <w:rsid w:val="00EF0AF3"/>
    <w:rsid w:val="00EF1230"/>
    <w:rsid w:val="00EF126D"/>
    <w:rsid w:val="00EF17A3"/>
    <w:rsid w:val="00EF17FB"/>
    <w:rsid w:val="00EF188F"/>
    <w:rsid w:val="00EF1D23"/>
    <w:rsid w:val="00EF35F5"/>
    <w:rsid w:val="00EF3E9F"/>
    <w:rsid w:val="00EF3FEC"/>
    <w:rsid w:val="00EF4102"/>
    <w:rsid w:val="00EF4CD9"/>
    <w:rsid w:val="00EF4DE9"/>
    <w:rsid w:val="00EF4E91"/>
    <w:rsid w:val="00EF523A"/>
    <w:rsid w:val="00EF65CC"/>
    <w:rsid w:val="00EF6A56"/>
    <w:rsid w:val="00EF6BEE"/>
    <w:rsid w:val="00EF742C"/>
    <w:rsid w:val="00EF7C1E"/>
    <w:rsid w:val="00EF7E5F"/>
    <w:rsid w:val="00F00392"/>
    <w:rsid w:val="00F0111D"/>
    <w:rsid w:val="00F01624"/>
    <w:rsid w:val="00F025CD"/>
    <w:rsid w:val="00F02925"/>
    <w:rsid w:val="00F029F9"/>
    <w:rsid w:val="00F02EAE"/>
    <w:rsid w:val="00F034A6"/>
    <w:rsid w:val="00F03FE1"/>
    <w:rsid w:val="00F04336"/>
    <w:rsid w:val="00F047AC"/>
    <w:rsid w:val="00F0491B"/>
    <w:rsid w:val="00F04B4A"/>
    <w:rsid w:val="00F04BDB"/>
    <w:rsid w:val="00F05056"/>
    <w:rsid w:val="00F0515A"/>
    <w:rsid w:val="00F05698"/>
    <w:rsid w:val="00F05FAB"/>
    <w:rsid w:val="00F062CF"/>
    <w:rsid w:val="00F06A66"/>
    <w:rsid w:val="00F07449"/>
    <w:rsid w:val="00F0745F"/>
    <w:rsid w:val="00F07A0F"/>
    <w:rsid w:val="00F10454"/>
    <w:rsid w:val="00F10696"/>
    <w:rsid w:val="00F1115D"/>
    <w:rsid w:val="00F1175F"/>
    <w:rsid w:val="00F12192"/>
    <w:rsid w:val="00F12316"/>
    <w:rsid w:val="00F12581"/>
    <w:rsid w:val="00F12B2D"/>
    <w:rsid w:val="00F1335B"/>
    <w:rsid w:val="00F136CF"/>
    <w:rsid w:val="00F13713"/>
    <w:rsid w:val="00F1474D"/>
    <w:rsid w:val="00F14DE0"/>
    <w:rsid w:val="00F1522A"/>
    <w:rsid w:val="00F15E82"/>
    <w:rsid w:val="00F163E9"/>
    <w:rsid w:val="00F1640D"/>
    <w:rsid w:val="00F16517"/>
    <w:rsid w:val="00F1782D"/>
    <w:rsid w:val="00F17FD0"/>
    <w:rsid w:val="00F20127"/>
    <w:rsid w:val="00F2013D"/>
    <w:rsid w:val="00F2089C"/>
    <w:rsid w:val="00F208A8"/>
    <w:rsid w:val="00F20D49"/>
    <w:rsid w:val="00F20D76"/>
    <w:rsid w:val="00F20F49"/>
    <w:rsid w:val="00F211D3"/>
    <w:rsid w:val="00F221A9"/>
    <w:rsid w:val="00F22B4D"/>
    <w:rsid w:val="00F23758"/>
    <w:rsid w:val="00F2435A"/>
    <w:rsid w:val="00F247B0"/>
    <w:rsid w:val="00F24A6A"/>
    <w:rsid w:val="00F24CC6"/>
    <w:rsid w:val="00F24D9E"/>
    <w:rsid w:val="00F252A5"/>
    <w:rsid w:val="00F26698"/>
    <w:rsid w:val="00F26706"/>
    <w:rsid w:val="00F2751B"/>
    <w:rsid w:val="00F2771C"/>
    <w:rsid w:val="00F2792D"/>
    <w:rsid w:val="00F300F9"/>
    <w:rsid w:val="00F30A3D"/>
    <w:rsid w:val="00F30B92"/>
    <w:rsid w:val="00F3182B"/>
    <w:rsid w:val="00F31A78"/>
    <w:rsid w:val="00F323C1"/>
    <w:rsid w:val="00F32766"/>
    <w:rsid w:val="00F327A4"/>
    <w:rsid w:val="00F32959"/>
    <w:rsid w:val="00F32B4A"/>
    <w:rsid w:val="00F32D56"/>
    <w:rsid w:val="00F32D7E"/>
    <w:rsid w:val="00F32E36"/>
    <w:rsid w:val="00F32EB9"/>
    <w:rsid w:val="00F33461"/>
    <w:rsid w:val="00F33544"/>
    <w:rsid w:val="00F339C3"/>
    <w:rsid w:val="00F33BBA"/>
    <w:rsid w:val="00F33CEB"/>
    <w:rsid w:val="00F35088"/>
    <w:rsid w:val="00F35AE9"/>
    <w:rsid w:val="00F3614F"/>
    <w:rsid w:val="00F36270"/>
    <w:rsid w:val="00F3638E"/>
    <w:rsid w:val="00F3640D"/>
    <w:rsid w:val="00F36D9C"/>
    <w:rsid w:val="00F379C1"/>
    <w:rsid w:val="00F37A25"/>
    <w:rsid w:val="00F40317"/>
    <w:rsid w:val="00F40531"/>
    <w:rsid w:val="00F40B8A"/>
    <w:rsid w:val="00F40E8F"/>
    <w:rsid w:val="00F411B4"/>
    <w:rsid w:val="00F411FA"/>
    <w:rsid w:val="00F412AB"/>
    <w:rsid w:val="00F41993"/>
    <w:rsid w:val="00F41E4C"/>
    <w:rsid w:val="00F4203C"/>
    <w:rsid w:val="00F4251D"/>
    <w:rsid w:val="00F42740"/>
    <w:rsid w:val="00F43408"/>
    <w:rsid w:val="00F4374E"/>
    <w:rsid w:val="00F441D8"/>
    <w:rsid w:val="00F442D1"/>
    <w:rsid w:val="00F4448B"/>
    <w:rsid w:val="00F446BC"/>
    <w:rsid w:val="00F45416"/>
    <w:rsid w:val="00F45758"/>
    <w:rsid w:val="00F45B2B"/>
    <w:rsid w:val="00F460E5"/>
    <w:rsid w:val="00F46C85"/>
    <w:rsid w:val="00F47FF1"/>
    <w:rsid w:val="00F50680"/>
    <w:rsid w:val="00F509C3"/>
    <w:rsid w:val="00F5187A"/>
    <w:rsid w:val="00F522F3"/>
    <w:rsid w:val="00F528B4"/>
    <w:rsid w:val="00F52A43"/>
    <w:rsid w:val="00F52ACC"/>
    <w:rsid w:val="00F53CB7"/>
    <w:rsid w:val="00F540B9"/>
    <w:rsid w:val="00F54391"/>
    <w:rsid w:val="00F54AB1"/>
    <w:rsid w:val="00F5555F"/>
    <w:rsid w:val="00F559BC"/>
    <w:rsid w:val="00F56A28"/>
    <w:rsid w:val="00F57A8F"/>
    <w:rsid w:val="00F601AB"/>
    <w:rsid w:val="00F602EB"/>
    <w:rsid w:val="00F6033F"/>
    <w:rsid w:val="00F603F4"/>
    <w:rsid w:val="00F60479"/>
    <w:rsid w:val="00F60621"/>
    <w:rsid w:val="00F6092F"/>
    <w:rsid w:val="00F60C16"/>
    <w:rsid w:val="00F61308"/>
    <w:rsid w:val="00F615DF"/>
    <w:rsid w:val="00F61A8F"/>
    <w:rsid w:val="00F61C52"/>
    <w:rsid w:val="00F62553"/>
    <w:rsid w:val="00F626C5"/>
    <w:rsid w:val="00F629F1"/>
    <w:rsid w:val="00F63CC8"/>
    <w:rsid w:val="00F64D44"/>
    <w:rsid w:val="00F65C3B"/>
    <w:rsid w:val="00F6618D"/>
    <w:rsid w:val="00F6646A"/>
    <w:rsid w:val="00F6658F"/>
    <w:rsid w:val="00F66EEE"/>
    <w:rsid w:val="00F671FE"/>
    <w:rsid w:val="00F67625"/>
    <w:rsid w:val="00F677CD"/>
    <w:rsid w:val="00F679D0"/>
    <w:rsid w:val="00F67BFF"/>
    <w:rsid w:val="00F703EE"/>
    <w:rsid w:val="00F7050D"/>
    <w:rsid w:val="00F7140E"/>
    <w:rsid w:val="00F714BF"/>
    <w:rsid w:val="00F7193B"/>
    <w:rsid w:val="00F7226F"/>
    <w:rsid w:val="00F72657"/>
    <w:rsid w:val="00F7272D"/>
    <w:rsid w:val="00F72C30"/>
    <w:rsid w:val="00F733B2"/>
    <w:rsid w:val="00F73CF8"/>
    <w:rsid w:val="00F74397"/>
    <w:rsid w:val="00F743AD"/>
    <w:rsid w:val="00F75A12"/>
    <w:rsid w:val="00F765E2"/>
    <w:rsid w:val="00F769A8"/>
    <w:rsid w:val="00F77CBC"/>
    <w:rsid w:val="00F80314"/>
    <w:rsid w:val="00F80349"/>
    <w:rsid w:val="00F80687"/>
    <w:rsid w:val="00F80D85"/>
    <w:rsid w:val="00F80DE7"/>
    <w:rsid w:val="00F81070"/>
    <w:rsid w:val="00F81095"/>
    <w:rsid w:val="00F81436"/>
    <w:rsid w:val="00F81D73"/>
    <w:rsid w:val="00F82307"/>
    <w:rsid w:val="00F823A0"/>
    <w:rsid w:val="00F83296"/>
    <w:rsid w:val="00F834BE"/>
    <w:rsid w:val="00F83F31"/>
    <w:rsid w:val="00F84249"/>
    <w:rsid w:val="00F846E1"/>
    <w:rsid w:val="00F853E1"/>
    <w:rsid w:val="00F854E0"/>
    <w:rsid w:val="00F85731"/>
    <w:rsid w:val="00F86043"/>
    <w:rsid w:val="00F86CB0"/>
    <w:rsid w:val="00F90493"/>
    <w:rsid w:val="00F90C0A"/>
    <w:rsid w:val="00F9198C"/>
    <w:rsid w:val="00F9199D"/>
    <w:rsid w:val="00F91AC2"/>
    <w:rsid w:val="00F91E47"/>
    <w:rsid w:val="00F9268C"/>
    <w:rsid w:val="00F92903"/>
    <w:rsid w:val="00F92B3E"/>
    <w:rsid w:val="00F92E24"/>
    <w:rsid w:val="00F93460"/>
    <w:rsid w:val="00F935BD"/>
    <w:rsid w:val="00F936FF"/>
    <w:rsid w:val="00F93710"/>
    <w:rsid w:val="00F93F87"/>
    <w:rsid w:val="00F94432"/>
    <w:rsid w:val="00F94472"/>
    <w:rsid w:val="00F94CE7"/>
    <w:rsid w:val="00F9517F"/>
    <w:rsid w:val="00F95278"/>
    <w:rsid w:val="00F959C1"/>
    <w:rsid w:val="00F95E4A"/>
    <w:rsid w:val="00F96334"/>
    <w:rsid w:val="00F972A0"/>
    <w:rsid w:val="00F97C1A"/>
    <w:rsid w:val="00FA00EA"/>
    <w:rsid w:val="00FA0C74"/>
    <w:rsid w:val="00FA0D78"/>
    <w:rsid w:val="00FA191B"/>
    <w:rsid w:val="00FA2775"/>
    <w:rsid w:val="00FA2C82"/>
    <w:rsid w:val="00FA356C"/>
    <w:rsid w:val="00FA3DE4"/>
    <w:rsid w:val="00FA4004"/>
    <w:rsid w:val="00FA4910"/>
    <w:rsid w:val="00FA4CB9"/>
    <w:rsid w:val="00FA5074"/>
    <w:rsid w:val="00FA51A9"/>
    <w:rsid w:val="00FA56A2"/>
    <w:rsid w:val="00FA67C6"/>
    <w:rsid w:val="00FA6CDF"/>
    <w:rsid w:val="00FA6EEE"/>
    <w:rsid w:val="00FA7703"/>
    <w:rsid w:val="00FA7C82"/>
    <w:rsid w:val="00FB03D3"/>
    <w:rsid w:val="00FB07E8"/>
    <w:rsid w:val="00FB0E2B"/>
    <w:rsid w:val="00FB0E90"/>
    <w:rsid w:val="00FB0ED8"/>
    <w:rsid w:val="00FB1E6D"/>
    <w:rsid w:val="00FB22F3"/>
    <w:rsid w:val="00FB2695"/>
    <w:rsid w:val="00FB283C"/>
    <w:rsid w:val="00FB299B"/>
    <w:rsid w:val="00FB2C0F"/>
    <w:rsid w:val="00FB2D7D"/>
    <w:rsid w:val="00FB32C9"/>
    <w:rsid w:val="00FB387C"/>
    <w:rsid w:val="00FB38AA"/>
    <w:rsid w:val="00FB3AB7"/>
    <w:rsid w:val="00FB3BBF"/>
    <w:rsid w:val="00FB4786"/>
    <w:rsid w:val="00FB4EA3"/>
    <w:rsid w:val="00FB5019"/>
    <w:rsid w:val="00FB51F6"/>
    <w:rsid w:val="00FB5322"/>
    <w:rsid w:val="00FB5A33"/>
    <w:rsid w:val="00FB65B9"/>
    <w:rsid w:val="00FB6786"/>
    <w:rsid w:val="00FB684D"/>
    <w:rsid w:val="00FB689F"/>
    <w:rsid w:val="00FB740D"/>
    <w:rsid w:val="00FB7EDE"/>
    <w:rsid w:val="00FC0350"/>
    <w:rsid w:val="00FC0F99"/>
    <w:rsid w:val="00FC1943"/>
    <w:rsid w:val="00FC1A44"/>
    <w:rsid w:val="00FC1B9F"/>
    <w:rsid w:val="00FC27E0"/>
    <w:rsid w:val="00FC3933"/>
    <w:rsid w:val="00FC42C7"/>
    <w:rsid w:val="00FC456E"/>
    <w:rsid w:val="00FC4B2D"/>
    <w:rsid w:val="00FC4CC5"/>
    <w:rsid w:val="00FC52CC"/>
    <w:rsid w:val="00FC5D38"/>
    <w:rsid w:val="00FC5FB8"/>
    <w:rsid w:val="00FC6D97"/>
    <w:rsid w:val="00FC6FAF"/>
    <w:rsid w:val="00FC71CD"/>
    <w:rsid w:val="00FC7E0E"/>
    <w:rsid w:val="00FD067C"/>
    <w:rsid w:val="00FD0DAF"/>
    <w:rsid w:val="00FD2E53"/>
    <w:rsid w:val="00FD2EA2"/>
    <w:rsid w:val="00FD379E"/>
    <w:rsid w:val="00FD3A69"/>
    <w:rsid w:val="00FD3B26"/>
    <w:rsid w:val="00FD3D36"/>
    <w:rsid w:val="00FD4526"/>
    <w:rsid w:val="00FD569D"/>
    <w:rsid w:val="00FD5D26"/>
    <w:rsid w:val="00FD610B"/>
    <w:rsid w:val="00FD6333"/>
    <w:rsid w:val="00FE012C"/>
    <w:rsid w:val="00FE0313"/>
    <w:rsid w:val="00FE05D7"/>
    <w:rsid w:val="00FE0C2C"/>
    <w:rsid w:val="00FE15C8"/>
    <w:rsid w:val="00FE29EA"/>
    <w:rsid w:val="00FE30A2"/>
    <w:rsid w:val="00FE333F"/>
    <w:rsid w:val="00FE33E0"/>
    <w:rsid w:val="00FE36D3"/>
    <w:rsid w:val="00FE373B"/>
    <w:rsid w:val="00FE5042"/>
    <w:rsid w:val="00FE50E1"/>
    <w:rsid w:val="00FE52E0"/>
    <w:rsid w:val="00FE5423"/>
    <w:rsid w:val="00FE5AB3"/>
    <w:rsid w:val="00FE5ABB"/>
    <w:rsid w:val="00FE6933"/>
    <w:rsid w:val="00FE6BAF"/>
    <w:rsid w:val="00FE726E"/>
    <w:rsid w:val="00FE7436"/>
    <w:rsid w:val="00FE7949"/>
    <w:rsid w:val="00FF0086"/>
    <w:rsid w:val="00FF02D4"/>
    <w:rsid w:val="00FF0BFD"/>
    <w:rsid w:val="00FF0EBD"/>
    <w:rsid w:val="00FF1058"/>
    <w:rsid w:val="00FF11D0"/>
    <w:rsid w:val="00FF1CAE"/>
    <w:rsid w:val="00FF1E6B"/>
    <w:rsid w:val="00FF28CD"/>
    <w:rsid w:val="00FF2B2B"/>
    <w:rsid w:val="00FF2C8F"/>
    <w:rsid w:val="00FF334E"/>
    <w:rsid w:val="00FF3780"/>
    <w:rsid w:val="00FF3962"/>
    <w:rsid w:val="00FF401A"/>
    <w:rsid w:val="00FF41B7"/>
    <w:rsid w:val="00FF422D"/>
    <w:rsid w:val="00FF4250"/>
    <w:rsid w:val="00FF49A6"/>
    <w:rsid w:val="00FF500D"/>
    <w:rsid w:val="00FF50DA"/>
    <w:rsid w:val="00FF640E"/>
    <w:rsid w:val="00FF7275"/>
    <w:rsid w:val="00FF73CA"/>
    <w:rsid w:val="00FF79F7"/>
    <w:rsid w:val="00FF7E6D"/>
    <w:rsid w:val="00FF7E92"/>
    <w:rsid w:val="014C41A9"/>
    <w:rsid w:val="01756B39"/>
    <w:rsid w:val="01FAFCDA"/>
    <w:rsid w:val="0210E49E"/>
    <w:rsid w:val="03749672"/>
    <w:rsid w:val="037F72FA"/>
    <w:rsid w:val="0536DAAB"/>
    <w:rsid w:val="0683FB9E"/>
    <w:rsid w:val="06BE1477"/>
    <w:rsid w:val="0719F22D"/>
    <w:rsid w:val="07263008"/>
    <w:rsid w:val="07C4A5D8"/>
    <w:rsid w:val="0950653A"/>
    <w:rsid w:val="0B9CA485"/>
    <w:rsid w:val="0BFACDCF"/>
    <w:rsid w:val="0D274DE1"/>
    <w:rsid w:val="0ED37AC0"/>
    <w:rsid w:val="0F18ED07"/>
    <w:rsid w:val="0F5A2BE4"/>
    <w:rsid w:val="0FA393AE"/>
    <w:rsid w:val="0FA68C52"/>
    <w:rsid w:val="10C6C581"/>
    <w:rsid w:val="13EDA4C1"/>
    <w:rsid w:val="1632A946"/>
    <w:rsid w:val="1668BD87"/>
    <w:rsid w:val="16E36A35"/>
    <w:rsid w:val="1756B1AC"/>
    <w:rsid w:val="19E217FB"/>
    <w:rsid w:val="1A8AB098"/>
    <w:rsid w:val="1A937F2C"/>
    <w:rsid w:val="1CA18528"/>
    <w:rsid w:val="1D5F8E6F"/>
    <w:rsid w:val="1E3237BE"/>
    <w:rsid w:val="1FC4C024"/>
    <w:rsid w:val="2096DF90"/>
    <w:rsid w:val="211B2E18"/>
    <w:rsid w:val="21CEA114"/>
    <w:rsid w:val="221DE84A"/>
    <w:rsid w:val="2231A9FE"/>
    <w:rsid w:val="226865AA"/>
    <w:rsid w:val="25BAAE93"/>
    <w:rsid w:val="26094AE0"/>
    <w:rsid w:val="264CE4CA"/>
    <w:rsid w:val="27A52837"/>
    <w:rsid w:val="2AB19AB8"/>
    <w:rsid w:val="2BC65A0A"/>
    <w:rsid w:val="2DC8E925"/>
    <w:rsid w:val="2E9120E1"/>
    <w:rsid w:val="2F3F3DAD"/>
    <w:rsid w:val="2FA4058E"/>
    <w:rsid w:val="30A352EF"/>
    <w:rsid w:val="314A37BE"/>
    <w:rsid w:val="3188E550"/>
    <w:rsid w:val="31C4286A"/>
    <w:rsid w:val="32155FA4"/>
    <w:rsid w:val="32A19C74"/>
    <w:rsid w:val="35FAD269"/>
    <w:rsid w:val="364D1810"/>
    <w:rsid w:val="395A0627"/>
    <w:rsid w:val="39C37D10"/>
    <w:rsid w:val="3A907ECF"/>
    <w:rsid w:val="3AE310F3"/>
    <w:rsid w:val="3B218913"/>
    <w:rsid w:val="3B330CED"/>
    <w:rsid w:val="3BA80521"/>
    <w:rsid w:val="3C55E0AD"/>
    <w:rsid w:val="3CDC6F60"/>
    <w:rsid w:val="3E6C5C0D"/>
    <w:rsid w:val="4062A431"/>
    <w:rsid w:val="4066BA1A"/>
    <w:rsid w:val="40B3E8D2"/>
    <w:rsid w:val="41063B05"/>
    <w:rsid w:val="41110EF7"/>
    <w:rsid w:val="4155593E"/>
    <w:rsid w:val="416AEB96"/>
    <w:rsid w:val="4181D7FB"/>
    <w:rsid w:val="42DD5B1F"/>
    <w:rsid w:val="44B38807"/>
    <w:rsid w:val="475F9AB9"/>
    <w:rsid w:val="48ACDB25"/>
    <w:rsid w:val="4980A036"/>
    <w:rsid w:val="4C0F9F66"/>
    <w:rsid w:val="4C801695"/>
    <w:rsid w:val="4E64F8F8"/>
    <w:rsid w:val="4FAFA332"/>
    <w:rsid w:val="50177DAB"/>
    <w:rsid w:val="5027AAF4"/>
    <w:rsid w:val="504B954E"/>
    <w:rsid w:val="51811D7B"/>
    <w:rsid w:val="51C4F788"/>
    <w:rsid w:val="5213B5D1"/>
    <w:rsid w:val="53F364FB"/>
    <w:rsid w:val="542F3F28"/>
    <w:rsid w:val="56FEAE68"/>
    <w:rsid w:val="587B082C"/>
    <w:rsid w:val="593060D4"/>
    <w:rsid w:val="59CEE0D0"/>
    <w:rsid w:val="5BB471F4"/>
    <w:rsid w:val="5D88DC25"/>
    <w:rsid w:val="5EDDA5C7"/>
    <w:rsid w:val="5FE5FF4F"/>
    <w:rsid w:val="6010CF64"/>
    <w:rsid w:val="61A75637"/>
    <w:rsid w:val="61C9E373"/>
    <w:rsid w:val="62578C60"/>
    <w:rsid w:val="632302C2"/>
    <w:rsid w:val="66465307"/>
    <w:rsid w:val="67A96C47"/>
    <w:rsid w:val="67C5F083"/>
    <w:rsid w:val="684D439E"/>
    <w:rsid w:val="69F8CA69"/>
    <w:rsid w:val="6A456C5D"/>
    <w:rsid w:val="6AB84C60"/>
    <w:rsid w:val="6AC3250E"/>
    <w:rsid w:val="6AFCB96C"/>
    <w:rsid w:val="6B5513E3"/>
    <w:rsid w:val="6BC4FCE3"/>
    <w:rsid w:val="6BDF8606"/>
    <w:rsid w:val="6DF5D83A"/>
    <w:rsid w:val="722DFDFC"/>
    <w:rsid w:val="736604A9"/>
    <w:rsid w:val="736C2C9D"/>
    <w:rsid w:val="7591092F"/>
    <w:rsid w:val="76A72BA5"/>
    <w:rsid w:val="76CF2605"/>
    <w:rsid w:val="787FEF1A"/>
    <w:rsid w:val="78907848"/>
    <w:rsid w:val="7899AA76"/>
    <w:rsid w:val="7899EEE0"/>
    <w:rsid w:val="78A00C00"/>
    <w:rsid w:val="792E29F5"/>
    <w:rsid w:val="7A8005CC"/>
    <w:rsid w:val="7B03A04F"/>
    <w:rsid w:val="7B3CCCAD"/>
    <w:rsid w:val="7C8DBB07"/>
    <w:rsid w:val="7E408209"/>
    <w:rsid w:val="7E8DAAFC"/>
    <w:rsid w:val="7EA9A19D"/>
    <w:rsid w:val="7EBE586F"/>
    <w:rsid w:val="7FC9F9E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0C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491"/>
    <w:pPr>
      <w:spacing w:after="240" w:line="260" w:lineRule="exact"/>
      <w:jc w:val="both"/>
    </w:pPr>
    <w:rPr>
      <w:rFonts w:ascii="Arial" w:eastAsia="Times New Roman" w:hAnsi="Arial" w:cs="Times New Roman"/>
      <w:color w:val="000000"/>
      <w:sz w:val="20"/>
      <w:szCs w:val="20"/>
      <w:lang w:eastAsia="en-AU"/>
    </w:rPr>
  </w:style>
  <w:style w:type="paragraph" w:styleId="Heading1">
    <w:name w:val="heading 1"/>
    <w:basedOn w:val="Normal"/>
    <w:next w:val="Normal"/>
    <w:link w:val="Heading1Char"/>
    <w:qFormat/>
    <w:rsid w:val="002C30FE"/>
    <w:pPr>
      <w:keepNext/>
      <w:tabs>
        <w:tab w:val="left" w:pos="709"/>
      </w:tabs>
      <w:spacing w:after="360" w:line="240" w:lineRule="auto"/>
      <w:jc w:val="left"/>
      <w:outlineLvl w:val="0"/>
    </w:pPr>
    <w:rPr>
      <w:rFonts w:ascii="Arial Bold" w:hAnsi="Arial Bold" w:cs="Arial"/>
      <w:b/>
      <w:bCs/>
      <w:color w:val="0E4E77" w:themeColor="accent6"/>
      <w:kern w:val="32"/>
      <w:sz w:val="36"/>
      <w:szCs w:val="36"/>
    </w:rPr>
  </w:style>
  <w:style w:type="paragraph" w:styleId="Heading2">
    <w:name w:val="heading 2"/>
    <w:basedOn w:val="Normal"/>
    <w:next w:val="Normal"/>
    <w:link w:val="Heading2Char"/>
    <w:qFormat/>
    <w:rsid w:val="002C30FE"/>
    <w:pPr>
      <w:keepNext/>
      <w:tabs>
        <w:tab w:val="left" w:pos="709"/>
      </w:tabs>
      <w:spacing w:before="240" w:line="240" w:lineRule="auto"/>
      <w:jc w:val="left"/>
      <w:outlineLvl w:val="1"/>
    </w:pPr>
    <w:rPr>
      <w:rFonts w:ascii="Arial Bold" w:hAnsi="Arial Bold" w:cs="Arial"/>
      <w:b/>
      <w:bCs/>
      <w:iCs/>
      <w:color w:val="74000E" w:themeColor="accent1"/>
      <w:sz w:val="30"/>
      <w:szCs w:val="28"/>
    </w:rPr>
  </w:style>
  <w:style w:type="paragraph" w:styleId="Heading3">
    <w:name w:val="heading 3"/>
    <w:basedOn w:val="Normal"/>
    <w:next w:val="Normal"/>
    <w:link w:val="Heading3Char"/>
    <w:qFormat/>
    <w:rsid w:val="00263E2D"/>
    <w:pPr>
      <w:keepNext/>
      <w:spacing w:line="240" w:lineRule="auto"/>
      <w:jc w:val="left"/>
      <w:outlineLvl w:val="2"/>
    </w:pPr>
    <w:rPr>
      <w:rFonts w:cs="Arial"/>
      <w:b/>
      <w:bCs/>
      <w:color w:val="74000E" w:themeColor="accent1"/>
      <w:sz w:val="26"/>
      <w:szCs w:val="26"/>
    </w:rPr>
  </w:style>
  <w:style w:type="paragraph" w:styleId="Heading4">
    <w:name w:val="heading 4"/>
    <w:basedOn w:val="Normal"/>
    <w:next w:val="Normal"/>
    <w:link w:val="Heading4Char"/>
    <w:qFormat/>
    <w:rsid w:val="00753176"/>
    <w:pPr>
      <w:keepNext/>
      <w:spacing w:before="120" w:after="120" w:line="240" w:lineRule="auto"/>
      <w:jc w:val="left"/>
      <w:outlineLvl w:val="3"/>
    </w:pPr>
    <w:rPr>
      <w:b/>
      <w:bCs/>
      <w:color w:val="9B0014"/>
      <w:sz w:val="22"/>
      <w:szCs w:val="22"/>
    </w:rPr>
  </w:style>
  <w:style w:type="paragraph" w:styleId="Heading5">
    <w:name w:val="heading 5"/>
    <w:basedOn w:val="Normal"/>
    <w:next w:val="Normal"/>
    <w:link w:val="Heading5Char"/>
    <w:qFormat/>
    <w:rsid w:val="00753176"/>
    <w:pPr>
      <w:keepNext/>
      <w:spacing w:after="60" w:line="240" w:lineRule="auto"/>
      <w:jc w:val="left"/>
      <w:outlineLvl w:val="4"/>
    </w:pPr>
    <w:rPr>
      <w:b/>
      <w:bCs/>
      <w:iCs/>
      <w:color w:val="9B0014"/>
    </w:rPr>
  </w:style>
  <w:style w:type="paragraph" w:styleId="Heading6">
    <w:name w:val="heading 6"/>
    <w:basedOn w:val="Normal"/>
    <w:next w:val="Normal"/>
    <w:link w:val="Heading6Char"/>
    <w:qFormat/>
    <w:rsid w:val="00753176"/>
    <w:pPr>
      <w:keepNext/>
      <w:spacing w:after="120" w:line="240" w:lineRule="auto"/>
      <w:jc w:val="left"/>
      <w:outlineLvl w:val="5"/>
    </w:pPr>
    <w:rPr>
      <w:bCs/>
      <w:color w:val="9B0014"/>
      <w:szCs w:val="22"/>
    </w:rPr>
  </w:style>
  <w:style w:type="paragraph" w:styleId="Heading7">
    <w:name w:val="heading 7"/>
    <w:basedOn w:val="Normal"/>
    <w:next w:val="Normal"/>
    <w:link w:val="Heading7Char"/>
    <w:qFormat/>
    <w:rsid w:val="00753176"/>
    <w:pPr>
      <w:keepNext/>
      <w:spacing w:after="120" w:line="240" w:lineRule="auto"/>
      <w:jc w:val="left"/>
      <w:outlineLvl w:val="6"/>
    </w:pPr>
    <w:rPr>
      <w:color w:val="9B0014"/>
      <w:szCs w:val="24"/>
    </w:rPr>
  </w:style>
  <w:style w:type="paragraph" w:styleId="Heading8">
    <w:name w:val="heading 8"/>
    <w:basedOn w:val="Normal"/>
    <w:next w:val="Normal"/>
    <w:link w:val="Heading8Char"/>
    <w:qFormat/>
    <w:rsid w:val="00753176"/>
    <w:pPr>
      <w:keepNext/>
      <w:spacing w:after="120" w:line="240" w:lineRule="auto"/>
      <w:jc w:val="left"/>
      <w:outlineLvl w:val="7"/>
    </w:pPr>
    <w:rPr>
      <w:iCs/>
      <w:color w:val="9B0014"/>
      <w:szCs w:val="24"/>
    </w:rPr>
  </w:style>
  <w:style w:type="paragraph" w:styleId="Heading9">
    <w:name w:val="heading 9"/>
    <w:basedOn w:val="Normal"/>
    <w:next w:val="Normal"/>
    <w:link w:val="Heading9Char"/>
    <w:qFormat/>
    <w:rsid w:val="00753176"/>
    <w:pPr>
      <w:keepNext/>
      <w:spacing w:after="120" w:line="240" w:lineRule="auto"/>
      <w:jc w:val="left"/>
      <w:outlineLvl w:val="8"/>
    </w:pPr>
    <w:rPr>
      <w:rFonts w:cs="Arial"/>
      <w:color w:val="9B001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30FE"/>
    <w:rPr>
      <w:rFonts w:ascii="Arial Bold" w:eastAsia="Times New Roman" w:hAnsi="Arial Bold" w:cs="Arial"/>
      <w:b/>
      <w:bCs/>
      <w:color w:val="0E4E77" w:themeColor="accent6"/>
      <w:kern w:val="32"/>
      <w:sz w:val="36"/>
      <w:szCs w:val="36"/>
      <w:lang w:eastAsia="en-AU"/>
    </w:rPr>
  </w:style>
  <w:style w:type="character" w:customStyle="1" w:styleId="Heading2Char">
    <w:name w:val="Heading 2 Char"/>
    <w:basedOn w:val="DefaultParagraphFont"/>
    <w:link w:val="Heading2"/>
    <w:rsid w:val="002C30FE"/>
    <w:rPr>
      <w:rFonts w:ascii="Arial Bold" w:eastAsia="Times New Roman" w:hAnsi="Arial Bold" w:cs="Arial"/>
      <w:b/>
      <w:bCs/>
      <w:iCs/>
      <w:color w:val="74000E" w:themeColor="accent1"/>
      <w:sz w:val="30"/>
      <w:szCs w:val="28"/>
      <w:lang w:eastAsia="en-AU"/>
    </w:rPr>
  </w:style>
  <w:style w:type="character" w:customStyle="1" w:styleId="Heading3Char">
    <w:name w:val="Heading 3 Char"/>
    <w:basedOn w:val="DefaultParagraphFont"/>
    <w:link w:val="Heading3"/>
    <w:rsid w:val="00263E2D"/>
    <w:rPr>
      <w:rFonts w:ascii="Arial" w:eastAsia="Times New Roman" w:hAnsi="Arial" w:cs="Arial"/>
      <w:b/>
      <w:bCs/>
      <w:color w:val="74000E" w:themeColor="accent1"/>
      <w:sz w:val="26"/>
      <w:szCs w:val="26"/>
      <w:lang w:eastAsia="en-AU"/>
    </w:rPr>
  </w:style>
  <w:style w:type="character" w:customStyle="1" w:styleId="Heading4Char">
    <w:name w:val="Heading 4 Char"/>
    <w:basedOn w:val="DefaultParagraphFont"/>
    <w:link w:val="Heading4"/>
    <w:rsid w:val="008F7491"/>
    <w:rPr>
      <w:rFonts w:ascii="Arial" w:eastAsia="Times New Roman" w:hAnsi="Arial" w:cs="Times New Roman"/>
      <w:b/>
      <w:bCs/>
      <w:color w:val="9B0014"/>
      <w:lang w:eastAsia="en-AU"/>
    </w:rPr>
  </w:style>
  <w:style w:type="character" w:customStyle="1" w:styleId="Heading5Char">
    <w:name w:val="Heading 5 Char"/>
    <w:basedOn w:val="DefaultParagraphFont"/>
    <w:link w:val="Heading5"/>
    <w:rsid w:val="008F7491"/>
    <w:rPr>
      <w:rFonts w:ascii="Arial" w:eastAsia="Times New Roman" w:hAnsi="Arial" w:cs="Times New Roman"/>
      <w:b/>
      <w:bCs/>
      <w:iCs/>
      <w:color w:val="9B0014"/>
      <w:sz w:val="20"/>
      <w:szCs w:val="20"/>
      <w:lang w:eastAsia="en-AU"/>
    </w:rPr>
  </w:style>
  <w:style w:type="character" w:customStyle="1" w:styleId="Heading6Char">
    <w:name w:val="Heading 6 Char"/>
    <w:basedOn w:val="DefaultParagraphFont"/>
    <w:link w:val="Heading6"/>
    <w:rsid w:val="008F7491"/>
    <w:rPr>
      <w:rFonts w:ascii="Arial" w:eastAsia="Times New Roman" w:hAnsi="Arial" w:cs="Times New Roman"/>
      <w:bCs/>
      <w:color w:val="9B0014"/>
      <w:sz w:val="20"/>
      <w:lang w:eastAsia="en-AU"/>
    </w:rPr>
  </w:style>
  <w:style w:type="character" w:customStyle="1" w:styleId="Heading7Char">
    <w:name w:val="Heading 7 Char"/>
    <w:basedOn w:val="DefaultParagraphFont"/>
    <w:link w:val="Heading7"/>
    <w:rsid w:val="008F7491"/>
    <w:rPr>
      <w:rFonts w:ascii="Arial" w:eastAsia="Times New Roman" w:hAnsi="Arial" w:cs="Times New Roman"/>
      <w:color w:val="9B0014"/>
      <w:sz w:val="20"/>
      <w:szCs w:val="24"/>
      <w:lang w:eastAsia="en-AU"/>
    </w:rPr>
  </w:style>
  <w:style w:type="character" w:customStyle="1" w:styleId="Heading8Char">
    <w:name w:val="Heading 8 Char"/>
    <w:basedOn w:val="DefaultParagraphFont"/>
    <w:link w:val="Heading8"/>
    <w:rsid w:val="008F7491"/>
    <w:rPr>
      <w:rFonts w:ascii="Arial" w:eastAsia="Times New Roman" w:hAnsi="Arial" w:cs="Times New Roman"/>
      <w:iCs/>
      <w:color w:val="9B0014"/>
      <w:sz w:val="20"/>
      <w:szCs w:val="24"/>
      <w:lang w:eastAsia="en-AU"/>
    </w:rPr>
  </w:style>
  <w:style w:type="character" w:customStyle="1" w:styleId="Heading9Char">
    <w:name w:val="Heading 9 Char"/>
    <w:basedOn w:val="DefaultParagraphFont"/>
    <w:link w:val="Heading9"/>
    <w:rsid w:val="008F7491"/>
    <w:rPr>
      <w:rFonts w:ascii="Arial" w:eastAsia="Times New Roman" w:hAnsi="Arial" w:cs="Arial"/>
      <w:color w:val="9B0014"/>
      <w:sz w:val="20"/>
      <w:lang w:eastAsia="en-AU"/>
    </w:rPr>
  </w:style>
  <w:style w:type="paragraph" w:customStyle="1" w:styleId="SingleParagraph">
    <w:name w:val="Single Paragraph"/>
    <w:basedOn w:val="Normal"/>
    <w:rsid w:val="008F7491"/>
    <w:pPr>
      <w:spacing w:after="0"/>
    </w:pPr>
  </w:style>
  <w:style w:type="character" w:styleId="Hyperlink">
    <w:name w:val="Hyperlink"/>
    <w:uiPriority w:val="99"/>
    <w:rsid w:val="007133D6"/>
    <w:rPr>
      <w:b/>
      <w:color w:val="9B0014"/>
    </w:rPr>
  </w:style>
  <w:style w:type="character" w:styleId="FootnoteReference">
    <w:name w:val="footnote reference"/>
    <w:rsid w:val="008F7491"/>
    <w:rPr>
      <w:vertAlign w:val="superscript"/>
    </w:rPr>
  </w:style>
  <w:style w:type="paragraph" w:styleId="TOCHeading">
    <w:name w:val="TOC Heading"/>
    <w:basedOn w:val="Heading1"/>
    <w:next w:val="Normal"/>
    <w:uiPriority w:val="39"/>
    <w:unhideWhenUsed/>
    <w:qFormat/>
    <w:rsid w:val="005F4BCB"/>
    <w:pPr>
      <w:keepLines/>
      <w:spacing w:before="240" w:after="0" w:line="259" w:lineRule="auto"/>
      <w:outlineLvl w:val="9"/>
    </w:pPr>
    <w:rPr>
      <w:rFonts w:asciiTheme="majorHAnsi" w:eastAsiaTheme="majorEastAsia" w:hAnsiTheme="majorHAnsi" w:cstheme="majorBidi"/>
      <w:b w:val="0"/>
      <w:bCs w:val="0"/>
      <w:color w:val="56000A" w:themeColor="accent1" w:themeShade="BF"/>
      <w:kern w:val="0"/>
      <w:sz w:val="32"/>
      <w:szCs w:val="32"/>
      <w:lang w:val="en-US" w:eastAsia="en-US"/>
    </w:rPr>
  </w:style>
  <w:style w:type="character" w:styleId="PageNumber">
    <w:name w:val="page number"/>
    <w:rsid w:val="008F7491"/>
  </w:style>
  <w:style w:type="paragraph" w:customStyle="1" w:styleId="Bullet">
    <w:name w:val="Bullet"/>
    <w:basedOn w:val="Normal"/>
    <w:link w:val="BulletChar"/>
    <w:rsid w:val="0082702F"/>
    <w:pPr>
      <w:numPr>
        <w:numId w:val="21"/>
      </w:numPr>
      <w:spacing w:after="120"/>
    </w:pPr>
  </w:style>
  <w:style w:type="paragraph" w:customStyle="1" w:styleId="OutlineNumbered1">
    <w:name w:val="Outline Numbered 1"/>
    <w:basedOn w:val="OutlineNumbered3"/>
    <w:rsid w:val="00EE7DC2"/>
  </w:style>
  <w:style w:type="paragraph" w:customStyle="1" w:styleId="OutlineNumbered2">
    <w:name w:val="Outline Numbered 2"/>
    <w:basedOn w:val="Normal"/>
    <w:rsid w:val="008F7491"/>
    <w:pPr>
      <w:numPr>
        <w:ilvl w:val="1"/>
        <w:numId w:val="41"/>
      </w:numPr>
    </w:pPr>
  </w:style>
  <w:style w:type="paragraph" w:customStyle="1" w:styleId="OutlineNumbered3">
    <w:name w:val="Outline Numbered 3"/>
    <w:basedOn w:val="Normal"/>
    <w:link w:val="OutlineNumbered3Char"/>
    <w:rsid w:val="00DA1449"/>
    <w:pPr>
      <w:numPr>
        <w:ilvl w:val="2"/>
        <w:numId w:val="41"/>
      </w:numPr>
    </w:pPr>
  </w:style>
  <w:style w:type="paragraph" w:customStyle="1" w:styleId="AppendixHeading">
    <w:name w:val="Appendix Heading"/>
    <w:basedOn w:val="Normal"/>
    <w:next w:val="AppendixParagraph"/>
    <w:rsid w:val="00753176"/>
    <w:pPr>
      <w:keepNext/>
      <w:numPr>
        <w:numId w:val="3"/>
      </w:numPr>
      <w:spacing w:line="240" w:lineRule="auto"/>
      <w:jc w:val="left"/>
      <w:outlineLvl w:val="0"/>
    </w:pPr>
    <w:rPr>
      <w:rFonts w:ascii="Arial Bold" w:hAnsi="Arial Bold"/>
      <w:b/>
      <w:caps/>
      <w:color w:val="9B0014"/>
      <w:sz w:val="36"/>
      <w:szCs w:val="36"/>
    </w:rPr>
  </w:style>
  <w:style w:type="paragraph" w:customStyle="1" w:styleId="BoxHeading">
    <w:name w:val="Box Heading"/>
    <w:basedOn w:val="Normal"/>
    <w:next w:val="BoxText"/>
    <w:rsid w:val="00753176"/>
    <w:pPr>
      <w:keepNext/>
      <w:spacing w:before="120" w:after="120" w:line="240" w:lineRule="auto"/>
      <w:jc w:val="left"/>
    </w:pPr>
    <w:rPr>
      <w:b/>
      <w:color w:val="9B0014"/>
      <w:sz w:val="22"/>
    </w:rPr>
  </w:style>
  <w:style w:type="paragraph" w:customStyle="1" w:styleId="ChartGraphic">
    <w:name w:val="Chart Graphic"/>
    <w:basedOn w:val="Normal"/>
    <w:next w:val="Normal"/>
    <w:rsid w:val="00753176"/>
    <w:pPr>
      <w:keepNext/>
      <w:spacing w:after="0" w:line="240" w:lineRule="auto"/>
      <w:jc w:val="center"/>
    </w:pPr>
    <w:rPr>
      <w:color w:val="9B0014"/>
    </w:rPr>
  </w:style>
  <w:style w:type="paragraph" w:customStyle="1" w:styleId="ChartMainHeading">
    <w:name w:val="Chart Main Heading"/>
    <w:basedOn w:val="Normal"/>
    <w:next w:val="ChartGraphic"/>
    <w:rsid w:val="00753176"/>
    <w:pPr>
      <w:keepNext/>
      <w:spacing w:after="20" w:line="240" w:lineRule="auto"/>
      <w:jc w:val="center"/>
    </w:pPr>
    <w:rPr>
      <w:b/>
      <w:color w:val="9B0014"/>
      <w:sz w:val="22"/>
    </w:rPr>
  </w:style>
  <w:style w:type="paragraph" w:customStyle="1" w:styleId="ChartSecondHeading">
    <w:name w:val="Chart Second Heading"/>
    <w:basedOn w:val="Normal"/>
    <w:next w:val="ChartGraphic"/>
    <w:rsid w:val="00753176"/>
    <w:pPr>
      <w:keepNext/>
      <w:spacing w:after="20" w:line="240" w:lineRule="auto"/>
      <w:jc w:val="center"/>
    </w:pPr>
    <w:rPr>
      <w:color w:val="9B0014"/>
    </w:rPr>
  </w:style>
  <w:style w:type="paragraph" w:customStyle="1" w:styleId="Classification">
    <w:name w:val="Classification"/>
    <w:basedOn w:val="Normal"/>
    <w:next w:val="Footer"/>
    <w:rsid w:val="00753176"/>
    <w:pPr>
      <w:keepNext/>
      <w:spacing w:after="120" w:line="240" w:lineRule="auto"/>
      <w:jc w:val="center"/>
    </w:pPr>
    <w:rPr>
      <w:b/>
      <w:smallCaps/>
      <w:color w:val="9B0014"/>
    </w:rPr>
  </w:style>
  <w:style w:type="paragraph" w:styleId="Footer">
    <w:name w:val="footer"/>
    <w:basedOn w:val="Normal"/>
    <w:link w:val="FooterChar"/>
    <w:uiPriority w:val="99"/>
    <w:rsid w:val="00753176"/>
    <w:pPr>
      <w:keepNext/>
      <w:spacing w:after="0" w:line="240" w:lineRule="auto"/>
      <w:jc w:val="left"/>
    </w:pPr>
    <w:rPr>
      <w:color w:val="9B0014"/>
      <w:sz w:val="18"/>
    </w:rPr>
  </w:style>
  <w:style w:type="character" w:customStyle="1" w:styleId="FooterChar">
    <w:name w:val="Footer Char"/>
    <w:basedOn w:val="DefaultParagraphFont"/>
    <w:link w:val="Footer"/>
    <w:uiPriority w:val="99"/>
    <w:rsid w:val="008F7491"/>
    <w:rPr>
      <w:rFonts w:ascii="Arial" w:eastAsia="Times New Roman" w:hAnsi="Arial" w:cs="Times New Roman"/>
      <w:color w:val="9B0014"/>
      <w:sz w:val="18"/>
      <w:szCs w:val="20"/>
      <w:lang w:eastAsia="en-AU"/>
    </w:rPr>
  </w:style>
  <w:style w:type="paragraph" w:customStyle="1" w:styleId="ContentsHeading">
    <w:name w:val="Contents Heading"/>
    <w:basedOn w:val="Normal"/>
    <w:next w:val="Normal"/>
    <w:rsid w:val="00A32303"/>
    <w:pPr>
      <w:keepNext/>
      <w:spacing w:after="360" w:line="240" w:lineRule="auto"/>
      <w:jc w:val="left"/>
    </w:pPr>
    <w:rPr>
      <w:rFonts w:ascii="Arial Bold" w:hAnsi="Arial Bold"/>
      <w:b/>
      <w:color w:val="000000" w:themeColor="text1"/>
      <w:sz w:val="36"/>
      <w:szCs w:val="36"/>
    </w:rPr>
  </w:style>
  <w:style w:type="paragraph" w:customStyle="1" w:styleId="CoverTitleMain">
    <w:name w:val="Cover Title Main"/>
    <w:basedOn w:val="Normal"/>
    <w:next w:val="Normal"/>
    <w:rsid w:val="00753176"/>
    <w:pPr>
      <w:keepNext/>
      <w:spacing w:after="480" w:line="240" w:lineRule="auto"/>
      <w:jc w:val="center"/>
    </w:pPr>
    <w:rPr>
      <w:b/>
      <w:color w:val="9B0014"/>
      <w:sz w:val="48"/>
    </w:rPr>
  </w:style>
  <w:style w:type="paragraph" w:customStyle="1" w:styleId="CoverTitleSub">
    <w:name w:val="Cover Title Sub"/>
    <w:basedOn w:val="Normal"/>
    <w:rsid w:val="00753176"/>
    <w:pPr>
      <w:keepNext/>
      <w:spacing w:after="360" w:line="240" w:lineRule="auto"/>
      <w:jc w:val="center"/>
    </w:pPr>
    <w:rPr>
      <w:color w:val="9B0014"/>
      <w:sz w:val="36"/>
    </w:rPr>
  </w:style>
  <w:style w:type="paragraph" w:customStyle="1" w:styleId="FooterCentered">
    <w:name w:val="Footer Centered"/>
    <w:basedOn w:val="Footer"/>
    <w:rsid w:val="008F7491"/>
    <w:pPr>
      <w:jc w:val="center"/>
    </w:pPr>
  </w:style>
  <w:style w:type="paragraph" w:customStyle="1" w:styleId="FooterEven">
    <w:name w:val="Footer Even"/>
    <w:basedOn w:val="Footer"/>
    <w:rsid w:val="00084480"/>
    <w:rPr>
      <w:color w:val="000000" w:themeColor="text1"/>
    </w:rPr>
  </w:style>
  <w:style w:type="paragraph" w:customStyle="1" w:styleId="FooterOdd">
    <w:name w:val="Footer Odd"/>
    <w:basedOn w:val="Footer"/>
    <w:rsid w:val="00084480"/>
    <w:pPr>
      <w:jc w:val="right"/>
    </w:pPr>
    <w:rPr>
      <w:color w:val="000000" w:themeColor="text1"/>
    </w:rPr>
  </w:style>
  <w:style w:type="paragraph" w:styleId="Header">
    <w:name w:val="header"/>
    <w:basedOn w:val="Normal"/>
    <w:link w:val="HeaderChar"/>
    <w:rsid w:val="00753176"/>
    <w:pPr>
      <w:keepNext/>
      <w:spacing w:after="360" w:line="240" w:lineRule="auto"/>
      <w:jc w:val="left"/>
    </w:pPr>
    <w:rPr>
      <w:color w:val="000000" w:themeColor="text1"/>
      <w:sz w:val="18"/>
    </w:rPr>
  </w:style>
  <w:style w:type="character" w:customStyle="1" w:styleId="HeaderChar">
    <w:name w:val="Header Char"/>
    <w:basedOn w:val="DefaultParagraphFont"/>
    <w:link w:val="Header"/>
    <w:rsid w:val="00084480"/>
    <w:rPr>
      <w:rFonts w:ascii="Arial" w:eastAsia="Times New Roman" w:hAnsi="Arial" w:cs="Times New Roman"/>
      <w:color w:val="000000" w:themeColor="text1"/>
      <w:sz w:val="18"/>
      <w:szCs w:val="20"/>
      <w:lang w:eastAsia="en-AU"/>
    </w:rPr>
  </w:style>
  <w:style w:type="paragraph" w:customStyle="1" w:styleId="HeaderEven">
    <w:name w:val="Header Even"/>
    <w:basedOn w:val="Header"/>
    <w:rsid w:val="008F7491"/>
    <w:pPr>
      <w:pBdr>
        <w:bottom w:val="single" w:sz="4" w:space="1" w:color="9B0014"/>
      </w:pBdr>
      <w:spacing w:after="0"/>
    </w:pPr>
    <w:rPr>
      <w:spacing w:val="-4"/>
    </w:rPr>
  </w:style>
  <w:style w:type="paragraph" w:customStyle="1" w:styleId="HeaderOdd">
    <w:name w:val="Header Odd"/>
    <w:basedOn w:val="Header"/>
    <w:rsid w:val="008F7491"/>
    <w:pPr>
      <w:pBdr>
        <w:bottom w:val="single" w:sz="4" w:space="1" w:color="9B0014"/>
      </w:pBdr>
      <w:spacing w:after="0"/>
      <w:jc w:val="right"/>
    </w:pPr>
    <w:rPr>
      <w:spacing w:val="-4"/>
    </w:rPr>
  </w:style>
  <w:style w:type="paragraph" w:customStyle="1" w:styleId="RecommendationHeading">
    <w:name w:val="Recommendation Heading"/>
    <w:basedOn w:val="Normal"/>
    <w:next w:val="RecommendationText"/>
    <w:rsid w:val="00753176"/>
    <w:pPr>
      <w:keepNext/>
      <w:spacing w:line="240" w:lineRule="auto"/>
      <w:jc w:val="left"/>
    </w:pPr>
    <w:rPr>
      <w:b/>
      <w:color w:val="9B0014"/>
      <w:sz w:val="22"/>
    </w:rPr>
  </w:style>
  <w:style w:type="paragraph" w:customStyle="1" w:styleId="RecommendationBaseText">
    <w:name w:val="Recommendation Base Text"/>
    <w:basedOn w:val="Normal"/>
    <w:rsid w:val="008F7491"/>
  </w:style>
  <w:style w:type="paragraph" w:customStyle="1" w:styleId="RecommendationText">
    <w:name w:val="Recommendation Text"/>
    <w:basedOn w:val="RecommendationBaseText"/>
    <w:rsid w:val="008F7491"/>
  </w:style>
  <w:style w:type="paragraph" w:customStyle="1" w:styleId="TableTextBase">
    <w:name w:val="Table Text Base"/>
    <w:rsid w:val="008F7491"/>
    <w:pPr>
      <w:spacing w:before="40" w:after="40" w:line="240" w:lineRule="auto"/>
    </w:pPr>
    <w:rPr>
      <w:rFonts w:ascii="Arial" w:eastAsia="Times New Roman" w:hAnsi="Arial" w:cs="Times New Roman"/>
      <w:color w:val="000000"/>
      <w:sz w:val="18"/>
      <w:szCs w:val="20"/>
      <w:lang w:eastAsia="en-AU"/>
    </w:rPr>
  </w:style>
  <w:style w:type="paragraph" w:customStyle="1" w:styleId="TableColumnHeadingCentred">
    <w:name w:val="Table Column Heading Centred"/>
    <w:basedOn w:val="TableTextBase"/>
    <w:rsid w:val="007B0C5A"/>
    <w:pPr>
      <w:jc w:val="center"/>
    </w:pPr>
    <w:rPr>
      <w:b/>
      <w:color w:val="FFFFFF" w:themeColor="background1"/>
    </w:rPr>
  </w:style>
  <w:style w:type="paragraph" w:customStyle="1" w:styleId="TableColumnHeadingLeft">
    <w:name w:val="Table Column Heading Left"/>
    <w:basedOn w:val="TableTextBase"/>
    <w:rsid w:val="007B0C5A"/>
    <w:rPr>
      <w:b/>
      <w:color w:val="FFFFFF" w:themeColor="background1"/>
    </w:rPr>
  </w:style>
  <w:style w:type="paragraph" w:customStyle="1" w:styleId="TableColumnHeadingRight">
    <w:name w:val="Table Column Heading Right"/>
    <w:basedOn w:val="TableTextBase"/>
    <w:rsid w:val="008F7491"/>
    <w:pPr>
      <w:jc w:val="right"/>
    </w:pPr>
    <w:rPr>
      <w:b/>
    </w:rPr>
  </w:style>
  <w:style w:type="paragraph" w:customStyle="1" w:styleId="TableGraphic">
    <w:name w:val="Table Graphic"/>
    <w:basedOn w:val="Normal"/>
    <w:next w:val="Normal"/>
    <w:rsid w:val="00753176"/>
    <w:pPr>
      <w:spacing w:after="20" w:line="240" w:lineRule="auto"/>
      <w:ind w:right="-113"/>
      <w:jc w:val="left"/>
    </w:pPr>
    <w:rPr>
      <w:color w:val="9B0014"/>
    </w:rPr>
  </w:style>
  <w:style w:type="paragraph" w:customStyle="1" w:styleId="TableMainHeading">
    <w:name w:val="Table Main Heading"/>
    <w:basedOn w:val="Normal"/>
    <w:next w:val="TableGraphic"/>
    <w:rsid w:val="00753176"/>
    <w:pPr>
      <w:keepNext/>
      <w:spacing w:after="20" w:line="240" w:lineRule="auto"/>
      <w:jc w:val="left"/>
    </w:pPr>
    <w:rPr>
      <w:b/>
      <w:color w:val="9B0014"/>
      <w:sz w:val="22"/>
    </w:rPr>
  </w:style>
  <w:style w:type="paragraph" w:customStyle="1" w:styleId="TableMainHeadingContd">
    <w:name w:val="Table Main Heading Contd"/>
    <w:basedOn w:val="Normal"/>
    <w:next w:val="TableGraphic"/>
    <w:rsid w:val="00753176"/>
    <w:pPr>
      <w:keepNext/>
      <w:spacing w:after="20" w:line="240" w:lineRule="auto"/>
      <w:jc w:val="left"/>
    </w:pPr>
    <w:rPr>
      <w:b/>
      <w:color w:val="9B0014"/>
      <w:sz w:val="22"/>
    </w:rPr>
  </w:style>
  <w:style w:type="paragraph" w:customStyle="1" w:styleId="TableSecondHeading">
    <w:name w:val="Table Second Heading"/>
    <w:basedOn w:val="Normal"/>
    <w:next w:val="TableGraphic"/>
    <w:rsid w:val="00753176"/>
    <w:pPr>
      <w:keepNext/>
      <w:spacing w:after="20" w:line="240" w:lineRule="auto"/>
      <w:jc w:val="left"/>
    </w:pPr>
    <w:rPr>
      <w:color w:val="9B0014"/>
    </w:rPr>
  </w:style>
  <w:style w:type="paragraph" w:customStyle="1" w:styleId="TableTextCentered">
    <w:name w:val="Table Text Centered"/>
    <w:basedOn w:val="TableTextBase"/>
    <w:rsid w:val="008F7491"/>
    <w:pPr>
      <w:jc w:val="center"/>
    </w:pPr>
  </w:style>
  <w:style w:type="paragraph" w:customStyle="1" w:styleId="TableTextIndented">
    <w:name w:val="Table Text Indented"/>
    <w:basedOn w:val="TableTextBase"/>
    <w:rsid w:val="008F7491"/>
    <w:pPr>
      <w:ind w:left="284"/>
    </w:pPr>
  </w:style>
  <w:style w:type="paragraph" w:customStyle="1" w:styleId="TableTextLeft">
    <w:name w:val="Table Text Left"/>
    <w:basedOn w:val="TableTextBase"/>
    <w:rsid w:val="007B0C5A"/>
  </w:style>
  <w:style w:type="paragraph" w:customStyle="1" w:styleId="TableTextRight">
    <w:name w:val="Table Text Right"/>
    <w:basedOn w:val="TableTextBase"/>
    <w:rsid w:val="007B0C5A"/>
    <w:pPr>
      <w:jc w:val="right"/>
    </w:pPr>
  </w:style>
  <w:style w:type="paragraph" w:styleId="TOC1">
    <w:name w:val="toc 1"/>
    <w:basedOn w:val="Normal"/>
    <w:next w:val="Normal"/>
    <w:uiPriority w:val="39"/>
    <w:rsid w:val="00A32303"/>
    <w:pPr>
      <w:spacing w:before="240" w:after="120"/>
      <w:jc w:val="left"/>
    </w:pPr>
    <w:rPr>
      <w:rFonts w:asciiTheme="minorHAnsi" w:hAnsiTheme="minorHAnsi" w:cstheme="minorHAnsi"/>
      <w:b/>
      <w:bCs/>
    </w:rPr>
  </w:style>
  <w:style w:type="paragraph" w:styleId="TOC2">
    <w:name w:val="toc 2"/>
    <w:basedOn w:val="Normal"/>
    <w:next w:val="OutlineNumbered2"/>
    <w:uiPriority w:val="39"/>
    <w:rsid w:val="00A00225"/>
    <w:pPr>
      <w:spacing w:before="120" w:after="0"/>
      <w:ind w:left="200"/>
      <w:jc w:val="left"/>
    </w:pPr>
    <w:rPr>
      <w:rFonts w:asciiTheme="minorHAnsi" w:hAnsiTheme="minorHAnsi" w:cstheme="minorHAnsi"/>
      <w:i/>
      <w:iCs/>
    </w:rPr>
  </w:style>
  <w:style w:type="paragraph" w:styleId="TOC3">
    <w:name w:val="toc 3"/>
    <w:basedOn w:val="Normal"/>
    <w:next w:val="Normal"/>
    <w:uiPriority w:val="39"/>
    <w:rsid w:val="00084480"/>
    <w:pPr>
      <w:spacing w:after="0"/>
      <w:ind w:left="400"/>
      <w:jc w:val="left"/>
    </w:pPr>
    <w:rPr>
      <w:rFonts w:asciiTheme="minorHAnsi" w:hAnsiTheme="minorHAnsi" w:cstheme="minorHAnsi"/>
    </w:rPr>
  </w:style>
  <w:style w:type="paragraph" w:styleId="TOC4">
    <w:name w:val="toc 4"/>
    <w:basedOn w:val="Normal"/>
    <w:next w:val="Normal"/>
    <w:rsid w:val="008F7491"/>
    <w:pPr>
      <w:spacing w:after="0"/>
      <w:ind w:left="600"/>
      <w:jc w:val="left"/>
    </w:pPr>
    <w:rPr>
      <w:rFonts w:asciiTheme="minorHAnsi" w:hAnsiTheme="minorHAnsi" w:cstheme="minorHAnsi"/>
    </w:rPr>
  </w:style>
  <w:style w:type="paragraph" w:customStyle="1" w:styleId="BoxText">
    <w:name w:val="Box Text"/>
    <w:basedOn w:val="Normal"/>
    <w:rsid w:val="00753176"/>
    <w:pPr>
      <w:spacing w:before="120" w:after="120" w:line="240" w:lineRule="auto"/>
    </w:pPr>
  </w:style>
  <w:style w:type="paragraph" w:customStyle="1" w:styleId="BoxDoubleDot">
    <w:name w:val="Box Double Dot"/>
    <w:basedOn w:val="Normal"/>
    <w:rsid w:val="00753176"/>
    <w:pPr>
      <w:numPr>
        <w:ilvl w:val="2"/>
        <w:numId w:val="1"/>
      </w:numPr>
      <w:spacing w:before="120" w:after="120" w:line="240" w:lineRule="auto"/>
    </w:pPr>
  </w:style>
  <w:style w:type="paragraph" w:customStyle="1" w:styleId="RecommendationBullet">
    <w:name w:val="Recommendation Bullet"/>
    <w:basedOn w:val="RecommendationBaseText"/>
    <w:rsid w:val="008F7491"/>
    <w:pPr>
      <w:numPr>
        <w:numId w:val="2"/>
      </w:numPr>
    </w:pPr>
  </w:style>
  <w:style w:type="paragraph" w:customStyle="1" w:styleId="RecommendationDash">
    <w:name w:val="Recommendation Dash"/>
    <w:basedOn w:val="RecommendationBaseText"/>
    <w:rsid w:val="008F7491"/>
    <w:pPr>
      <w:numPr>
        <w:ilvl w:val="1"/>
        <w:numId w:val="2"/>
      </w:numPr>
    </w:pPr>
  </w:style>
  <w:style w:type="paragraph" w:customStyle="1" w:styleId="RecommendationDoubleDot">
    <w:name w:val="Recommendation Double Dot"/>
    <w:basedOn w:val="RecommendationBaseText"/>
    <w:rsid w:val="008F7491"/>
    <w:pPr>
      <w:numPr>
        <w:ilvl w:val="2"/>
        <w:numId w:val="2"/>
      </w:numPr>
    </w:pPr>
  </w:style>
  <w:style w:type="table" w:styleId="TableGrid">
    <w:name w:val="Table Grid"/>
    <w:aliases w:val="Smart Text Table"/>
    <w:basedOn w:val="TableNormal"/>
    <w:rsid w:val="008F7491"/>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Heading1notnumbered">
    <w:name w:val="Heading 1 not numbered"/>
    <w:basedOn w:val="Normal"/>
    <w:next w:val="Normal"/>
    <w:rsid w:val="00263E2D"/>
    <w:pPr>
      <w:keepNext/>
      <w:spacing w:before="720" w:after="360" w:line="240" w:lineRule="auto"/>
      <w:jc w:val="left"/>
    </w:pPr>
    <w:rPr>
      <w:rFonts w:ascii="Arial Bold" w:hAnsi="Arial Bold"/>
      <w:b/>
      <w:color w:val="0E4E77" w:themeColor="accent6"/>
      <w:sz w:val="36"/>
      <w:szCs w:val="36"/>
    </w:rPr>
  </w:style>
  <w:style w:type="paragraph" w:customStyle="1" w:styleId="Heading2notnumbered">
    <w:name w:val="Heading 2 not numbered"/>
    <w:basedOn w:val="Normal"/>
    <w:next w:val="Normal"/>
    <w:rsid w:val="00263E2D"/>
    <w:pPr>
      <w:keepNext/>
      <w:tabs>
        <w:tab w:val="left" w:pos="567"/>
      </w:tabs>
      <w:spacing w:before="360" w:line="240" w:lineRule="auto"/>
      <w:jc w:val="left"/>
      <w:outlineLvl w:val="1"/>
    </w:pPr>
    <w:rPr>
      <w:rFonts w:ascii="Arial Bold" w:hAnsi="Arial Bold"/>
      <w:b/>
      <w:color w:val="74000E" w:themeColor="accent1"/>
      <w:sz w:val="30"/>
      <w:szCs w:val="28"/>
    </w:rPr>
  </w:style>
  <w:style w:type="paragraph" w:customStyle="1" w:styleId="Heading3notnumbered">
    <w:name w:val="Heading 3 not numbered"/>
    <w:basedOn w:val="Normal"/>
    <w:next w:val="Normal"/>
    <w:rsid w:val="00753176"/>
    <w:pPr>
      <w:keepNext/>
      <w:spacing w:before="240" w:line="240" w:lineRule="auto"/>
      <w:jc w:val="left"/>
    </w:pPr>
    <w:rPr>
      <w:rFonts w:ascii="Arial Bold" w:hAnsi="Arial Bold"/>
      <w:b/>
      <w:color w:val="9B0014"/>
      <w:sz w:val="26"/>
      <w:szCs w:val="26"/>
    </w:rPr>
  </w:style>
  <w:style w:type="paragraph" w:styleId="ListParagraph">
    <w:name w:val="List Paragraph"/>
    <w:basedOn w:val="Normal"/>
    <w:uiPriority w:val="34"/>
    <w:qFormat/>
    <w:rsid w:val="008F7491"/>
    <w:pPr>
      <w:ind w:left="720"/>
    </w:pPr>
  </w:style>
  <w:style w:type="paragraph" w:customStyle="1" w:styleId="AppendixParagraph">
    <w:name w:val="Appendix Paragraph"/>
    <w:basedOn w:val="Normal"/>
    <w:rsid w:val="008F7491"/>
    <w:pPr>
      <w:numPr>
        <w:ilvl w:val="1"/>
        <w:numId w:val="3"/>
      </w:numPr>
    </w:pPr>
    <w:rPr>
      <w:lang w:val="en-US"/>
    </w:rPr>
  </w:style>
  <w:style w:type="character" w:customStyle="1" w:styleId="OutlineNumbered3Char">
    <w:name w:val="Outline Numbered 3 Char"/>
    <w:link w:val="OutlineNumbered3"/>
    <w:rsid w:val="00DA1449"/>
    <w:rPr>
      <w:rFonts w:ascii="Arial" w:eastAsia="Times New Roman" w:hAnsi="Arial" w:cs="Times New Roman"/>
      <w:color w:val="000000"/>
      <w:sz w:val="20"/>
      <w:szCs w:val="20"/>
      <w:lang w:eastAsia="en-AU"/>
    </w:rPr>
  </w:style>
  <w:style w:type="paragraph" w:styleId="BalloonText">
    <w:name w:val="Balloon Text"/>
    <w:basedOn w:val="Normal"/>
    <w:link w:val="BalloonTextChar"/>
    <w:rsid w:val="008F7491"/>
    <w:rPr>
      <w:rFonts w:ascii="Tahoma" w:hAnsi="Tahoma" w:cs="Tahoma"/>
      <w:sz w:val="16"/>
      <w:szCs w:val="16"/>
    </w:rPr>
  </w:style>
  <w:style w:type="character" w:customStyle="1" w:styleId="BalloonTextChar">
    <w:name w:val="Balloon Text Char"/>
    <w:basedOn w:val="DefaultParagraphFont"/>
    <w:link w:val="BalloonText"/>
    <w:rsid w:val="008F7491"/>
    <w:rPr>
      <w:rFonts w:ascii="Tahoma" w:eastAsia="Times New Roman" w:hAnsi="Tahoma" w:cs="Tahoma"/>
      <w:color w:val="000000"/>
      <w:sz w:val="16"/>
      <w:szCs w:val="16"/>
      <w:lang w:eastAsia="en-AU"/>
    </w:rPr>
  </w:style>
  <w:style w:type="character" w:styleId="CommentReference">
    <w:name w:val="annotation reference"/>
    <w:rsid w:val="008F7491"/>
    <w:rPr>
      <w:sz w:val="16"/>
      <w:szCs w:val="16"/>
    </w:rPr>
  </w:style>
  <w:style w:type="paragraph" w:styleId="CommentText">
    <w:name w:val="annotation text"/>
    <w:basedOn w:val="Normal"/>
    <w:link w:val="CommentTextChar"/>
    <w:rsid w:val="008F7491"/>
  </w:style>
  <w:style w:type="character" w:customStyle="1" w:styleId="CommentTextChar">
    <w:name w:val="Comment Text Char"/>
    <w:basedOn w:val="DefaultParagraphFont"/>
    <w:link w:val="CommentText"/>
    <w:rsid w:val="008F7491"/>
    <w:rPr>
      <w:rFonts w:ascii="Arial" w:eastAsia="Times New Roman" w:hAnsi="Arial" w:cs="Times New Roman"/>
      <w:color w:val="000000"/>
      <w:sz w:val="20"/>
      <w:szCs w:val="20"/>
      <w:lang w:eastAsia="en-AU"/>
    </w:rPr>
  </w:style>
  <w:style w:type="paragraph" w:styleId="CommentSubject">
    <w:name w:val="annotation subject"/>
    <w:basedOn w:val="CommentText"/>
    <w:next w:val="CommentText"/>
    <w:link w:val="CommentSubjectChar"/>
    <w:rsid w:val="008F7491"/>
    <w:rPr>
      <w:b/>
      <w:bCs/>
    </w:rPr>
  </w:style>
  <w:style w:type="character" w:customStyle="1" w:styleId="CommentSubjectChar">
    <w:name w:val="Comment Subject Char"/>
    <w:basedOn w:val="CommentTextChar"/>
    <w:link w:val="CommentSubject"/>
    <w:rsid w:val="008F7491"/>
    <w:rPr>
      <w:rFonts w:ascii="Arial" w:eastAsia="Times New Roman" w:hAnsi="Arial" w:cs="Times New Roman"/>
      <w:b/>
      <w:bCs/>
      <w:color w:val="000000"/>
      <w:sz w:val="20"/>
      <w:szCs w:val="20"/>
      <w:lang w:eastAsia="en-AU"/>
    </w:rPr>
  </w:style>
  <w:style w:type="paragraph" w:customStyle="1" w:styleId="Clearformatting">
    <w:name w:val="Clear formatting"/>
    <w:basedOn w:val="Heading2"/>
    <w:rsid w:val="008F7491"/>
    <w:pPr>
      <w:numPr>
        <w:numId w:val="9"/>
      </w:numPr>
    </w:pPr>
    <w:rPr>
      <w:lang w:val="en-US"/>
    </w:rPr>
  </w:style>
  <w:style w:type="paragraph" w:styleId="NormalWeb">
    <w:name w:val="Normal (Web)"/>
    <w:basedOn w:val="Normal"/>
    <w:uiPriority w:val="99"/>
    <w:rsid w:val="008F7491"/>
    <w:rPr>
      <w:rFonts w:ascii="Times New Roman" w:hAnsi="Times New Roman"/>
      <w:sz w:val="24"/>
      <w:szCs w:val="24"/>
    </w:rPr>
  </w:style>
  <w:style w:type="paragraph" w:styleId="NoSpacing">
    <w:name w:val="No Spacing"/>
    <w:link w:val="NoSpacingChar"/>
    <w:qFormat/>
    <w:rsid w:val="008F7491"/>
    <w:pPr>
      <w:spacing w:after="0" w:line="240" w:lineRule="auto"/>
      <w:jc w:val="both"/>
    </w:pPr>
    <w:rPr>
      <w:rFonts w:ascii="Arial" w:eastAsia="Times New Roman" w:hAnsi="Arial" w:cs="Times New Roman"/>
      <w:color w:val="000000"/>
      <w:sz w:val="20"/>
      <w:szCs w:val="20"/>
      <w:lang w:eastAsia="en-AU"/>
    </w:rPr>
  </w:style>
  <w:style w:type="numbering" w:customStyle="1" w:styleId="Numbers">
    <w:name w:val="Numbers"/>
    <w:uiPriority w:val="99"/>
    <w:rsid w:val="008F7491"/>
    <w:pPr>
      <w:numPr>
        <w:numId w:val="5"/>
      </w:numPr>
    </w:pPr>
  </w:style>
  <w:style w:type="character" w:customStyle="1" w:styleId="A5">
    <w:name w:val="A5"/>
    <w:uiPriority w:val="99"/>
    <w:rsid w:val="008F7491"/>
    <w:rPr>
      <w:rFonts w:cs="Swiss 721 BT"/>
      <w:color w:val="000000"/>
      <w:sz w:val="20"/>
      <w:szCs w:val="20"/>
    </w:rPr>
  </w:style>
  <w:style w:type="paragraph" w:customStyle="1" w:styleId="OutlineNumbered37">
    <w:name w:val="Outline Numbered 3.7"/>
    <w:basedOn w:val="OutlineNumbered3"/>
    <w:qFormat/>
    <w:rsid w:val="008F7491"/>
    <w:pPr>
      <w:numPr>
        <w:numId w:val="6"/>
      </w:numPr>
      <w:tabs>
        <w:tab w:val="clear" w:pos="1416"/>
        <w:tab w:val="left" w:pos="709"/>
      </w:tabs>
      <w:ind w:left="0" w:firstLine="0"/>
    </w:pPr>
    <w:rPr>
      <w:color w:val="auto"/>
    </w:rPr>
  </w:style>
  <w:style w:type="paragraph" w:customStyle="1" w:styleId="OutlineNumbered372">
    <w:name w:val="Outline Numbered 3.7.2"/>
    <w:basedOn w:val="OutlineNumbered37"/>
    <w:qFormat/>
    <w:rsid w:val="008F7491"/>
    <w:pPr>
      <w:numPr>
        <w:ilvl w:val="0"/>
        <w:numId w:val="7"/>
      </w:numPr>
      <w:ind w:left="0" w:firstLine="0"/>
    </w:pPr>
  </w:style>
  <w:style w:type="paragraph" w:customStyle="1" w:styleId="OutlineNumbered373">
    <w:name w:val="Outline Numbered 3.7.3"/>
    <w:basedOn w:val="OutlineNumbered372"/>
    <w:qFormat/>
    <w:rsid w:val="008F7491"/>
    <w:pPr>
      <w:numPr>
        <w:numId w:val="8"/>
      </w:numPr>
      <w:ind w:left="0" w:firstLine="0"/>
    </w:pPr>
  </w:style>
  <w:style w:type="paragraph" w:customStyle="1" w:styleId="Heading2Appendix">
    <w:name w:val="Heading 2 (Appendix)"/>
    <w:basedOn w:val="Heading2notnumbered"/>
    <w:qFormat/>
    <w:rsid w:val="0088121D"/>
    <w:pPr>
      <w:spacing w:before="240"/>
      <w:outlineLvl w:val="9"/>
    </w:pPr>
    <w:rPr>
      <w:caps/>
      <w:smallCaps/>
    </w:rPr>
  </w:style>
  <w:style w:type="paragraph" w:customStyle="1" w:styleId="OutlineNumbered1Hidden">
    <w:name w:val="Outline Numbered 1 (Hidden)"/>
    <w:basedOn w:val="OutlineNumbered1"/>
    <w:qFormat/>
    <w:rsid w:val="008F7491"/>
    <w:pPr>
      <w:spacing w:after="0" w:line="240" w:lineRule="auto"/>
      <w:ind w:left="471" w:hanging="471"/>
    </w:pPr>
    <w:rPr>
      <w:vanish/>
    </w:rPr>
  </w:style>
  <w:style w:type="paragraph" w:customStyle="1" w:styleId="OutlineNumbered2Hidden">
    <w:name w:val="Outline Numbered 2 (Hidden)"/>
    <w:basedOn w:val="OutlineNumbered2"/>
    <w:qFormat/>
    <w:rsid w:val="008F7491"/>
    <w:rPr>
      <w:vanish/>
    </w:rPr>
  </w:style>
  <w:style w:type="paragraph" w:styleId="Revision">
    <w:name w:val="Revision"/>
    <w:hidden/>
    <w:uiPriority w:val="99"/>
    <w:semiHidden/>
    <w:rsid w:val="008F7491"/>
    <w:pPr>
      <w:spacing w:after="0" w:line="240" w:lineRule="auto"/>
    </w:pPr>
    <w:rPr>
      <w:rFonts w:ascii="Arial" w:eastAsia="Times New Roman" w:hAnsi="Arial" w:cs="Times New Roman"/>
      <w:color w:val="000000"/>
      <w:sz w:val="20"/>
      <w:szCs w:val="20"/>
      <w:lang w:eastAsia="en-AU"/>
    </w:rPr>
  </w:style>
  <w:style w:type="paragraph" w:customStyle="1" w:styleId="Heading3Appendix">
    <w:name w:val="Heading 3 (Appendix)"/>
    <w:basedOn w:val="Heading3notnumbered"/>
    <w:rsid w:val="00263E2D"/>
    <w:rPr>
      <w:color w:val="74000E" w:themeColor="accent1"/>
    </w:rPr>
  </w:style>
  <w:style w:type="paragraph" w:customStyle="1" w:styleId="OutlineNumbered43">
    <w:name w:val="Outline Numbered 4.3"/>
    <w:basedOn w:val="OutlineNumbered3"/>
    <w:rsid w:val="00E332DE"/>
    <w:pPr>
      <w:numPr>
        <w:ilvl w:val="0"/>
        <w:numId w:val="10"/>
      </w:numPr>
      <w:tabs>
        <w:tab w:val="left" w:pos="709"/>
      </w:tabs>
      <w:ind w:left="709" w:hanging="709"/>
    </w:pPr>
  </w:style>
  <w:style w:type="paragraph" w:customStyle="1" w:styleId="OutlineNumbered44">
    <w:name w:val="Outline Numbered 4.4"/>
    <w:basedOn w:val="OutlineNumbered43"/>
    <w:rsid w:val="00620E8A"/>
    <w:pPr>
      <w:numPr>
        <w:numId w:val="11"/>
      </w:numPr>
      <w:ind w:left="709" w:hanging="709"/>
    </w:pPr>
  </w:style>
  <w:style w:type="paragraph" w:customStyle="1" w:styleId="OutlineNumbered45">
    <w:name w:val="Outline Numbered 4.5"/>
    <w:basedOn w:val="OutlineNumbered44"/>
    <w:rsid w:val="00620E8A"/>
    <w:pPr>
      <w:numPr>
        <w:ilvl w:val="2"/>
        <w:numId w:val="28"/>
      </w:numPr>
    </w:pPr>
  </w:style>
  <w:style w:type="paragraph" w:customStyle="1" w:styleId="OutlineNumbered46">
    <w:name w:val="Outline Numbered 4.6"/>
    <w:basedOn w:val="OutlineNumbered45"/>
    <w:rsid w:val="00620E8A"/>
    <w:pPr>
      <w:numPr>
        <w:numId w:val="12"/>
      </w:numPr>
      <w:ind w:left="709" w:hanging="709"/>
    </w:pPr>
  </w:style>
  <w:style w:type="character" w:customStyle="1" w:styleId="BulletChar">
    <w:name w:val="Bullet Char"/>
    <w:basedOn w:val="DefaultParagraphFont"/>
    <w:link w:val="Bullet"/>
    <w:rsid w:val="0082702F"/>
    <w:rPr>
      <w:rFonts w:ascii="Arial" w:eastAsia="Times New Roman" w:hAnsi="Arial" w:cs="Times New Roman"/>
      <w:color w:val="000000"/>
      <w:sz w:val="20"/>
      <w:szCs w:val="20"/>
      <w:lang w:eastAsia="en-AU"/>
    </w:rPr>
  </w:style>
  <w:style w:type="table" w:styleId="LightShading-Accent1">
    <w:name w:val="Light Shading Accent 1"/>
    <w:basedOn w:val="TableNormal"/>
    <w:uiPriority w:val="60"/>
    <w:rsid w:val="00EA0004"/>
    <w:pPr>
      <w:spacing w:after="0" w:line="240" w:lineRule="auto"/>
    </w:pPr>
    <w:rPr>
      <w:color w:val="56000A" w:themeColor="accent1" w:themeShade="BF"/>
    </w:rPr>
    <w:tblPr>
      <w:tblStyleRowBandSize w:val="1"/>
      <w:tblStyleColBandSize w:val="1"/>
      <w:tblBorders>
        <w:top w:val="single" w:sz="8" w:space="0" w:color="74000E" w:themeColor="accent1"/>
        <w:bottom w:val="single" w:sz="8" w:space="0" w:color="74000E" w:themeColor="accent1"/>
      </w:tblBorders>
    </w:tblPr>
    <w:tblStylePr w:type="firstRow">
      <w:pPr>
        <w:spacing w:before="0" w:after="0" w:line="240" w:lineRule="auto"/>
      </w:pPr>
      <w:rPr>
        <w:b/>
        <w:bCs/>
      </w:rPr>
      <w:tblPr/>
      <w:tcPr>
        <w:tcBorders>
          <w:top w:val="single" w:sz="8" w:space="0" w:color="74000E" w:themeColor="accent1"/>
          <w:left w:val="nil"/>
          <w:bottom w:val="single" w:sz="8" w:space="0" w:color="74000E" w:themeColor="accent1"/>
          <w:right w:val="nil"/>
          <w:insideH w:val="nil"/>
          <w:insideV w:val="nil"/>
        </w:tcBorders>
      </w:tcPr>
    </w:tblStylePr>
    <w:tblStylePr w:type="lastRow">
      <w:pPr>
        <w:spacing w:before="0" w:after="0" w:line="240" w:lineRule="auto"/>
      </w:pPr>
      <w:rPr>
        <w:b/>
        <w:bCs/>
      </w:rPr>
      <w:tblPr/>
      <w:tcPr>
        <w:tcBorders>
          <w:top w:val="single" w:sz="8" w:space="0" w:color="74000E" w:themeColor="accent1"/>
          <w:left w:val="nil"/>
          <w:bottom w:val="single" w:sz="8" w:space="0" w:color="74000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9DA8" w:themeFill="accent1" w:themeFillTint="3F"/>
      </w:tcPr>
    </w:tblStylePr>
    <w:tblStylePr w:type="band1Horz">
      <w:tblPr/>
      <w:tcPr>
        <w:tcBorders>
          <w:left w:val="nil"/>
          <w:right w:val="nil"/>
          <w:insideH w:val="nil"/>
          <w:insideV w:val="nil"/>
        </w:tcBorders>
        <w:shd w:val="clear" w:color="auto" w:fill="FF9DA8" w:themeFill="accent1" w:themeFillTint="3F"/>
      </w:tcPr>
    </w:tblStylePr>
  </w:style>
  <w:style w:type="table" w:styleId="LightShading">
    <w:name w:val="Light Shading"/>
    <w:basedOn w:val="TableNormal"/>
    <w:uiPriority w:val="60"/>
    <w:rsid w:val="00EA000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autoRedefine/>
    <w:unhideWhenUsed/>
    <w:qFormat/>
    <w:rsid w:val="00166BEE"/>
    <w:pPr>
      <w:keepNext/>
      <w:spacing w:after="200" w:line="240" w:lineRule="auto"/>
      <w:jc w:val="left"/>
    </w:pPr>
    <w:rPr>
      <w:b/>
      <w:bCs/>
      <w:snapToGrid w:val="0"/>
      <w:color w:val="74000E" w:themeColor="accent1"/>
      <w:sz w:val="18"/>
      <w:szCs w:val="18"/>
    </w:rPr>
  </w:style>
  <w:style w:type="paragraph" w:customStyle="1" w:styleId="HeadingCoverPage">
    <w:name w:val="Heading Cover Page"/>
    <w:basedOn w:val="Normal"/>
    <w:next w:val="Normal"/>
    <w:uiPriority w:val="99"/>
    <w:rsid w:val="00263E2D"/>
    <w:pPr>
      <w:kinsoku w:val="0"/>
      <w:overflowPunct w:val="0"/>
      <w:autoSpaceDE w:val="0"/>
      <w:autoSpaceDN w:val="0"/>
      <w:adjustRightInd w:val="0"/>
      <w:snapToGrid w:val="0"/>
      <w:spacing w:after="0" w:line="240" w:lineRule="auto"/>
      <w:ind w:left="-850" w:right="-510"/>
      <w:jc w:val="left"/>
    </w:pPr>
    <w:rPr>
      <w:rFonts w:cs="Arial"/>
      <w:b/>
      <w:bCs/>
      <w:snapToGrid w:val="0"/>
      <w:color w:val="0E4E77" w:themeColor="accent6"/>
      <w:sz w:val="56"/>
      <w:szCs w:val="56"/>
      <w:lang w:eastAsia="en-US"/>
    </w:rPr>
  </w:style>
  <w:style w:type="paragraph" w:customStyle="1" w:styleId="Bullet1">
    <w:name w:val="Bullet 1"/>
    <w:basedOn w:val="Bullet"/>
    <w:rsid w:val="0082702F"/>
    <w:pPr>
      <w:numPr>
        <w:numId w:val="0"/>
      </w:numPr>
    </w:pPr>
  </w:style>
  <w:style w:type="paragraph" w:customStyle="1" w:styleId="Bullet2">
    <w:name w:val="Bullet 2"/>
    <w:basedOn w:val="Bullet1"/>
    <w:rsid w:val="00844854"/>
    <w:pPr>
      <w:tabs>
        <w:tab w:val="num" w:pos="1276"/>
      </w:tabs>
      <w:ind w:left="1276" w:hanging="284"/>
    </w:pPr>
  </w:style>
  <w:style w:type="paragraph" w:customStyle="1" w:styleId="Bullet3">
    <w:name w:val="Bullet 3"/>
    <w:basedOn w:val="Bullet2"/>
    <w:rsid w:val="00844854"/>
    <w:pPr>
      <w:numPr>
        <w:ilvl w:val="2"/>
      </w:numPr>
      <w:tabs>
        <w:tab w:val="num" w:pos="1276"/>
      </w:tabs>
      <w:ind w:left="1276" w:hanging="284"/>
    </w:pPr>
  </w:style>
  <w:style w:type="paragraph" w:customStyle="1" w:styleId="Bullet4">
    <w:name w:val="Bullet 4"/>
    <w:basedOn w:val="Bullet3"/>
    <w:rsid w:val="00844854"/>
    <w:pPr>
      <w:numPr>
        <w:ilvl w:val="3"/>
      </w:numPr>
      <w:tabs>
        <w:tab w:val="num" w:pos="1276"/>
      </w:tabs>
      <w:ind w:left="1276" w:hanging="284"/>
    </w:pPr>
  </w:style>
  <w:style w:type="paragraph" w:customStyle="1" w:styleId="StyleTableTextNormal9ptText2Before3ptAfter2pt">
    <w:name w:val="Style Table Text Normal + 9 pt Text 2 Before:  3 pt After:  2 pt"/>
    <w:basedOn w:val="Normal"/>
    <w:uiPriority w:val="99"/>
    <w:rsid w:val="00844854"/>
    <w:pPr>
      <w:kinsoku w:val="0"/>
      <w:overflowPunct w:val="0"/>
      <w:autoSpaceDE w:val="0"/>
      <w:autoSpaceDN w:val="0"/>
      <w:adjustRightInd w:val="0"/>
      <w:snapToGrid w:val="0"/>
      <w:spacing w:before="60" w:after="40" w:line="240" w:lineRule="auto"/>
      <w:jc w:val="left"/>
    </w:pPr>
    <w:rPr>
      <w:rFonts w:asciiTheme="minorHAnsi" w:hAnsiTheme="minorHAnsi"/>
      <w:color w:val="E0301E"/>
      <w:sz w:val="18"/>
      <w:lang w:eastAsia="en-US"/>
    </w:rPr>
  </w:style>
  <w:style w:type="numbering" w:customStyle="1" w:styleId="Bullets">
    <w:name w:val="Bullets"/>
    <w:uiPriority w:val="99"/>
    <w:rsid w:val="00844854"/>
    <w:pPr>
      <w:numPr>
        <w:numId w:val="13"/>
      </w:numPr>
    </w:pPr>
  </w:style>
  <w:style w:type="character" w:customStyle="1" w:styleId="ListBulletChar">
    <w:name w:val="List Bullet Char"/>
    <w:basedOn w:val="DefaultParagraphFont"/>
    <w:link w:val="ListBullet"/>
    <w:uiPriority w:val="14"/>
    <w:locked/>
    <w:rsid w:val="00CA4FBB"/>
    <w:rPr>
      <w:rFonts w:cs="Arial"/>
      <w:color w:val="404040" w:themeColor="text1" w:themeTint="BF"/>
    </w:rPr>
  </w:style>
  <w:style w:type="paragraph" w:styleId="ListBullet">
    <w:name w:val="List Bullet"/>
    <w:basedOn w:val="Normal"/>
    <w:link w:val="ListBulletChar"/>
    <w:uiPriority w:val="14"/>
    <w:unhideWhenUsed/>
    <w:qFormat/>
    <w:rsid w:val="00CA4FBB"/>
    <w:pPr>
      <w:numPr>
        <w:numId w:val="14"/>
      </w:numPr>
      <w:kinsoku w:val="0"/>
      <w:overflowPunct w:val="0"/>
      <w:autoSpaceDE w:val="0"/>
      <w:autoSpaceDN w:val="0"/>
      <w:adjustRightInd w:val="0"/>
      <w:snapToGrid w:val="0"/>
      <w:spacing w:before="120" w:after="120" w:line="240" w:lineRule="auto"/>
      <w:jc w:val="left"/>
    </w:pPr>
    <w:rPr>
      <w:rFonts w:asciiTheme="minorHAnsi" w:eastAsiaTheme="minorHAnsi" w:hAnsiTheme="minorHAnsi" w:cs="Arial"/>
      <w:color w:val="404040" w:themeColor="text1" w:themeTint="BF"/>
      <w:sz w:val="22"/>
      <w:szCs w:val="22"/>
      <w:lang w:eastAsia="en-US"/>
    </w:rPr>
  </w:style>
  <w:style w:type="paragraph" w:styleId="ListBullet5">
    <w:name w:val="List Bullet 5"/>
    <w:basedOn w:val="Normal"/>
    <w:unhideWhenUsed/>
    <w:rsid w:val="00753176"/>
    <w:pPr>
      <w:numPr>
        <w:ilvl w:val="4"/>
        <w:numId w:val="14"/>
      </w:numPr>
      <w:kinsoku w:val="0"/>
      <w:overflowPunct w:val="0"/>
      <w:autoSpaceDE w:val="0"/>
      <w:autoSpaceDN w:val="0"/>
      <w:adjustRightInd w:val="0"/>
      <w:snapToGrid w:val="0"/>
      <w:spacing w:before="120" w:after="120" w:line="240" w:lineRule="auto"/>
      <w:contextualSpacing/>
      <w:jc w:val="left"/>
    </w:pPr>
    <w:rPr>
      <w:rFonts w:asciiTheme="minorHAnsi" w:hAnsiTheme="minorHAnsi" w:cs="Arial"/>
      <w:color w:val="404040" w:themeColor="text1" w:themeTint="BF"/>
      <w:lang w:eastAsia="en-US"/>
    </w:rPr>
  </w:style>
  <w:style w:type="paragraph" w:customStyle="1" w:styleId="Indent1">
    <w:name w:val="Indent 1"/>
    <w:basedOn w:val="Normal"/>
    <w:rsid w:val="000E2D13"/>
    <w:pPr>
      <w:numPr>
        <w:ilvl w:val="1"/>
        <w:numId w:val="15"/>
      </w:numPr>
      <w:kinsoku w:val="0"/>
      <w:overflowPunct w:val="0"/>
      <w:autoSpaceDE w:val="0"/>
      <w:autoSpaceDN w:val="0"/>
      <w:adjustRightInd w:val="0"/>
      <w:snapToGrid w:val="0"/>
      <w:spacing w:before="100" w:after="100" w:line="240" w:lineRule="auto"/>
      <w:jc w:val="left"/>
    </w:pPr>
    <w:rPr>
      <w:rFonts w:asciiTheme="minorHAnsi" w:hAnsiTheme="minorHAnsi"/>
      <w:color w:val="404040" w:themeColor="text1" w:themeTint="BF"/>
      <w:lang w:eastAsia="en-US"/>
    </w:rPr>
  </w:style>
  <w:style w:type="paragraph" w:customStyle="1" w:styleId="Indent2">
    <w:name w:val="Indent 2"/>
    <w:basedOn w:val="Indent1"/>
    <w:rsid w:val="000E2D13"/>
    <w:pPr>
      <w:numPr>
        <w:ilvl w:val="2"/>
      </w:numPr>
    </w:pPr>
  </w:style>
  <w:style w:type="paragraph" w:customStyle="1" w:styleId="Indent3">
    <w:name w:val="Indent 3"/>
    <w:basedOn w:val="Indent2"/>
    <w:rsid w:val="000E2D13"/>
    <w:pPr>
      <w:numPr>
        <w:ilvl w:val="3"/>
      </w:numPr>
    </w:pPr>
  </w:style>
  <w:style w:type="paragraph" w:customStyle="1" w:styleId="Indent4">
    <w:name w:val="Indent 4"/>
    <w:basedOn w:val="Indent3"/>
    <w:rsid w:val="000E2D13"/>
    <w:pPr>
      <w:numPr>
        <w:ilvl w:val="4"/>
      </w:numPr>
    </w:pPr>
  </w:style>
  <w:style w:type="character" w:customStyle="1" w:styleId="PwCNormalChar">
    <w:name w:val="PwC Normal Char"/>
    <w:basedOn w:val="DefaultParagraphFont"/>
    <w:link w:val="PwCNormal"/>
    <w:locked/>
    <w:rsid w:val="000E2D13"/>
    <w:rPr>
      <w:rFonts w:cs="Arial"/>
      <w:color w:val="404040" w:themeColor="text1" w:themeTint="BF"/>
    </w:rPr>
  </w:style>
  <w:style w:type="paragraph" w:customStyle="1" w:styleId="PwCNormal">
    <w:name w:val="PwC Normal"/>
    <w:basedOn w:val="Normal"/>
    <w:link w:val="PwCNormalChar"/>
    <w:qFormat/>
    <w:rsid w:val="000E2D13"/>
    <w:pPr>
      <w:numPr>
        <w:numId w:val="15"/>
      </w:numPr>
      <w:kinsoku w:val="0"/>
      <w:overflowPunct w:val="0"/>
      <w:autoSpaceDE w:val="0"/>
      <w:autoSpaceDN w:val="0"/>
      <w:adjustRightInd w:val="0"/>
      <w:snapToGrid w:val="0"/>
      <w:spacing w:before="120" w:after="120" w:line="240" w:lineRule="auto"/>
      <w:jc w:val="left"/>
    </w:pPr>
    <w:rPr>
      <w:rFonts w:asciiTheme="minorHAnsi" w:eastAsiaTheme="minorHAnsi" w:hAnsiTheme="minorHAnsi" w:cs="Arial"/>
      <w:color w:val="404040" w:themeColor="text1" w:themeTint="BF"/>
      <w:sz w:val="22"/>
      <w:szCs w:val="22"/>
      <w:lang w:eastAsia="en-US"/>
    </w:rPr>
  </w:style>
  <w:style w:type="paragraph" w:customStyle="1" w:styleId="Indent5">
    <w:name w:val="Indent 5"/>
    <w:basedOn w:val="Indent4"/>
    <w:rsid w:val="000E2D13"/>
    <w:pPr>
      <w:numPr>
        <w:ilvl w:val="5"/>
      </w:numPr>
    </w:pPr>
  </w:style>
  <w:style w:type="paragraph" w:customStyle="1" w:styleId="Indent6">
    <w:name w:val="Indent 6"/>
    <w:basedOn w:val="Indent5"/>
    <w:rsid w:val="000E2D13"/>
    <w:pPr>
      <w:numPr>
        <w:ilvl w:val="6"/>
      </w:numPr>
    </w:pPr>
  </w:style>
  <w:style w:type="paragraph" w:customStyle="1" w:styleId="Indent7">
    <w:name w:val="Indent 7"/>
    <w:basedOn w:val="Indent6"/>
    <w:rsid w:val="000E2D13"/>
    <w:pPr>
      <w:numPr>
        <w:ilvl w:val="7"/>
      </w:numPr>
    </w:pPr>
  </w:style>
  <w:style w:type="paragraph" w:customStyle="1" w:styleId="Indent8">
    <w:name w:val="Indent 8"/>
    <w:basedOn w:val="Indent7"/>
    <w:rsid w:val="000E2D13"/>
    <w:pPr>
      <w:numPr>
        <w:ilvl w:val="8"/>
      </w:numPr>
    </w:pPr>
  </w:style>
  <w:style w:type="character" w:customStyle="1" w:styleId="TableTextSmallChar">
    <w:name w:val="Table Text Small Char"/>
    <w:basedOn w:val="DefaultParagraphFont"/>
    <w:link w:val="TableTextSmall"/>
    <w:locked/>
    <w:rsid w:val="00740E4E"/>
    <w:rPr>
      <w:rFonts w:cs="Arial"/>
      <w:color w:val="404040" w:themeColor="text1" w:themeTint="BF"/>
      <w:sz w:val="16"/>
      <w:szCs w:val="18"/>
    </w:rPr>
  </w:style>
  <w:style w:type="paragraph" w:customStyle="1" w:styleId="TableTextSmall">
    <w:name w:val="Table Text Small"/>
    <w:basedOn w:val="Normal"/>
    <w:link w:val="TableTextSmallChar"/>
    <w:rsid w:val="00740E4E"/>
    <w:pPr>
      <w:kinsoku w:val="0"/>
      <w:overflowPunct w:val="0"/>
      <w:autoSpaceDE w:val="0"/>
      <w:autoSpaceDN w:val="0"/>
      <w:adjustRightInd w:val="0"/>
      <w:snapToGrid w:val="0"/>
      <w:spacing w:before="40" w:after="40" w:line="240" w:lineRule="auto"/>
      <w:jc w:val="left"/>
    </w:pPr>
    <w:rPr>
      <w:rFonts w:asciiTheme="minorHAnsi" w:eastAsiaTheme="minorHAnsi" w:hAnsiTheme="minorHAnsi" w:cs="Arial"/>
      <w:color w:val="404040" w:themeColor="text1" w:themeTint="BF"/>
      <w:sz w:val="16"/>
      <w:szCs w:val="18"/>
      <w:lang w:eastAsia="en-US"/>
    </w:rPr>
  </w:style>
  <w:style w:type="paragraph" w:customStyle="1" w:styleId="TableColumnHeadingSmall">
    <w:name w:val="Table Column Heading Small"/>
    <w:basedOn w:val="TableTextSmall"/>
    <w:next w:val="TableTextSmall"/>
    <w:rsid w:val="00740E4E"/>
    <w:pPr>
      <w:keepNext/>
      <w:keepLines/>
    </w:pPr>
    <w:rPr>
      <w:b/>
      <w:color w:val="F2D2D5" w:themeColor="background2"/>
      <w:szCs w:val="16"/>
    </w:rPr>
  </w:style>
  <w:style w:type="paragraph" w:customStyle="1" w:styleId="Heading3ExecutiveSummary">
    <w:name w:val="Heading 3 Executive Summary"/>
    <w:basedOn w:val="Heading3"/>
    <w:uiPriority w:val="99"/>
    <w:qFormat/>
    <w:rsid w:val="00740E4E"/>
    <w:pPr>
      <w:kinsoku w:val="0"/>
      <w:overflowPunct w:val="0"/>
      <w:autoSpaceDE w:val="0"/>
      <w:autoSpaceDN w:val="0"/>
      <w:adjustRightInd w:val="0"/>
      <w:snapToGrid w:val="0"/>
      <w:spacing w:before="240" w:after="40" w:line="320" w:lineRule="atLeast"/>
    </w:pPr>
    <w:rPr>
      <w:rFonts w:asciiTheme="minorHAnsi" w:hAnsiTheme="minorHAnsi"/>
      <w:color w:val="E03028"/>
      <w:sz w:val="28"/>
      <w:szCs w:val="20"/>
      <w:lang w:eastAsia="en-US"/>
    </w:rPr>
  </w:style>
  <w:style w:type="table" w:customStyle="1" w:styleId="ListTable3-Accent61">
    <w:name w:val="List Table 3 - Accent 61"/>
    <w:basedOn w:val="TableNormal"/>
    <w:uiPriority w:val="48"/>
    <w:rsid w:val="00740E4E"/>
    <w:pPr>
      <w:spacing w:after="0" w:line="240" w:lineRule="auto"/>
    </w:pPr>
    <w:rPr>
      <w:rFonts w:ascii="Georgia" w:eastAsia="Times New Roman" w:hAnsi="Georgia" w:cs="Times New Roman"/>
      <w:sz w:val="20"/>
      <w:szCs w:val="20"/>
      <w:lang w:eastAsia="en-AU"/>
    </w:rPr>
    <w:tblPr>
      <w:tblStyleRowBandSize w:val="1"/>
      <w:tblStyleColBandSize w:val="1"/>
      <w:tblInd w:w="0" w:type="nil"/>
      <w:tblBorders>
        <w:top w:val="single" w:sz="4" w:space="0" w:color="0E4E77" w:themeColor="accent6"/>
        <w:left w:val="single" w:sz="4" w:space="0" w:color="0E4E77" w:themeColor="accent6"/>
        <w:bottom w:val="single" w:sz="4" w:space="0" w:color="0E4E77" w:themeColor="accent6"/>
        <w:right w:val="single" w:sz="4" w:space="0" w:color="0E4E77" w:themeColor="accent6"/>
      </w:tblBorders>
    </w:tblPr>
    <w:tblStylePr w:type="firstRow">
      <w:rPr>
        <w:b/>
        <w:bCs/>
        <w:color w:val="FFFFFF" w:themeColor="background1"/>
      </w:rPr>
      <w:tblPr/>
      <w:tcPr>
        <w:shd w:val="clear" w:color="auto" w:fill="0E4E77" w:themeFill="accent6"/>
      </w:tcPr>
    </w:tblStylePr>
    <w:tblStylePr w:type="lastRow">
      <w:rPr>
        <w:b/>
        <w:bCs/>
        <w:color w:val="auto"/>
      </w:rPr>
      <w:tblPr/>
      <w:tcPr>
        <w:tcBorders>
          <w:top w:val="double" w:sz="4" w:space="0" w:color="0E4E7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4E77" w:themeColor="accent6"/>
          <w:right w:val="single" w:sz="4" w:space="0" w:color="0E4E77" w:themeColor="accent6"/>
        </w:tcBorders>
      </w:tcPr>
    </w:tblStylePr>
    <w:tblStylePr w:type="band1Horz">
      <w:tblPr/>
      <w:tcPr>
        <w:tcBorders>
          <w:top w:val="single" w:sz="4" w:space="0" w:color="0E4E77" w:themeColor="accent6"/>
          <w:bottom w:val="single" w:sz="4" w:space="0" w:color="0E4E7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4E77" w:themeColor="accent6"/>
          <w:left w:val="nil"/>
        </w:tcBorders>
      </w:tcPr>
    </w:tblStylePr>
    <w:tblStylePr w:type="swCell">
      <w:tblPr/>
      <w:tcPr>
        <w:tcBorders>
          <w:top w:val="double" w:sz="4" w:space="0" w:color="0E4E77" w:themeColor="accent6"/>
          <w:right w:val="nil"/>
        </w:tcBorders>
      </w:tcPr>
    </w:tblStylePr>
  </w:style>
  <w:style w:type="paragraph" w:customStyle="1" w:styleId="Sources">
    <w:name w:val="Sources"/>
    <w:basedOn w:val="Normal"/>
    <w:next w:val="PwCNormal"/>
    <w:rsid w:val="00B15BFA"/>
    <w:pPr>
      <w:kinsoku w:val="0"/>
      <w:overflowPunct w:val="0"/>
      <w:autoSpaceDE w:val="0"/>
      <w:autoSpaceDN w:val="0"/>
      <w:adjustRightInd w:val="0"/>
      <w:snapToGrid w:val="0"/>
      <w:spacing w:before="80" w:after="80" w:line="180" w:lineRule="atLeast"/>
      <w:jc w:val="left"/>
    </w:pPr>
    <w:rPr>
      <w:rFonts w:asciiTheme="minorHAnsi" w:hAnsiTheme="minorHAnsi" w:cs="Arial"/>
      <w:color w:val="E0301E"/>
      <w:sz w:val="16"/>
      <w:lang w:eastAsia="en-US"/>
    </w:rPr>
  </w:style>
  <w:style w:type="paragraph" w:customStyle="1" w:styleId="PwCNormal-keepwithnext">
    <w:name w:val="PwC Normal - keep with next"/>
    <w:basedOn w:val="PwCNormal"/>
    <w:uiPriority w:val="99"/>
    <w:qFormat/>
    <w:rsid w:val="00B15BFA"/>
    <w:pPr>
      <w:keepNext/>
      <w:numPr>
        <w:numId w:val="0"/>
      </w:numPr>
      <w:tabs>
        <w:tab w:val="num" w:pos="992"/>
      </w:tabs>
      <w:ind w:left="992" w:hanging="283"/>
    </w:pPr>
  </w:style>
  <w:style w:type="table" w:customStyle="1" w:styleId="SmartTextTable1">
    <w:name w:val="Smart Text Table1"/>
    <w:basedOn w:val="TableNormal"/>
    <w:next w:val="TableGrid"/>
    <w:uiPriority w:val="59"/>
    <w:rsid w:val="00B15BFA"/>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ExecutiveSummaryChar">
    <w:name w:val="Heading 2 Executive Summary Char"/>
    <w:basedOn w:val="DefaultParagraphFont"/>
    <w:link w:val="Heading2ExecutiveSummary"/>
    <w:uiPriority w:val="99"/>
    <w:locked/>
    <w:rsid w:val="00A4013A"/>
    <w:rPr>
      <w:rFonts w:asciiTheme="majorHAnsi" w:eastAsiaTheme="majorEastAsia" w:hAnsiTheme="majorHAnsi" w:cs="Arial"/>
      <w:bCs/>
      <w:iCs/>
      <w:smallCaps/>
      <w:color w:val="E0301E"/>
      <w:sz w:val="32"/>
      <w:szCs w:val="36"/>
    </w:rPr>
  </w:style>
  <w:style w:type="paragraph" w:customStyle="1" w:styleId="Heading2ExecutiveSummary">
    <w:name w:val="Heading 2 Executive Summary"/>
    <w:basedOn w:val="Heading2"/>
    <w:link w:val="Heading2ExecutiveSummaryChar"/>
    <w:uiPriority w:val="99"/>
    <w:qFormat/>
    <w:rsid w:val="00A4013A"/>
    <w:pPr>
      <w:keepLines/>
      <w:numPr>
        <w:numId w:val="16"/>
      </w:numPr>
      <w:tabs>
        <w:tab w:val="clear" w:pos="709"/>
      </w:tabs>
      <w:kinsoku w:val="0"/>
      <w:overflowPunct w:val="0"/>
      <w:autoSpaceDE w:val="0"/>
      <w:autoSpaceDN w:val="0"/>
      <w:adjustRightInd w:val="0"/>
      <w:snapToGrid w:val="0"/>
      <w:spacing w:after="0"/>
    </w:pPr>
    <w:rPr>
      <w:rFonts w:asciiTheme="majorHAnsi" w:eastAsiaTheme="majorEastAsia" w:hAnsiTheme="majorHAnsi"/>
      <w:b w:val="0"/>
      <w:smallCaps/>
      <w:color w:val="E0301E"/>
      <w:sz w:val="32"/>
      <w:szCs w:val="36"/>
      <w:lang w:eastAsia="en-US"/>
    </w:rPr>
  </w:style>
  <w:style w:type="character" w:customStyle="1" w:styleId="MinorheadingChar">
    <w:name w:val="Minor heading Char"/>
    <w:basedOn w:val="DefaultParagraphFont"/>
    <w:link w:val="Minorheading"/>
    <w:locked/>
    <w:rsid w:val="006F28AC"/>
    <w:rPr>
      <w:rFonts w:asciiTheme="majorHAnsi" w:hAnsiTheme="majorHAnsi" w:cs="Arial"/>
      <w:i/>
      <w:color w:val="E0301E"/>
      <w:szCs w:val="24"/>
    </w:rPr>
  </w:style>
  <w:style w:type="paragraph" w:customStyle="1" w:styleId="Minorheading">
    <w:name w:val="Minor heading"/>
    <w:basedOn w:val="Normal"/>
    <w:next w:val="PwCNormal"/>
    <w:link w:val="MinorheadingChar"/>
    <w:rsid w:val="006F28AC"/>
    <w:pPr>
      <w:keepNext/>
      <w:keepLines/>
      <w:kinsoku w:val="0"/>
      <w:overflowPunct w:val="0"/>
      <w:autoSpaceDE w:val="0"/>
      <w:autoSpaceDN w:val="0"/>
      <w:adjustRightInd w:val="0"/>
      <w:snapToGrid w:val="0"/>
      <w:spacing w:before="240" w:after="120" w:line="180" w:lineRule="atLeast"/>
      <w:jc w:val="left"/>
    </w:pPr>
    <w:rPr>
      <w:rFonts w:asciiTheme="majorHAnsi" w:eastAsiaTheme="minorHAnsi" w:hAnsiTheme="majorHAnsi" w:cs="Arial"/>
      <w:i/>
      <w:color w:val="E0301E"/>
      <w:sz w:val="22"/>
      <w:szCs w:val="24"/>
      <w:lang w:eastAsia="en-US"/>
    </w:rPr>
  </w:style>
  <w:style w:type="paragraph" w:customStyle="1" w:styleId="TableTextSmalltopic">
    <w:name w:val="Table Text Small topic"/>
    <w:basedOn w:val="TableTextSmall"/>
    <w:uiPriority w:val="99"/>
    <w:qFormat/>
    <w:rsid w:val="006F28AC"/>
    <w:rPr>
      <w:b/>
    </w:rPr>
  </w:style>
  <w:style w:type="table" w:customStyle="1" w:styleId="Tables-APBase">
    <w:name w:val="Tables - AP Base"/>
    <w:basedOn w:val="TableNormal"/>
    <w:rsid w:val="006F28AC"/>
    <w:pPr>
      <w:spacing w:after="0" w:line="240" w:lineRule="auto"/>
    </w:pPr>
    <w:rPr>
      <w:rFonts w:ascii="Georgia" w:eastAsia="Times New Roman" w:hAnsi="Georgia" w:cs="Times New Roman"/>
      <w:sz w:val="20"/>
      <w:szCs w:val="20"/>
      <w:lang w:eastAsia="en-AU"/>
    </w:rPr>
    <w:tblPr>
      <w:tblStyleRowBandSize w:val="1"/>
      <w:tblStyleColBandSize w:val="1"/>
      <w:tblInd w:w="0" w:type="nil"/>
      <w:tblBorders>
        <w:top w:val="single" w:sz="4" w:space="0" w:color="FFFFFF"/>
        <w:left w:val="single" w:sz="4" w:space="0" w:color="FFFFFF"/>
        <w:bottom w:val="single" w:sz="6" w:space="0" w:color="CEDBE3" w:themeColor="text2"/>
        <w:right w:val="single" w:sz="4" w:space="0" w:color="FFFFFF"/>
        <w:insideH w:val="single" w:sz="6" w:space="0" w:color="CEDBE3" w:themeColor="text2"/>
        <w:insideV w:val="single" w:sz="4" w:space="0" w:color="FFFFFF"/>
      </w:tblBorders>
    </w:tblPr>
    <w:tcPr>
      <w:shd w:val="clear" w:color="auto" w:fill="F2D2D5" w:themeFill="background2"/>
    </w:tcPr>
    <w:tblStylePr w:type="firstRow">
      <w:pPr>
        <w:jc w:val="left"/>
      </w:pPr>
      <w:rPr>
        <w:rFonts w:ascii="Georgia" w:hAnsi="Georgia" w:hint="default"/>
        <w:b w:val="0"/>
        <w:color w:val="auto"/>
      </w:rPr>
      <w:tblPr/>
      <w:tcPr>
        <w:shd w:val="clear" w:color="auto" w:fill="CEDBE3" w:themeFill="text2"/>
        <w:vAlign w:val="bottom"/>
      </w:tcPr>
    </w:tblStylePr>
    <w:tblStylePr w:type="lastRow">
      <w:rPr>
        <w:color w:val="auto"/>
      </w:rPr>
      <w:tblPr/>
      <w:tcPr>
        <w:tcBorders>
          <w:top w:val="single" w:sz="4" w:space="0" w:color="CEDBE3" w:themeColor="text2"/>
        </w:tcBorders>
      </w:tcPr>
    </w:tblStylePr>
    <w:tblStylePr w:type="nwCell">
      <w:pPr>
        <w:jc w:val="left"/>
      </w:pPr>
      <w:tblPr/>
      <w:tcPr>
        <w:vAlign w:val="bottom"/>
      </w:tcPr>
    </w:tblStylePr>
  </w:style>
  <w:style w:type="table" w:customStyle="1" w:styleId="SmartTextTable2">
    <w:name w:val="Smart Text Table2"/>
    <w:basedOn w:val="TableNormal"/>
    <w:next w:val="TableGrid"/>
    <w:uiPriority w:val="59"/>
    <w:rsid w:val="000F09DE"/>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F32D7E"/>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E4E77" w:themeColor="accent6"/>
        <w:left w:val="single" w:sz="8" w:space="0" w:color="0E4E77" w:themeColor="accent6"/>
        <w:bottom w:val="single" w:sz="8" w:space="0" w:color="0E4E77" w:themeColor="accent6"/>
        <w:right w:val="single" w:sz="8" w:space="0" w:color="0E4E77" w:themeColor="accent6"/>
      </w:tblBorders>
    </w:tblPr>
    <w:tblStylePr w:type="firstRow">
      <w:pPr>
        <w:spacing w:before="0" w:after="0" w:line="240" w:lineRule="auto"/>
      </w:pPr>
      <w:rPr>
        <w:b/>
        <w:bCs/>
        <w:color w:val="FFFFFF" w:themeColor="background1"/>
      </w:rPr>
      <w:tblPr/>
      <w:tcPr>
        <w:shd w:val="clear" w:color="auto" w:fill="0E4E77" w:themeFill="accent6"/>
      </w:tcPr>
    </w:tblStylePr>
    <w:tblStylePr w:type="lastRow">
      <w:pPr>
        <w:spacing w:before="0" w:after="0" w:line="240" w:lineRule="auto"/>
      </w:pPr>
      <w:rPr>
        <w:b/>
        <w:bCs/>
      </w:rPr>
      <w:tblPr/>
      <w:tcPr>
        <w:tcBorders>
          <w:top w:val="double" w:sz="6" w:space="0" w:color="0E4E77" w:themeColor="accent6"/>
          <w:left w:val="single" w:sz="8" w:space="0" w:color="0E4E77" w:themeColor="accent6"/>
          <w:bottom w:val="single" w:sz="8" w:space="0" w:color="0E4E77" w:themeColor="accent6"/>
          <w:right w:val="single" w:sz="8" w:space="0" w:color="0E4E77" w:themeColor="accent6"/>
        </w:tcBorders>
      </w:tcPr>
    </w:tblStylePr>
    <w:tblStylePr w:type="firstCol">
      <w:rPr>
        <w:b/>
        <w:bCs/>
      </w:rPr>
    </w:tblStylePr>
    <w:tblStylePr w:type="lastCol">
      <w:rPr>
        <w:b/>
        <w:bCs/>
      </w:rPr>
    </w:tblStylePr>
    <w:tblStylePr w:type="band1Vert">
      <w:tblPr/>
      <w:tcPr>
        <w:tcBorders>
          <w:top w:val="single" w:sz="8" w:space="0" w:color="0E4E77" w:themeColor="accent6"/>
          <w:left w:val="single" w:sz="8" w:space="0" w:color="0E4E77" w:themeColor="accent6"/>
          <w:bottom w:val="single" w:sz="8" w:space="0" w:color="0E4E77" w:themeColor="accent6"/>
          <w:right w:val="single" w:sz="8" w:space="0" w:color="0E4E77" w:themeColor="accent6"/>
        </w:tcBorders>
      </w:tcPr>
    </w:tblStylePr>
    <w:tblStylePr w:type="band1Horz">
      <w:tblPr/>
      <w:tcPr>
        <w:tcBorders>
          <w:top w:val="single" w:sz="8" w:space="0" w:color="0E4E77" w:themeColor="accent6"/>
          <w:left w:val="single" w:sz="8" w:space="0" w:color="0E4E77" w:themeColor="accent6"/>
          <w:bottom w:val="single" w:sz="8" w:space="0" w:color="0E4E77" w:themeColor="accent6"/>
          <w:right w:val="single" w:sz="8" w:space="0" w:color="0E4E77" w:themeColor="accent6"/>
        </w:tcBorders>
      </w:tcPr>
    </w:tblStylePr>
  </w:style>
  <w:style w:type="numbering" w:customStyle="1" w:styleId="NormalWhiteBullet">
    <w:name w:val="Normal White Bullet"/>
    <w:uiPriority w:val="99"/>
    <w:rsid w:val="00F7050D"/>
    <w:pPr>
      <w:numPr>
        <w:numId w:val="17"/>
      </w:numPr>
    </w:pPr>
  </w:style>
  <w:style w:type="paragraph" w:customStyle="1" w:styleId="TableTextNormalWhiteBullet">
    <w:name w:val="Table Text Normal White Bullet"/>
    <w:basedOn w:val="Normal"/>
    <w:uiPriority w:val="99"/>
    <w:qFormat/>
    <w:rsid w:val="00F7050D"/>
    <w:pPr>
      <w:numPr>
        <w:numId w:val="17"/>
      </w:numPr>
      <w:kinsoku w:val="0"/>
      <w:overflowPunct w:val="0"/>
      <w:autoSpaceDE w:val="0"/>
      <w:autoSpaceDN w:val="0"/>
      <w:adjustRightInd w:val="0"/>
      <w:snapToGrid w:val="0"/>
      <w:spacing w:before="40" w:after="40" w:line="240" w:lineRule="auto"/>
      <w:jc w:val="left"/>
    </w:pPr>
    <w:rPr>
      <w:rFonts w:asciiTheme="minorHAnsi" w:hAnsiTheme="minorHAnsi" w:cs="Arial"/>
      <w:snapToGrid w:val="0"/>
      <w:color w:val="FFFFFF" w:themeColor="background1"/>
      <w:lang w:eastAsia="en-US"/>
    </w:rPr>
  </w:style>
  <w:style w:type="paragraph" w:styleId="ListContinue">
    <w:name w:val="List Continue"/>
    <w:basedOn w:val="Normal"/>
    <w:semiHidden/>
    <w:rsid w:val="00981EB7"/>
    <w:pPr>
      <w:kinsoku w:val="0"/>
      <w:overflowPunct w:val="0"/>
      <w:autoSpaceDE w:val="0"/>
      <w:autoSpaceDN w:val="0"/>
      <w:adjustRightInd w:val="0"/>
      <w:snapToGrid w:val="0"/>
      <w:spacing w:after="120" w:line="240" w:lineRule="auto"/>
      <w:ind w:left="283"/>
      <w:contextualSpacing/>
      <w:jc w:val="left"/>
    </w:pPr>
    <w:rPr>
      <w:rFonts w:asciiTheme="minorHAnsi" w:hAnsiTheme="minorHAnsi" w:cs="Arial"/>
      <w:snapToGrid w:val="0"/>
      <w:color w:val="404040" w:themeColor="text1" w:themeTint="BF"/>
      <w:lang w:eastAsia="en-US"/>
    </w:rPr>
  </w:style>
  <w:style w:type="table" w:customStyle="1" w:styleId="SmartTextTable3">
    <w:name w:val="Smart Text Table3"/>
    <w:basedOn w:val="TableNormal"/>
    <w:next w:val="TableGrid"/>
    <w:uiPriority w:val="59"/>
    <w:rsid w:val="00185BD9"/>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4">
    <w:name w:val="Smart Text Table4"/>
    <w:basedOn w:val="TableNormal"/>
    <w:next w:val="TableGrid"/>
    <w:uiPriority w:val="59"/>
    <w:rsid w:val="00185BD9"/>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846E1"/>
    <w:rPr>
      <w:i/>
      <w:iCs/>
    </w:rPr>
  </w:style>
  <w:style w:type="table" w:customStyle="1" w:styleId="SmartTextTable5">
    <w:name w:val="Smart Text Table5"/>
    <w:basedOn w:val="TableNormal"/>
    <w:next w:val="TableGrid"/>
    <w:uiPriority w:val="59"/>
    <w:rsid w:val="001E7D00"/>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6">
    <w:name w:val="Smart Text Table6"/>
    <w:basedOn w:val="TableNormal"/>
    <w:next w:val="TableGrid"/>
    <w:uiPriority w:val="59"/>
    <w:rsid w:val="001E7D00"/>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9578AE"/>
  </w:style>
  <w:style w:type="table" w:customStyle="1" w:styleId="SmartTextTable7">
    <w:name w:val="Smart Text Table7"/>
    <w:basedOn w:val="TableNormal"/>
    <w:next w:val="TableGrid"/>
    <w:uiPriority w:val="59"/>
    <w:rsid w:val="005F2620"/>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basedOn w:val="TableNormal"/>
    <w:uiPriority w:val="48"/>
    <w:rsid w:val="00CC53E3"/>
    <w:pPr>
      <w:spacing w:after="0" w:line="240" w:lineRule="auto"/>
    </w:pPr>
    <w:tblPr>
      <w:tblStyleRowBandSize w:val="1"/>
      <w:tblStyleColBandSize w:val="1"/>
      <w:tblBorders>
        <w:top w:val="single" w:sz="4" w:space="0" w:color="0E3044" w:themeColor="accent2"/>
        <w:left w:val="single" w:sz="4" w:space="0" w:color="0E3044" w:themeColor="accent2"/>
        <w:bottom w:val="single" w:sz="4" w:space="0" w:color="0E3044" w:themeColor="accent2"/>
        <w:right w:val="single" w:sz="4" w:space="0" w:color="0E3044" w:themeColor="accent2"/>
      </w:tblBorders>
    </w:tblPr>
    <w:tblStylePr w:type="firstRow">
      <w:rPr>
        <w:b/>
        <w:bCs/>
        <w:color w:val="FFFFFF" w:themeColor="background1"/>
      </w:rPr>
      <w:tblPr/>
      <w:tcPr>
        <w:shd w:val="clear" w:color="auto" w:fill="0E3044" w:themeFill="accent2"/>
      </w:tcPr>
    </w:tblStylePr>
    <w:tblStylePr w:type="lastRow">
      <w:rPr>
        <w:b/>
        <w:bCs/>
      </w:rPr>
      <w:tblPr/>
      <w:tcPr>
        <w:tcBorders>
          <w:top w:val="double" w:sz="4" w:space="0" w:color="0E304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3044" w:themeColor="accent2"/>
          <w:right w:val="single" w:sz="4" w:space="0" w:color="0E3044" w:themeColor="accent2"/>
        </w:tcBorders>
      </w:tcPr>
    </w:tblStylePr>
    <w:tblStylePr w:type="band1Horz">
      <w:tblPr/>
      <w:tcPr>
        <w:tcBorders>
          <w:top w:val="single" w:sz="4" w:space="0" w:color="0E3044" w:themeColor="accent2"/>
          <w:bottom w:val="single" w:sz="4" w:space="0" w:color="0E304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3044" w:themeColor="accent2"/>
          <w:left w:val="nil"/>
        </w:tcBorders>
      </w:tcPr>
    </w:tblStylePr>
    <w:tblStylePr w:type="swCell">
      <w:tblPr/>
      <w:tcPr>
        <w:tcBorders>
          <w:top w:val="double" w:sz="4" w:space="0" w:color="0E3044" w:themeColor="accent2"/>
          <w:right w:val="nil"/>
        </w:tcBorders>
      </w:tcPr>
    </w:tblStylePr>
  </w:style>
  <w:style w:type="paragraph" w:styleId="Subtitle">
    <w:name w:val="Subtitle"/>
    <w:basedOn w:val="Normal"/>
    <w:next w:val="Normal"/>
    <w:link w:val="SubtitleChar"/>
    <w:uiPriority w:val="11"/>
    <w:qFormat/>
    <w:rsid w:val="000C43B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C43BA"/>
    <w:rPr>
      <w:rFonts w:eastAsiaTheme="minorEastAsia"/>
      <w:color w:val="5A5A5A" w:themeColor="text1" w:themeTint="A5"/>
      <w:spacing w:val="15"/>
      <w:lang w:eastAsia="en-AU"/>
    </w:rPr>
  </w:style>
  <w:style w:type="table" w:styleId="ListTable3-Accent1">
    <w:name w:val="List Table 3 Accent 1"/>
    <w:basedOn w:val="TableNormal"/>
    <w:uiPriority w:val="48"/>
    <w:rsid w:val="00854FF8"/>
    <w:pPr>
      <w:spacing w:after="0" w:line="240" w:lineRule="auto"/>
    </w:pPr>
    <w:tblPr>
      <w:tblStyleRowBandSize w:val="1"/>
      <w:tblStyleColBandSize w:val="1"/>
      <w:tblBorders>
        <w:top w:val="single" w:sz="4" w:space="0" w:color="74000E" w:themeColor="accent1"/>
        <w:left w:val="single" w:sz="4" w:space="0" w:color="74000E" w:themeColor="accent1"/>
        <w:bottom w:val="single" w:sz="4" w:space="0" w:color="74000E" w:themeColor="accent1"/>
        <w:right w:val="single" w:sz="4" w:space="0" w:color="74000E" w:themeColor="accent1"/>
      </w:tblBorders>
    </w:tblPr>
    <w:tblStylePr w:type="firstRow">
      <w:rPr>
        <w:b/>
        <w:bCs/>
        <w:color w:val="FFFFFF" w:themeColor="background1"/>
      </w:rPr>
      <w:tblPr/>
      <w:trPr>
        <w:tblHeader/>
      </w:trPr>
      <w:tcPr>
        <w:shd w:val="clear" w:color="auto" w:fill="74000E" w:themeFill="accent1"/>
      </w:tcPr>
    </w:tblStylePr>
    <w:tblStylePr w:type="lastRow">
      <w:rPr>
        <w:b/>
        <w:bCs/>
      </w:rPr>
      <w:tblPr/>
      <w:tcPr>
        <w:tcBorders>
          <w:top w:val="double" w:sz="4" w:space="0" w:color="74000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000E" w:themeColor="accent1"/>
          <w:right w:val="single" w:sz="4" w:space="0" w:color="74000E" w:themeColor="accent1"/>
        </w:tcBorders>
      </w:tcPr>
    </w:tblStylePr>
    <w:tblStylePr w:type="band1Horz">
      <w:tblPr/>
      <w:tcPr>
        <w:tcBorders>
          <w:top w:val="single" w:sz="4" w:space="0" w:color="74000E" w:themeColor="accent1"/>
          <w:bottom w:val="single" w:sz="4" w:space="0" w:color="74000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000E" w:themeColor="accent1"/>
          <w:left w:val="nil"/>
        </w:tcBorders>
      </w:tcPr>
    </w:tblStylePr>
    <w:tblStylePr w:type="swCell">
      <w:tblPr/>
      <w:tcPr>
        <w:tcBorders>
          <w:top w:val="double" w:sz="4" w:space="0" w:color="74000E" w:themeColor="accent1"/>
          <w:right w:val="nil"/>
        </w:tcBorders>
      </w:tcPr>
    </w:tblStylePr>
  </w:style>
  <w:style w:type="paragraph" w:customStyle="1" w:styleId="Subheadingcoverpage">
    <w:name w:val="Sub heading cover page"/>
    <w:basedOn w:val="HeadingCoverPage"/>
    <w:qFormat/>
    <w:rsid w:val="00D46714"/>
    <w:rPr>
      <w:b w:val="0"/>
      <w:color w:val="74000E" w:themeColor="accent1"/>
      <w:sz w:val="48"/>
    </w:rPr>
  </w:style>
  <w:style w:type="paragraph" w:customStyle="1" w:styleId="Glossaryterm">
    <w:name w:val="Glossary term"/>
    <w:basedOn w:val="Normal"/>
    <w:qFormat/>
    <w:rsid w:val="004A5231"/>
    <w:pPr>
      <w:spacing w:after="0"/>
    </w:pPr>
    <w:rPr>
      <w:color w:val="74000E" w:themeColor="accent1"/>
    </w:rPr>
  </w:style>
  <w:style w:type="paragraph" w:styleId="TableofFigures">
    <w:name w:val="table of figures"/>
    <w:basedOn w:val="Normal"/>
    <w:next w:val="Normal"/>
    <w:uiPriority w:val="99"/>
    <w:unhideWhenUsed/>
    <w:rsid w:val="00AC52DA"/>
    <w:pPr>
      <w:spacing w:after="0"/>
    </w:pPr>
  </w:style>
  <w:style w:type="table" w:styleId="ListTable3-Accent5">
    <w:name w:val="List Table 3 Accent 5"/>
    <w:basedOn w:val="TableNormal"/>
    <w:uiPriority w:val="48"/>
    <w:rsid w:val="00FE29EA"/>
    <w:pPr>
      <w:spacing w:after="0" w:line="240" w:lineRule="auto"/>
    </w:pPr>
    <w:tblPr>
      <w:tblStyleRowBandSize w:val="1"/>
      <w:tblStyleColBandSize w:val="1"/>
      <w:tblBorders>
        <w:top w:val="single" w:sz="4" w:space="0" w:color="510B17" w:themeColor="accent5"/>
        <w:left w:val="single" w:sz="4" w:space="0" w:color="510B17" w:themeColor="accent5"/>
        <w:bottom w:val="single" w:sz="4" w:space="0" w:color="510B17" w:themeColor="accent5"/>
        <w:right w:val="single" w:sz="4" w:space="0" w:color="510B17" w:themeColor="accent5"/>
      </w:tblBorders>
    </w:tblPr>
    <w:tblStylePr w:type="firstRow">
      <w:rPr>
        <w:b/>
        <w:bCs/>
        <w:color w:val="FFFFFF" w:themeColor="background1"/>
      </w:rPr>
      <w:tblPr/>
      <w:tcPr>
        <w:shd w:val="clear" w:color="auto" w:fill="510B17" w:themeFill="accent5"/>
      </w:tcPr>
    </w:tblStylePr>
    <w:tblStylePr w:type="lastRow">
      <w:rPr>
        <w:b/>
        <w:bCs/>
      </w:rPr>
      <w:tblPr/>
      <w:tcPr>
        <w:tcBorders>
          <w:top w:val="double" w:sz="4" w:space="0" w:color="510B1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0B17" w:themeColor="accent5"/>
          <w:right w:val="single" w:sz="4" w:space="0" w:color="510B17" w:themeColor="accent5"/>
        </w:tcBorders>
      </w:tcPr>
    </w:tblStylePr>
    <w:tblStylePr w:type="band1Horz">
      <w:tblPr/>
      <w:tcPr>
        <w:tcBorders>
          <w:top w:val="single" w:sz="4" w:space="0" w:color="510B17" w:themeColor="accent5"/>
          <w:bottom w:val="single" w:sz="4" w:space="0" w:color="510B1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0B17" w:themeColor="accent5"/>
          <w:left w:val="nil"/>
        </w:tcBorders>
      </w:tcPr>
    </w:tblStylePr>
    <w:tblStylePr w:type="swCell">
      <w:tblPr/>
      <w:tcPr>
        <w:tcBorders>
          <w:top w:val="double" w:sz="4" w:space="0" w:color="510B17" w:themeColor="accent5"/>
          <w:right w:val="nil"/>
        </w:tcBorders>
      </w:tcPr>
    </w:tblStylePr>
  </w:style>
  <w:style w:type="character" w:styleId="FollowedHyperlink">
    <w:name w:val="FollowedHyperlink"/>
    <w:basedOn w:val="DefaultParagraphFont"/>
    <w:semiHidden/>
    <w:unhideWhenUsed/>
    <w:rsid w:val="00D8603B"/>
    <w:rPr>
      <w:color w:val="954F72" w:themeColor="followedHyperlink"/>
      <w:u w:val="single"/>
    </w:rPr>
  </w:style>
  <w:style w:type="paragraph" w:styleId="BodyText">
    <w:name w:val="Body Text"/>
    <w:basedOn w:val="Normal"/>
    <w:link w:val="BodyTextChar"/>
    <w:rsid w:val="00620E54"/>
    <w:pPr>
      <w:tabs>
        <w:tab w:val="num" w:pos="850"/>
      </w:tabs>
      <w:spacing w:before="160" w:after="160" w:line="300" w:lineRule="atLeast"/>
      <w:ind w:left="850" w:hanging="850"/>
    </w:pPr>
    <w:rPr>
      <w:color w:val="auto"/>
      <w:lang w:eastAsia="en-US"/>
    </w:rPr>
  </w:style>
  <w:style w:type="character" w:customStyle="1" w:styleId="BodyTextChar">
    <w:name w:val="Body Text Char"/>
    <w:basedOn w:val="DefaultParagraphFont"/>
    <w:link w:val="BodyText"/>
    <w:rsid w:val="00620E54"/>
    <w:rPr>
      <w:rFonts w:ascii="Arial" w:eastAsia="Times New Roman" w:hAnsi="Arial" w:cs="Times New Roman"/>
      <w:sz w:val="20"/>
      <w:szCs w:val="20"/>
    </w:rPr>
  </w:style>
  <w:style w:type="paragraph" w:styleId="FootnoteText">
    <w:name w:val="footnote text"/>
    <w:basedOn w:val="Normal"/>
    <w:link w:val="FootnoteTextChar"/>
    <w:semiHidden/>
    <w:rsid w:val="00620E54"/>
    <w:pPr>
      <w:spacing w:before="160" w:line="300" w:lineRule="atLeast"/>
    </w:pPr>
    <w:rPr>
      <w:color w:val="auto"/>
      <w:sz w:val="18"/>
      <w:lang w:eastAsia="en-US"/>
    </w:rPr>
  </w:style>
  <w:style w:type="character" w:customStyle="1" w:styleId="FootnoteTextChar">
    <w:name w:val="Footnote Text Char"/>
    <w:basedOn w:val="DefaultParagraphFont"/>
    <w:link w:val="FootnoteText"/>
    <w:semiHidden/>
    <w:rsid w:val="00620E54"/>
    <w:rPr>
      <w:rFonts w:ascii="Arial" w:eastAsia="Times New Roman" w:hAnsi="Arial" w:cs="Times New Roman"/>
      <w:sz w:val="18"/>
      <w:szCs w:val="20"/>
    </w:rPr>
  </w:style>
  <w:style w:type="paragraph" w:customStyle="1" w:styleId="ReportTitle">
    <w:name w:val="Report Title"/>
    <w:basedOn w:val="Normal"/>
    <w:rsid w:val="00620E54"/>
    <w:pPr>
      <w:spacing w:before="4791" w:after="720" w:line="300" w:lineRule="atLeast"/>
      <w:jc w:val="center"/>
    </w:pPr>
    <w:rPr>
      <w:b/>
      <w:caps/>
      <w:color w:val="auto"/>
      <w:sz w:val="32"/>
      <w:lang w:eastAsia="en-US"/>
    </w:rPr>
  </w:style>
  <w:style w:type="paragraph" w:customStyle="1" w:styleId="signaturename">
    <w:name w:val="signature name"/>
    <w:basedOn w:val="Normal"/>
    <w:next w:val="Normal"/>
    <w:rsid w:val="00620E54"/>
    <w:pPr>
      <w:spacing w:before="1200" w:after="0" w:line="300" w:lineRule="atLeast"/>
    </w:pPr>
    <w:rPr>
      <w:color w:val="auto"/>
      <w:lang w:eastAsia="en-US"/>
    </w:rPr>
  </w:style>
  <w:style w:type="paragraph" w:customStyle="1" w:styleId="signaturetitle">
    <w:name w:val="signature title"/>
    <w:basedOn w:val="Normal"/>
    <w:next w:val="Normal"/>
    <w:rsid w:val="00620E54"/>
    <w:pPr>
      <w:spacing w:before="240" w:after="0" w:line="300" w:lineRule="atLeast"/>
    </w:pPr>
    <w:rPr>
      <w:color w:val="auto"/>
      <w:lang w:eastAsia="en-US"/>
    </w:rPr>
  </w:style>
  <w:style w:type="paragraph" w:customStyle="1" w:styleId="table">
    <w:name w:val="table"/>
    <w:basedOn w:val="Normal"/>
    <w:rsid w:val="00620E54"/>
    <w:pPr>
      <w:spacing w:before="100" w:after="160" w:line="300" w:lineRule="atLeast"/>
      <w:ind w:left="113"/>
    </w:pPr>
    <w:rPr>
      <w:color w:val="auto"/>
      <w:lang w:eastAsia="en-US"/>
    </w:rPr>
  </w:style>
  <w:style w:type="paragraph" w:customStyle="1" w:styleId="TableofContentsTitle">
    <w:name w:val="Table of Contents Title"/>
    <w:basedOn w:val="Normal"/>
    <w:next w:val="Normal"/>
    <w:rsid w:val="00620E54"/>
    <w:pPr>
      <w:spacing w:before="160" w:after="160" w:line="300" w:lineRule="atLeast"/>
    </w:pPr>
    <w:rPr>
      <w:b/>
      <w:caps/>
      <w:color w:val="auto"/>
      <w:sz w:val="28"/>
      <w:lang w:eastAsia="en-US"/>
    </w:rPr>
  </w:style>
  <w:style w:type="paragraph" w:customStyle="1" w:styleId="TableText">
    <w:name w:val="Table Text"/>
    <w:basedOn w:val="BodyText"/>
    <w:rsid w:val="00620E54"/>
    <w:pPr>
      <w:tabs>
        <w:tab w:val="clear" w:pos="850"/>
      </w:tabs>
      <w:spacing w:before="60" w:after="60"/>
      <w:ind w:left="0" w:firstLine="0"/>
    </w:pPr>
  </w:style>
  <w:style w:type="paragraph" w:styleId="TOC5">
    <w:name w:val="toc 5"/>
    <w:basedOn w:val="Normal"/>
    <w:next w:val="Normal"/>
    <w:rsid w:val="00620E54"/>
    <w:pPr>
      <w:spacing w:after="0"/>
      <w:ind w:left="800"/>
      <w:jc w:val="left"/>
    </w:pPr>
    <w:rPr>
      <w:rFonts w:asciiTheme="minorHAnsi" w:hAnsiTheme="minorHAnsi" w:cstheme="minorHAnsi"/>
    </w:rPr>
  </w:style>
  <w:style w:type="paragraph" w:styleId="TOC6">
    <w:name w:val="toc 6"/>
    <w:basedOn w:val="Normal"/>
    <w:next w:val="Normal"/>
    <w:rsid w:val="00620E54"/>
    <w:pPr>
      <w:spacing w:after="0"/>
      <w:ind w:left="1000"/>
      <w:jc w:val="left"/>
    </w:pPr>
    <w:rPr>
      <w:rFonts w:asciiTheme="minorHAnsi" w:hAnsiTheme="minorHAnsi" w:cstheme="minorHAnsi"/>
    </w:rPr>
  </w:style>
  <w:style w:type="paragraph" w:styleId="TOC7">
    <w:name w:val="toc 7"/>
    <w:basedOn w:val="Normal"/>
    <w:next w:val="Normal"/>
    <w:rsid w:val="00620E54"/>
    <w:pPr>
      <w:spacing w:after="0"/>
      <w:ind w:left="1200"/>
      <w:jc w:val="left"/>
    </w:pPr>
    <w:rPr>
      <w:rFonts w:asciiTheme="minorHAnsi" w:hAnsiTheme="minorHAnsi" w:cstheme="minorHAnsi"/>
    </w:rPr>
  </w:style>
  <w:style w:type="paragraph" w:styleId="TOC8">
    <w:name w:val="toc 8"/>
    <w:basedOn w:val="Normal"/>
    <w:next w:val="Normal"/>
    <w:rsid w:val="00620E54"/>
    <w:pPr>
      <w:spacing w:after="0"/>
      <w:ind w:left="1400"/>
      <w:jc w:val="left"/>
    </w:pPr>
    <w:rPr>
      <w:rFonts w:asciiTheme="minorHAnsi" w:hAnsiTheme="minorHAnsi" w:cstheme="minorHAnsi"/>
    </w:rPr>
  </w:style>
  <w:style w:type="paragraph" w:styleId="TOC9">
    <w:name w:val="toc 9"/>
    <w:basedOn w:val="Normal"/>
    <w:next w:val="Normal"/>
    <w:rsid w:val="00620E54"/>
    <w:pPr>
      <w:spacing w:after="0"/>
      <w:ind w:left="1600"/>
      <w:jc w:val="left"/>
    </w:pPr>
    <w:rPr>
      <w:rFonts w:asciiTheme="minorHAnsi" w:hAnsiTheme="minorHAnsi" w:cstheme="minorHAnsi"/>
    </w:rPr>
  </w:style>
  <w:style w:type="paragraph" w:customStyle="1" w:styleId="Dash">
    <w:name w:val="Dash"/>
    <w:basedOn w:val="Normal"/>
    <w:rsid w:val="00620E54"/>
    <w:pPr>
      <w:numPr>
        <w:ilvl w:val="1"/>
        <w:numId w:val="21"/>
      </w:numPr>
      <w:tabs>
        <w:tab w:val="num" w:pos="1985"/>
      </w:tabs>
      <w:spacing w:before="160" w:after="160" w:line="300" w:lineRule="atLeast"/>
    </w:pPr>
    <w:rPr>
      <w:color w:val="auto"/>
      <w:lang w:eastAsia="en-US"/>
    </w:rPr>
  </w:style>
  <w:style w:type="paragraph" w:customStyle="1" w:styleId="DoubleDot">
    <w:name w:val="Double Dot"/>
    <w:basedOn w:val="Normal"/>
    <w:rsid w:val="00620E54"/>
    <w:pPr>
      <w:numPr>
        <w:ilvl w:val="2"/>
        <w:numId w:val="21"/>
      </w:numPr>
      <w:tabs>
        <w:tab w:val="num" w:pos="2552"/>
      </w:tabs>
      <w:spacing w:before="160" w:after="160" w:line="300" w:lineRule="atLeast"/>
    </w:pPr>
    <w:rPr>
      <w:color w:val="auto"/>
      <w:lang w:eastAsia="en-US"/>
    </w:rPr>
  </w:style>
  <w:style w:type="table" w:customStyle="1" w:styleId="StdTable">
    <w:name w:val="Std Table"/>
    <w:basedOn w:val="TableNormal"/>
    <w:rsid w:val="00620E54"/>
    <w:pPr>
      <w:spacing w:before="120" w:after="120" w:line="240" w:lineRule="auto"/>
    </w:pPr>
    <w:rPr>
      <w:rFonts w:ascii="Trebuchet MS" w:eastAsia="Times New Roman" w:hAnsi="Trebuchet MS" w:cs="Times New Roman"/>
      <w:sz w:val="20"/>
      <w:szCs w:val="20"/>
      <w:lang w:eastAsia="en-AU"/>
    </w:rPr>
    <w:tblPr>
      <w:tblBorders>
        <w:top w:val="double" w:sz="4" w:space="0" w:color="auto"/>
        <w:left w:val="double" w:sz="4" w:space="0" w:color="auto"/>
        <w:bottom w:val="double" w:sz="4" w:space="0" w:color="auto"/>
        <w:right w:val="double" w:sz="4" w:space="0" w:color="auto"/>
      </w:tblBorders>
    </w:tblPr>
    <w:tblStylePr w:type="firstRow">
      <w:pPr>
        <w:wordWrap/>
        <w:spacing w:beforeLines="0"/>
        <w:jc w:val="center"/>
      </w:pPr>
      <w:rPr>
        <w:rFonts w:ascii="Univers 55" w:hAnsi="Univers 55"/>
        <w:b/>
        <w:i w:val="0"/>
        <w:sz w:val="24"/>
        <w:szCs w:val="24"/>
      </w:rPr>
    </w:tblStylePr>
  </w:style>
  <w:style w:type="paragraph" w:customStyle="1" w:styleId="NoNumber">
    <w:name w:val="No Number"/>
    <w:basedOn w:val="Normal"/>
    <w:rsid w:val="00620E54"/>
    <w:pPr>
      <w:spacing w:before="160" w:after="160" w:line="300" w:lineRule="atLeast"/>
      <w:ind w:left="851"/>
    </w:pPr>
    <w:rPr>
      <w:color w:val="auto"/>
      <w:lang w:eastAsia="en-US"/>
    </w:rPr>
  </w:style>
  <w:style w:type="paragraph" w:customStyle="1" w:styleId="Appendix">
    <w:name w:val="Appendix"/>
    <w:basedOn w:val="Normal"/>
    <w:next w:val="BodyText"/>
    <w:rsid w:val="00620E54"/>
    <w:pPr>
      <w:spacing w:before="160" w:after="160" w:line="300" w:lineRule="atLeast"/>
    </w:pPr>
    <w:rPr>
      <w:b/>
      <w:color w:val="auto"/>
      <w:sz w:val="28"/>
      <w:szCs w:val="28"/>
      <w:lang w:eastAsia="en-US"/>
    </w:rPr>
  </w:style>
  <w:style w:type="paragraph" w:styleId="BodyText2">
    <w:name w:val="Body Text 2"/>
    <w:basedOn w:val="Normal"/>
    <w:link w:val="BodyText2Char"/>
    <w:rsid w:val="00620E54"/>
    <w:pPr>
      <w:tabs>
        <w:tab w:val="num" w:pos="850"/>
      </w:tabs>
      <w:spacing w:before="160" w:after="160" w:line="300" w:lineRule="atLeast"/>
      <w:ind w:left="850" w:hanging="850"/>
    </w:pPr>
    <w:rPr>
      <w:color w:val="auto"/>
      <w:lang w:eastAsia="en-US"/>
    </w:rPr>
  </w:style>
  <w:style w:type="character" w:customStyle="1" w:styleId="BodyText2Char">
    <w:name w:val="Body Text 2 Char"/>
    <w:basedOn w:val="DefaultParagraphFont"/>
    <w:link w:val="BodyText2"/>
    <w:rsid w:val="00620E54"/>
    <w:rPr>
      <w:rFonts w:ascii="Arial" w:eastAsia="Times New Roman" w:hAnsi="Arial" w:cs="Times New Roman"/>
      <w:sz w:val="20"/>
      <w:szCs w:val="20"/>
    </w:rPr>
  </w:style>
  <w:style w:type="paragraph" w:customStyle="1" w:styleId="NumberedParagraph">
    <w:name w:val="Numbered Paragraph"/>
    <w:basedOn w:val="Normal"/>
    <w:rsid w:val="00620E54"/>
    <w:pPr>
      <w:tabs>
        <w:tab w:val="num" w:pos="850"/>
        <w:tab w:val="right" w:pos="9020"/>
      </w:tabs>
      <w:spacing w:before="160" w:after="160" w:line="300" w:lineRule="atLeast"/>
      <w:ind w:left="850" w:hanging="850"/>
      <w:jc w:val="right"/>
    </w:pPr>
    <w:rPr>
      <w:color w:val="auto"/>
      <w:lang w:eastAsia="en-US"/>
    </w:rPr>
  </w:style>
  <w:style w:type="paragraph" w:customStyle="1" w:styleId="SinglePara">
    <w:name w:val="Single Para"/>
    <w:basedOn w:val="Normal"/>
    <w:rsid w:val="00620E54"/>
    <w:pPr>
      <w:spacing w:after="0" w:line="300" w:lineRule="atLeast"/>
      <w:jc w:val="left"/>
    </w:pPr>
    <w:rPr>
      <w:color w:val="auto"/>
      <w:lang w:eastAsia="en-US"/>
    </w:rPr>
  </w:style>
  <w:style w:type="paragraph" w:customStyle="1" w:styleId="SecurityClassificationHeader">
    <w:name w:val="Security Classification Header"/>
    <w:link w:val="SecurityClassificationHeaderChar"/>
    <w:rsid w:val="00620E54"/>
    <w:pPr>
      <w:spacing w:before="240" w:after="60" w:line="240" w:lineRule="auto"/>
      <w:jc w:val="center"/>
    </w:pPr>
    <w:rPr>
      <w:rFonts w:ascii="Arial" w:eastAsia="Times New Roman" w:hAnsi="Arial" w:cs="Times New Roman"/>
      <w:b/>
      <w:caps/>
      <w:noProof/>
      <w:color w:val="000000" w:themeColor="text1"/>
      <w:sz w:val="24"/>
      <w:szCs w:val="20"/>
      <w:lang w:eastAsia="en-AU"/>
    </w:rPr>
  </w:style>
  <w:style w:type="character" w:customStyle="1" w:styleId="SecurityClassificationHeaderChar">
    <w:name w:val="Security Classification Header Char"/>
    <w:basedOn w:val="HeaderChar"/>
    <w:link w:val="SecurityClassificationHeader"/>
    <w:rsid w:val="00620E54"/>
    <w:rPr>
      <w:rFonts w:ascii="Arial" w:eastAsia="Times New Roman" w:hAnsi="Arial" w:cs="Times New Roman"/>
      <w:b/>
      <w:caps/>
      <w:noProof/>
      <w:color w:val="000000" w:themeColor="text1"/>
      <w:sz w:val="24"/>
      <w:szCs w:val="20"/>
      <w:lang w:eastAsia="en-AU"/>
    </w:rPr>
  </w:style>
  <w:style w:type="paragraph" w:customStyle="1" w:styleId="SecurityClassificationFooter">
    <w:name w:val="Security Classification Footer"/>
    <w:link w:val="SecurityClassificationFooterChar"/>
    <w:rsid w:val="00620E54"/>
    <w:pPr>
      <w:spacing w:before="60" w:after="240" w:line="240" w:lineRule="auto"/>
      <w:jc w:val="center"/>
    </w:pPr>
    <w:rPr>
      <w:rFonts w:ascii="Arial" w:eastAsia="Times New Roman" w:hAnsi="Arial" w:cs="Times New Roman"/>
      <w:b/>
      <w:caps/>
      <w:noProof/>
      <w:color w:val="000000" w:themeColor="text1"/>
      <w:sz w:val="24"/>
      <w:szCs w:val="20"/>
      <w:lang w:eastAsia="en-AU"/>
    </w:rPr>
  </w:style>
  <w:style w:type="character" w:customStyle="1" w:styleId="SecurityClassificationFooterChar">
    <w:name w:val="Security Classification Footer Char"/>
    <w:basedOn w:val="HeaderChar"/>
    <w:link w:val="SecurityClassificationFooter"/>
    <w:rsid w:val="00620E54"/>
    <w:rPr>
      <w:rFonts w:ascii="Arial" w:eastAsia="Times New Roman" w:hAnsi="Arial" w:cs="Times New Roman"/>
      <w:b/>
      <w:caps/>
      <w:noProof/>
      <w:color w:val="000000" w:themeColor="text1"/>
      <w:sz w:val="24"/>
      <w:szCs w:val="20"/>
      <w:lang w:eastAsia="en-AU"/>
    </w:rPr>
  </w:style>
  <w:style w:type="paragraph" w:customStyle="1" w:styleId="DLMSecurityHeader">
    <w:name w:val="DLM Security Header"/>
    <w:link w:val="DLMSecurityHeaderChar"/>
    <w:rsid w:val="00620E54"/>
    <w:pPr>
      <w:spacing w:before="60" w:after="240" w:line="240" w:lineRule="auto"/>
      <w:jc w:val="center"/>
    </w:pPr>
    <w:rPr>
      <w:rFonts w:ascii="Arial" w:eastAsia="Times New Roman" w:hAnsi="Arial" w:cs="Times New Roman"/>
      <w:b/>
      <w:caps/>
      <w:noProof/>
      <w:color w:val="000000" w:themeColor="text1"/>
      <w:sz w:val="24"/>
      <w:szCs w:val="20"/>
      <w:lang w:eastAsia="en-AU"/>
    </w:rPr>
  </w:style>
  <w:style w:type="character" w:customStyle="1" w:styleId="DLMSecurityHeaderChar">
    <w:name w:val="DLM Security Header Char"/>
    <w:basedOn w:val="HeaderChar"/>
    <w:link w:val="DLMSecurityHeader"/>
    <w:rsid w:val="00620E54"/>
    <w:rPr>
      <w:rFonts w:ascii="Arial" w:eastAsia="Times New Roman" w:hAnsi="Arial" w:cs="Times New Roman"/>
      <w:b/>
      <w:caps/>
      <w:noProof/>
      <w:color w:val="000000" w:themeColor="text1"/>
      <w:sz w:val="24"/>
      <w:szCs w:val="20"/>
      <w:lang w:eastAsia="en-AU"/>
    </w:rPr>
  </w:style>
  <w:style w:type="paragraph" w:customStyle="1" w:styleId="DLMSecurityFooter">
    <w:name w:val="DLM Security Footer"/>
    <w:link w:val="DLMSecurityFooterChar"/>
    <w:rsid w:val="00620E54"/>
    <w:pPr>
      <w:spacing w:before="240" w:after="60" w:line="240" w:lineRule="auto"/>
      <w:jc w:val="center"/>
    </w:pPr>
    <w:rPr>
      <w:rFonts w:ascii="Arial" w:eastAsia="Times New Roman" w:hAnsi="Arial" w:cs="Times New Roman"/>
      <w:b/>
      <w:caps/>
      <w:noProof/>
      <w:color w:val="000000" w:themeColor="text1"/>
      <w:sz w:val="24"/>
      <w:szCs w:val="20"/>
      <w:lang w:eastAsia="en-AU"/>
    </w:rPr>
  </w:style>
  <w:style w:type="character" w:customStyle="1" w:styleId="DLMSecurityFooterChar">
    <w:name w:val="DLM Security Footer Char"/>
    <w:basedOn w:val="HeaderChar"/>
    <w:link w:val="DLMSecurityFooter"/>
    <w:rsid w:val="00620E54"/>
    <w:rPr>
      <w:rFonts w:ascii="Arial" w:eastAsia="Times New Roman" w:hAnsi="Arial" w:cs="Times New Roman"/>
      <w:b/>
      <w:caps/>
      <w:noProof/>
      <w:color w:val="000000" w:themeColor="text1"/>
      <w:sz w:val="24"/>
      <w:szCs w:val="20"/>
      <w:lang w:eastAsia="en-AU"/>
    </w:rPr>
  </w:style>
  <w:style w:type="numbering" w:customStyle="1" w:styleId="Style3">
    <w:name w:val="Style3"/>
    <w:uiPriority w:val="99"/>
    <w:rsid w:val="00620E54"/>
    <w:pPr>
      <w:numPr>
        <w:numId w:val="18"/>
      </w:numPr>
    </w:pPr>
  </w:style>
  <w:style w:type="paragraph" w:customStyle="1" w:styleId="Tabletitle">
    <w:name w:val="Table title"/>
    <w:basedOn w:val="TableText"/>
    <w:rsid w:val="00620E54"/>
    <w:pPr>
      <w:numPr>
        <w:ilvl w:val="12"/>
      </w:numPr>
      <w:spacing w:line="300" w:lineRule="exact"/>
      <w:jc w:val="left"/>
    </w:pPr>
    <w:rPr>
      <w:rFonts w:eastAsiaTheme="minorEastAsia"/>
      <w:b/>
      <w:color w:val="FFFFFF"/>
      <w:lang w:val="en-GB" w:eastAsia="en-AU"/>
    </w:rPr>
  </w:style>
  <w:style w:type="paragraph" w:customStyle="1" w:styleId="MCStable">
    <w:name w:val="MCStable"/>
    <w:basedOn w:val="TableText"/>
    <w:rsid w:val="00620E54"/>
    <w:pPr>
      <w:tabs>
        <w:tab w:val="decimal" w:pos="1328"/>
      </w:tabs>
      <w:spacing w:line="240" w:lineRule="auto"/>
      <w:jc w:val="left"/>
    </w:pPr>
    <w:rPr>
      <w:rFonts w:eastAsiaTheme="minorEastAsia" w:cs="Arial"/>
      <w:sz w:val="18"/>
      <w:szCs w:val="18"/>
    </w:rPr>
  </w:style>
  <w:style w:type="paragraph" w:customStyle="1" w:styleId="TableBodyText">
    <w:name w:val="TableBodyText"/>
    <w:basedOn w:val="Normal"/>
    <w:next w:val="Normal"/>
    <w:rsid w:val="00620E54"/>
    <w:pPr>
      <w:spacing w:before="40" w:after="40" w:line="240" w:lineRule="auto"/>
      <w:jc w:val="left"/>
    </w:pPr>
    <w:rPr>
      <w:rFonts w:eastAsiaTheme="minorEastAsia"/>
      <w:sz w:val="18"/>
    </w:rPr>
  </w:style>
  <w:style w:type="paragraph" w:customStyle="1" w:styleId="TableHeading">
    <w:name w:val="Table Heading"/>
    <w:basedOn w:val="Normal"/>
    <w:next w:val="Normal"/>
    <w:rsid w:val="00620E54"/>
    <w:pPr>
      <w:keepNext/>
      <w:spacing w:before="240" w:after="120" w:line="240" w:lineRule="auto"/>
      <w:jc w:val="left"/>
    </w:pPr>
    <w:rPr>
      <w:rFonts w:ascii="Trebuchet MS" w:eastAsiaTheme="minorEastAsia" w:hAnsi="Trebuchet MS"/>
      <w:color w:val="800000"/>
      <w:sz w:val="24"/>
    </w:rPr>
  </w:style>
  <w:style w:type="paragraph" w:customStyle="1" w:styleId="Overview">
    <w:name w:val="Overview"/>
    <w:basedOn w:val="BodyText2"/>
    <w:rsid w:val="00620E54"/>
    <w:pPr>
      <w:tabs>
        <w:tab w:val="clear" w:pos="850"/>
      </w:tabs>
      <w:spacing w:before="240" w:after="240" w:line="360" w:lineRule="auto"/>
      <w:ind w:left="0" w:firstLine="0"/>
      <w:jc w:val="left"/>
    </w:pPr>
    <w:rPr>
      <w:rFonts w:ascii="Times New Roman" w:eastAsiaTheme="minorEastAsia" w:hAnsi="Times New Roman" w:cs="Arial"/>
      <w:sz w:val="24"/>
      <w:lang w:val="en-GB" w:eastAsia="en-AU"/>
    </w:rPr>
  </w:style>
  <w:style w:type="paragraph" w:customStyle="1" w:styleId="Subheading">
    <w:name w:val="Subheading"/>
    <w:basedOn w:val="Heading2"/>
    <w:rsid w:val="00620E54"/>
    <w:pPr>
      <w:tabs>
        <w:tab w:val="clear" w:pos="709"/>
      </w:tabs>
      <w:outlineLvl w:val="9"/>
    </w:pPr>
    <w:rPr>
      <w:rFonts w:ascii="Times New Roman" w:eastAsiaTheme="minorEastAsia" w:hAnsi="Times New Roman" w:cs="Times New Roman"/>
      <w:bCs w:val="0"/>
      <w:iCs w:val="0"/>
      <w:color w:val="800000"/>
      <w:sz w:val="24"/>
      <w:szCs w:val="20"/>
      <w:lang w:val="en-US"/>
    </w:rPr>
  </w:style>
  <w:style w:type="paragraph" w:customStyle="1" w:styleId="StyleHeading1Arial">
    <w:name w:val="Style Heading 1 + Arial"/>
    <w:basedOn w:val="Heading1"/>
    <w:link w:val="StyleHeading1ArialChar"/>
    <w:rsid w:val="00620E54"/>
    <w:pPr>
      <w:pageBreakBefore/>
      <w:tabs>
        <w:tab w:val="clear" w:pos="709"/>
        <w:tab w:val="num" w:pos="850"/>
      </w:tabs>
      <w:spacing w:before="240" w:after="240" w:line="300" w:lineRule="atLeast"/>
      <w:ind w:left="851" w:hanging="851"/>
      <w:jc w:val="both"/>
    </w:pPr>
    <w:rPr>
      <w:rFonts w:ascii="Arial" w:eastAsiaTheme="minorEastAsia" w:hAnsi="Arial" w:cs="Times New Roman"/>
      <w:color w:val="auto"/>
      <w:kern w:val="0"/>
      <w:sz w:val="28"/>
      <w:szCs w:val="20"/>
      <w:lang w:eastAsia="en-US"/>
    </w:rPr>
  </w:style>
  <w:style w:type="character" w:customStyle="1" w:styleId="StyleHeading1ArialChar">
    <w:name w:val="Style Heading 1 + Arial Char"/>
    <w:link w:val="StyleHeading1Arial"/>
    <w:rsid w:val="00620E54"/>
    <w:rPr>
      <w:rFonts w:ascii="Arial" w:eastAsiaTheme="minorEastAsia" w:hAnsi="Arial" w:cs="Times New Roman"/>
      <w:b/>
      <w:bCs/>
      <w:sz w:val="28"/>
      <w:szCs w:val="20"/>
    </w:rPr>
  </w:style>
  <w:style w:type="numbering" w:customStyle="1" w:styleId="Style1">
    <w:name w:val="Style1"/>
    <w:uiPriority w:val="99"/>
    <w:rsid w:val="00620E54"/>
    <w:pPr>
      <w:numPr>
        <w:numId w:val="19"/>
      </w:numPr>
    </w:pPr>
  </w:style>
  <w:style w:type="numbering" w:customStyle="1" w:styleId="Style2">
    <w:name w:val="Style2"/>
    <w:uiPriority w:val="99"/>
    <w:rsid w:val="00620E54"/>
    <w:pPr>
      <w:numPr>
        <w:numId w:val="20"/>
      </w:numPr>
    </w:pPr>
  </w:style>
  <w:style w:type="character" w:styleId="Strong">
    <w:name w:val="Strong"/>
    <w:basedOn w:val="DefaultParagraphFont"/>
    <w:uiPriority w:val="1"/>
    <w:qFormat/>
    <w:rsid w:val="00620E54"/>
    <w:rPr>
      <w:b/>
      <w:bCs/>
    </w:rPr>
  </w:style>
  <w:style w:type="numbering" w:customStyle="1" w:styleId="NoList1">
    <w:name w:val="No List1"/>
    <w:next w:val="NoList"/>
    <w:uiPriority w:val="99"/>
    <w:semiHidden/>
    <w:unhideWhenUsed/>
    <w:rsid w:val="00620E54"/>
  </w:style>
  <w:style w:type="table" w:customStyle="1" w:styleId="TableGrid1">
    <w:name w:val="Table Grid1"/>
    <w:basedOn w:val="TableNormal"/>
    <w:next w:val="TableGrid"/>
    <w:rsid w:val="00620E54"/>
    <w:pPr>
      <w:spacing w:before="120" w:after="12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B553CF"/>
    <w:pPr>
      <w:spacing w:before="160" w:after="120" w:line="300" w:lineRule="atLeast"/>
      <w:ind w:left="283"/>
    </w:pPr>
    <w:rPr>
      <w:color w:val="auto"/>
      <w:lang w:eastAsia="en-US"/>
    </w:rPr>
  </w:style>
  <w:style w:type="character" w:customStyle="1" w:styleId="BodyTextIndentChar">
    <w:name w:val="Body Text Indent Char"/>
    <w:basedOn w:val="DefaultParagraphFont"/>
    <w:link w:val="BodyTextIndent"/>
    <w:rsid w:val="00B553CF"/>
    <w:rPr>
      <w:rFonts w:ascii="Arial" w:eastAsia="Times New Roman" w:hAnsi="Arial" w:cs="Times New Roman"/>
      <w:sz w:val="20"/>
      <w:szCs w:val="20"/>
    </w:rPr>
  </w:style>
  <w:style w:type="paragraph" w:customStyle="1" w:styleId="Default">
    <w:name w:val="Default"/>
    <w:rsid w:val="00B553CF"/>
    <w:pPr>
      <w:autoSpaceDE w:val="0"/>
      <w:autoSpaceDN w:val="0"/>
      <w:adjustRightInd w:val="0"/>
      <w:spacing w:after="0" w:line="240" w:lineRule="auto"/>
    </w:pPr>
    <w:rPr>
      <w:rFonts w:ascii="Calibri" w:eastAsia="Times New Roman" w:hAnsi="Calibri" w:cs="Times New Roman"/>
      <w:color w:val="000000"/>
      <w:sz w:val="24"/>
      <w:szCs w:val="24"/>
      <w:lang w:val="en-US"/>
    </w:rPr>
  </w:style>
  <w:style w:type="paragraph" w:styleId="z-BottomofForm">
    <w:name w:val="HTML Bottom of Form"/>
    <w:basedOn w:val="Normal"/>
    <w:next w:val="Normal"/>
    <w:link w:val="z-BottomofFormChar"/>
    <w:hidden/>
    <w:uiPriority w:val="99"/>
    <w:unhideWhenUsed/>
    <w:rsid w:val="00B553CF"/>
    <w:pPr>
      <w:pBdr>
        <w:top w:val="single" w:sz="6" w:space="1" w:color="auto"/>
      </w:pBdr>
      <w:spacing w:after="0" w:line="240" w:lineRule="auto"/>
      <w:jc w:val="center"/>
    </w:pPr>
    <w:rPr>
      <w:rFonts w:cs="Arial"/>
      <w:vanish/>
      <w:color w:val="auto"/>
      <w:sz w:val="16"/>
      <w:szCs w:val="16"/>
    </w:rPr>
  </w:style>
  <w:style w:type="character" w:customStyle="1" w:styleId="z-BottomofFormChar">
    <w:name w:val="z-Bottom of Form Char"/>
    <w:basedOn w:val="DefaultParagraphFont"/>
    <w:link w:val="z-BottomofForm"/>
    <w:uiPriority w:val="99"/>
    <w:rsid w:val="00B553CF"/>
    <w:rPr>
      <w:rFonts w:ascii="Arial" w:eastAsia="Times New Roman" w:hAnsi="Arial" w:cs="Arial"/>
      <w:vanish/>
      <w:sz w:val="16"/>
      <w:szCs w:val="16"/>
      <w:lang w:eastAsia="en-AU"/>
    </w:rPr>
  </w:style>
  <w:style w:type="paragraph" w:styleId="EndnoteText">
    <w:name w:val="endnote text"/>
    <w:basedOn w:val="Normal"/>
    <w:link w:val="EndnoteTextChar"/>
    <w:rsid w:val="00B553CF"/>
    <w:pPr>
      <w:spacing w:after="0" w:line="240" w:lineRule="auto"/>
    </w:pPr>
    <w:rPr>
      <w:color w:val="auto"/>
      <w:lang w:eastAsia="en-US"/>
    </w:rPr>
  </w:style>
  <w:style w:type="character" w:customStyle="1" w:styleId="EndnoteTextChar">
    <w:name w:val="Endnote Text Char"/>
    <w:basedOn w:val="DefaultParagraphFont"/>
    <w:link w:val="EndnoteText"/>
    <w:rsid w:val="00B553CF"/>
    <w:rPr>
      <w:rFonts w:ascii="Arial" w:eastAsia="Times New Roman" w:hAnsi="Arial" w:cs="Times New Roman"/>
      <w:sz w:val="20"/>
      <w:szCs w:val="20"/>
    </w:rPr>
  </w:style>
  <w:style w:type="character" w:styleId="EndnoteReference">
    <w:name w:val="endnote reference"/>
    <w:basedOn w:val="DefaultParagraphFont"/>
    <w:rsid w:val="00B553CF"/>
    <w:rPr>
      <w:vertAlign w:val="superscript"/>
    </w:rPr>
  </w:style>
  <w:style w:type="character" w:styleId="SubtleEmphasis">
    <w:name w:val="Subtle Emphasis"/>
    <w:basedOn w:val="DefaultParagraphFont"/>
    <w:uiPriority w:val="19"/>
    <w:qFormat/>
    <w:rsid w:val="00296E7E"/>
    <w:rPr>
      <w:i/>
      <w:iCs/>
      <w:color w:val="404040" w:themeColor="text1" w:themeTint="BF"/>
    </w:rPr>
  </w:style>
  <w:style w:type="table" w:styleId="ListTable5Dark-Accent1">
    <w:name w:val="List Table 5 Dark Accent 1"/>
    <w:basedOn w:val="TableNormal"/>
    <w:uiPriority w:val="50"/>
    <w:rsid w:val="002044E7"/>
    <w:pPr>
      <w:spacing w:after="0" w:line="240" w:lineRule="auto"/>
    </w:pPr>
    <w:rPr>
      <w:color w:val="FFFFFF" w:themeColor="background1"/>
    </w:rPr>
    <w:tblPr>
      <w:tblStyleRowBandSize w:val="1"/>
      <w:tblStyleColBandSize w:val="1"/>
      <w:tblBorders>
        <w:top w:val="single" w:sz="24" w:space="0" w:color="74000E" w:themeColor="accent1"/>
        <w:left w:val="single" w:sz="24" w:space="0" w:color="74000E" w:themeColor="accent1"/>
        <w:bottom w:val="single" w:sz="24" w:space="0" w:color="74000E" w:themeColor="accent1"/>
        <w:right w:val="single" w:sz="24" w:space="0" w:color="74000E" w:themeColor="accent1"/>
      </w:tblBorders>
    </w:tblPr>
    <w:tcPr>
      <w:shd w:val="clear" w:color="auto" w:fill="74000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PlaceholderText">
    <w:name w:val="Placeholder Text"/>
    <w:basedOn w:val="DefaultParagraphFont"/>
    <w:uiPriority w:val="99"/>
    <w:semiHidden/>
    <w:rsid w:val="0091221A"/>
    <w:rPr>
      <w:color w:val="808080"/>
    </w:rPr>
  </w:style>
  <w:style w:type="character" w:styleId="UnresolvedMention">
    <w:name w:val="Unresolved Mention"/>
    <w:basedOn w:val="DefaultParagraphFont"/>
    <w:uiPriority w:val="99"/>
    <w:semiHidden/>
    <w:unhideWhenUsed/>
    <w:rsid w:val="00F33461"/>
    <w:rPr>
      <w:color w:val="605E5C"/>
      <w:shd w:val="clear" w:color="auto" w:fill="E1DFDD"/>
    </w:rPr>
  </w:style>
  <w:style w:type="character" w:styleId="Mention">
    <w:name w:val="Mention"/>
    <w:basedOn w:val="DefaultParagraphFont"/>
    <w:uiPriority w:val="99"/>
    <w:unhideWhenUsed/>
    <w:rsid w:val="005C2E66"/>
    <w:rPr>
      <w:color w:val="2B579A"/>
      <w:shd w:val="clear" w:color="auto" w:fill="E1DFDD"/>
    </w:rPr>
  </w:style>
  <w:style w:type="paragraph" w:styleId="NormalIndent">
    <w:name w:val="Normal Indent"/>
    <w:basedOn w:val="Normal"/>
    <w:rsid w:val="005A5907"/>
    <w:pPr>
      <w:tabs>
        <w:tab w:val="left" w:pos="1134"/>
      </w:tabs>
      <w:ind w:left="1134" w:hanging="425"/>
    </w:pPr>
  </w:style>
  <w:style w:type="character" w:customStyle="1" w:styleId="NoSpacingChar">
    <w:name w:val="No Spacing Char"/>
    <w:basedOn w:val="DefaultParagraphFont"/>
    <w:link w:val="NoSpacing"/>
    <w:rsid w:val="005A5907"/>
    <w:rPr>
      <w:rFonts w:ascii="Arial" w:eastAsia="Times New Roman" w:hAnsi="Arial" w:cs="Times New Roman"/>
      <w:color w:val="000000"/>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2406">
      <w:bodyDiv w:val="1"/>
      <w:marLeft w:val="0"/>
      <w:marRight w:val="0"/>
      <w:marTop w:val="0"/>
      <w:marBottom w:val="0"/>
      <w:divBdr>
        <w:top w:val="none" w:sz="0" w:space="0" w:color="auto"/>
        <w:left w:val="none" w:sz="0" w:space="0" w:color="auto"/>
        <w:bottom w:val="none" w:sz="0" w:space="0" w:color="auto"/>
        <w:right w:val="none" w:sz="0" w:space="0" w:color="auto"/>
      </w:divBdr>
    </w:div>
    <w:div w:id="29035272">
      <w:bodyDiv w:val="1"/>
      <w:marLeft w:val="0"/>
      <w:marRight w:val="0"/>
      <w:marTop w:val="0"/>
      <w:marBottom w:val="0"/>
      <w:divBdr>
        <w:top w:val="none" w:sz="0" w:space="0" w:color="auto"/>
        <w:left w:val="none" w:sz="0" w:space="0" w:color="auto"/>
        <w:bottom w:val="none" w:sz="0" w:space="0" w:color="auto"/>
        <w:right w:val="none" w:sz="0" w:space="0" w:color="auto"/>
      </w:divBdr>
    </w:div>
    <w:div w:id="49618886">
      <w:bodyDiv w:val="1"/>
      <w:marLeft w:val="0"/>
      <w:marRight w:val="0"/>
      <w:marTop w:val="0"/>
      <w:marBottom w:val="0"/>
      <w:divBdr>
        <w:top w:val="none" w:sz="0" w:space="0" w:color="auto"/>
        <w:left w:val="none" w:sz="0" w:space="0" w:color="auto"/>
        <w:bottom w:val="none" w:sz="0" w:space="0" w:color="auto"/>
        <w:right w:val="none" w:sz="0" w:space="0" w:color="auto"/>
      </w:divBdr>
    </w:div>
    <w:div w:id="56822502">
      <w:bodyDiv w:val="1"/>
      <w:marLeft w:val="0"/>
      <w:marRight w:val="0"/>
      <w:marTop w:val="0"/>
      <w:marBottom w:val="0"/>
      <w:divBdr>
        <w:top w:val="none" w:sz="0" w:space="0" w:color="auto"/>
        <w:left w:val="none" w:sz="0" w:space="0" w:color="auto"/>
        <w:bottom w:val="none" w:sz="0" w:space="0" w:color="auto"/>
        <w:right w:val="none" w:sz="0" w:space="0" w:color="auto"/>
      </w:divBdr>
    </w:div>
    <w:div w:id="66458534">
      <w:bodyDiv w:val="1"/>
      <w:marLeft w:val="0"/>
      <w:marRight w:val="0"/>
      <w:marTop w:val="0"/>
      <w:marBottom w:val="0"/>
      <w:divBdr>
        <w:top w:val="none" w:sz="0" w:space="0" w:color="auto"/>
        <w:left w:val="none" w:sz="0" w:space="0" w:color="auto"/>
        <w:bottom w:val="none" w:sz="0" w:space="0" w:color="auto"/>
        <w:right w:val="none" w:sz="0" w:space="0" w:color="auto"/>
      </w:divBdr>
    </w:div>
    <w:div w:id="80106715">
      <w:bodyDiv w:val="1"/>
      <w:marLeft w:val="0"/>
      <w:marRight w:val="0"/>
      <w:marTop w:val="0"/>
      <w:marBottom w:val="0"/>
      <w:divBdr>
        <w:top w:val="none" w:sz="0" w:space="0" w:color="auto"/>
        <w:left w:val="none" w:sz="0" w:space="0" w:color="auto"/>
        <w:bottom w:val="none" w:sz="0" w:space="0" w:color="auto"/>
        <w:right w:val="none" w:sz="0" w:space="0" w:color="auto"/>
      </w:divBdr>
    </w:div>
    <w:div w:id="83496090">
      <w:bodyDiv w:val="1"/>
      <w:marLeft w:val="0"/>
      <w:marRight w:val="0"/>
      <w:marTop w:val="0"/>
      <w:marBottom w:val="0"/>
      <w:divBdr>
        <w:top w:val="none" w:sz="0" w:space="0" w:color="auto"/>
        <w:left w:val="none" w:sz="0" w:space="0" w:color="auto"/>
        <w:bottom w:val="none" w:sz="0" w:space="0" w:color="auto"/>
        <w:right w:val="none" w:sz="0" w:space="0" w:color="auto"/>
      </w:divBdr>
    </w:div>
    <w:div w:id="89861051">
      <w:bodyDiv w:val="1"/>
      <w:marLeft w:val="0"/>
      <w:marRight w:val="0"/>
      <w:marTop w:val="0"/>
      <w:marBottom w:val="0"/>
      <w:divBdr>
        <w:top w:val="none" w:sz="0" w:space="0" w:color="auto"/>
        <w:left w:val="none" w:sz="0" w:space="0" w:color="auto"/>
        <w:bottom w:val="none" w:sz="0" w:space="0" w:color="auto"/>
        <w:right w:val="none" w:sz="0" w:space="0" w:color="auto"/>
      </w:divBdr>
    </w:div>
    <w:div w:id="93745103">
      <w:bodyDiv w:val="1"/>
      <w:marLeft w:val="0"/>
      <w:marRight w:val="0"/>
      <w:marTop w:val="0"/>
      <w:marBottom w:val="0"/>
      <w:divBdr>
        <w:top w:val="none" w:sz="0" w:space="0" w:color="auto"/>
        <w:left w:val="none" w:sz="0" w:space="0" w:color="auto"/>
        <w:bottom w:val="none" w:sz="0" w:space="0" w:color="auto"/>
        <w:right w:val="none" w:sz="0" w:space="0" w:color="auto"/>
      </w:divBdr>
    </w:div>
    <w:div w:id="111941730">
      <w:bodyDiv w:val="1"/>
      <w:marLeft w:val="0"/>
      <w:marRight w:val="0"/>
      <w:marTop w:val="0"/>
      <w:marBottom w:val="0"/>
      <w:divBdr>
        <w:top w:val="none" w:sz="0" w:space="0" w:color="auto"/>
        <w:left w:val="none" w:sz="0" w:space="0" w:color="auto"/>
        <w:bottom w:val="none" w:sz="0" w:space="0" w:color="auto"/>
        <w:right w:val="none" w:sz="0" w:space="0" w:color="auto"/>
      </w:divBdr>
    </w:div>
    <w:div w:id="130947888">
      <w:bodyDiv w:val="1"/>
      <w:marLeft w:val="0"/>
      <w:marRight w:val="0"/>
      <w:marTop w:val="0"/>
      <w:marBottom w:val="0"/>
      <w:divBdr>
        <w:top w:val="none" w:sz="0" w:space="0" w:color="auto"/>
        <w:left w:val="none" w:sz="0" w:space="0" w:color="auto"/>
        <w:bottom w:val="none" w:sz="0" w:space="0" w:color="auto"/>
        <w:right w:val="none" w:sz="0" w:space="0" w:color="auto"/>
      </w:divBdr>
    </w:div>
    <w:div w:id="159274217">
      <w:bodyDiv w:val="1"/>
      <w:marLeft w:val="0"/>
      <w:marRight w:val="0"/>
      <w:marTop w:val="0"/>
      <w:marBottom w:val="0"/>
      <w:divBdr>
        <w:top w:val="none" w:sz="0" w:space="0" w:color="auto"/>
        <w:left w:val="none" w:sz="0" w:space="0" w:color="auto"/>
        <w:bottom w:val="none" w:sz="0" w:space="0" w:color="auto"/>
        <w:right w:val="none" w:sz="0" w:space="0" w:color="auto"/>
      </w:divBdr>
    </w:div>
    <w:div w:id="172495155">
      <w:bodyDiv w:val="1"/>
      <w:marLeft w:val="0"/>
      <w:marRight w:val="0"/>
      <w:marTop w:val="0"/>
      <w:marBottom w:val="0"/>
      <w:divBdr>
        <w:top w:val="none" w:sz="0" w:space="0" w:color="auto"/>
        <w:left w:val="none" w:sz="0" w:space="0" w:color="auto"/>
        <w:bottom w:val="none" w:sz="0" w:space="0" w:color="auto"/>
        <w:right w:val="none" w:sz="0" w:space="0" w:color="auto"/>
      </w:divBdr>
    </w:div>
    <w:div w:id="182326432">
      <w:bodyDiv w:val="1"/>
      <w:marLeft w:val="0"/>
      <w:marRight w:val="0"/>
      <w:marTop w:val="0"/>
      <w:marBottom w:val="0"/>
      <w:divBdr>
        <w:top w:val="none" w:sz="0" w:space="0" w:color="auto"/>
        <w:left w:val="none" w:sz="0" w:space="0" w:color="auto"/>
        <w:bottom w:val="none" w:sz="0" w:space="0" w:color="auto"/>
        <w:right w:val="none" w:sz="0" w:space="0" w:color="auto"/>
      </w:divBdr>
    </w:div>
    <w:div w:id="201094898">
      <w:bodyDiv w:val="1"/>
      <w:marLeft w:val="0"/>
      <w:marRight w:val="0"/>
      <w:marTop w:val="0"/>
      <w:marBottom w:val="0"/>
      <w:divBdr>
        <w:top w:val="none" w:sz="0" w:space="0" w:color="auto"/>
        <w:left w:val="none" w:sz="0" w:space="0" w:color="auto"/>
        <w:bottom w:val="none" w:sz="0" w:space="0" w:color="auto"/>
        <w:right w:val="none" w:sz="0" w:space="0" w:color="auto"/>
      </w:divBdr>
    </w:div>
    <w:div w:id="232930231">
      <w:bodyDiv w:val="1"/>
      <w:marLeft w:val="0"/>
      <w:marRight w:val="0"/>
      <w:marTop w:val="0"/>
      <w:marBottom w:val="0"/>
      <w:divBdr>
        <w:top w:val="none" w:sz="0" w:space="0" w:color="auto"/>
        <w:left w:val="none" w:sz="0" w:space="0" w:color="auto"/>
        <w:bottom w:val="none" w:sz="0" w:space="0" w:color="auto"/>
        <w:right w:val="none" w:sz="0" w:space="0" w:color="auto"/>
      </w:divBdr>
    </w:div>
    <w:div w:id="257561544">
      <w:bodyDiv w:val="1"/>
      <w:marLeft w:val="0"/>
      <w:marRight w:val="0"/>
      <w:marTop w:val="0"/>
      <w:marBottom w:val="0"/>
      <w:divBdr>
        <w:top w:val="none" w:sz="0" w:space="0" w:color="auto"/>
        <w:left w:val="none" w:sz="0" w:space="0" w:color="auto"/>
        <w:bottom w:val="none" w:sz="0" w:space="0" w:color="auto"/>
        <w:right w:val="none" w:sz="0" w:space="0" w:color="auto"/>
      </w:divBdr>
    </w:div>
    <w:div w:id="280303180">
      <w:bodyDiv w:val="1"/>
      <w:marLeft w:val="0"/>
      <w:marRight w:val="0"/>
      <w:marTop w:val="0"/>
      <w:marBottom w:val="0"/>
      <w:divBdr>
        <w:top w:val="none" w:sz="0" w:space="0" w:color="auto"/>
        <w:left w:val="none" w:sz="0" w:space="0" w:color="auto"/>
        <w:bottom w:val="none" w:sz="0" w:space="0" w:color="auto"/>
        <w:right w:val="none" w:sz="0" w:space="0" w:color="auto"/>
      </w:divBdr>
    </w:div>
    <w:div w:id="283973906">
      <w:bodyDiv w:val="1"/>
      <w:marLeft w:val="0"/>
      <w:marRight w:val="0"/>
      <w:marTop w:val="0"/>
      <w:marBottom w:val="0"/>
      <w:divBdr>
        <w:top w:val="none" w:sz="0" w:space="0" w:color="auto"/>
        <w:left w:val="none" w:sz="0" w:space="0" w:color="auto"/>
        <w:bottom w:val="none" w:sz="0" w:space="0" w:color="auto"/>
        <w:right w:val="none" w:sz="0" w:space="0" w:color="auto"/>
      </w:divBdr>
    </w:div>
    <w:div w:id="300501462">
      <w:bodyDiv w:val="1"/>
      <w:marLeft w:val="0"/>
      <w:marRight w:val="0"/>
      <w:marTop w:val="0"/>
      <w:marBottom w:val="0"/>
      <w:divBdr>
        <w:top w:val="none" w:sz="0" w:space="0" w:color="auto"/>
        <w:left w:val="none" w:sz="0" w:space="0" w:color="auto"/>
        <w:bottom w:val="none" w:sz="0" w:space="0" w:color="auto"/>
        <w:right w:val="none" w:sz="0" w:space="0" w:color="auto"/>
      </w:divBdr>
    </w:div>
    <w:div w:id="314991175">
      <w:bodyDiv w:val="1"/>
      <w:marLeft w:val="0"/>
      <w:marRight w:val="0"/>
      <w:marTop w:val="0"/>
      <w:marBottom w:val="0"/>
      <w:divBdr>
        <w:top w:val="none" w:sz="0" w:space="0" w:color="auto"/>
        <w:left w:val="none" w:sz="0" w:space="0" w:color="auto"/>
        <w:bottom w:val="none" w:sz="0" w:space="0" w:color="auto"/>
        <w:right w:val="none" w:sz="0" w:space="0" w:color="auto"/>
      </w:divBdr>
    </w:div>
    <w:div w:id="323358630">
      <w:bodyDiv w:val="1"/>
      <w:marLeft w:val="0"/>
      <w:marRight w:val="0"/>
      <w:marTop w:val="0"/>
      <w:marBottom w:val="0"/>
      <w:divBdr>
        <w:top w:val="none" w:sz="0" w:space="0" w:color="auto"/>
        <w:left w:val="none" w:sz="0" w:space="0" w:color="auto"/>
        <w:bottom w:val="none" w:sz="0" w:space="0" w:color="auto"/>
        <w:right w:val="none" w:sz="0" w:space="0" w:color="auto"/>
      </w:divBdr>
    </w:div>
    <w:div w:id="325742624">
      <w:bodyDiv w:val="1"/>
      <w:marLeft w:val="0"/>
      <w:marRight w:val="0"/>
      <w:marTop w:val="0"/>
      <w:marBottom w:val="0"/>
      <w:divBdr>
        <w:top w:val="none" w:sz="0" w:space="0" w:color="auto"/>
        <w:left w:val="none" w:sz="0" w:space="0" w:color="auto"/>
        <w:bottom w:val="none" w:sz="0" w:space="0" w:color="auto"/>
        <w:right w:val="none" w:sz="0" w:space="0" w:color="auto"/>
      </w:divBdr>
    </w:div>
    <w:div w:id="342783979">
      <w:bodyDiv w:val="1"/>
      <w:marLeft w:val="0"/>
      <w:marRight w:val="0"/>
      <w:marTop w:val="0"/>
      <w:marBottom w:val="0"/>
      <w:divBdr>
        <w:top w:val="none" w:sz="0" w:space="0" w:color="auto"/>
        <w:left w:val="none" w:sz="0" w:space="0" w:color="auto"/>
        <w:bottom w:val="none" w:sz="0" w:space="0" w:color="auto"/>
        <w:right w:val="none" w:sz="0" w:space="0" w:color="auto"/>
      </w:divBdr>
    </w:div>
    <w:div w:id="347683596">
      <w:bodyDiv w:val="1"/>
      <w:marLeft w:val="0"/>
      <w:marRight w:val="0"/>
      <w:marTop w:val="0"/>
      <w:marBottom w:val="0"/>
      <w:divBdr>
        <w:top w:val="none" w:sz="0" w:space="0" w:color="auto"/>
        <w:left w:val="none" w:sz="0" w:space="0" w:color="auto"/>
        <w:bottom w:val="none" w:sz="0" w:space="0" w:color="auto"/>
        <w:right w:val="none" w:sz="0" w:space="0" w:color="auto"/>
      </w:divBdr>
    </w:div>
    <w:div w:id="362942336">
      <w:bodyDiv w:val="1"/>
      <w:marLeft w:val="0"/>
      <w:marRight w:val="0"/>
      <w:marTop w:val="0"/>
      <w:marBottom w:val="0"/>
      <w:divBdr>
        <w:top w:val="none" w:sz="0" w:space="0" w:color="auto"/>
        <w:left w:val="none" w:sz="0" w:space="0" w:color="auto"/>
        <w:bottom w:val="none" w:sz="0" w:space="0" w:color="auto"/>
        <w:right w:val="none" w:sz="0" w:space="0" w:color="auto"/>
      </w:divBdr>
    </w:div>
    <w:div w:id="391850906">
      <w:bodyDiv w:val="1"/>
      <w:marLeft w:val="0"/>
      <w:marRight w:val="0"/>
      <w:marTop w:val="0"/>
      <w:marBottom w:val="0"/>
      <w:divBdr>
        <w:top w:val="none" w:sz="0" w:space="0" w:color="auto"/>
        <w:left w:val="none" w:sz="0" w:space="0" w:color="auto"/>
        <w:bottom w:val="none" w:sz="0" w:space="0" w:color="auto"/>
        <w:right w:val="none" w:sz="0" w:space="0" w:color="auto"/>
      </w:divBdr>
      <w:divsChild>
        <w:div w:id="1877699048">
          <w:marLeft w:val="0"/>
          <w:marRight w:val="0"/>
          <w:marTop w:val="0"/>
          <w:marBottom w:val="0"/>
          <w:divBdr>
            <w:top w:val="none" w:sz="0" w:space="0" w:color="auto"/>
            <w:left w:val="none" w:sz="0" w:space="0" w:color="auto"/>
            <w:bottom w:val="none" w:sz="0" w:space="0" w:color="auto"/>
            <w:right w:val="none" w:sz="0" w:space="0" w:color="auto"/>
          </w:divBdr>
          <w:divsChild>
            <w:div w:id="57674696">
              <w:marLeft w:val="0"/>
              <w:marRight w:val="0"/>
              <w:marTop w:val="0"/>
              <w:marBottom w:val="0"/>
              <w:divBdr>
                <w:top w:val="none" w:sz="0" w:space="0" w:color="auto"/>
                <w:left w:val="none" w:sz="0" w:space="0" w:color="auto"/>
                <w:bottom w:val="none" w:sz="0" w:space="0" w:color="auto"/>
                <w:right w:val="none" w:sz="0" w:space="0" w:color="auto"/>
              </w:divBdr>
              <w:divsChild>
                <w:div w:id="823396669">
                  <w:marLeft w:val="-75"/>
                  <w:marRight w:val="-75"/>
                  <w:marTop w:val="0"/>
                  <w:marBottom w:val="0"/>
                  <w:divBdr>
                    <w:top w:val="none" w:sz="0" w:space="0" w:color="auto"/>
                    <w:left w:val="none" w:sz="0" w:space="0" w:color="auto"/>
                    <w:bottom w:val="none" w:sz="0" w:space="0" w:color="auto"/>
                    <w:right w:val="none" w:sz="0" w:space="0" w:color="auto"/>
                  </w:divBdr>
                  <w:divsChild>
                    <w:div w:id="381485688">
                      <w:marLeft w:val="0"/>
                      <w:marRight w:val="0"/>
                      <w:marTop w:val="0"/>
                      <w:marBottom w:val="0"/>
                      <w:divBdr>
                        <w:top w:val="none" w:sz="0" w:space="0" w:color="auto"/>
                        <w:left w:val="none" w:sz="0" w:space="0" w:color="auto"/>
                        <w:bottom w:val="none" w:sz="0" w:space="0" w:color="auto"/>
                        <w:right w:val="none" w:sz="0" w:space="0" w:color="auto"/>
                      </w:divBdr>
                      <w:divsChild>
                        <w:div w:id="142691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208833">
      <w:bodyDiv w:val="1"/>
      <w:marLeft w:val="0"/>
      <w:marRight w:val="0"/>
      <w:marTop w:val="0"/>
      <w:marBottom w:val="0"/>
      <w:divBdr>
        <w:top w:val="none" w:sz="0" w:space="0" w:color="auto"/>
        <w:left w:val="none" w:sz="0" w:space="0" w:color="auto"/>
        <w:bottom w:val="none" w:sz="0" w:space="0" w:color="auto"/>
        <w:right w:val="none" w:sz="0" w:space="0" w:color="auto"/>
      </w:divBdr>
    </w:div>
    <w:div w:id="398941498">
      <w:bodyDiv w:val="1"/>
      <w:marLeft w:val="0"/>
      <w:marRight w:val="0"/>
      <w:marTop w:val="0"/>
      <w:marBottom w:val="0"/>
      <w:divBdr>
        <w:top w:val="none" w:sz="0" w:space="0" w:color="auto"/>
        <w:left w:val="none" w:sz="0" w:space="0" w:color="auto"/>
        <w:bottom w:val="none" w:sz="0" w:space="0" w:color="auto"/>
        <w:right w:val="none" w:sz="0" w:space="0" w:color="auto"/>
      </w:divBdr>
    </w:div>
    <w:div w:id="421608356">
      <w:bodyDiv w:val="1"/>
      <w:marLeft w:val="0"/>
      <w:marRight w:val="0"/>
      <w:marTop w:val="0"/>
      <w:marBottom w:val="0"/>
      <w:divBdr>
        <w:top w:val="none" w:sz="0" w:space="0" w:color="auto"/>
        <w:left w:val="none" w:sz="0" w:space="0" w:color="auto"/>
        <w:bottom w:val="none" w:sz="0" w:space="0" w:color="auto"/>
        <w:right w:val="none" w:sz="0" w:space="0" w:color="auto"/>
      </w:divBdr>
    </w:div>
    <w:div w:id="422998582">
      <w:bodyDiv w:val="1"/>
      <w:marLeft w:val="0"/>
      <w:marRight w:val="0"/>
      <w:marTop w:val="0"/>
      <w:marBottom w:val="0"/>
      <w:divBdr>
        <w:top w:val="none" w:sz="0" w:space="0" w:color="auto"/>
        <w:left w:val="none" w:sz="0" w:space="0" w:color="auto"/>
        <w:bottom w:val="none" w:sz="0" w:space="0" w:color="auto"/>
        <w:right w:val="none" w:sz="0" w:space="0" w:color="auto"/>
      </w:divBdr>
    </w:div>
    <w:div w:id="460416187">
      <w:bodyDiv w:val="1"/>
      <w:marLeft w:val="0"/>
      <w:marRight w:val="0"/>
      <w:marTop w:val="0"/>
      <w:marBottom w:val="0"/>
      <w:divBdr>
        <w:top w:val="none" w:sz="0" w:space="0" w:color="auto"/>
        <w:left w:val="none" w:sz="0" w:space="0" w:color="auto"/>
        <w:bottom w:val="none" w:sz="0" w:space="0" w:color="auto"/>
        <w:right w:val="none" w:sz="0" w:space="0" w:color="auto"/>
      </w:divBdr>
    </w:div>
    <w:div w:id="503473595">
      <w:bodyDiv w:val="1"/>
      <w:marLeft w:val="0"/>
      <w:marRight w:val="0"/>
      <w:marTop w:val="0"/>
      <w:marBottom w:val="0"/>
      <w:divBdr>
        <w:top w:val="none" w:sz="0" w:space="0" w:color="auto"/>
        <w:left w:val="none" w:sz="0" w:space="0" w:color="auto"/>
        <w:bottom w:val="none" w:sz="0" w:space="0" w:color="auto"/>
        <w:right w:val="none" w:sz="0" w:space="0" w:color="auto"/>
      </w:divBdr>
    </w:div>
    <w:div w:id="507671081">
      <w:bodyDiv w:val="1"/>
      <w:marLeft w:val="0"/>
      <w:marRight w:val="0"/>
      <w:marTop w:val="0"/>
      <w:marBottom w:val="0"/>
      <w:divBdr>
        <w:top w:val="none" w:sz="0" w:space="0" w:color="auto"/>
        <w:left w:val="none" w:sz="0" w:space="0" w:color="auto"/>
        <w:bottom w:val="none" w:sz="0" w:space="0" w:color="auto"/>
        <w:right w:val="none" w:sz="0" w:space="0" w:color="auto"/>
      </w:divBdr>
    </w:div>
    <w:div w:id="509952851">
      <w:bodyDiv w:val="1"/>
      <w:marLeft w:val="0"/>
      <w:marRight w:val="0"/>
      <w:marTop w:val="0"/>
      <w:marBottom w:val="0"/>
      <w:divBdr>
        <w:top w:val="none" w:sz="0" w:space="0" w:color="auto"/>
        <w:left w:val="none" w:sz="0" w:space="0" w:color="auto"/>
        <w:bottom w:val="none" w:sz="0" w:space="0" w:color="auto"/>
        <w:right w:val="none" w:sz="0" w:space="0" w:color="auto"/>
      </w:divBdr>
    </w:div>
    <w:div w:id="523634461">
      <w:bodyDiv w:val="1"/>
      <w:marLeft w:val="0"/>
      <w:marRight w:val="0"/>
      <w:marTop w:val="0"/>
      <w:marBottom w:val="0"/>
      <w:divBdr>
        <w:top w:val="none" w:sz="0" w:space="0" w:color="auto"/>
        <w:left w:val="none" w:sz="0" w:space="0" w:color="auto"/>
        <w:bottom w:val="none" w:sz="0" w:space="0" w:color="auto"/>
        <w:right w:val="none" w:sz="0" w:space="0" w:color="auto"/>
      </w:divBdr>
    </w:div>
    <w:div w:id="535390557">
      <w:bodyDiv w:val="1"/>
      <w:marLeft w:val="0"/>
      <w:marRight w:val="0"/>
      <w:marTop w:val="0"/>
      <w:marBottom w:val="0"/>
      <w:divBdr>
        <w:top w:val="none" w:sz="0" w:space="0" w:color="auto"/>
        <w:left w:val="none" w:sz="0" w:space="0" w:color="auto"/>
        <w:bottom w:val="none" w:sz="0" w:space="0" w:color="auto"/>
        <w:right w:val="none" w:sz="0" w:space="0" w:color="auto"/>
      </w:divBdr>
    </w:div>
    <w:div w:id="540245399">
      <w:bodyDiv w:val="1"/>
      <w:marLeft w:val="0"/>
      <w:marRight w:val="0"/>
      <w:marTop w:val="0"/>
      <w:marBottom w:val="0"/>
      <w:divBdr>
        <w:top w:val="none" w:sz="0" w:space="0" w:color="auto"/>
        <w:left w:val="none" w:sz="0" w:space="0" w:color="auto"/>
        <w:bottom w:val="none" w:sz="0" w:space="0" w:color="auto"/>
        <w:right w:val="none" w:sz="0" w:space="0" w:color="auto"/>
      </w:divBdr>
    </w:div>
    <w:div w:id="555045080">
      <w:bodyDiv w:val="1"/>
      <w:marLeft w:val="0"/>
      <w:marRight w:val="0"/>
      <w:marTop w:val="0"/>
      <w:marBottom w:val="0"/>
      <w:divBdr>
        <w:top w:val="none" w:sz="0" w:space="0" w:color="auto"/>
        <w:left w:val="none" w:sz="0" w:space="0" w:color="auto"/>
        <w:bottom w:val="none" w:sz="0" w:space="0" w:color="auto"/>
        <w:right w:val="none" w:sz="0" w:space="0" w:color="auto"/>
      </w:divBdr>
    </w:div>
    <w:div w:id="566651922">
      <w:bodyDiv w:val="1"/>
      <w:marLeft w:val="0"/>
      <w:marRight w:val="0"/>
      <w:marTop w:val="0"/>
      <w:marBottom w:val="0"/>
      <w:divBdr>
        <w:top w:val="none" w:sz="0" w:space="0" w:color="auto"/>
        <w:left w:val="none" w:sz="0" w:space="0" w:color="auto"/>
        <w:bottom w:val="none" w:sz="0" w:space="0" w:color="auto"/>
        <w:right w:val="none" w:sz="0" w:space="0" w:color="auto"/>
      </w:divBdr>
    </w:div>
    <w:div w:id="577979630">
      <w:bodyDiv w:val="1"/>
      <w:marLeft w:val="0"/>
      <w:marRight w:val="0"/>
      <w:marTop w:val="0"/>
      <w:marBottom w:val="0"/>
      <w:divBdr>
        <w:top w:val="none" w:sz="0" w:space="0" w:color="auto"/>
        <w:left w:val="none" w:sz="0" w:space="0" w:color="auto"/>
        <w:bottom w:val="none" w:sz="0" w:space="0" w:color="auto"/>
        <w:right w:val="none" w:sz="0" w:space="0" w:color="auto"/>
      </w:divBdr>
    </w:div>
    <w:div w:id="604770969">
      <w:bodyDiv w:val="1"/>
      <w:marLeft w:val="0"/>
      <w:marRight w:val="0"/>
      <w:marTop w:val="0"/>
      <w:marBottom w:val="0"/>
      <w:divBdr>
        <w:top w:val="none" w:sz="0" w:space="0" w:color="auto"/>
        <w:left w:val="none" w:sz="0" w:space="0" w:color="auto"/>
        <w:bottom w:val="none" w:sz="0" w:space="0" w:color="auto"/>
        <w:right w:val="none" w:sz="0" w:space="0" w:color="auto"/>
      </w:divBdr>
    </w:div>
    <w:div w:id="610481658">
      <w:bodyDiv w:val="1"/>
      <w:marLeft w:val="0"/>
      <w:marRight w:val="0"/>
      <w:marTop w:val="0"/>
      <w:marBottom w:val="0"/>
      <w:divBdr>
        <w:top w:val="none" w:sz="0" w:space="0" w:color="auto"/>
        <w:left w:val="none" w:sz="0" w:space="0" w:color="auto"/>
        <w:bottom w:val="none" w:sz="0" w:space="0" w:color="auto"/>
        <w:right w:val="none" w:sz="0" w:space="0" w:color="auto"/>
      </w:divBdr>
    </w:div>
    <w:div w:id="617026062">
      <w:bodyDiv w:val="1"/>
      <w:marLeft w:val="0"/>
      <w:marRight w:val="0"/>
      <w:marTop w:val="0"/>
      <w:marBottom w:val="0"/>
      <w:divBdr>
        <w:top w:val="none" w:sz="0" w:space="0" w:color="auto"/>
        <w:left w:val="none" w:sz="0" w:space="0" w:color="auto"/>
        <w:bottom w:val="none" w:sz="0" w:space="0" w:color="auto"/>
        <w:right w:val="none" w:sz="0" w:space="0" w:color="auto"/>
      </w:divBdr>
    </w:div>
    <w:div w:id="636836336">
      <w:bodyDiv w:val="1"/>
      <w:marLeft w:val="0"/>
      <w:marRight w:val="0"/>
      <w:marTop w:val="0"/>
      <w:marBottom w:val="0"/>
      <w:divBdr>
        <w:top w:val="none" w:sz="0" w:space="0" w:color="auto"/>
        <w:left w:val="none" w:sz="0" w:space="0" w:color="auto"/>
        <w:bottom w:val="none" w:sz="0" w:space="0" w:color="auto"/>
        <w:right w:val="none" w:sz="0" w:space="0" w:color="auto"/>
      </w:divBdr>
    </w:div>
    <w:div w:id="638801375">
      <w:bodyDiv w:val="1"/>
      <w:marLeft w:val="0"/>
      <w:marRight w:val="0"/>
      <w:marTop w:val="0"/>
      <w:marBottom w:val="0"/>
      <w:divBdr>
        <w:top w:val="none" w:sz="0" w:space="0" w:color="auto"/>
        <w:left w:val="none" w:sz="0" w:space="0" w:color="auto"/>
        <w:bottom w:val="none" w:sz="0" w:space="0" w:color="auto"/>
        <w:right w:val="none" w:sz="0" w:space="0" w:color="auto"/>
      </w:divBdr>
    </w:div>
    <w:div w:id="644117112">
      <w:bodyDiv w:val="1"/>
      <w:marLeft w:val="0"/>
      <w:marRight w:val="0"/>
      <w:marTop w:val="0"/>
      <w:marBottom w:val="0"/>
      <w:divBdr>
        <w:top w:val="none" w:sz="0" w:space="0" w:color="auto"/>
        <w:left w:val="none" w:sz="0" w:space="0" w:color="auto"/>
        <w:bottom w:val="none" w:sz="0" w:space="0" w:color="auto"/>
        <w:right w:val="none" w:sz="0" w:space="0" w:color="auto"/>
      </w:divBdr>
    </w:div>
    <w:div w:id="683047947">
      <w:bodyDiv w:val="1"/>
      <w:marLeft w:val="0"/>
      <w:marRight w:val="0"/>
      <w:marTop w:val="0"/>
      <w:marBottom w:val="0"/>
      <w:divBdr>
        <w:top w:val="none" w:sz="0" w:space="0" w:color="auto"/>
        <w:left w:val="none" w:sz="0" w:space="0" w:color="auto"/>
        <w:bottom w:val="none" w:sz="0" w:space="0" w:color="auto"/>
        <w:right w:val="none" w:sz="0" w:space="0" w:color="auto"/>
      </w:divBdr>
    </w:div>
    <w:div w:id="691106044">
      <w:bodyDiv w:val="1"/>
      <w:marLeft w:val="0"/>
      <w:marRight w:val="0"/>
      <w:marTop w:val="0"/>
      <w:marBottom w:val="0"/>
      <w:divBdr>
        <w:top w:val="none" w:sz="0" w:space="0" w:color="auto"/>
        <w:left w:val="none" w:sz="0" w:space="0" w:color="auto"/>
        <w:bottom w:val="none" w:sz="0" w:space="0" w:color="auto"/>
        <w:right w:val="none" w:sz="0" w:space="0" w:color="auto"/>
      </w:divBdr>
    </w:div>
    <w:div w:id="709307393">
      <w:bodyDiv w:val="1"/>
      <w:marLeft w:val="0"/>
      <w:marRight w:val="0"/>
      <w:marTop w:val="0"/>
      <w:marBottom w:val="0"/>
      <w:divBdr>
        <w:top w:val="none" w:sz="0" w:space="0" w:color="auto"/>
        <w:left w:val="none" w:sz="0" w:space="0" w:color="auto"/>
        <w:bottom w:val="none" w:sz="0" w:space="0" w:color="auto"/>
        <w:right w:val="none" w:sz="0" w:space="0" w:color="auto"/>
      </w:divBdr>
    </w:div>
    <w:div w:id="712651526">
      <w:bodyDiv w:val="1"/>
      <w:marLeft w:val="0"/>
      <w:marRight w:val="0"/>
      <w:marTop w:val="0"/>
      <w:marBottom w:val="0"/>
      <w:divBdr>
        <w:top w:val="none" w:sz="0" w:space="0" w:color="auto"/>
        <w:left w:val="none" w:sz="0" w:space="0" w:color="auto"/>
        <w:bottom w:val="none" w:sz="0" w:space="0" w:color="auto"/>
        <w:right w:val="none" w:sz="0" w:space="0" w:color="auto"/>
      </w:divBdr>
    </w:div>
    <w:div w:id="728849335">
      <w:bodyDiv w:val="1"/>
      <w:marLeft w:val="0"/>
      <w:marRight w:val="0"/>
      <w:marTop w:val="0"/>
      <w:marBottom w:val="0"/>
      <w:divBdr>
        <w:top w:val="none" w:sz="0" w:space="0" w:color="auto"/>
        <w:left w:val="none" w:sz="0" w:space="0" w:color="auto"/>
        <w:bottom w:val="none" w:sz="0" w:space="0" w:color="auto"/>
        <w:right w:val="none" w:sz="0" w:space="0" w:color="auto"/>
      </w:divBdr>
    </w:div>
    <w:div w:id="738402199">
      <w:bodyDiv w:val="1"/>
      <w:marLeft w:val="0"/>
      <w:marRight w:val="0"/>
      <w:marTop w:val="0"/>
      <w:marBottom w:val="0"/>
      <w:divBdr>
        <w:top w:val="none" w:sz="0" w:space="0" w:color="auto"/>
        <w:left w:val="none" w:sz="0" w:space="0" w:color="auto"/>
        <w:bottom w:val="none" w:sz="0" w:space="0" w:color="auto"/>
        <w:right w:val="none" w:sz="0" w:space="0" w:color="auto"/>
      </w:divBdr>
    </w:div>
    <w:div w:id="758716861">
      <w:bodyDiv w:val="1"/>
      <w:marLeft w:val="0"/>
      <w:marRight w:val="0"/>
      <w:marTop w:val="0"/>
      <w:marBottom w:val="0"/>
      <w:divBdr>
        <w:top w:val="none" w:sz="0" w:space="0" w:color="auto"/>
        <w:left w:val="none" w:sz="0" w:space="0" w:color="auto"/>
        <w:bottom w:val="none" w:sz="0" w:space="0" w:color="auto"/>
        <w:right w:val="none" w:sz="0" w:space="0" w:color="auto"/>
      </w:divBdr>
    </w:div>
    <w:div w:id="762461445">
      <w:bodyDiv w:val="1"/>
      <w:marLeft w:val="0"/>
      <w:marRight w:val="0"/>
      <w:marTop w:val="0"/>
      <w:marBottom w:val="0"/>
      <w:divBdr>
        <w:top w:val="none" w:sz="0" w:space="0" w:color="auto"/>
        <w:left w:val="none" w:sz="0" w:space="0" w:color="auto"/>
        <w:bottom w:val="none" w:sz="0" w:space="0" w:color="auto"/>
        <w:right w:val="none" w:sz="0" w:space="0" w:color="auto"/>
      </w:divBdr>
    </w:div>
    <w:div w:id="768047318">
      <w:bodyDiv w:val="1"/>
      <w:marLeft w:val="0"/>
      <w:marRight w:val="0"/>
      <w:marTop w:val="0"/>
      <w:marBottom w:val="0"/>
      <w:divBdr>
        <w:top w:val="none" w:sz="0" w:space="0" w:color="auto"/>
        <w:left w:val="none" w:sz="0" w:space="0" w:color="auto"/>
        <w:bottom w:val="none" w:sz="0" w:space="0" w:color="auto"/>
        <w:right w:val="none" w:sz="0" w:space="0" w:color="auto"/>
      </w:divBdr>
    </w:div>
    <w:div w:id="789014467">
      <w:bodyDiv w:val="1"/>
      <w:marLeft w:val="0"/>
      <w:marRight w:val="0"/>
      <w:marTop w:val="0"/>
      <w:marBottom w:val="0"/>
      <w:divBdr>
        <w:top w:val="none" w:sz="0" w:space="0" w:color="auto"/>
        <w:left w:val="none" w:sz="0" w:space="0" w:color="auto"/>
        <w:bottom w:val="none" w:sz="0" w:space="0" w:color="auto"/>
        <w:right w:val="none" w:sz="0" w:space="0" w:color="auto"/>
      </w:divBdr>
    </w:div>
    <w:div w:id="794755868">
      <w:bodyDiv w:val="1"/>
      <w:marLeft w:val="0"/>
      <w:marRight w:val="0"/>
      <w:marTop w:val="0"/>
      <w:marBottom w:val="0"/>
      <w:divBdr>
        <w:top w:val="none" w:sz="0" w:space="0" w:color="auto"/>
        <w:left w:val="none" w:sz="0" w:space="0" w:color="auto"/>
        <w:bottom w:val="none" w:sz="0" w:space="0" w:color="auto"/>
        <w:right w:val="none" w:sz="0" w:space="0" w:color="auto"/>
      </w:divBdr>
    </w:div>
    <w:div w:id="811873392">
      <w:bodyDiv w:val="1"/>
      <w:marLeft w:val="0"/>
      <w:marRight w:val="0"/>
      <w:marTop w:val="0"/>
      <w:marBottom w:val="0"/>
      <w:divBdr>
        <w:top w:val="none" w:sz="0" w:space="0" w:color="auto"/>
        <w:left w:val="none" w:sz="0" w:space="0" w:color="auto"/>
        <w:bottom w:val="none" w:sz="0" w:space="0" w:color="auto"/>
        <w:right w:val="none" w:sz="0" w:space="0" w:color="auto"/>
      </w:divBdr>
    </w:div>
    <w:div w:id="823855862">
      <w:bodyDiv w:val="1"/>
      <w:marLeft w:val="0"/>
      <w:marRight w:val="0"/>
      <w:marTop w:val="0"/>
      <w:marBottom w:val="0"/>
      <w:divBdr>
        <w:top w:val="none" w:sz="0" w:space="0" w:color="auto"/>
        <w:left w:val="none" w:sz="0" w:space="0" w:color="auto"/>
        <w:bottom w:val="none" w:sz="0" w:space="0" w:color="auto"/>
        <w:right w:val="none" w:sz="0" w:space="0" w:color="auto"/>
      </w:divBdr>
    </w:div>
    <w:div w:id="834339170">
      <w:bodyDiv w:val="1"/>
      <w:marLeft w:val="0"/>
      <w:marRight w:val="0"/>
      <w:marTop w:val="0"/>
      <w:marBottom w:val="0"/>
      <w:divBdr>
        <w:top w:val="none" w:sz="0" w:space="0" w:color="auto"/>
        <w:left w:val="none" w:sz="0" w:space="0" w:color="auto"/>
        <w:bottom w:val="none" w:sz="0" w:space="0" w:color="auto"/>
        <w:right w:val="none" w:sz="0" w:space="0" w:color="auto"/>
      </w:divBdr>
    </w:div>
    <w:div w:id="875237746">
      <w:bodyDiv w:val="1"/>
      <w:marLeft w:val="0"/>
      <w:marRight w:val="0"/>
      <w:marTop w:val="0"/>
      <w:marBottom w:val="0"/>
      <w:divBdr>
        <w:top w:val="none" w:sz="0" w:space="0" w:color="auto"/>
        <w:left w:val="none" w:sz="0" w:space="0" w:color="auto"/>
        <w:bottom w:val="none" w:sz="0" w:space="0" w:color="auto"/>
        <w:right w:val="none" w:sz="0" w:space="0" w:color="auto"/>
      </w:divBdr>
    </w:div>
    <w:div w:id="876814664">
      <w:bodyDiv w:val="1"/>
      <w:marLeft w:val="0"/>
      <w:marRight w:val="0"/>
      <w:marTop w:val="0"/>
      <w:marBottom w:val="0"/>
      <w:divBdr>
        <w:top w:val="none" w:sz="0" w:space="0" w:color="auto"/>
        <w:left w:val="none" w:sz="0" w:space="0" w:color="auto"/>
        <w:bottom w:val="none" w:sz="0" w:space="0" w:color="auto"/>
        <w:right w:val="none" w:sz="0" w:space="0" w:color="auto"/>
      </w:divBdr>
    </w:div>
    <w:div w:id="881748771">
      <w:bodyDiv w:val="1"/>
      <w:marLeft w:val="0"/>
      <w:marRight w:val="0"/>
      <w:marTop w:val="0"/>
      <w:marBottom w:val="0"/>
      <w:divBdr>
        <w:top w:val="none" w:sz="0" w:space="0" w:color="auto"/>
        <w:left w:val="none" w:sz="0" w:space="0" w:color="auto"/>
        <w:bottom w:val="none" w:sz="0" w:space="0" w:color="auto"/>
        <w:right w:val="none" w:sz="0" w:space="0" w:color="auto"/>
      </w:divBdr>
    </w:div>
    <w:div w:id="900022481">
      <w:bodyDiv w:val="1"/>
      <w:marLeft w:val="0"/>
      <w:marRight w:val="0"/>
      <w:marTop w:val="0"/>
      <w:marBottom w:val="0"/>
      <w:divBdr>
        <w:top w:val="none" w:sz="0" w:space="0" w:color="auto"/>
        <w:left w:val="none" w:sz="0" w:space="0" w:color="auto"/>
        <w:bottom w:val="none" w:sz="0" w:space="0" w:color="auto"/>
        <w:right w:val="none" w:sz="0" w:space="0" w:color="auto"/>
      </w:divBdr>
    </w:div>
    <w:div w:id="901215595">
      <w:bodyDiv w:val="1"/>
      <w:marLeft w:val="0"/>
      <w:marRight w:val="0"/>
      <w:marTop w:val="0"/>
      <w:marBottom w:val="0"/>
      <w:divBdr>
        <w:top w:val="none" w:sz="0" w:space="0" w:color="auto"/>
        <w:left w:val="none" w:sz="0" w:space="0" w:color="auto"/>
        <w:bottom w:val="none" w:sz="0" w:space="0" w:color="auto"/>
        <w:right w:val="none" w:sz="0" w:space="0" w:color="auto"/>
      </w:divBdr>
    </w:div>
    <w:div w:id="902259194">
      <w:bodyDiv w:val="1"/>
      <w:marLeft w:val="0"/>
      <w:marRight w:val="0"/>
      <w:marTop w:val="0"/>
      <w:marBottom w:val="0"/>
      <w:divBdr>
        <w:top w:val="none" w:sz="0" w:space="0" w:color="auto"/>
        <w:left w:val="none" w:sz="0" w:space="0" w:color="auto"/>
        <w:bottom w:val="none" w:sz="0" w:space="0" w:color="auto"/>
        <w:right w:val="none" w:sz="0" w:space="0" w:color="auto"/>
      </w:divBdr>
    </w:div>
    <w:div w:id="905144721">
      <w:bodyDiv w:val="1"/>
      <w:marLeft w:val="0"/>
      <w:marRight w:val="0"/>
      <w:marTop w:val="0"/>
      <w:marBottom w:val="0"/>
      <w:divBdr>
        <w:top w:val="none" w:sz="0" w:space="0" w:color="auto"/>
        <w:left w:val="none" w:sz="0" w:space="0" w:color="auto"/>
        <w:bottom w:val="none" w:sz="0" w:space="0" w:color="auto"/>
        <w:right w:val="none" w:sz="0" w:space="0" w:color="auto"/>
      </w:divBdr>
      <w:divsChild>
        <w:div w:id="1933707906">
          <w:marLeft w:val="0"/>
          <w:marRight w:val="0"/>
          <w:marTop w:val="0"/>
          <w:marBottom w:val="0"/>
          <w:divBdr>
            <w:top w:val="none" w:sz="0" w:space="0" w:color="auto"/>
            <w:left w:val="none" w:sz="0" w:space="0" w:color="auto"/>
            <w:bottom w:val="none" w:sz="0" w:space="0" w:color="auto"/>
            <w:right w:val="none" w:sz="0" w:space="0" w:color="auto"/>
          </w:divBdr>
          <w:divsChild>
            <w:div w:id="662855623">
              <w:marLeft w:val="0"/>
              <w:marRight w:val="0"/>
              <w:marTop w:val="0"/>
              <w:marBottom w:val="0"/>
              <w:divBdr>
                <w:top w:val="none" w:sz="0" w:space="0" w:color="auto"/>
                <w:left w:val="none" w:sz="0" w:space="0" w:color="auto"/>
                <w:bottom w:val="none" w:sz="0" w:space="0" w:color="auto"/>
                <w:right w:val="none" w:sz="0" w:space="0" w:color="auto"/>
              </w:divBdr>
              <w:divsChild>
                <w:div w:id="185121616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928584349">
      <w:bodyDiv w:val="1"/>
      <w:marLeft w:val="0"/>
      <w:marRight w:val="0"/>
      <w:marTop w:val="0"/>
      <w:marBottom w:val="0"/>
      <w:divBdr>
        <w:top w:val="none" w:sz="0" w:space="0" w:color="auto"/>
        <w:left w:val="none" w:sz="0" w:space="0" w:color="auto"/>
        <w:bottom w:val="none" w:sz="0" w:space="0" w:color="auto"/>
        <w:right w:val="none" w:sz="0" w:space="0" w:color="auto"/>
      </w:divBdr>
    </w:div>
    <w:div w:id="939800916">
      <w:bodyDiv w:val="1"/>
      <w:marLeft w:val="0"/>
      <w:marRight w:val="0"/>
      <w:marTop w:val="0"/>
      <w:marBottom w:val="0"/>
      <w:divBdr>
        <w:top w:val="none" w:sz="0" w:space="0" w:color="auto"/>
        <w:left w:val="none" w:sz="0" w:space="0" w:color="auto"/>
        <w:bottom w:val="none" w:sz="0" w:space="0" w:color="auto"/>
        <w:right w:val="none" w:sz="0" w:space="0" w:color="auto"/>
      </w:divBdr>
    </w:div>
    <w:div w:id="947590416">
      <w:bodyDiv w:val="1"/>
      <w:marLeft w:val="0"/>
      <w:marRight w:val="0"/>
      <w:marTop w:val="0"/>
      <w:marBottom w:val="0"/>
      <w:divBdr>
        <w:top w:val="none" w:sz="0" w:space="0" w:color="auto"/>
        <w:left w:val="none" w:sz="0" w:space="0" w:color="auto"/>
        <w:bottom w:val="none" w:sz="0" w:space="0" w:color="auto"/>
        <w:right w:val="none" w:sz="0" w:space="0" w:color="auto"/>
      </w:divBdr>
    </w:div>
    <w:div w:id="953711969">
      <w:bodyDiv w:val="1"/>
      <w:marLeft w:val="0"/>
      <w:marRight w:val="0"/>
      <w:marTop w:val="0"/>
      <w:marBottom w:val="0"/>
      <w:divBdr>
        <w:top w:val="none" w:sz="0" w:space="0" w:color="auto"/>
        <w:left w:val="none" w:sz="0" w:space="0" w:color="auto"/>
        <w:bottom w:val="none" w:sz="0" w:space="0" w:color="auto"/>
        <w:right w:val="none" w:sz="0" w:space="0" w:color="auto"/>
      </w:divBdr>
      <w:divsChild>
        <w:div w:id="2126072478">
          <w:marLeft w:val="0"/>
          <w:marRight w:val="0"/>
          <w:marTop w:val="0"/>
          <w:marBottom w:val="0"/>
          <w:divBdr>
            <w:top w:val="none" w:sz="0" w:space="0" w:color="auto"/>
            <w:left w:val="none" w:sz="0" w:space="0" w:color="auto"/>
            <w:bottom w:val="none" w:sz="0" w:space="0" w:color="auto"/>
            <w:right w:val="none" w:sz="0" w:space="0" w:color="auto"/>
          </w:divBdr>
          <w:divsChild>
            <w:div w:id="1104181383">
              <w:marLeft w:val="0"/>
              <w:marRight w:val="0"/>
              <w:marTop w:val="0"/>
              <w:marBottom w:val="0"/>
              <w:divBdr>
                <w:top w:val="none" w:sz="0" w:space="0" w:color="auto"/>
                <w:left w:val="none" w:sz="0" w:space="0" w:color="auto"/>
                <w:bottom w:val="none" w:sz="0" w:space="0" w:color="auto"/>
                <w:right w:val="none" w:sz="0" w:space="0" w:color="auto"/>
              </w:divBdr>
              <w:divsChild>
                <w:div w:id="1693989910">
                  <w:marLeft w:val="-75"/>
                  <w:marRight w:val="-75"/>
                  <w:marTop w:val="0"/>
                  <w:marBottom w:val="0"/>
                  <w:divBdr>
                    <w:top w:val="none" w:sz="0" w:space="0" w:color="auto"/>
                    <w:left w:val="none" w:sz="0" w:space="0" w:color="auto"/>
                    <w:bottom w:val="none" w:sz="0" w:space="0" w:color="auto"/>
                    <w:right w:val="none" w:sz="0" w:space="0" w:color="auto"/>
                  </w:divBdr>
                  <w:divsChild>
                    <w:div w:id="913008730">
                      <w:marLeft w:val="0"/>
                      <w:marRight w:val="0"/>
                      <w:marTop w:val="0"/>
                      <w:marBottom w:val="0"/>
                      <w:divBdr>
                        <w:top w:val="none" w:sz="0" w:space="0" w:color="auto"/>
                        <w:left w:val="none" w:sz="0" w:space="0" w:color="auto"/>
                        <w:bottom w:val="none" w:sz="0" w:space="0" w:color="auto"/>
                        <w:right w:val="none" w:sz="0" w:space="0" w:color="auto"/>
                      </w:divBdr>
                      <w:divsChild>
                        <w:div w:id="176430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15461">
      <w:bodyDiv w:val="1"/>
      <w:marLeft w:val="0"/>
      <w:marRight w:val="0"/>
      <w:marTop w:val="0"/>
      <w:marBottom w:val="0"/>
      <w:divBdr>
        <w:top w:val="none" w:sz="0" w:space="0" w:color="auto"/>
        <w:left w:val="none" w:sz="0" w:space="0" w:color="auto"/>
        <w:bottom w:val="none" w:sz="0" w:space="0" w:color="auto"/>
        <w:right w:val="none" w:sz="0" w:space="0" w:color="auto"/>
      </w:divBdr>
    </w:div>
    <w:div w:id="1020814598">
      <w:bodyDiv w:val="1"/>
      <w:marLeft w:val="0"/>
      <w:marRight w:val="0"/>
      <w:marTop w:val="0"/>
      <w:marBottom w:val="0"/>
      <w:divBdr>
        <w:top w:val="none" w:sz="0" w:space="0" w:color="auto"/>
        <w:left w:val="none" w:sz="0" w:space="0" w:color="auto"/>
        <w:bottom w:val="none" w:sz="0" w:space="0" w:color="auto"/>
        <w:right w:val="none" w:sz="0" w:space="0" w:color="auto"/>
      </w:divBdr>
    </w:div>
    <w:div w:id="1030913909">
      <w:bodyDiv w:val="1"/>
      <w:marLeft w:val="0"/>
      <w:marRight w:val="0"/>
      <w:marTop w:val="0"/>
      <w:marBottom w:val="0"/>
      <w:divBdr>
        <w:top w:val="none" w:sz="0" w:space="0" w:color="auto"/>
        <w:left w:val="none" w:sz="0" w:space="0" w:color="auto"/>
        <w:bottom w:val="none" w:sz="0" w:space="0" w:color="auto"/>
        <w:right w:val="none" w:sz="0" w:space="0" w:color="auto"/>
      </w:divBdr>
    </w:div>
    <w:div w:id="1052073608">
      <w:bodyDiv w:val="1"/>
      <w:marLeft w:val="0"/>
      <w:marRight w:val="0"/>
      <w:marTop w:val="0"/>
      <w:marBottom w:val="0"/>
      <w:divBdr>
        <w:top w:val="none" w:sz="0" w:space="0" w:color="auto"/>
        <w:left w:val="none" w:sz="0" w:space="0" w:color="auto"/>
        <w:bottom w:val="none" w:sz="0" w:space="0" w:color="auto"/>
        <w:right w:val="none" w:sz="0" w:space="0" w:color="auto"/>
      </w:divBdr>
      <w:divsChild>
        <w:div w:id="430663972">
          <w:marLeft w:val="0"/>
          <w:marRight w:val="0"/>
          <w:marTop w:val="0"/>
          <w:marBottom w:val="0"/>
          <w:divBdr>
            <w:top w:val="none" w:sz="0" w:space="0" w:color="auto"/>
            <w:left w:val="none" w:sz="0" w:space="0" w:color="auto"/>
            <w:bottom w:val="none" w:sz="0" w:space="0" w:color="auto"/>
            <w:right w:val="none" w:sz="0" w:space="0" w:color="auto"/>
          </w:divBdr>
          <w:divsChild>
            <w:div w:id="1541477191">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090588565">
      <w:bodyDiv w:val="1"/>
      <w:marLeft w:val="0"/>
      <w:marRight w:val="0"/>
      <w:marTop w:val="0"/>
      <w:marBottom w:val="0"/>
      <w:divBdr>
        <w:top w:val="none" w:sz="0" w:space="0" w:color="auto"/>
        <w:left w:val="none" w:sz="0" w:space="0" w:color="auto"/>
        <w:bottom w:val="none" w:sz="0" w:space="0" w:color="auto"/>
        <w:right w:val="none" w:sz="0" w:space="0" w:color="auto"/>
      </w:divBdr>
    </w:div>
    <w:div w:id="1091776579">
      <w:bodyDiv w:val="1"/>
      <w:marLeft w:val="0"/>
      <w:marRight w:val="0"/>
      <w:marTop w:val="0"/>
      <w:marBottom w:val="0"/>
      <w:divBdr>
        <w:top w:val="none" w:sz="0" w:space="0" w:color="auto"/>
        <w:left w:val="none" w:sz="0" w:space="0" w:color="auto"/>
        <w:bottom w:val="none" w:sz="0" w:space="0" w:color="auto"/>
        <w:right w:val="none" w:sz="0" w:space="0" w:color="auto"/>
      </w:divBdr>
    </w:div>
    <w:div w:id="1093937608">
      <w:bodyDiv w:val="1"/>
      <w:marLeft w:val="0"/>
      <w:marRight w:val="0"/>
      <w:marTop w:val="0"/>
      <w:marBottom w:val="0"/>
      <w:divBdr>
        <w:top w:val="none" w:sz="0" w:space="0" w:color="auto"/>
        <w:left w:val="none" w:sz="0" w:space="0" w:color="auto"/>
        <w:bottom w:val="none" w:sz="0" w:space="0" w:color="auto"/>
        <w:right w:val="none" w:sz="0" w:space="0" w:color="auto"/>
      </w:divBdr>
    </w:div>
    <w:div w:id="1129013253">
      <w:bodyDiv w:val="1"/>
      <w:marLeft w:val="0"/>
      <w:marRight w:val="0"/>
      <w:marTop w:val="0"/>
      <w:marBottom w:val="0"/>
      <w:divBdr>
        <w:top w:val="none" w:sz="0" w:space="0" w:color="auto"/>
        <w:left w:val="none" w:sz="0" w:space="0" w:color="auto"/>
        <w:bottom w:val="none" w:sz="0" w:space="0" w:color="auto"/>
        <w:right w:val="none" w:sz="0" w:space="0" w:color="auto"/>
      </w:divBdr>
    </w:div>
    <w:div w:id="1133013684">
      <w:bodyDiv w:val="1"/>
      <w:marLeft w:val="0"/>
      <w:marRight w:val="0"/>
      <w:marTop w:val="0"/>
      <w:marBottom w:val="0"/>
      <w:divBdr>
        <w:top w:val="none" w:sz="0" w:space="0" w:color="auto"/>
        <w:left w:val="none" w:sz="0" w:space="0" w:color="auto"/>
        <w:bottom w:val="none" w:sz="0" w:space="0" w:color="auto"/>
        <w:right w:val="none" w:sz="0" w:space="0" w:color="auto"/>
      </w:divBdr>
    </w:div>
    <w:div w:id="1170483349">
      <w:bodyDiv w:val="1"/>
      <w:marLeft w:val="0"/>
      <w:marRight w:val="0"/>
      <w:marTop w:val="0"/>
      <w:marBottom w:val="0"/>
      <w:divBdr>
        <w:top w:val="none" w:sz="0" w:space="0" w:color="auto"/>
        <w:left w:val="none" w:sz="0" w:space="0" w:color="auto"/>
        <w:bottom w:val="none" w:sz="0" w:space="0" w:color="auto"/>
        <w:right w:val="none" w:sz="0" w:space="0" w:color="auto"/>
      </w:divBdr>
    </w:div>
    <w:div w:id="1173376423">
      <w:bodyDiv w:val="1"/>
      <w:marLeft w:val="0"/>
      <w:marRight w:val="0"/>
      <w:marTop w:val="0"/>
      <w:marBottom w:val="0"/>
      <w:divBdr>
        <w:top w:val="none" w:sz="0" w:space="0" w:color="auto"/>
        <w:left w:val="none" w:sz="0" w:space="0" w:color="auto"/>
        <w:bottom w:val="none" w:sz="0" w:space="0" w:color="auto"/>
        <w:right w:val="none" w:sz="0" w:space="0" w:color="auto"/>
      </w:divBdr>
    </w:div>
    <w:div w:id="1197768395">
      <w:bodyDiv w:val="1"/>
      <w:marLeft w:val="0"/>
      <w:marRight w:val="0"/>
      <w:marTop w:val="0"/>
      <w:marBottom w:val="0"/>
      <w:divBdr>
        <w:top w:val="none" w:sz="0" w:space="0" w:color="auto"/>
        <w:left w:val="none" w:sz="0" w:space="0" w:color="auto"/>
        <w:bottom w:val="none" w:sz="0" w:space="0" w:color="auto"/>
        <w:right w:val="none" w:sz="0" w:space="0" w:color="auto"/>
      </w:divBdr>
    </w:div>
    <w:div w:id="1206059961">
      <w:bodyDiv w:val="1"/>
      <w:marLeft w:val="0"/>
      <w:marRight w:val="0"/>
      <w:marTop w:val="0"/>
      <w:marBottom w:val="0"/>
      <w:divBdr>
        <w:top w:val="none" w:sz="0" w:space="0" w:color="auto"/>
        <w:left w:val="none" w:sz="0" w:space="0" w:color="auto"/>
        <w:bottom w:val="none" w:sz="0" w:space="0" w:color="auto"/>
        <w:right w:val="none" w:sz="0" w:space="0" w:color="auto"/>
      </w:divBdr>
    </w:div>
    <w:div w:id="1211845498">
      <w:bodyDiv w:val="1"/>
      <w:marLeft w:val="0"/>
      <w:marRight w:val="0"/>
      <w:marTop w:val="0"/>
      <w:marBottom w:val="0"/>
      <w:divBdr>
        <w:top w:val="none" w:sz="0" w:space="0" w:color="auto"/>
        <w:left w:val="none" w:sz="0" w:space="0" w:color="auto"/>
        <w:bottom w:val="none" w:sz="0" w:space="0" w:color="auto"/>
        <w:right w:val="none" w:sz="0" w:space="0" w:color="auto"/>
      </w:divBdr>
    </w:div>
    <w:div w:id="1220674378">
      <w:bodyDiv w:val="1"/>
      <w:marLeft w:val="0"/>
      <w:marRight w:val="0"/>
      <w:marTop w:val="0"/>
      <w:marBottom w:val="0"/>
      <w:divBdr>
        <w:top w:val="none" w:sz="0" w:space="0" w:color="auto"/>
        <w:left w:val="none" w:sz="0" w:space="0" w:color="auto"/>
        <w:bottom w:val="none" w:sz="0" w:space="0" w:color="auto"/>
        <w:right w:val="none" w:sz="0" w:space="0" w:color="auto"/>
      </w:divBdr>
      <w:divsChild>
        <w:div w:id="681395370">
          <w:marLeft w:val="0"/>
          <w:marRight w:val="0"/>
          <w:marTop w:val="0"/>
          <w:marBottom w:val="0"/>
          <w:divBdr>
            <w:top w:val="none" w:sz="0" w:space="0" w:color="auto"/>
            <w:left w:val="none" w:sz="0" w:space="0" w:color="auto"/>
            <w:bottom w:val="none" w:sz="0" w:space="0" w:color="auto"/>
            <w:right w:val="none" w:sz="0" w:space="0" w:color="auto"/>
          </w:divBdr>
          <w:divsChild>
            <w:div w:id="195974444">
              <w:marLeft w:val="0"/>
              <w:marRight w:val="0"/>
              <w:marTop w:val="0"/>
              <w:marBottom w:val="0"/>
              <w:divBdr>
                <w:top w:val="none" w:sz="0" w:space="0" w:color="auto"/>
                <w:left w:val="none" w:sz="0" w:space="0" w:color="auto"/>
                <w:bottom w:val="none" w:sz="0" w:space="0" w:color="auto"/>
                <w:right w:val="none" w:sz="0" w:space="0" w:color="auto"/>
              </w:divBdr>
              <w:divsChild>
                <w:div w:id="1468206328">
                  <w:marLeft w:val="0"/>
                  <w:marRight w:val="0"/>
                  <w:marTop w:val="0"/>
                  <w:marBottom w:val="0"/>
                  <w:divBdr>
                    <w:top w:val="none" w:sz="0" w:space="0" w:color="auto"/>
                    <w:left w:val="none" w:sz="0" w:space="0" w:color="auto"/>
                    <w:bottom w:val="none" w:sz="0" w:space="0" w:color="auto"/>
                    <w:right w:val="none" w:sz="0" w:space="0" w:color="auto"/>
                  </w:divBdr>
                  <w:divsChild>
                    <w:div w:id="195048567">
                      <w:marLeft w:val="0"/>
                      <w:marRight w:val="0"/>
                      <w:marTop w:val="0"/>
                      <w:marBottom w:val="0"/>
                      <w:divBdr>
                        <w:top w:val="none" w:sz="0" w:space="0" w:color="auto"/>
                        <w:left w:val="none" w:sz="0" w:space="0" w:color="auto"/>
                        <w:bottom w:val="none" w:sz="0" w:space="0" w:color="auto"/>
                        <w:right w:val="none" w:sz="0" w:space="0" w:color="auto"/>
                      </w:divBdr>
                      <w:divsChild>
                        <w:div w:id="1378119905">
                          <w:marLeft w:val="0"/>
                          <w:marRight w:val="0"/>
                          <w:marTop w:val="0"/>
                          <w:marBottom w:val="0"/>
                          <w:divBdr>
                            <w:top w:val="none" w:sz="0" w:space="0" w:color="auto"/>
                            <w:left w:val="none" w:sz="0" w:space="0" w:color="auto"/>
                            <w:bottom w:val="none" w:sz="0" w:space="0" w:color="auto"/>
                            <w:right w:val="none" w:sz="0" w:space="0" w:color="auto"/>
                          </w:divBdr>
                          <w:divsChild>
                            <w:div w:id="1762797740">
                              <w:marLeft w:val="0"/>
                              <w:marRight w:val="0"/>
                              <w:marTop w:val="0"/>
                              <w:marBottom w:val="0"/>
                              <w:divBdr>
                                <w:top w:val="none" w:sz="0" w:space="0" w:color="auto"/>
                                <w:left w:val="none" w:sz="0" w:space="0" w:color="auto"/>
                                <w:bottom w:val="none" w:sz="0" w:space="0" w:color="auto"/>
                                <w:right w:val="none" w:sz="0" w:space="0" w:color="auto"/>
                              </w:divBdr>
                              <w:divsChild>
                                <w:div w:id="345061636">
                                  <w:marLeft w:val="0"/>
                                  <w:marRight w:val="0"/>
                                  <w:marTop w:val="0"/>
                                  <w:marBottom w:val="0"/>
                                  <w:divBdr>
                                    <w:top w:val="none" w:sz="0" w:space="0" w:color="auto"/>
                                    <w:left w:val="none" w:sz="0" w:space="0" w:color="auto"/>
                                    <w:bottom w:val="none" w:sz="0" w:space="0" w:color="auto"/>
                                    <w:right w:val="none" w:sz="0" w:space="0" w:color="auto"/>
                                  </w:divBdr>
                                  <w:divsChild>
                                    <w:div w:id="3650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37757">
      <w:bodyDiv w:val="1"/>
      <w:marLeft w:val="0"/>
      <w:marRight w:val="0"/>
      <w:marTop w:val="0"/>
      <w:marBottom w:val="0"/>
      <w:divBdr>
        <w:top w:val="none" w:sz="0" w:space="0" w:color="auto"/>
        <w:left w:val="none" w:sz="0" w:space="0" w:color="auto"/>
        <w:bottom w:val="none" w:sz="0" w:space="0" w:color="auto"/>
        <w:right w:val="none" w:sz="0" w:space="0" w:color="auto"/>
      </w:divBdr>
    </w:div>
    <w:div w:id="1227689533">
      <w:bodyDiv w:val="1"/>
      <w:marLeft w:val="0"/>
      <w:marRight w:val="0"/>
      <w:marTop w:val="0"/>
      <w:marBottom w:val="0"/>
      <w:divBdr>
        <w:top w:val="none" w:sz="0" w:space="0" w:color="auto"/>
        <w:left w:val="none" w:sz="0" w:space="0" w:color="auto"/>
        <w:bottom w:val="none" w:sz="0" w:space="0" w:color="auto"/>
        <w:right w:val="none" w:sz="0" w:space="0" w:color="auto"/>
      </w:divBdr>
    </w:div>
    <w:div w:id="1241603470">
      <w:bodyDiv w:val="1"/>
      <w:marLeft w:val="0"/>
      <w:marRight w:val="0"/>
      <w:marTop w:val="0"/>
      <w:marBottom w:val="0"/>
      <w:divBdr>
        <w:top w:val="none" w:sz="0" w:space="0" w:color="auto"/>
        <w:left w:val="none" w:sz="0" w:space="0" w:color="auto"/>
        <w:bottom w:val="none" w:sz="0" w:space="0" w:color="auto"/>
        <w:right w:val="none" w:sz="0" w:space="0" w:color="auto"/>
      </w:divBdr>
      <w:divsChild>
        <w:div w:id="304823913">
          <w:marLeft w:val="0"/>
          <w:marRight w:val="0"/>
          <w:marTop w:val="0"/>
          <w:marBottom w:val="0"/>
          <w:divBdr>
            <w:top w:val="none" w:sz="0" w:space="0" w:color="auto"/>
            <w:left w:val="none" w:sz="0" w:space="0" w:color="auto"/>
            <w:bottom w:val="none" w:sz="0" w:space="0" w:color="auto"/>
            <w:right w:val="none" w:sz="0" w:space="0" w:color="auto"/>
          </w:divBdr>
          <w:divsChild>
            <w:div w:id="1732575833">
              <w:marLeft w:val="0"/>
              <w:marRight w:val="0"/>
              <w:marTop w:val="0"/>
              <w:marBottom w:val="0"/>
              <w:divBdr>
                <w:top w:val="none" w:sz="0" w:space="0" w:color="auto"/>
                <w:left w:val="none" w:sz="0" w:space="0" w:color="auto"/>
                <w:bottom w:val="none" w:sz="0" w:space="0" w:color="auto"/>
                <w:right w:val="none" w:sz="0" w:space="0" w:color="auto"/>
              </w:divBdr>
              <w:divsChild>
                <w:div w:id="1579167867">
                  <w:marLeft w:val="-75"/>
                  <w:marRight w:val="-75"/>
                  <w:marTop w:val="0"/>
                  <w:marBottom w:val="0"/>
                  <w:divBdr>
                    <w:top w:val="none" w:sz="0" w:space="0" w:color="auto"/>
                    <w:left w:val="none" w:sz="0" w:space="0" w:color="auto"/>
                    <w:bottom w:val="none" w:sz="0" w:space="0" w:color="auto"/>
                    <w:right w:val="none" w:sz="0" w:space="0" w:color="auto"/>
                  </w:divBdr>
                  <w:divsChild>
                    <w:div w:id="2013952882">
                      <w:marLeft w:val="0"/>
                      <w:marRight w:val="0"/>
                      <w:marTop w:val="0"/>
                      <w:marBottom w:val="0"/>
                      <w:divBdr>
                        <w:top w:val="none" w:sz="0" w:space="0" w:color="auto"/>
                        <w:left w:val="none" w:sz="0" w:space="0" w:color="auto"/>
                        <w:bottom w:val="none" w:sz="0" w:space="0" w:color="auto"/>
                        <w:right w:val="none" w:sz="0" w:space="0" w:color="auto"/>
                      </w:divBdr>
                      <w:divsChild>
                        <w:div w:id="3995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85293">
      <w:bodyDiv w:val="1"/>
      <w:marLeft w:val="0"/>
      <w:marRight w:val="0"/>
      <w:marTop w:val="0"/>
      <w:marBottom w:val="0"/>
      <w:divBdr>
        <w:top w:val="none" w:sz="0" w:space="0" w:color="auto"/>
        <w:left w:val="none" w:sz="0" w:space="0" w:color="auto"/>
        <w:bottom w:val="none" w:sz="0" w:space="0" w:color="auto"/>
        <w:right w:val="none" w:sz="0" w:space="0" w:color="auto"/>
      </w:divBdr>
    </w:div>
    <w:div w:id="1254977089">
      <w:bodyDiv w:val="1"/>
      <w:marLeft w:val="0"/>
      <w:marRight w:val="0"/>
      <w:marTop w:val="0"/>
      <w:marBottom w:val="0"/>
      <w:divBdr>
        <w:top w:val="none" w:sz="0" w:space="0" w:color="auto"/>
        <w:left w:val="none" w:sz="0" w:space="0" w:color="auto"/>
        <w:bottom w:val="none" w:sz="0" w:space="0" w:color="auto"/>
        <w:right w:val="none" w:sz="0" w:space="0" w:color="auto"/>
      </w:divBdr>
    </w:div>
    <w:div w:id="1272857943">
      <w:bodyDiv w:val="1"/>
      <w:marLeft w:val="0"/>
      <w:marRight w:val="0"/>
      <w:marTop w:val="0"/>
      <w:marBottom w:val="0"/>
      <w:divBdr>
        <w:top w:val="none" w:sz="0" w:space="0" w:color="auto"/>
        <w:left w:val="none" w:sz="0" w:space="0" w:color="auto"/>
        <w:bottom w:val="none" w:sz="0" w:space="0" w:color="auto"/>
        <w:right w:val="none" w:sz="0" w:space="0" w:color="auto"/>
      </w:divBdr>
    </w:div>
    <w:div w:id="1275479462">
      <w:bodyDiv w:val="1"/>
      <w:marLeft w:val="0"/>
      <w:marRight w:val="0"/>
      <w:marTop w:val="0"/>
      <w:marBottom w:val="0"/>
      <w:divBdr>
        <w:top w:val="none" w:sz="0" w:space="0" w:color="auto"/>
        <w:left w:val="none" w:sz="0" w:space="0" w:color="auto"/>
        <w:bottom w:val="none" w:sz="0" w:space="0" w:color="auto"/>
        <w:right w:val="none" w:sz="0" w:space="0" w:color="auto"/>
      </w:divBdr>
    </w:div>
    <w:div w:id="1284727531">
      <w:bodyDiv w:val="1"/>
      <w:marLeft w:val="0"/>
      <w:marRight w:val="0"/>
      <w:marTop w:val="0"/>
      <w:marBottom w:val="0"/>
      <w:divBdr>
        <w:top w:val="none" w:sz="0" w:space="0" w:color="auto"/>
        <w:left w:val="none" w:sz="0" w:space="0" w:color="auto"/>
        <w:bottom w:val="none" w:sz="0" w:space="0" w:color="auto"/>
        <w:right w:val="none" w:sz="0" w:space="0" w:color="auto"/>
      </w:divBdr>
    </w:div>
    <w:div w:id="1284964795">
      <w:bodyDiv w:val="1"/>
      <w:marLeft w:val="0"/>
      <w:marRight w:val="0"/>
      <w:marTop w:val="0"/>
      <w:marBottom w:val="0"/>
      <w:divBdr>
        <w:top w:val="none" w:sz="0" w:space="0" w:color="auto"/>
        <w:left w:val="none" w:sz="0" w:space="0" w:color="auto"/>
        <w:bottom w:val="none" w:sz="0" w:space="0" w:color="auto"/>
        <w:right w:val="none" w:sz="0" w:space="0" w:color="auto"/>
      </w:divBdr>
    </w:div>
    <w:div w:id="1288664299">
      <w:bodyDiv w:val="1"/>
      <w:marLeft w:val="0"/>
      <w:marRight w:val="0"/>
      <w:marTop w:val="0"/>
      <w:marBottom w:val="0"/>
      <w:divBdr>
        <w:top w:val="none" w:sz="0" w:space="0" w:color="auto"/>
        <w:left w:val="none" w:sz="0" w:space="0" w:color="auto"/>
        <w:bottom w:val="none" w:sz="0" w:space="0" w:color="auto"/>
        <w:right w:val="none" w:sz="0" w:space="0" w:color="auto"/>
      </w:divBdr>
    </w:div>
    <w:div w:id="1296637965">
      <w:bodyDiv w:val="1"/>
      <w:marLeft w:val="0"/>
      <w:marRight w:val="0"/>
      <w:marTop w:val="0"/>
      <w:marBottom w:val="0"/>
      <w:divBdr>
        <w:top w:val="none" w:sz="0" w:space="0" w:color="auto"/>
        <w:left w:val="none" w:sz="0" w:space="0" w:color="auto"/>
        <w:bottom w:val="none" w:sz="0" w:space="0" w:color="auto"/>
        <w:right w:val="none" w:sz="0" w:space="0" w:color="auto"/>
      </w:divBdr>
    </w:div>
    <w:div w:id="1301153207">
      <w:bodyDiv w:val="1"/>
      <w:marLeft w:val="0"/>
      <w:marRight w:val="0"/>
      <w:marTop w:val="0"/>
      <w:marBottom w:val="0"/>
      <w:divBdr>
        <w:top w:val="none" w:sz="0" w:space="0" w:color="auto"/>
        <w:left w:val="none" w:sz="0" w:space="0" w:color="auto"/>
        <w:bottom w:val="none" w:sz="0" w:space="0" w:color="auto"/>
        <w:right w:val="none" w:sz="0" w:space="0" w:color="auto"/>
      </w:divBdr>
    </w:div>
    <w:div w:id="1322536503">
      <w:bodyDiv w:val="1"/>
      <w:marLeft w:val="0"/>
      <w:marRight w:val="0"/>
      <w:marTop w:val="0"/>
      <w:marBottom w:val="0"/>
      <w:divBdr>
        <w:top w:val="none" w:sz="0" w:space="0" w:color="auto"/>
        <w:left w:val="none" w:sz="0" w:space="0" w:color="auto"/>
        <w:bottom w:val="none" w:sz="0" w:space="0" w:color="auto"/>
        <w:right w:val="none" w:sz="0" w:space="0" w:color="auto"/>
      </w:divBdr>
    </w:div>
    <w:div w:id="1370911889">
      <w:bodyDiv w:val="1"/>
      <w:marLeft w:val="0"/>
      <w:marRight w:val="0"/>
      <w:marTop w:val="0"/>
      <w:marBottom w:val="0"/>
      <w:divBdr>
        <w:top w:val="none" w:sz="0" w:space="0" w:color="auto"/>
        <w:left w:val="none" w:sz="0" w:space="0" w:color="auto"/>
        <w:bottom w:val="none" w:sz="0" w:space="0" w:color="auto"/>
        <w:right w:val="none" w:sz="0" w:space="0" w:color="auto"/>
      </w:divBdr>
    </w:div>
    <w:div w:id="1383098224">
      <w:bodyDiv w:val="1"/>
      <w:marLeft w:val="0"/>
      <w:marRight w:val="0"/>
      <w:marTop w:val="0"/>
      <w:marBottom w:val="0"/>
      <w:divBdr>
        <w:top w:val="none" w:sz="0" w:space="0" w:color="auto"/>
        <w:left w:val="none" w:sz="0" w:space="0" w:color="auto"/>
        <w:bottom w:val="none" w:sz="0" w:space="0" w:color="auto"/>
        <w:right w:val="none" w:sz="0" w:space="0" w:color="auto"/>
      </w:divBdr>
    </w:div>
    <w:div w:id="1388605763">
      <w:bodyDiv w:val="1"/>
      <w:marLeft w:val="0"/>
      <w:marRight w:val="0"/>
      <w:marTop w:val="0"/>
      <w:marBottom w:val="0"/>
      <w:divBdr>
        <w:top w:val="none" w:sz="0" w:space="0" w:color="auto"/>
        <w:left w:val="none" w:sz="0" w:space="0" w:color="auto"/>
        <w:bottom w:val="none" w:sz="0" w:space="0" w:color="auto"/>
        <w:right w:val="none" w:sz="0" w:space="0" w:color="auto"/>
      </w:divBdr>
    </w:div>
    <w:div w:id="1392656760">
      <w:bodyDiv w:val="1"/>
      <w:marLeft w:val="0"/>
      <w:marRight w:val="0"/>
      <w:marTop w:val="0"/>
      <w:marBottom w:val="0"/>
      <w:divBdr>
        <w:top w:val="none" w:sz="0" w:space="0" w:color="auto"/>
        <w:left w:val="none" w:sz="0" w:space="0" w:color="auto"/>
        <w:bottom w:val="none" w:sz="0" w:space="0" w:color="auto"/>
        <w:right w:val="none" w:sz="0" w:space="0" w:color="auto"/>
      </w:divBdr>
    </w:div>
    <w:div w:id="1399328033">
      <w:bodyDiv w:val="1"/>
      <w:marLeft w:val="0"/>
      <w:marRight w:val="0"/>
      <w:marTop w:val="0"/>
      <w:marBottom w:val="0"/>
      <w:divBdr>
        <w:top w:val="none" w:sz="0" w:space="0" w:color="auto"/>
        <w:left w:val="none" w:sz="0" w:space="0" w:color="auto"/>
        <w:bottom w:val="none" w:sz="0" w:space="0" w:color="auto"/>
        <w:right w:val="none" w:sz="0" w:space="0" w:color="auto"/>
      </w:divBdr>
    </w:div>
    <w:div w:id="1403214600">
      <w:bodyDiv w:val="1"/>
      <w:marLeft w:val="0"/>
      <w:marRight w:val="0"/>
      <w:marTop w:val="0"/>
      <w:marBottom w:val="0"/>
      <w:divBdr>
        <w:top w:val="none" w:sz="0" w:space="0" w:color="auto"/>
        <w:left w:val="none" w:sz="0" w:space="0" w:color="auto"/>
        <w:bottom w:val="none" w:sz="0" w:space="0" w:color="auto"/>
        <w:right w:val="none" w:sz="0" w:space="0" w:color="auto"/>
      </w:divBdr>
    </w:div>
    <w:div w:id="1415200661">
      <w:bodyDiv w:val="1"/>
      <w:marLeft w:val="0"/>
      <w:marRight w:val="0"/>
      <w:marTop w:val="0"/>
      <w:marBottom w:val="0"/>
      <w:divBdr>
        <w:top w:val="none" w:sz="0" w:space="0" w:color="auto"/>
        <w:left w:val="none" w:sz="0" w:space="0" w:color="auto"/>
        <w:bottom w:val="none" w:sz="0" w:space="0" w:color="auto"/>
        <w:right w:val="none" w:sz="0" w:space="0" w:color="auto"/>
      </w:divBdr>
    </w:div>
    <w:div w:id="1423867661">
      <w:bodyDiv w:val="1"/>
      <w:marLeft w:val="0"/>
      <w:marRight w:val="0"/>
      <w:marTop w:val="0"/>
      <w:marBottom w:val="0"/>
      <w:divBdr>
        <w:top w:val="none" w:sz="0" w:space="0" w:color="auto"/>
        <w:left w:val="none" w:sz="0" w:space="0" w:color="auto"/>
        <w:bottom w:val="none" w:sz="0" w:space="0" w:color="auto"/>
        <w:right w:val="none" w:sz="0" w:space="0" w:color="auto"/>
      </w:divBdr>
    </w:div>
    <w:div w:id="1444887511">
      <w:bodyDiv w:val="1"/>
      <w:marLeft w:val="0"/>
      <w:marRight w:val="0"/>
      <w:marTop w:val="0"/>
      <w:marBottom w:val="0"/>
      <w:divBdr>
        <w:top w:val="none" w:sz="0" w:space="0" w:color="auto"/>
        <w:left w:val="none" w:sz="0" w:space="0" w:color="auto"/>
        <w:bottom w:val="none" w:sz="0" w:space="0" w:color="auto"/>
        <w:right w:val="none" w:sz="0" w:space="0" w:color="auto"/>
      </w:divBdr>
    </w:div>
    <w:div w:id="1451784815">
      <w:bodyDiv w:val="1"/>
      <w:marLeft w:val="0"/>
      <w:marRight w:val="0"/>
      <w:marTop w:val="0"/>
      <w:marBottom w:val="0"/>
      <w:divBdr>
        <w:top w:val="none" w:sz="0" w:space="0" w:color="auto"/>
        <w:left w:val="none" w:sz="0" w:space="0" w:color="auto"/>
        <w:bottom w:val="none" w:sz="0" w:space="0" w:color="auto"/>
        <w:right w:val="none" w:sz="0" w:space="0" w:color="auto"/>
      </w:divBdr>
    </w:div>
    <w:div w:id="1459031841">
      <w:bodyDiv w:val="1"/>
      <w:marLeft w:val="0"/>
      <w:marRight w:val="0"/>
      <w:marTop w:val="0"/>
      <w:marBottom w:val="0"/>
      <w:divBdr>
        <w:top w:val="none" w:sz="0" w:space="0" w:color="auto"/>
        <w:left w:val="none" w:sz="0" w:space="0" w:color="auto"/>
        <w:bottom w:val="none" w:sz="0" w:space="0" w:color="auto"/>
        <w:right w:val="none" w:sz="0" w:space="0" w:color="auto"/>
      </w:divBdr>
    </w:div>
    <w:div w:id="1487697780">
      <w:bodyDiv w:val="1"/>
      <w:marLeft w:val="0"/>
      <w:marRight w:val="0"/>
      <w:marTop w:val="0"/>
      <w:marBottom w:val="0"/>
      <w:divBdr>
        <w:top w:val="none" w:sz="0" w:space="0" w:color="auto"/>
        <w:left w:val="none" w:sz="0" w:space="0" w:color="auto"/>
        <w:bottom w:val="none" w:sz="0" w:space="0" w:color="auto"/>
        <w:right w:val="none" w:sz="0" w:space="0" w:color="auto"/>
      </w:divBdr>
    </w:div>
    <w:div w:id="1515222387">
      <w:bodyDiv w:val="1"/>
      <w:marLeft w:val="0"/>
      <w:marRight w:val="0"/>
      <w:marTop w:val="0"/>
      <w:marBottom w:val="0"/>
      <w:divBdr>
        <w:top w:val="none" w:sz="0" w:space="0" w:color="auto"/>
        <w:left w:val="none" w:sz="0" w:space="0" w:color="auto"/>
        <w:bottom w:val="none" w:sz="0" w:space="0" w:color="auto"/>
        <w:right w:val="none" w:sz="0" w:space="0" w:color="auto"/>
      </w:divBdr>
    </w:div>
    <w:div w:id="1536194352">
      <w:bodyDiv w:val="1"/>
      <w:marLeft w:val="0"/>
      <w:marRight w:val="0"/>
      <w:marTop w:val="0"/>
      <w:marBottom w:val="0"/>
      <w:divBdr>
        <w:top w:val="none" w:sz="0" w:space="0" w:color="auto"/>
        <w:left w:val="none" w:sz="0" w:space="0" w:color="auto"/>
        <w:bottom w:val="none" w:sz="0" w:space="0" w:color="auto"/>
        <w:right w:val="none" w:sz="0" w:space="0" w:color="auto"/>
      </w:divBdr>
    </w:div>
    <w:div w:id="1565333215">
      <w:bodyDiv w:val="1"/>
      <w:marLeft w:val="0"/>
      <w:marRight w:val="0"/>
      <w:marTop w:val="0"/>
      <w:marBottom w:val="0"/>
      <w:divBdr>
        <w:top w:val="none" w:sz="0" w:space="0" w:color="auto"/>
        <w:left w:val="none" w:sz="0" w:space="0" w:color="auto"/>
        <w:bottom w:val="none" w:sz="0" w:space="0" w:color="auto"/>
        <w:right w:val="none" w:sz="0" w:space="0" w:color="auto"/>
      </w:divBdr>
    </w:div>
    <w:div w:id="1566141871">
      <w:bodyDiv w:val="1"/>
      <w:marLeft w:val="0"/>
      <w:marRight w:val="0"/>
      <w:marTop w:val="0"/>
      <w:marBottom w:val="0"/>
      <w:divBdr>
        <w:top w:val="none" w:sz="0" w:space="0" w:color="auto"/>
        <w:left w:val="none" w:sz="0" w:space="0" w:color="auto"/>
        <w:bottom w:val="none" w:sz="0" w:space="0" w:color="auto"/>
        <w:right w:val="none" w:sz="0" w:space="0" w:color="auto"/>
      </w:divBdr>
    </w:div>
    <w:div w:id="1578782778">
      <w:bodyDiv w:val="1"/>
      <w:marLeft w:val="0"/>
      <w:marRight w:val="0"/>
      <w:marTop w:val="0"/>
      <w:marBottom w:val="0"/>
      <w:divBdr>
        <w:top w:val="none" w:sz="0" w:space="0" w:color="auto"/>
        <w:left w:val="none" w:sz="0" w:space="0" w:color="auto"/>
        <w:bottom w:val="none" w:sz="0" w:space="0" w:color="auto"/>
        <w:right w:val="none" w:sz="0" w:space="0" w:color="auto"/>
      </w:divBdr>
    </w:div>
    <w:div w:id="1586259366">
      <w:bodyDiv w:val="1"/>
      <w:marLeft w:val="0"/>
      <w:marRight w:val="0"/>
      <w:marTop w:val="0"/>
      <w:marBottom w:val="0"/>
      <w:divBdr>
        <w:top w:val="none" w:sz="0" w:space="0" w:color="auto"/>
        <w:left w:val="none" w:sz="0" w:space="0" w:color="auto"/>
        <w:bottom w:val="none" w:sz="0" w:space="0" w:color="auto"/>
        <w:right w:val="none" w:sz="0" w:space="0" w:color="auto"/>
      </w:divBdr>
    </w:div>
    <w:div w:id="1653172094">
      <w:bodyDiv w:val="1"/>
      <w:marLeft w:val="0"/>
      <w:marRight w:val="0"/>
      <w:marTop w:val="0"/>
      <w:marBottom w:val="0"/>
      <w:divBdr>
        <w:top w:val="none" w:sz="0" w:space="0" w:color="auto"/>
        <w:left w:val="none" w:sz="0" w:space="0" w:color="auto"/>
        <w:bottom w:val="none" w:sz="0" w:space="0" w:color="auto"/>
        <w:right w:val="none" w:sz="0" w:space="0" w:color="auto"/>
      </w:divBdr>
    </w:div>
    <w:div w:id="1660039993">
      <w:bodyDiv w:val="1"/>
      <w:marLeft w:val="0"/>
      <w:marRight w:val="0"/>
      <w:marTop w:val="0"/>
      <w:marBottom w:val="0"/>
      <w:divBdr>
        <w:top w:val="none" w:sz="0" w:space="0" w:color="auto"/>
        <w:left w:val="none" w:sz="0" w:space="0" w:color="auto"/>
        <w:bottom w:val="none" w:sz="0" w:space="0" w:color="auto"/>
        <w:right w:val="none" w:sz="0" w:space="0" w:color="auto"/>
      </w:divBdr>
    </w:div>
    <w:div w:id="1663464272">
      <w:bodyDiv w:val="1"/>
      <w:marLeft w:val="0"/>
      <w:marRight w:val="0"/>
      <w:marTop w:val="0"/>
      <w:marBottom w:val="0"/>
      <w:divBdr>
        <w:top w:val="none" w:sz="0" w:space="0" w:color="auto"/>
        <w:left w:val="none" w:sz="0" w:space="0" w:color="auto"/>
        <w:bottom w:val="none" w:sz="0" w:space="0" w:color="auto"/>
        <w:right w:val="none" w:sz="0" w:space="0" w:color="auto"/>
      </w:divBdr>
    </w:div>
    <w:div w:id="1680081198">
      <w:bodyDiv w:val="1"/>
      <w:marLeft w:val="0"/>
      <w:marRight w:val="0"/>
      <w:marTop w:val="0"/>
      <w:marBottom w:val="0"/>
      <w:divBdr>
        <w:top w:val="none" w:sz="0" w:space="0" w:color="auto"/>
        <w:left w:val="none" w:sz="0" w:space="0" w:color="auto"/>
        <w:bottom w:val="none" w:sz="0" w:space="0" w:color="auto"/>
        <w:right w:val="none" w:sz="0" w:space="0" w:color="auto"/>
      </w:divBdr>
    </w:div>
    <w:div w:id="1684084785">
      <w:bodyDiv w:val="1"/>
      <w:marLeft w:val="0"/>
      <w:marRight w:val="0"/>
      <w:marTop w:val="0"/>
      <w:marBottom w:val="0"/>
      <w:divBdr>
        <w:top w:val="none" w:sz="0" w:space="0" w:color="auto"/>
        <w:left w:val="none" w:sz="0" w:space="0" w:color="auto"/>
        <w:bottom w:val="none" w:sz="0" w:space="0" w:color="auto"/>
        <w:right w:val="none" w:sz="0" w:space="0" w:color="auto"/>
      </w:divBdr>
    </w:div>
    <w:div w:id="1709604240">
      <w:bodyDiv w:val="1"/>
      <w:marLeft w:val="0"/>
      <w:marRight w:val="0"/>
      <w:marTop w:val="0"/>
      <w:marBottom w:val="0"/>
      <w:divBdr>
        <w:top w:val="none" w:sz="0" w:space="0" w:color="auto"/>
        <w:left w:val="none" w:sz="0" w:space="0" w:color="auto"/>
        <w:bottom w:val="none" w:sz="0" w:space="0" w:color="auto"/>
        <w:right w:val="none" w:sz="0" w:space="0" w:color="auto"/>
      </w:divBdr>
    </w:div>
    <w:div w:id="1747528921">
      <w:bodyDiv w:val="1"/>
      <w:marLeft w:val="0"/>
      <w:marRight w:val="0"/>
      <w:marTop w:val="0"/>
      <w:marBottom w:val="0"/>
      <w:divBdr>
        <w:top w:val="none" w:sz="0" w:space="0" w:color="auto"/>
        <w:left w:val="none" w:sz="0" w:space="0" w:color="auto"/>
        <w:bottom w:val="none" w:sz="0" w:space="0" w:color="auto"/>
        <w:right w:val="none" w:sz="0" w:space="0" w:color="auto"/>
      </w:divBdr>
    </w:div>
    <w:div w:id="1763991924">
      <w:bodyDiv w:val="1"/>
      <w:marLeft w:val="0"/>
      <w:marRight w:val="0"/>
      <w:marTop w:val="0"/>
      <w:marBottom w:val="0"/>
      <w:divBdr>
        <w:top w:val="none" w:sz="0" w:space="0" w:color="auto"/>
        <w:left w:val="none" w:sz="0" w:space="0" w:color="auto"/>
        <w:bottom w:val="none" w:sz="0" w:space="0" w:color="auto"/>
        <w:right w:val="none" w:sz="0" w:space="0" w:color="auto"/>
      </w:divBdr>
    </w:div>
    <w:div w:id="1772822598">
      <w:bodyDiv w:val="1"/>
      <w:marLeft w:val="0"/>
      <w:marRight w:val="0"/>
      <w:marTop w:val="0"/>
      <w:marBottom w:val="0"/>
      <w:divBdr>
        <w:top w:val="none" w:sz="0" w:space="0" w:color="auto"/>
        <w:left w:val="none" w:sz="0" w:space="0" w:color="auto"/>
        <w:bottom w:val="none" w:sz="0" w:space="0" w:color="auto"/>
        <w:right w:val="none" w:sz="0" w:space="0" w:color="auto"/>
      </w:divBdr>
    </w:div>
    <w:div w:id="1798374007">
      <w:bodyDiv w:val="1"/>
      <w:marLeft w:val="0"/>
      <w:marRight w:val="0"/>
      <w:marTop w:val="0"/>
      <w:marBottom w:val="0"/>
      <w:divBdr>
        <w:top w:val="none" w:sz="0" w:space="0" w:color="auto"/>
        <w:left w:val="none" w:sz="0" w:space="0" w:color="auto"/>
        <w:bottom w:val="none" w:sz="0" w:space="0" w:color="auto"/>
        <w:right w:val="none" w:sz="0" w:space="0" w:color="auto"/>
      </w:divBdr>
    </w:div>
    <w:div w:id="1807626977">
      <w:bodyDiv w:val="1"/>
      <w:marLeft w:val="0"/>
      <w:marRight w:val="0"/>
      <w:marTop w:val="0"/>
      <w:marBottom w:val="0"/>
      <w:divBdr>
        <w:top w:val="none" w:sz="0" w:space="0" w:color="auto"/>
        <w:left w:val="none" w:sz="0" w:space="0" w:color="auto"/>
        <w:bottom w:val="none" w:sz="0" w:space="0" w:color="auto"/>
        <w:right w:val="none" w:sz="0" w:space="0" w:color="auto"/>
      </w:divBdr>
    </w:div>
    <w:div w:id="1809128904">
      <w:bodyDiv w:val="1"/>
      <w:marLeft w:val="0"/>
      <w:marRight w:val="0"/>
      <w:marTop w:val="0"/>
      <w:marBottom w:val="0"/>
      <w:divBdr>
        <w:top w:val="none" w:sz="0" w:space="0" w:color="auto"/>
        <w:left w:val="none" w:sz="0" w:space="0" w:color="auto"/>
        <w:bottom w:val="none" w:sz="0" w:space="0" w:color="auto"/>
        <w:right w:val="none" w:sz="0" w:space="0" w:color="auto"/>
      </w:divBdr>
    </w:div>
    <w:div w:id="1822310944">
      <w:bodyDiv w:val="1"/>
      <w:marLeft w:val="0"/>
      <w:marRight w:val="0"/>
      <w:marTop w:val="0"/>
      <w:marBottom w:val="0"/>
      <w:divBdr>
        <w:top w:val="none" w:sz="0" w:space="0" w:color="auto"/>
        <w:left w:val="none" w:sz="0" w:space="0" w:color="auto"/>
        <w:bottom w:val="none" w:sz="0" w:space="0" w:color="auto"/>
        <w:right w:val="none" w:sz="0" w:space="0" w:color="auto"/>
      </w:divBdr>
    </w:div>
    <w:div w:id="1826773924">
      <w:bodyDiv w:val="1"/>
      <w:marLeft w:val="0"/>
      <w:marRight w:val="0"/>
      <w:marTop w:val="0"/>
      <w:marBottom w:val="0"/>
      <w:divBdr>
        <w:top w:val="none" w:sz="0" w:space="0" w:color="auto"/>
        <w:left w:val="none" w:sz="0" w:space="0" w:color="auto"/>
        <w:bottom w:val="none" w:sz="0" w:space="0" w:color="auto"/>
        <w:right w:val="none" w:sz="0" w:space="0" w:color="auto"/>
      </w:divBdr>
    </w:div>
    <w:div w:id="1848596505">
      <w:bodyDiv w:val="1"/>
      <w:marLeft w:val="0"/>
      <w:marRight w:val="0"/>
      <w:marTop w:val="0"/>
      <w:marBottom w:val="0"/>
      <w:divBdr>
        <w:top w:val="none" w:sz="0" w:space="0" w:color="auto"/>
        <w:left w:val="none" w:sz="0" w:space="0" w:color="auto"/>
        <w:bottom w:val="none" w:sz="0" w:space="0" w:color="auto"/>
        <w:right w:val="none" w:sz="0" w:space="0" w:color="auto"/>
      </w:divBdr>
    </w:div>
    <w:div w:id="1856728444">
      <w:bodyDiv w:val="1"/>
      <w:marLeft w:val="0"/>
      <w:marRight w:val="0"/>
      <w:marTop w:val="0"/>
      <w:marBottom w:val="0"/>
      <w:divBdr>
        <w:top w:val="none" w:sz="0" w:space="0" w:color="auto"/>
        <w:left w:val="none" w:sz="0" w:space="0" w:color="auto"/>
        <w:bottom w:val="none" w:sz="0" w:space="0" w:color="auto"/>
        <w:right w:val="none" w:sz="0" w:space="0" w:color="auto"/>
      </w:divBdr>
    </w:div>
    <w:div w:id="1881473701">
      <w:bodyDiv w:val="1"/>
      <w:marLeft w:val="0"/>
      <w:marRight w:val="0"/>
      <w:marTop w:val="0"/>
      <w:marBottom w:val="0"/>
      <w:divBdr>
        <w:top w:val="none" w:sz="0" w:space="0" w:color="auto"/>
        <w:left w:val="none" w:sz="0" w:space="0" w:color="auto"/>
        <w:bottom w:val="none" w:sz="0" w:space="0" w:color="auto"/>
        <w:right w:val="none" w:sz="0" w:space="0" w:color="auto"/>
      </w:divBdr>
    </w:div>
    <w:div w:id="1882208704">
      <w:bodyDiv w:val="1"/>
      <w:marLeft w:val="0"/>
      <w:marRight w:val="0"/>
      <w:marTop w:val="0"/>
      <w:marBottom w:val="0"/>
      <w:divBdr>
        <w:top w:val="none" w:sz="0" w:space="0" w:color="auto"/>
        <w:left w:val="none" w:sz="0" w:space="0" w:color="auto"/>
        <w:bottom w:val="none" w:sz="0" w:space="0" w:color="auto"/>
        <w:right w:val="none" w:sz="0" w:space="0" w:color="auto"/>
      </w:divBdr>
    </w:div>
    <w:div w:id="1885096841">
      <w:bodyDiv w:val="1"/>
      <w:marLeft w:val="0"/>
      <w:marRight w:val="0"/>
      <w:marTop w:val="0"/>
      <w:marBottom w:val="0"/>
      <w:divBdr>
        <w:top w:val="none" w:sz="0" w:space="0" w:color="auto"/>
        <w:left w:val="none" w:sz="0" w:space="0" w:color="auto"/>
        <w:bottom w:val="none" w:sz="0" w:space="0" w:color="auto"/>
        <w:right w:val="none" w:sz="0" w:space="0" w:color="auto"/>
      </w:divBdr>
    </w:div>
    <w:div w:id="1888879780">
      <w:bodyDiv w:val="1"/>
      <w:marLeft w:val="0"/>
      <w:marRight w:val="0"/>
      <w:marTop w:val="0"/>
      <w:marBottom w:val="0"/>
      <w:divBdr>
        <w:top w:val="none" w:sz="0" w:space="0" w:color="auto"/>
        <w:left w:val="none" w:sz="0" w:space="0" w:color="auto"/>
        <w:bottom w:val="none" w:sz="0" w:space="0" w:color="auto"/>
        <w:right w:val="none" w:sz="0" w:space="0" w:color="auto"/>
      </w:divBdr>
    </w:div>
    <w:div w:id="1899826752">
      <w:bodyDiv w:val="1"/>
      <w:marLeft w:val="0"/>
      <w:marRight w:val="0"/>
      <w:marTop w:val="0"/>
      <w:marBottom w:val="0"/>
      <w:divBdr>
        <w:top w:val="none" w:sz="0" w:space="0" w:color="auto"/>
        <w:left w:val="none" w:sz="0" w:space="0" w:color="auto"/>
        <w:bottom w:val="none" w:sz="0" w:space="0" w:color="auto"/>
        <w:right w:val="none" w:sz="0" w:space="0" w:color="auto"/>
      </w:divBdr>
    </w:div>
    <w:div w:id="1906334941">
      <w:bodyDiv w:val="1"/>
      <w:marLeft w:val="0"/>
      <w:marRight w:val="0"/>
      <w:marTop w:val="0"/>
      <w:marBottom w:val="0"/>
      <w:divBdr>
        <w:top w:val="none" w:sz="0" w:space="0" w:color="auto"/>
        <w:left w:val="none" w:sz="0" w:space="0" w:color="auto"/>
        <w:bottom w:val="none" w:sz="0" w:space="0" w:color="auto"/>
        <w:right w:val="none" w:sz="0" w:space="0" w:color="auto"/>
      </w:divBdr>
    </w:div>
    <w:div w:id="1927611490">
      <w:bodyDiv w:val="1"/>
      <w:marLeft w:val="0"/>
      <w:marRight w:val="0"/>
      <w:marTop w:val="0"/>
      <w:marBottom w:val="0"/>
      <w:divBdr>
        <w:top w:val="none" w:sz="0" w:space="0" w:color="auto"/>
        <w:left w:val="none" w:sz="0" w:space="0" w:color="auto"/>
        <w:bottom w:val="none" w:sz="0" w:space="0" w:color="auto"/>
        <w:right w:val="none" w:sz="0" w:space="0" w:color="auto"/>
      </w:divBdr>
    </w:div>
    <w:div w:id="1942909570">
      <w:bodyDiv w:val="1"/>
      <w:marLeft w:val="0"/>
      <w:marRight w:val="0"/>
      <w:marTop w:val="0"/>
      <w:marBottom w:val="0"/>
      <w:divBdr>
        <w:top w:val="none" w:sz="0" w:space="0" w:color="auto"/>
        <w:left w:val="none" w:sz="0" w:space="0" w:color="auto"/>
        <w:bottom w:val="none" w:sz="0" w:space="0" w:color="auto"/>
        <w:right w:val="none" w:sz="0" w:space="0" w:color="auto"/>
      </w:divBdr>
    </w:div>
    <w:div w:id="1959333580">
      <w:bodyDiv w:val="1"/>
      <w:marLeft w:val="0"/>
      <w:marRight w:val="0"/>
      <w:marTop w:val="0"/>
      <w:marBottom w:val="0"/>
      <w:divBdr>
        <w:top w:val="none" w:sz="0" w:space="0" w:color="auto"/>
        <w:left w:val="none" w:sz="0" w:space="0" w:color="auto"/>
        <w:bottom w:val="none" w:sz="0" w:space="0" w:color="auto"/>
        <w:right w:val="none" w:sz="0" w:space="0" w:color="auto"/>
      </w:divBdr>
    </w:div>
    <w:div w:id="1964312354">
      <w:bodyDiv w:val="1"/>
      <w:marLeft w:val="0"/>
      <w:marRight w:val="0"/>
      <w:marTop w:val="0"/>
      <w:marBottom w:val="0"/>
      <w:divBdr>
        <w:top w:val="none" w:sz="0" w:space="0" w:color="auto"/>
        <w:left w:val="none" w:sz="0" w:space="0" w:color="auto"/>
        <w:bottom w:val="none" w:sz="0" w:space="0" w:color="auto"/>
        <w:right w:val="none" w:sz="0" w:space="0" w:color="auto"/>
      </w:divBdr>
    </w:div>
    <w:div w:id="2033259682">
      <w:bodyDiv w:val="1"/>
      <w:marLeft w:val="0"/>
      <w:marRight w:val="0"/>
      <w:marTop w:val="0"/>
      <w:marBottom w:val="0"/>
      <w:divBdr>
        <w:top w:val="none" w:sz="0" w:space="0" w:color="auto"/>
        <w:left w:val="none" w:sz="0" w:space="0" w:color="auto"/>
        <w:bottom w:val="none" w:sz="0" w:space="0" w:color="auto"/>
        <w:right w:val="none" w:sz="0" w:space="0" w:color="auto"/>
      </w:divBdr>
    </w:div>
    <w:div w:id="2056930928">
      <w:bodyDiv w:val="1"/>
      <w:marLeft w:val="0"/>
      <w:marRight w:val="0"/>
      <w:marTop w:val="0"/>
      <w:marBottom w:val="0"/>
      <w:divBdr>
        <w:top w:val="none" w:sz="0" w:space="0" w:color="auto"/>
        <w:left w:val="none" w:sz="0" w:space="0" w:color="auto"/>
        <w:bottom w:val="none" w:sz="0" w:space="0" w:color="auto"/>
        <w:right w:val="none" w:sz="0" w:space="0" w:color="auto"/>
      </w:divBdr>
    </w:div>
    <w:div w:id="2060664604">
      <w:bodyDiv w:val="1"/>
      <w:marLeft w:val="0"/>
      <w:marRight w:val="0"/>
      <w:marTop w:val="0"/>
      <w:marBottom w:val="0"/>
      <w:divBdr>
        <w:top w:val="none" w:sz="0" w:space="0" w:color="auto"/>
        <w:left w:val="none" w:sz="0" w:space="0" w:color="auto"/>
        <w:bottom w:val="none" w:sz="0" w:space="0" w:color="auto"/>
        <w:right w:val="none" w:sz="0" w:space="0" w:color="auto"/>
      </w:divBdr>
    </w:div>
    <w:div w:id="2076467848">
      <w:bodyDiv w:val="1"/>
      <w:marLeft w:val="0"/>
      <w:marRight w:val="0"/>
      <w:marTop w:val="0"/>
      <w:marBottom w:val="0"/>
      <w:divBdr>
        <w:top w:val="none" w:sz="0" w:space="0" w:color="auto"/>
        <w:left w:val="none" w:sz="0" w:space="0" w:color="auto"/>
        <w:bottom w:val="none" w:sz="0" w:space="0" w:color="auto"/>
        <w:right w:val="none" w:sz="0" w:space="0" w:color="auto"/>
      </w:divBdr>
    </w:div>
    <w:div w:id="2077434680">
      <w:bodyDiv w:val="1"/>
      <w:marLeft w:val="0"/>
      <w:marRight w:val="0"/>
      <w:marTop w:val="0"/>
      <w:marBottom w:val="0"/>
      <w:divBdr>
        <w:top w:val="none" w:sz="0" w:space="0" w:color="auto"/>
        <w:left w:val="none" w:sz="0" w:space="0" w:color="auto"/>
        <w:bottom w:val="none" w:sz="0" w:space="0" w:color="auto"/>
        <w:right w:val="none" w:sz="0" w:space="0" w:color="auto"/>
      </w:divBdr>
    </w:div>
    <w:div w:id="2084183537">
      <w:bodyDiv w:val="1"/>
      <w:marLeft w:val="0"/>
      <w:marRight w:val="0"/>
      <w:marTop w:val="0"/>
      <w:marBottom w:val="0"/>
      <w:divBdr>
        <w:top w:val="none" w:sz="0" w:space="0" w:color="auto"/>
        <w:left w:val="none" w:sz="0" w:space="0" w:color="auto"/>
        <w:bottom w:val="none" w:sz="0" w:space="0" w:color="auto"/>
        <w:right w:val="none" w:sz="0" w:space="0" w:color="auto"/>
      </w:divBdr>
    </w:div>
    <w:div w:id="2086563776">
      <w:bodyDiv w:val="1"/>
      <w:marLeft w:val="0"/>
      <w:marRight w:val="0"/>
      <w:marTop w:val="0"/>
      <w:marBottom w:val="0"/>
      <w:divBdr>
        <w:top w:val="none" w:sz="0" w:space="0" w:color="auto"/>
        <w:left w:val="none" w:sz="0" w:space="0" w:color="auto"/>
        <w:bottom w:val="none" w:sz="0" w:space="0" w:color="auto"/>
        <w:right w:val="none" w:sz="0" w:space="0" w:color="auto"/>
      </w:divBdr>
    </w:div>
    <w:div w:id="2094203365">
      <w:bodyDiv w:val="1"/>
      <w:marLeft w:val="0"/>
      <w:marRight w:val="0"/>
      <w:marTop w:val="0"/>
      <w:marBottom w:val="0"/>
      <w:divBdr>
        <w:top w:val="none" w:sz="0" w:space="0" w:color="auto"/>
        <w:left w:val="none" w:sz="0" w:space="0" w:color="auto"/>
        <w:bottom w:val="none" w:sz="0" w:space="0" w:color="auto"/>
        <w:right w:val="none" w:sz="0" w:space="0" w:color="auto"/>
      </w:divBdr>
    </w:div>
    <w:div w:id="2117675186">
      <w:bodyDiv w:val="1"/>
      <w:marLeft w:val="0"/>
      <w:marRight w:val="0"/>
      <w:marTop w:val="0"/>
      <w:marBottom w:val="0"/>
      <w:divBdr>
        <w:top w:val="none" w:sz="0" w:space="0" w:color="auto"/>
        <w:left w:val="none" w:sz="0" w:space="0" w:color="auto"/>
        <w:bottom w:val="none" w:sz="0" w:space="0" w:color="auto"/>
        <w:right w:val="none" w:sz="0" w:space="0" w:color="auto"/>
      </w:divBdr>
    </w:div>
    <w:div w:id="2130196626">
      <w:bodyDiv w:val="1"/>
      <w:marLeft w:val="0"/>
      <w:marRight w:val="0"/>
      <w:marTop w:val="0"/>
      <w:marBottom w:val="0"/>
      <w:divBdr>
        <w:top w:val="none" w:sz="0" w:space="0" w:color="auto"/>
        <w:left w:val="none" w:sz="0" w:space="0" w:color="auto"/>
        <w:bottom w:val="none" w:sz="0" w:space="0" w:color="auto"/>
        <w:right w:val="none" w:sz="0" w:space="0" w:color="auto"/>
      </w:divBdr>
    </w:div>
    <w:div w:id="213236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mailto:aga@aga.gov.au" TargetMode="External"/><Relationship Id="rId26" Type="http://schemas.openxmlformats.org/officeDocument/2006/relationships/image" Target="media/image5.emf"/><Relationship Id="rId39" Type="http://schemas.openxmlformats.org/officeDocument/2006/relationships/fontTable" Target="fontTable.xml"/><Relationship Id="rId21" Type="http://schemas.openxmlformats.org/officeDocument/2006/relationships/footer" Target="footer3.xml"/><Relationship Id="rId34" Type="http://schemas.openxmlformats.org/officeDocument/2006/relationships/header" Target="header8.xml"/><Relationship Id="rId7" Type="http://schemas.openxmlformats.org/officeDocument/2006/relationships/header" Target="header1.xml"/><Relationship Id="rId12" Type="http://schemas.openxmlformats.org/officeDocument/2006/relationships/hyperlink" Target="https://creativecommons.org/licenses/by/4.0/" TargetMode="External"/><Relationship Id="rId17" Type="http://schemas.openxmlformats.org/officeDocument/2006/relationships/hyperlink" Target="http://www.pmc.gov.au/government/commonwealth-coat-arms" TargetMode="External"/><Relationship Id="rId25" Type="http://schemas.openxmlformats.org/officeDocument/2006/relationships/image" Target="media/image4.emf"/><Relationship Id="rId33" Type="http://schemas.openxmlformats.org/officeDocument/2006/relationships/header" Target="header7.xml"/><Relationship Id="rId38" Type="http://schemas.openxmlformats.org/officeDocument/2006/relationships/footer" Target="footer8.xml"/><Relationship Id="rId2" Type="http://schemas.openxmlformats.org/officeDocument/2006/relationships/styles" Target="styles.xml"/><Relationship Id="rId16" Type="http://schemas.openxmlformats.org/officeDocument/2006/relationships/hyperlink" Target="https://creativecommons.org/licenses/by/4.0/" TargetMode="External"/><Relationship Id="rId20" Type="http://schemas.openxmlformats.org/officeDocument/2006/relationships/header" Target="header5.xml"/><Relationship Id="rId29"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5.xml"/><Relationship Id="rId32" Type="http://schemas.openxmlformats.org/officeDocument/2006/relationships/chart" Target="charts/chart1.xml"/><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svg"/><Relationship Id="rId23" Type="http://schemas.openxmlformats.org/officeDocument/2006/relationships/header" Target="header6.xml"/><Relationship Id="rId28" Type="http://schemas.openxmlformats.org/officeDocument/2006/relationships/image" Target="media/image7.emf"/><Relationship Id="rId36" Type="http://schemas.openxmlformats.org/officeDocument/2006/relationships/footer" Target="footer7.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footer" Target="footer6.xml"/><Relationship Id="rId8" Type="http://schemas.openxmlformats.org/officeDocument/2006/relationships/header" Target="header2.xml"/><Relationship Id="rId3"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fs2\aga_data$\Agencies\Health\medical%20indemnity%20general\Midwives\Midwives%20ROCS%202024\tables%20for%20report%20midwives%20ROCS%20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0"/>
          <c:y val="2.0158730158730157E-2"/>
          <c:w val="0.98643162393162398"/>
          <c:h val="0.96976190476190471"/>
        </c:manualLayout>
      </c:layout>
      <c:barChart>
        <c:barDir val="col"/>
        <c:grouping val="clustered"/>
        <c:varyColors val="0"/>
        <c:ser>
          <c:idx val="0"/>
          <c:order val="0"/>
          <c:spPr>
            <a:solidFill>
              <a:srgbClr val="C00000"/>
            </a:solidFill>
          </c:spPr>
          <c:invertIfNegative val="0"/>
          <c:cat>
            <c:strRef>
              <c:f>'F2'!$A$4:$A$22</c:f>
              <c:strCache>
                <c:ptCount val="19"/>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pt idx="13">
                  <c:v>2023/24</c:v>
                </c:pt>
                <c:pt idx="14">
                  <c:v>2024/25</c:v>
                </c:pt>
                <c:pt idx="15">
                  <c:v>2025/26</c:v>
                </c:pt>
                <c:pt idx="16">
                  <c:v>2026/27</c:v>
                </c:pt>
                <c:pt idx="17">
                  <c:v>2027/28</c:v>
                </c:pt>
                <c:pt idx="18">
                  <c:v>2028/29</c:v>
                </c:pt>
              </c:strCache>
            </c:strRef>
          </c:cat>
          <c:val>
            <c:numRef>
              <c:f>'F2'!$E$4:$E$22</c:f>
              <c:numCache>
                <c:formatCode>General</c:formatCode>
                <c:ptCount val="19"/>
                <c:pt idx="0" formatCode="0">
                  <c:v>24</c:v>
                </c:pt>
                <c:pt idx="1">
                  <c:v>36</c:v>
                </c:pt>
                <c:pt idx="2">
                  <c:v>47</c:v>
                </c:pt>
                <c:pt idx="3">
                  <c:v>78</c:v>
                </c:pt>
                <c:pt idx="4">
                  <c:v>100</c:v>
                </c:pt>
                <c:pt idx="5">
                  <c:v>159</c:v>
                </c:pt>
                <c:pt idx="6">
                  <c:v>196</c:v>
                </c:pt>
                <c:pt idx="7">
                  <c:v>202</c:v>
                </c:pt>
                <c:pt idx="8">
                  <c:v>219</c:v>
                </c:pt>
                <c:pt idx="9">
                  <c:v>242</c:v>
                </c:pt>
                <c:pt idx="10">
                  <c:v>280</c:v>
                </c:pt>
                <c:pt idx="11">
                  <c:v>335</c:v>
                </c:pt>
                <c:pt idx="12">
                  <c:v>376</c:v>
                </c:pt>
                <c:pt idx="13">
                  <c:v>441</c:v>
                </c:pt>
              </c:numCache>
            </c:numRef>
          </c:val>
          <c:extLst>
            <c:ext xmlns:c16="http://schemas.microsoft.com/office/drawing/2014/chart" uri="{C3380CC4-5D6E-409C-BE32-E72D297353CC}">
              <c16:uniqueId val="{00000000-AF93-4C88-A6CD-DA321E9144D2}"/>
            </c:ext>
          </c:extLst>
        </c:ser>
        <c:dLbls>
          <c:showLegendKey val="0"/>
          <c:showVal val="0"/>
          <c:showCatName val="0"/>
          <c:showSerName val="0"/>
          <c:showPercent val="0"/>
          <c:showBubbleSize val="0"/>
        </c:dLbls>
        <c:gapWidth val="100"/>
        <c:axId val="129739776"/>
        <c:axId val="130634496"/>
      </c:barChart>
      <c:barChart>
        <c:barDir val="col"/>
        <c:grouping val="clustered"/>
        <c:varyColors val="0"/>
        <c:ser>
          <c:idx val="1"/>
          <c:order val="1"/>
          <c:tx>
            <c:v>DUMMY</c:v>
          </c:tx>
          <c:spPr>
            <a:noFill/>
            <a:ln w="25400">
              <a:noFill/>
            </a:ln>
            <a:effectLst/>
          </c:spPr>
          <c:invertIfNegative val="0"/>
          <c:extLst>
            <c:ext xmlns:c16="http://schemas.microsoft.com/office/drawing/2014/chart" uri="{C3380CC4-5D6E-409C-BE32-E72D297353CC}">
              <c16:uniqueId val="{00000001-AF93-4C88-A6CD-DA321E9144D2}"/>
            </c:ext>
          </c:extLst>
        </c:ser>
        <c:ser>
          <c:idx val="2"/>
          <c:order val="2"/>
          <c:tx>
            <c:v>Projected</c:v>
          </c:tx>
          <c:spPr>
            <a:solidFill>
              <a:schemeClr val="bg1">
                <a:lumMod val="50000"/>
              </a:schemeClr>
            </a:solidFill>
          </c:spPr>
          <c:invertIfNegative val="0"/>
          <c:val>
            <c:numRef>
              <c:f>'F2'!$F$4:$F$22</c:f>
              <c:numCache>
                <c:formatCode>General</c:formatCode>
                <c:ptCount val="19"/>
                <c:pt idx="14" formatCode="0">
                  <c:v>513.27827881867267</c:v>
                </c:pt>
                <c:pt idx="15" formatCode="0">
                  <c:v>597.40270183006589</c:v>
                </c:pt>
                <c:pt idx="16" formatCode="0">
                  <c:v>695.3148085191857</c:v>
                </c:pt>
                <c:pt idx="17" formatCode="0">
                  <c:v>809.27434955524393</c:v>
                </c:pt>
                <c:pt idx="18" formatCode="0">
                  <c:v>941.91144043495785</c:v>
                </c:pt>
              </c:numCache>
            </c:numRef>
          </c:val>
          <c:extLst>
            <c:ext xmlns:c16="http://schemas.microsoft.com/office/drawing/2014/chart" uri="{C3380CC4-5D6E-409C-BE32-E72D297353CC}">
              <c16:uniqueId val="{00000002-AF93-4C88-A6CD-DA321E9144D2}"/>
            </c:ext>
          </c:extLst>
        </c:ser>
        <c:dLbls>
          <c:showLegendKey val="0"/>
          <c:showVal val="0"/>
          <c:showCatName val="0"/>
          <c:showSerName val="0"/>
          <c:showPercent val="0"/>
          <c:showBubbleSize val="0"/>
        </c:dLbls>
        <c:gapWidth val="50"/>
        <c:axId val="183084936"/>
        <c:axId val="392712432"/>
      </c:barChart>
      <c:catAx>
        <c:axId val="129739776"/>
        <c:scaling>
          <c:orientation val="minMax"/>
        </c:scaling>
        <c:delete val="0"/>
        <c:axPos val="b"/>
        <c:numFmt formatCode="General" sourceLinked="1"/>
        <c:majorTickMark val="in"/>
        <c:minorTickMark val="none"/>
        <c:tickLblPos val="low"/>
        <c:spPr>
          <a:ln w="9525">
            <a:solidFill>
              <a:srgbClr val="80808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30634496"/>
        <c:crosses val="autoZero"/>
        <c:auto val="1"/>
        <c:lblAlgn val="ctr"/>
        <c:lblOffset val="100"/>
        <c:noMultiLvlLbl val="0"/>
      </c:catAx>
      <c:valAx>
        <c:axId val="130634496"/>
        <c:scaling>
          <c:orientation val="minMax"/>
          <c:max val="1000"/>
        </c:scaling>
        <c:delete val="0"/>
        <c:axPos val="l"/>
        <c:numFmt formatCode="#,##0" sourceLinked="0"/>
        <c:majorTickMark val="in"/>
        <c:minorTickMark val="none"/>
        <c:tickLblPos val="nextTo"/>
        <c:spPr>
          <a:ln w="9525">
            <a:solidFill>
              <a:srgbClr val="80808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29739776"/>
        <c:crosses val="autoZero"/>
        <c:crossBetween val="between"/>
      </c:valAx>
      <c:valAx>
        <c:axId val="392712432"/>
        <c:scaling>
          <c:orientation val="minMax"/>
          <c:max val="1000"/>
          <c:min val="0"/>
        </c:scaling>
        <c:delete val="0"/>
        <c:axPos val="r"/>
        <c:numFmt formatCode="#,##0" sourceLinked="0"/>
        <c:majorTickMark val="in"/>
        <c:minorTickMark val="none"/>
        <c:tickLblPos val="nextTo"/>
        <c:spPr>
          <a:ln w="12700">
            <a:solidFill>
              <a:srgbClr val="808080"/>
            </a:solidFill>
            <a:prstDash val="solid"/>
          </a:ln>
        </c:spPr>
        <c:txPr>
          <a:bodyPr rot="0" vert="horz"/>
          <a:lstStyle/>
          <a:p>
            <a:pPr>
              <a:defRPr sz="800" b="0" i="0">
                <a:solidFill>
                  <a:srgbClr val="000000"/>
                </a:solidFill>
                <a:latin typeface="Arial"/>
                <a:ea typeface="Arial"/>
                <a:cs typeface="Arial"/>
              </a:defRPr>
            </a:pPr>
            <a:endParaRPr lang="en-US"/>
          </a:p>
        </c:txPr>
        <c:crossAx val="183084936"/>
        <c:crosses val="max"/>
        <c:crossBetween val="between"/>
      </c:valAx>
      <c:catAx>
        <c:axId val="183084936"/>
        <c:scaling>
          <c:orientation val="minMax"/>
        </c:scaling>
        <c:delete val="1"/>
        <c:axPos val="b"/>
        <c:majorTickMark val="out"/>
        <c:minorTickMark val="none"/>
        <c:tickLblPos val="nextTo"/>
        <c:crossAx val="392712432"/>
        <c:crosses val="autoZero"/>
        <c:auto val="1"/>
        <c:lblAlgn val="ctr"/>
        <c:lblOffset val="100"/>
        <c:noMultiLvlLbl val="0"/>
      </c:catAx>
      <c:spPr>
        <a:noFill/>
        <a:ln>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round/>
            </a14:hiddenLine>
          </a:ext>
        </a:extLst>
      </c:spPr>
    </c:plotArea>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CEDBE3"/>
      </a:dk2>
      <a:lt2>
        <a:srgbClr val="F2D2D5"/>
      </a:lt2>
      <a:accent1>
        <a:srgbClr val="74000E"/>
      </a:accent1>
      <a:accent2>
        <a:srgbClr val="0E3044"/>
      </a:accent2>
      <a:accent3>
        <a:srgbClr val="404547"/>
      </a:accent3>
      <a:accent4>
        <a:srgbClr val="AA6D2C"/>
      </a:accent4>
      <a:accent5>
        <a:srgbClr val="510B17"/>
      </a:accent5>
      <a:accent6>
        <a:srgbClr val="0E4E7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6162</Words>
  <Characters>35126</Characters>
  <Application>Microsoft Office Word</Application>
  <DocSecurity>2</DocSecurity>
  <Lines>292</Lines>
  <Paragraphs>82</Paragraphs>
  <ScaleCrop>false</ScaleCrop>
  <HeadingPairs>
    <vt:vector size="2" baseType="variant">
      <vt:variant>
        <vt:lpstr>Title</vt:lpstr>
      </vt:variant>
      <vt:variant>
        <vt:i4>1</vt:i4>
      </vt:variant>
    </vt:vector>
  </HeadingPairs>
  <TitlesOfParts>
    <vt:vector size="1" baseType="lpstr">
      <vt:lpstr>Fourteenth report on the costs of the Australian Government’s Run Off Cover Scheme for midwife professional indemnity insurers</vt:lpstr>
    </vt:vector>
  </TitlesOfParts>
  <Company/>
  <LinksUpToDate>false</LinksUpToDate>
  <CharactersWithSpaces>41206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Fourteenth report on the costs of the Australian Government’s Run Off Cover Scheme for midwife professional indemnity insurers</dc:title>
  <dc:subject/>
  <dc:creator>Australian Government</dc:creator>
  <cp:keywords/>
  <dc:description/>
  <cp:lastModifiedBy/>
  <cp:revision>1</cp:revision>
  <dcterms:created xsi:type="dcterms:W3CDTF">2025-06-25T00:32:00Z</dcterms:created>
  <dcterms:modified xsi:type="dcterms:W3CDTF">2025-06-25T00:33:00Z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2025-06-25T00:33:08Z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1e1662b4-20ef-4220-9e99-db0686788bdd</vt:lpwstr>
  </property>
  <property fmtid="{D5CDD505-2E9C-101B-9397-08002B2CF9AE}" pid="8" name="MSIP_Label_4f932d64-9ab1-4d9b-81d2-a3a8b82dd47d_ContentBits">
    <vt:lpwstr>0</vt:lpwstr>
  </property>
</Properties>
</file>