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41" w:rsidRPr="00951515" w:rsidRDefault="00B4645E" w:rsidP="00951515">
      <w:pPr>
        <w:pStyle w:val="ReportTitle"/>
      </w:pPr>
      <w:bookmarkStart w:id="0" w:name="_GoBack"/>
      <w:bookmarkEnd w:id="0"/>
      <w:r>
        <w:t>R</w:t>
      </w:r>
      <w:r w:rsidR="003A3851">
        <w:t xml:space="preserve">eport on </w:t>
      </w:r>
      <w:r w:rsidR="00871E2B">
        <w:t xml:space="preserve">home and contents </w:t>
      </w:r>
      <w:r w:rsidR="00EB0A5C">
        <w:t>in</w:t>
      </w:r>
      <w:r w:rsidR="003A3851">
        <w:t>surance prices in North Queensland</w:t>
      </w:r>
    </w:p>
    <w:p w:rsidR="005D3941" w:rsidRDefault="005D3941"/>
    <w:p w:rsidR="005D3941" w:rsidRDefault="005D3941">
      <w:pPr>
        <w:sectPr w:rsidR="005D3941" w:rsidSect="00E03BD5">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titlePg/>
          <w:docGrid w:linePitch="360"/>
        </w:sectPr>
      </w:pPr>
    </w:p>
    <w:p w:rsidR="00B94FB4" w:rsidRPr="007D7583" w:rsidRDefault="007D7583" w:rsidP="005D3941">
      <w:pPr>
        <w:pStyle w:val="TableofContentsTitle"/>
      </w:pPr>
      <w:r w:rsidRPr="007D7583">
        <w:lastRenderedPageBreak/>
        <w:t>TABLE OF CONTENTS</w:t>
      </w:r>
    </w:p>
    <w:p w:rsidR="002D3E58" w:rsidRDefault="00171249">
      <w:pPr>
        <w:pStyle w:val="TOC1"/>
        <w:rPr>
          <w:rFonts w:asciiTheme="minorHAnsi" w:eastAsiaTheme="minorEastAsia" w:hAnsiTheme="minorHAnsi" w:cstheme="minorBidi"/>
          <w:b w:val="0"/>
          <w:bCs w:val="0"/>
          <w:caps w:val="0"/>
          <w:noProof/>
          <w:sz w:val="22"/>
          <w:szCs w:val="22"/>
          <w:lang w:eastAsia="en-AU"/>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402772642" w:history="1">
        <w:r w:rsidR="002D3E58" w:rsidRPr="00073B75">
          <w:rPr>
            <w:rStyle w:val="Hyperlink"/>
            <w:noProof/>
          </w:rPr>
          <w:t>1</w:t>
        </w:r>
        <w:r w:rsidR="002D3E58">
          <w:rPr>
            <w:rFonts w:asciiTheme="minorHAnsi" w:eastAsiaTheme="minorEastAsia" w:hAnsiTheme="minorHAnsi" w:cstheme="minorBidi"/>
            <w:b w:val="0"/>
            <w:bCs w:val="0"/>
            <w:caps w:val="0"/>
            <w:noProof/>
            <w:sz w:val="22"/>
            <w:szCs w:val="22"/>
            <w:lang w:eastAsia="en-AU"/>
          </w:rPr>
          <w:tab/>
        </w:r>
        <w:r w:rsidR="002D3E58" w:rsidRPr="00073B75">
          <w:rPr>
            <w:rStyle w:val="Hyperlink"/>
            <w:noProof/>
          </w:rPr>
          <w:t>Introduction and summary of main findings</w:t>
        </w:r>
        <w:r w:rsidR="002D3E58">
          <w:rPr>
            <w:noProof/>
            <w:webHidden/>
          </w:rPr>
          <w:tab/>
        </w:r>
        <w:r w:rsidR="002D3E58">
          <w:rPr>
            <w:noProof/>
            <w:webHidden/>
          </w:rPr>
          <w:fldChar w:fldCharType="begin"/>
        </w:r>
        <w:r w:rsidR="002D3E58">
          <w:rPr>
            <w:noProof/>
            <w:webHidden/>
          </w:rPr>
          <w:instrText xml:space="preserve"> PAGEREF _Toc402772642 \h </w:instrText>
        </w:r>
        <w:r w:rsidR="002D3E58">
          <w:rPr>
            <w:noProof/>
            <w:webHidden/>
          </w:rPr>
        </w:r>
        <w:r w:rsidR="002D3E58">
          <w:rPr>
            <w:noProof/>
            <w:webHidden/>
          </w:rPr>
          <w:fldChar w:fldCharType="separate"/>
        </w:r>
        <w:r w:rsidR="006C0946">
          <w:rPr>
            <w:noProof/>
            <w:webHidden/>
          </w:rPr>
          <w:t>3</w:t>
        </w:r>
        <w:r w:rsidR="002D3E58">
          <w:rPr>
            <w:noProof/>
            <w:webHidden/>
          </w:rPr>
          <w:fldChar w:fldCharType="end"/>
        </w:r>
      </w:hyperlink>
    </w:p>
    <w:p w:rsidR="002D3E58" w:rsidRDefault="00BF2EC9">
      <w:pPr>
        <w:pStyle w:val="TOC1"/>
        <w:rPr>
          <w:rFonts w:asciiTheme="minorHAnsi" w:eastAsiaTheme="minorEastAsia" w:hAnsiTheme="minorHAnsi" w:cstheme="minorBidi"/>
          <w:b w:val="0"/>
          <w:bCs w:val="0"/>
          <w:caps w:val="0"/>
          <w:noProof/>
          <w:sz w:val="22"/>
          <w:szCs w:val="22"/>
          <w:lang w:eastAsia="en-AU"/>
        </w:rPr>
      </w:pPr>
      <w:hyperlink w:anchor="_Toc402772643" w:history="1">
        <w:r w:rsidR="002D3E58" w:rsidRPr="00073B75">
          <w:rPr>
            <w:rStyle w:val="Hyperlink"/>
            <w:noProof/>
          </w:rPr>
          <w:t>2</w:t>
        </w:r>
        <w:r w:rsidR="002D3E58">
          <w:rPr>
            <w:rFonts w:asciiTheme="minorHAnsi" w:eastAsiaTheme="minorEastAsia" w:hAnsiTheme="minorHAnsi" w:cstheme="minorBidi"/>
            <w:b w:val="0"/>
            <w:bCs w:val="0"/>
            <w:caps w:val="0"/>
            <w:noProof/>
            <w:sz w:val="22"/>
            <w:szCs w:val="22"/>
            <w:lang w:eastAsia="en-AU"/>
          </w:rPr>
          <w:tab/>
        </w:r>
        <w:r w:rsidR="002D3E58" w:rsidRPr="00073B75">
          <w:rPr>
            <w:rStyle w:val="Hyperlink"/>
            <w:noProof/>
          </w:rPr>
          <w:t>Data</w:t>
        </w:r>
        <w:r w:rsidR="002D3E58">
          <w:rPr>
            <w:noProof/>
            <w:webHidden/>
          </w:rPr>
          <w:tab/>
        </w:r>
        <w:r w:rsidR="002D3E58">
          <w:rPr>
            <w:noProof/>
            <w:webHidden/>
          </w:rPr>
          <w:fldChar w:fldCharType="begin"/>
        </w:r>
        <w:r w:rsidR="002D3E58">
          <w:rPr>
            <w:noProof/>
            <w:webHidden/>
          </w:rPr>
          <w:instrText xml:space="preserve"> PAGEREF _Toc402772643 \h </w:instrText>
        </w:r>
        <w:r w:rsidR="002D3E58">
          <w:rPr>
            <w:noProof/>
            <w:webHidden/>
          </w:rPr>
        </w:r>
        <w:r w:rsidR="002D3E58">
          <w:rPr>
            <w:noProof/>
            <w:webHidden/>
          </w:rPr>
          <w:fldChar w:fldCharType="separate"/>
        </w:r>
        <w:r w:rsidR="006C0946">
          <w:rPr>
            <w:noProof/>
            <w:webHidden/>
          </w:rPr>
          <w:t>6</w:t>
        </w:r>
        <w:r w:rsidR="002D3E58">
          <w:rPr>
            <w:noProof/>
            <w:webHidden/>
          </w:rPr>
          <w:fldChar w:fldCharType="end"/>
        </w:r>
      </w:hyperlink>
    </w:p>
    <w:p w:rsidR="002D3E58" w:rsidRDefault="00BF2EC9">
      <w:pPr>
        <w:pStyle w:val="TOC1"/>
        <w:rPr>
          <w:rFonts w:asciiTheme="minorHAnsi" w:eastAsiaTheme="minorEastAsia" w:hAnsiTheme="minorHAnsi" w:cstheme="minorBidi"/>
          <w:b w:val="0"/>
          <w:bCs w:val="0"/>
          <w:caps w:val="0"/>
          <w:noProof/>
          <w:sz w:val="22"/>
          <w:szCs w:val="22"/>
          <w:lang w:eastAsia="en-AU"/>
        </w:rPr>
      </w:pPr>
      <w:hyperlink w:anchor="_Toc402772644" w:history="1">
        <w:r w:rsidR="002D3E58" w:rsidRPr="00073B75">
          <w:rPr>
            <w:rStyle w:val="Hyperlink"/>
            <w:noProof/>
          </w:rPr>
          <w:t>3</w:t>
        </w:r>
        <w:r w:rsidR="002D3E58">
          <w:rPr>
            <w:rFonts w:asciiTheme="minorHAnsi" w:eastAsiaTheme="minorEastAsia" w:hAnsiTheme="minorHAnsi" w:cstheme="minorBidi"/>
            <w:b w:val="0"/>
            <w:bCs w:val="0"/>
            <w:caps w:val="0"/>
            <w:noProof/>
            <w:sz w:val="22"/>
            <w:szCs w:val="22"/>
            <w:lang w:eastAsia="en-AU"/>
          </w:rPr>
          <w:tab/>
        </w:r>
        <w:r w:rsidR="002D3E58" w:rsidRPr="00073B75">
          <w:rPr>
            <w:rStyle w:val="Hyperlink"/>
            <w:noProof/>
          </w:rPr>
          <w:t>Premium rates</w:t>
        </w:r>
        <w:r w:rsidR="002D3E58">
          <w:rPr>
            <w:noProof/>
            <w:webHidden/>
          </w:rPr>
          <w:tab/>
        </w:r>
        <w:r w:rsidR="002D3E58">
          <w:rPr>
            <w:noProof/>
            <w:webHidden/>
          </w:rPr>
          <w:fldChar w:fldCharType="begin"/>
        </w:r>
        <w:r w:rsidR="002D3E58">
          <w:rPr>
            <w:noProof/>
            <w:webHidden/>
          </w:rPr>
          <w:instrText xml:space="preserve"> PAGEREF _Toc402772644 \h </w:instrText>
        </w:r>
        <w:r w:rsidR="002D3E58">
          <w:rPr>
            <w:noProof/>
            <w:webHidden/>
          </w:rPr>
        </w:r>
        <w:r w:rsidR="002D3E58">
          <w:rPr>
            <w:noProof/>
            <w:webHidden/>
          </w:rPr>
          <w:fldChar w:fldCharType="separate"/>
        </w:r>
        <w:r w:rsidR="006C0946">
          <w:rPr>
            <w:noProof/>
            <w:webHidden/>
          </w:rPr>
          <w:t>7</w:t>
        </w:r>
        <w:r w:rsidR="002D3E58">
          <w:rPr>
            <w:noProof/>
            <w:webHidden/>
          </w:rPr>
          <w:fldChar w:fldCharType="end"/>
        </w:r>
      </w:hyperlink>
    </w:p>
    <w:p w:rsidR="002D3E58" w:rsidRDefault="00BF2EC9">
      <w:pPr>
        <w:pStyle w:val="TOC1"/>
        <w:rPr>
          <w:rFonts w:asciiTheme="minorHAnsi" w:eastAsiaTheme="minorEastAsia" w:hAnsiTheme="minorHAnsi" w:cstheme="minorBidi"/>
          <w:b w:val="0"/>
          <w:bCs w:val="0"/>
          <w:caps w:val="0"/>
          <w:noProof/>
          <w:sz w:val="22"/>
          <w:szCs w:val="22"/>
          <w:lang w:eastAsia="en-AU"/>
        </w:rPr>
      </w:pPr>
      <w:hyperlink w:anchor="_Toc402772645" w:history="1">
        <w:r w:rsidR="002D3E58" w:rsidRPr="00073B75">
          <w:rPr>
            <w:rStyle w:val="Hyperlink"/>
            <w:noProof/>
          </w:rPr>
          <w:t>4</w:t>
        </w:r>
        <w:r w:rsidR="002D3E58">
          <w:rPr>
            <w:rFonts w:asciiTheme="minorHAnsi" w:eastAsiaTheme="minorEastAsia" w:hAnsiTheme="minorHAnsi" w:cstheme="minorBidi"/>
            <w:b w:val="0"/>
            <w:bCs w:val="0"/>
            <w:caps w:val="0"/>
            <w:noProof/>
            <w:sz w:val="22"/>
            <w:szCs w:val="22"/>
            <w:lang w:eastAsia="en-AU"/>
          </w:rPr>
          <w:tab/>
        </w:r>
        <w:r w:rsidR="002D3E58" w:rsidRPr="00073B75">
          <w:rPr>
            <w:rStyle w:val="Hyperlink"/>
            <w:noProof/>
          </w:rPr>
          <w:t>Claims costs</w:t>
        </w:r>
        <w:r w:rsidR="002D3E58">
          <w:rPr>
            <w:noProof/>
            <w:webHidden/>
          </w:rPr>
          <w:tab/>
        </w:r>
        <w:r w:rsidR="002D3E58">
          <w:rPr>
            <w:noProof/>
            <w:webHidden/>
          </w:rPr>
          <w:fldChar w:fldCharType="begin"/>
        </w:r>
        <w:r w:rsidR="002D3E58">
          <w:rPr>
            <w:noProof/>
            <w:webHidden/>
          </w:rPr>
          <w:instrText xml:space="preserve"> PAGEREF _Toc402772645 \h </w:instrText>
        </w:r>
        <w:r w:rsidR="002D3E58">
          <w:rPr>
            <w:noProof/>
            <w:webHidden/>
          </w:rPr>
        </w:r>
        <w:r w:rsidR="002D3E58">
          <w:rPr>
            <w:noProof/>
            <w:webHidden/>
          </w:rPr>
          <w:fldChar w:fldCharType="separate"/>
        </w:r>
        <w:r w:rsidR="006C0946">
          <w:rPr>
            <w:noProof/>
            <w:webHidden/>
          </w:rPr>
          <w:t>11</w:t>
        </w:r>
        <w:r w:rsidR="002D3E58">
          <w:rPr>
            <w:noProof/>
            <w:webHidden/>
          </w:rPr>
          <w:fldChar w:fldCharType="end"/>
        </w:r>
      </w:hyperlink>
    </w:p>
    <w:p w:rsidR="002D3E58" w:rsidRDefault="00BF2EC9">
      <w:pPr>
        <w:pStyle w:val="TOC1"/>
        <w:rPr>
          <w:rFonts w:asciiTheme="minorHAnsi" w:eastAsiaTheme="minorEastAsia" w:hAnsiTheme="minorHAnsi" w:cstheme="minorBidi"/>
          <w:b w:val="0"/>
          <w:bCs w:val="0"/>
          <w:caps w:val="0"/>
          <w:noProof/>
          <w:sz w:val="22"/>
          <w:szCs w:val="22"/>
          <w:lang w:eastAsia="en-AU"/>
        </w:rPr>
      </w:pPr>
      <w:hyperlink w:anchor="_Toc402772646" w:history="1">
        <w:r w:rsidR="002D3E58" w:rsidRPr="00073B75">
          <w:rPr>
            <w:rStyle w:val="Hyperlink"/>
            <w:noProof/>
          </w:rPr>
          <w:t>5</w:t>
        </w:r>
        <w:r w:rsidR="002D3E58">
          <w:rPr>
            <w:rFonts w:asciiTheme="minorHAnsi" w:eastAsiaTheme="minorEastAsia" w:hAnsiTheme="minorHAnsi" w:cstheme="minorBidi"/>
            <w:b w:val="0"/>
            <w:bCs w:val="0"/>
            <w:caps w:val="0"/>
            <w:noProof/>
            <w:sz w:val="22"/>
            <w:szCs w:val="22"/>
            <w:lang w:eastAsia="en-AU"/>
          </w:rPr>
          <w:tab/>
        </w:r>
        <w:r w:rsidR="002D3E58" w:rsidRPr="00073B75">
          <w:rPr>
            <w:rStyle w:val="Hyperlink"/>
            <w:noProof/>
          </w:rPr>
          <w:t>Technical peril costs</w:t>
        </w:r>
        <w:r w:rsidR="002D3E58">
          <w:rPr>
            <w:noProof/>
            <w:webHidden/>
          </w:rPr>
          <w:tab/>
        </w:r>
        <w:r w:rsidR="002D3E58">
          <w:rPr>
            <w:noProof/>
            <w:webHidden/>
          </w:rPr>
          <w:fldChar w:fldCharType="begin"/>
        </w:r>
        <w:r w:rsidR="002D3E58">
          <w:rPr>
            <w:noProof/>
            <w:webHidden/>
          </w:rPr>
          <w:instrText xml:space="preserve"> PAGEREF _Toc402772646 \h </w:instrText>
        </w:r>
        <w:r w:rsidR="002D3E58">
          <w:rPr>
            <w:noProof/>
            <w:webHidden/>
          </w:rPr>
        </w:r>
        <w:r w:rsidR="002D3E58">
          <w:rPr>
            <w:noProof/>
            <w:webHidden/>
          </w:rPr>
          <w:fldChar w:fldCharType="separate"/>
        </w:r>
        <w:r w:rsidR="006C0946">
          <w:rPr>
            <w:noProof/>
            <w:webHidden/>
          </w:rPr>
          <w:t>14</w:t>
        </w:r>
        <w:r w:rsidR="002D3E58">
          <w:rPr>
            <w:noProof/>
            <w:webHidden/>
          </w:rPr>
          <w:fldChar w:fldCharType="end"/>
        </w:r>
      </w:hyperlink>
    </w:p>
    <w:p w:rsidR="002D3E58" w:rsidRDefault="00BF2EC9">
      <w:pPr>
        <w:pStyle w:val="TOC1"/>
        <w:rPr>
          <w:rFonts w:asciiTheme="minorHAnsi" w:eastAsiaTheme="minorEastAsia" w:hAnsiTheme="minorHAnsi" w:cstheme="minorBidi"/>
          <w:b w:val="0"/>
          <w:bCs w:val="0"/>
          <w:caps w:val="0"/>
          <w:noProof/>
          <w:sz w:val="22"/>
          <w:szCs w:val="22"/>
          <w:lang w:eastAsia="en-AU"/>
        </w:rPr>
      </w:pPr>
      <w:hyperlink w:anchor="_Toc402772647" w:history="1">
        <w:r w:rsidR="002D3E58" w:rsidRPr="00073B75">
          <w:rPr>
            <w:rStyle w:val="Hyperlink"/>
            <w:noProof/>
          </w:rPr>
          <w:t>6</w:t>
        </w:r>
        <w:r w:rsidR="002D3E58">
          <w:rPr>
            <w:rFonts w:asciiTheme="minorHAnsi" w:eastAsiaTheme="minorEastAsia" w:hAnsiTheme="minorHAnsi" w:cstheme="minorBidi"/>
            <w:b w:val="0"/>
            <w:bCs w:val="0"/>
            <w:caps w:val="0"/>
            <w:noProof/>
            <w:sz w:val="22"/>
            <w:szCs w:val="22"/>
            <w:lang w:eastAsia="en-AU"/>
          </w:rPr>
          <w:tab/>
        </w:r>
        <w:r w:rsidR="002D3E58" w:rsidRPr="00073B75">
          <w:rPr>
            <w:rStyle w:val="Hyperlink"/>
            <w:noProof/>
          </w:rPr>
          <w:t>Catastrophe reinsurance</w:t>
        </w:r>
        <w:r w:rsidR="002D3E58">
          <w:rPr>
            <w:noProof/>
            <w:webHidden/>
          </w:rPr>
          <w:tab/>
        </w:r>
        <w:r w:rsidR="002D3E58">
          <w:rPr>
            <w:noProof/>
            <w:webHidden/>
          </w:rPr>
          <w:fldChar w:fldCharType="begin"/>
        </w:r>
        <w:r w:rsidR="002D3E58">
          <w:rPr>
            <w:noProof/>
            <w:webHidden/>
          </w:rPr>
          <w:instrText xml:space="preserve"> PAGEREF _Toc402772647 \h </w:instrText>
        </w:r>
        <w:r w:rsidR="002D3E58">
          <w:rPr>
            <w:noProof/>
            <w:webHidden/>
          </w:rPr>
        </w:r>
        <w:r w:rsidR="002D3E58">
          <w:rPr>
            <w:noProof/>
            <w:webHidden/>
          </w:rPr>
          <w:fldChar w:fldCharType="separate"/>
        </w:r>
        <w:r w:rsidR="006C0946">
          <w:rPr>
            <w:noProof/>
            <w:webHidden/>
          </w:rPr>
          <w:t>19</w:t>
        </w:r>
        <w:r w:rsidR="002D3E58">
          <w:rPr>
            <w:noProof/>
            <w:webHidden/>
          </w:rPr>
          <w:fldChar w:fldCharType="end"/>
        </w:r>
      </w:hyperlink>
    </w:p>
    <w:p w:rsidR="002D3E58" w:rsidRDefault="00BF2EC9">
      <w:pPr>
        <w:pStyle w:val="TOC1"/>
        <w:rPr>
          <w:rFonts w:asciiTheme="minorHAnsi" w:eastAsiaTheme="minorEastAsia" w:hAnsiTheme="minorHAnsi" w:cstheme="minorBidi"/>
          <w:b w:val="0"/>
          <w:bCs w:val="0"/>
          <w:caps w:val="0"/>
          <w:noProof/>
          <w:sz w:val="22"/>
          <w:szCs w:val="22"/>
          <w:lang w:eastAsia="en-AU"/>
        </w:rPr>
      </w:pPr>
      <w:hyperlink w:anchor="_Toc402772648" w:history="1">
        <w:r w:rsidR="002D3E58" w:rsidRPr="00073B75">
          <w:rPr>
            <w:rStyle w:val="Hyperlink"/>
            <w:noProof/>
          </w:rPr>
          <w:t>7</w:t>
        </w:r>
        <w:r w:rsidR="002D3E58">
          <w:rPr>
            <w:rFonts w:asciiTheme="minorHAnsi" w:eastAsiaTheme="minorEastAsia" w:hAnsiTheme="minorHAnsi" w:cstheme="minorBidi"/>
            <w:b w:val="0"/>
            <w:bCs w:val="0"/>
            <w:caps w:val="0"/>
            <w:noProof/>
            <w:sz w:val="22"/>
            <w:szCs w:val="22"/>
            <w:lang w:eastAsia="en-AU"/>
          </w:rPr>
          <w:tab/>
        </w:r>
        <w:r w:rsidR="002D3E58" w:rsidRPr="00073B75">
          <w:rPr>
            <w:rStyle w:val="Hyperlink"/>
            <w:noProof/>
          </w:rPr>
          <w:t>Competition</w:t>
        </w:r>
        <w:r w:rsidR="002D3E58">
          <w:rPr>
            <w:noProof/>
            <w:webHidden/>
          </w:rPr>
          <w:tab/>
        </w:r>
        <w:r w:rsidR="002D3E58">
          <w:rPr>
            <w:noProof/>
            <w:webHidden/>
          </w:rPr>
          <w:fldChar w:fldCharType="begin"/>
        </w:r>
        <w:r w:rsidR="002D3E58">
          <w:rPr>
            <w:noProof/>
            <w:webHidden/>
          </w:rPr>
          <w:instrText xml:space="preserve"> PAGEREF _Toc402772648 \h </w:instrText>
        </w:r>
        <w:r w:rsidR="002D3E58">
          <w:rPr>
            <w:noProof/>
            <w:webHidden/>
          </w:rPr>
        </w:r>
        <w:r w:rsidR="002D3E58">
          <w:rPr>
            <w:noProof/>
            <w:webHidden/>
          </w:rPr>
          <w:fldChar w:fldCharType="separate"/>
        </w:r>
        <w:r w:rsidR="006C0946">
          <w:rPr>
            <w:noProof/>
            <w:webHidden/>
          </w:rPr>
          <w:t>21</w:t>
        </w:r>
        <w:r w:rsidR="002D3E58">
          <w:rPr>
            <w:noProof/>
            <w:webHidden/>
          </w:rPr>
          <w:fldChar w:fldCharType="end"/>
        </w:r>
      </w:hyperlink>
    </w:p>
    <w:p w:rsidR="002D3E58" w:rsidRDefault="00BF2EC9">
      <w:pPr>
        <w:pStyle w:val="TOC1"/>
        <w:rPr>
          <w:rFonts w:asciiTheme="minorHAnsi" w:eastAsiaTheme="minorEastAsia" w:hAnsiTheme="minorHAnsi" w:cstheme="minorBidi"/>
          <w:b w:val="0"/>
          <w:bCs w:val="0"/>
          <w:caps w:val="0"/>
          <w:noProof/>
          <w:sz w:val="22"/>
          <w:szCs w:val="22"/>
          <w:lang w:eastAsia="en-AU"/>
        </w:rPr>
      </w:pPr>
      <w:hyperlink w:anchor="_Toc402772649" w:history="1">
        <w:r w:rsidR="002D3E58" w:rsidRPr="00073B75">
          <w:rPr>
            <w:rStyle w:val="Hyperlink"/>
            <w:noProof/>
          </w:rPr>
          <w:t>8</w:t>
        </w:r>
        <w:r w:rsidR="002D3E58">
          <w:rPr>
            <w:rFonts w:asciiTheme="minorHAnsi" w:eastAsiaTheme="minorEastAsia" w:hAnsiTheme="minorHAnsi" w:cstheme="minorBidi"/>
            <w:b w:val="0"/>
            <w:bCs w:val="0"/>
            <w:caps w:val="0"/>
            <w:noProof/>
            <w:sz w:val="22"/>
            <w:szCs w:val="22"/>
            <w:lang w:eastAsia="en-AU"/>
          </w:rPr>
          <w:tab/>
        </w:r>
        <w:r w:rsidR="002D3E58" w:rsidRPr="00073B75">
          <w:rPr>
            <w:rStyle w:val="Hyperlink"/>
            <w:noProof/>
          </w:rPr>
          <w:t>Northern Territory</w:t>
        </w:r>
        <w:r w:rsidR="002D3E58">
          <w:rPr>
            <w:noProof/>
            <w:webHidden/>
          </w:rPr>
          <w:tab/>
        </w:r>
        <w:r w:rsidR="002D3E58">
          <w:rPr>
            <w:noProof/>
            <w:webHidden/>
          </w:rPr>
          <w:fldChar w:fldCharType="begin"/>
        </w:r>
        <w:r w:rsidR="002D3E58">
          <w:rPr>
            <w:noProof/>
            <w:webHidden/>
          </w:rPr>
          <w:instrText xml:space="preserve"> PAGEREF _Toc402772649 \h </w:instrText>
        </w:r>
        <w:r w:rsidR="002D3E58">
          <w:rPr>
            <w:noProof/>
            <w:webHidden/>
          </w:rPr>
        </w:r>
        <w:r w:rsidR="002D3E58">
          <w:rPr>
            <w:noProof/>
            <w:webHidden/>
          </w:rPr>
          <w:fldChar w:fldCharType="separate"/>
        </w:r>
        <w:r w:rsidR="006C0946">
          <w:rPr>
            <w:noProof/>
            <w:webHidden/>
          </w:rPr>
          <w:t>23</w:t>
        </w:r>
        <w:r w:rsidR="002D3E58">
          <w:rPr>
            <w:noProof/>
            <w:webHidden/>
          </w:rPr>
          <w:fldChar w:fldCharType="end"/>
        </w:r>
      </w:hyperlink>
    </w:p>
    <w:p w:rsidR="002D3E58" w:rsidRDefault="00BF2EC9">
      <w:pPr>
        <w:pStyle w:val="TOC1"/>
        <w:rPr>
          <w:rFonts w:asciiTheme="minorHAnsi" w:eastAsiaTheme="minorEastAsia" w:hAnsiTheme="minorHAnsi" w:cstheme="minorBidi"/>
          <w:b w:val="0"/>
          <w:bCs w:val="0"/>
          <w:caps w:val="0"/>
          <w:noProof/>
          <w:sz w:val="22"/>
          <w:szCs w:val="22"/>
          <w:lang w:eastAsia="en-AU"/>
        </w:rPr>
      </w:pPr>
      <w:hyperlink w:anchor="_Toc402772650" w:history="1">
        <w:r w:rsidR="002D3E58" w:rsidRPr="00073B75">
          <w:rPr>
            <w:rStyle w:val="Hyperlink"/>
            <w:noProof/>
          </w:rPr>
          <w:t>9</w:t>
        </w:r>
        <w:r w:rsidR="002D3E58">
          <w:rPr>
            <w:rFonts w:asciiTheme="minorHAnsi" w:eastAsiaTheme="minorEastAsia" w:hAnsiTheme="minorHAnsi" w:cstheme="minorBidi"/>
            <w:b w:val="0"/>
            <w:bCs w:val="0"/>
            <w:caps w:val="0"/>
            <w:noProof/>
            <w:sz w:val="22"/>
            <w:szCs w:val="22"/>
            <w:lang w:eastAsia="en-AU"/>
          </w:rPr>
          <w:tab/>
        </w:r>
        <w:r w:rsidR="002D3E58" w:rsidRPr="00073B75">
          <w:rPr>
            <w:rStyle w:val="Hyperlink"/>
            <w:noProof/>
          </w:rPr>
          <w:t>Concluding remarks</w:t>
        </w:r>
        <w:r w:rsidR="002D3E58">
          <w:rPr>
            <w:noProof/>
            <w:webHidden/>
          </w:rPr>
          <w:tab/>
        </w:r>
        <w:r w:rsidR="002D3E58">
          <w:rPr>
            <w:noProof/>
            <w:webHidden/>
          </w:rPr>
          <w:fldChar w:fldCharType="begin"/>
        </w:r>
        <w:r w:rsidR="002D3E58">
          <w:rPr>
            <w:noProof/>
            <w:webHidden/>
          </w:rPr>
          <w:instrText xml:space="preserve"> PAGEREF _Toc402772650 \h </w:instrText>
        </w:r>
        <w:r w:rsidR="002D3E58">
          <w:rPr>
            <w:noProof/>
            <w:webHidden/>
          </w:rPr>
        </w:r>
        <w:r w:rsidR="002D3E58">
          <w:rPr>
            <w:noProof/>
            <w:webHidden/>
          </w:rPr>
          <w:fldChar w:fldCharType="separate"/>
        </w:r>
        <w:r w:rsidR="006C0946">
          <w:rPr>
            <w:noProof/>
            <w:webHidden/>
          </w:rPr>
          <w:t>25</w:t>
        </w:r>
        <w:r w:rsidR="002D3E58">
          <w:rPr>
            <w:noProof/>
            <w:webHidden/>
          </w:rPr>
          <w:fldChar w:fldCharType="end"/>
        </w:r>
      </w:hyperlink>
    </w:p>
    <w:p w:rsidR="007D7583" w:rsidRDefault="00171249">
      <w:r>
        <w:rPr>
          <w:rFonts w:cs="Arial"/>
          <w:sz w:val="24"/>
          <w:szCs w:val="24"/>
        </w:rPr>
        <w:fldChar w:fldCharType="end"/>
      </w:r>
    </w:p>
    <w:p w:rsidR="005D3941" w:rsidRDefault="005D3941"/>
    <w:p w:rsidR="005D3941" w:rsidRDefault="005D3941" w:rsidP="00257130">
      <w:pPr>
        <w:pStyle w:val="Heading1"/>
        <w:sectPr w:rsidR="005D3941" w:rsidSect="00E03BD5">
          <w:headerReference w:type="first" r:id="rId15"/>
          <w:footerReference w:type="first" r:id="rId16"/>
          <w:pgSz w:w="11906" w:h="16838"/>
          <w:pgMar w:top="1440" w:right="1797" w:bottom="1440" w:left="1797" w:header="709" w:footer="709" w:gutter="0"/>
          <w:cols w:space="708"/>
          <w:titlePg/>
          <w:docGrid w:linePitch="360"/>
        </w:sectPr>
      </w:pPr>
    </w:p>
    <w:p w:rsidR="005D6A2A" w:rsidRDefault="005D6A2A" w:rsidP="005D6A2A">
      <w:pPr>
        <w:pStyle w:val="Heading1"/>
      </w:pPr>
      <w:bookmarkStart w:id="1" w:name="_Toc402772642"/>
      <w:r>
        <w:lastRenderedPageBreak/>
        <w:t>Introduction</w:t>
      </w:r>
      <w:r w:rsidR="001B536C">
        <w:t xml:space="preserve"> and summary of main findings</w:t>
      </w:r>
      <w:bookmarkEnd w:id="1"/>
    </w:p>
    <w:p w:rsidR="00D71A59" w:rsidRDefault="00D71A59" w:rsidP="00D71A59">
      <w:pPr>
        <w:pStyle w:val="Heading4"/>
      </w:pPr>
      <w:r>
        <w:t>Background</w:t>
      </w:r>
    </w:p>
    <w:p w:rsidR="000B06D5" w:rsidRDefault="00172136" w:rsidP="002615B4">
      <w:pPr>
        <w:pStyle w:val="BodyText"/>
      </w:pPr>
      <w:r>
        <w:t xml:space="preserve">I have been asked by the </w:t>
      </w:r>
      <w:r w:rsidR="005D6A2A">
        <w:t xml:space="preserve">Government </w:t>
      </w:r>
      <w:r w:rsidR="00F84A5F">
        <w:t xml:space="preserve">to conduct a study into </w:t>
      </w:r>
      <w:r w:rsidR="00871E2B">
        <w:t xml:space="preserve">home and contents </w:t>
      </w:r>
      <w:r w:rsidR="00F84A5F">
        <w:t>insurance pricing in N</w:t>
      </w:r>
      <w:r w:rsidR="00871E2B">
        <w:t xml:space="preserve">orth </w:t>
      </w:r>
      <w:r w:rsidR="00F84A5F">
        <w:t>Q</w:t>
      </w:r>
      <w:r w:rsidR="00871E2B">
        <w:t>ueensland</w:t>
      </w:r>
      <w:r w:rsidR="0017606D">
        <w:t xml:space="preserve"> (NQ)</w:t>
      </w:r>
      <w:r w:rsidR="00F84A5F">
        <w:t xml:space="preserve">. </w:t>
      </w:r>
      <w:r w:rsidR="008C2820">
        <w:t xml:space="preserve">This follows a study into residential strata insurance pricing </w:t>
      </w:r>
      <w:r w:rsidR="0023796A">
        <w:t xml:space="preserve">that I completed </w:t>
      </w:r>
      <w:r w:rsidR="008C2820">
        <w:t>in June this year.</w:t>
      </w:r>
    </w:p>
    <w:p w:rsidR="005068BD" w:rsidRDefault="00F84A5F" w:rsidP="002615B4">
      <w:pPr>
        <w:pStyle w:val="BodyText"/>
      </w:pPr>
      <w:r>
        <w:t>Specifically</w:t>
      </w:r>
      <w:r w:rsidR="00281AC0">
        <w:t>,</w:t>
      </w:r>
      <w:r>
        <w:t xml:space="preserve"> I </w:t>
      </w:r>
      <w:r w:rsidR="002615B4">
        <w:t xml:space="preserve">have been </w:t>
      </w:r>
      <w:r>
        <w:t>asked to</w:t>
      </w:r>
      <w:r w:rsidR="005068BD">
        <w:t>:</w:t>
      </w:r>
    </w:p>
    <w:p w:rsidR="00281AC0" w:rsidRDefault="00F84A5F" w:rsidP="005068BD">
      <w:pPr>
        <w:pStyle w:val="Bullet"/>
      </w:pPr>
      <w:r>
        <w:t xml:space="preserve">consider the causes of </w:t>
      </w:r>
      <w:r w:rsidR="008C2820">
        <w:t xml:space="preserve">home and contents </w:t>
      </w:r>
      <w:r>
        <w:t xml:space="preserve">premium increases in NQ, taking into account an 8 year timeframe beginning in </w:t>
      </w:r>
      <w:r w:rsidR="00D71A59">
        <w:t>2005-06</w:t>
      </w:r>
      <w:r w:rsidR="005068BD">
        <w:t xml:space="preserve">; and </w:t>
      </w:r>
      <w:r w:rsidR="00D71A59">
        <w:t xml:space="preserve"> </w:t>
      </w:r>
    </w:p>
    <w:p w:rsidR="00F84A5F" w:rsidRDefault="00D71A59" w:rsidP="002615B4">
      <w:pPr>
        <w:pStyle w:val="Bullet"/>
      </w:pPr>
      <w:proofErr w:type="gramStart"/>
      <w:r>
        <w:t>compare</w:t>
      </w:r>
      <w:proofErr w:type="gramEnd"/>
      <w:r>
        <w:t xml:space="preserve"> </w:t>
      </w:r>
      <w:r w:rsidR="00871E2B">
        <w:t>home and contents</w:t>
      </w:r>
      <w:r>
        <w:t xml:space="preserve"> insurance pricing across Northern Australia and other east coast centres and consider the reason</w:t>
      </w:r>
      <w:r w:rsidR="00871E2B">
        <w:t xml:space="preserve">s for </w:t>
      </w:r>
      <w:r>
        <w:t>any significant variation in pricing across geographic areas.</w:t>
      </w:r>
    </w:p>
    <w:p w:rsidR="005D6A2A" w:rsidRDefault="005D6A2A" w:rsidP="005D6A2A">
      <w:pPr>
        <w:pStyle w:val="BodyText"/>
      </w:pPr>
      <w:bookmarkStart w:id="2" w:name="_Ref402617121"/>
      <w:r>
        <w:t>This report sets out the results of my investigation.</w:t>
      </w:r>
      <w:bookmarkEnd w:id="2"/>
    </w:p>
    <w:p w:rsidR="007C7599" w:rsidRDefault="007C7599" w:rsidP="007C7599">
      <w:pPr>
        <w:pStyle w:val="Heading4"/>
      </w:pPr>
      <w:r>
        <w:t>Brief summary of main findings</w:t>
      </w:r>
    </w:p>
    <w:p w:rsidR="007C7599" w:rsidRPr="007C7599" w:rsidRDefault="007C7599" w:rsidP="007C7599">
      <w:pPr>
        <w:pStyle w:val="BodyText"/>
        <w:numPr>
          <w:ilvl w:val="0"/>
          <w:numId w:val="0"/>
        </w:numPr>
        <w:ind w:left="850"/>
        <w:rPr>
          <w:i/>
        </w:rPr>
      </w:pPr>
      <w:r>
        <w:rPr>
          <w:i/>
        </w:rPr>
        <w:t>Premium rate increases</w:t>
      </w:r>
    </w:p>
    <w:p w:rsidR="00FA5299" w:rsidRDefault="00FA5299" w:rsidP="007C7599">
      <w:pPr>
        <w:pStyle w:val="BodyText"/>
      </w:pPr>
      <w:bookmarkStart w:id="3" w:name="_Ref402537193"/>
      <w:r>
        <w:t>NQ home and contents insurance premium rates</w:t>
      </w:r>
      <w:r>
        <w:rPr>
          <w:rStyle w:val="FootnoteReference"/>
        </w:rPr>
        <w:footnoteReference w:id="1"/>
      </w:r>
      <w:r>
        <w:t xml:space="preserve"> have increased by around 80 per cent over the period of the investigation. </w:t>
      </w:r>
      <w:r w:rsidR="00303414">
        <w:t xml:space="preserve">Over the same period, average home and contents premium rates across Australia have increased by about 25 per cent. In Brisbane, the increase was around 45 per cent while in Sydney/Melbourne it was about 12 per cent. </w:t>
      </w:r>
      <w:r>
        <w:t>The chart below illustrates.</w:t>
      </w:r>
      <w:bookmarkEnd w:id="3"/>
    </w:p>
    <w:p w:rsidR="00FA5299" w:rsidRDefault="00FA5299" w:rsidP="00FA5299">
      <w:pPr>
        <w:pStyle w:val="BodyText"/>
        <w:numPr>
          <w:ilvl w:val="0"/>
          <w:numId w:val="0"/>
        </w:numPr>
        <w:tabs>
          <w:tab w:val="left" w:pos="720"/>
        </w:tabs>
        <w:ind w:left="850"/>
      </w:pPr>
      <w:r w:rsidRPr="00FA5299">
        <w:rPr>
          <w:noProof/>
          <w:lang w:eastAsia="en-AU"/>
        </w:rPr>
        <w:drawing>
          <wp:inline distT="0" distB="0" distL="0" distR="0" wp14:anchorId="482FBE24" wp14:editId="6A9E3627">
            <wp:extent cx="4580255" cy="274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FA5299" w:rsidRDefault="00FA5299" w:rsidP="007C7599">
      <w:pPr>
        <w:pStyle w:val="BodyText"/>
      </w:pPr>
      <w:bookmarkStart w:id="4" w:name="_Ref402537154"/>
      <w:r>
        <w:lastRenderedPageBreak/>
        <w:t>The claims cost trajectory</w:t>
      </w:r>
      <w:r>
        <w:rPr>
          <w:rStyle w:val="FootnoteReference"/>
        </w:rPr>
        <w:footnoteReference w:id="2"/>
      </w:r>
      <w:r>
        <w:t xml:space="preserve"> for NQ</w:t>
      </w:r>
      <w:r w:rsidR="00560AAC">
        <w:t>, shown below,</w:t>
      </w:r>
      <w:r>
        <w:t xml:space="preserve"> has been both higher and more volatile than </w:t>
      </w:r>
      <w:r w:rsidR="005247AC">
        <w:t xml:space="preserve">for </w:t>
      </w:r>
      <w:r>
        <w:t xml:space="preserve">either Brisbane or Sydney/Melbourne. The impact of Cyclone Larry in 2005-06, the Mackay storms in 2007-08 and Cyclone </w:t>
      </w:r>
      <w:proofErr w:type="spellStart"/>
      <w:r>
        <w:t>Yasi</w:t>
      </w:r>
      <w:proofErr w:type="spellEnd"/>
      <w:r>
        <w:t xml:space="preserve"> in 2010-11 is clearly evident.</w:t>
      </w:r>
      <w:bookmarkEnd w:id="4"/>
    </w:p>
    <w:p w:rsidR="00FA5299" w:rsidRDefault="00FA5299" w:rsidP="00FA5299">
      <w:pPr>
        <w:pStyle w:val="BodyText"/>
        <w:numPr>
          <w:ilvl w:val="0"/>
          <w:numId w:val="0"/>
        </w:numPr>
        <w:tabs>
          <w:tab w:val="left" w:pos="720"/>
        </w:tabs>
        <w:ind w:left="850"/>
      </w:pPr>
      <w:r w:rsidRPr="00C3398C">
        <w:rPr>
          <w:noProof/>
          <w:lang w:eastAsia="en-AU"/>
        </w:rPr>
        <w:drawing>
          <wp:inline distT="0" distB="0" distL="0" distR="0" wp14:anchorId="52907685" wp14:editId="0B1FABEE">
            <wp:extent cx="4580255" cy="274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FA5299" w:rsidRDefault="00FA5299" w:rsidP="00966911">
      <w:pPr>
        <w:pStyle w:val="BodyText"/>
      </w:pPr>
      <w:r>
        <w:t>In my view it is likely that major reasons for the premium rate increases experienced in NQ include:</w:t>
      </w:r>
    </w:p>
    <w:p w:rsidR="00FA5299" w:rsidRDefault="00FA5299" w:rsidP="00966911">
      <w:pPr>
        <w:pStyle w:val="Bullet"/>
        <w:numPr>
          <w:ilvl w:val="0"/>
          <w:numId w:val="6"/>
        </w:numPr>
      </w:pPr>
      <w:r>
        <w:t xml:space="preserve">insurer reaction to losses caused by a number of natural disasters, illustrated in the chart above; </w:t>
      </w:r>
    </w:p>
    <w:p w:rsidR="00FA5299" w:rsidRDefault="00FA5299" w:rsidP="00966911">
      <w:pPr>
        <w:pStyle w:val="Bullet"/>
        <w:numPr>
          <w:ilvl w:val="0"/>
          <w:numId w:val="6"/>
        </w:numPr>
      </w:pPr>
      <w:r>
        <w:t>developments in catastrophe modelling, including cyclone modelling; and</w:t>
      </w:r>
    </w:p>
    <w:p w:rsidR="00FA5299" w:rsidRDefault="00FA5299" w:rsidP="00966911">
      <w:pPr>
        <w:pStyle w:val="Bullet"/>
        <w:numPr>
          <w:ilvl w:val="0"/>
          <w:numId w:val="6"/>
        </w:numPr>
      </w:pPr>
      <w:proofErr w:type="gramStart"/>
      <w:r>
        <w:t>increases</w:t>
      </w:r>
      <w:proofErr w:type="gramEnd"/>
      <w:r>
        <w:t xml:space="preserve"> in the cost of catastrophe reinsurance.</w:t>
      </w:r>
    </w:p>
    <w:p w:rsidR="00FA5299" w:rsidRDefault="00FA5299" w:rsidP="00966911">
      <w:pPr>
        <w:pStyle w:val="BodyText"/>
      </w:pPr>
      <w:r>
        <w:t xml:space="preserve">Together, these factors have caused insurers </w:t>
      </w:r>
      <w:r w:rsidR="005247AC">
        <w:t>to increase their estimates of</w:t>
      </w:r>
      <w:r>
        <w:t xml:space="preserve"> NQ home insurance </w:t>
      </w:r>
      <w:r w:rsidR="005247AC">
        <w:t>risk</w:t>
      </w:r>
      <w:r>
        <w:t>.</w:t>
      </w:r>
    </w:p>
    <w:p w:rsidR="00FA5299" w:rsidRDefault="00FA5299" w:rsidP="00FA5299">
      <w:pPr>
        <w:pStyle w:val="Heading4"/>
        <w:rPr>
          <w:b w:val="0"/>
          <w:i/>
        </w:rPr>
      </w:pPr>
      <w:r>
        <w:rPr>
          <w:b w:val="0"/>
          <w:i/>
        </w:rPr>
        <w:t>Comparison of NQ prices with prices elsewhere</w:t>
      </w:r>
    </w:p>
    <w:p w:rsidR="00FA5299" w:rsidRPr="00FA5299" w:rsidRDefault="005247AC" w:rsidP="00966911">
      <w:pPr>
        <w:pStyle w:val="BodyText"/>
      </w:pPr>
      <w:bookmarkStart w:id="5" w:name="_Ref402617346"/>
      <w:r>
        <w:t>In</w:t>
      </w:r>
      <w:r w:rsidR="00FA5299">
        <w:t xml:space="preserve"> 2012-13</w:t>
      </w:r>
      <w:r>
        <w:t>,</w:t>
      </w:r>
      <w:r w:rsidR="00FA5299">
        <w:t xml:space="preserve"> Brisbane premium rates were about 60 per cent of NQ rates and in Sydney and Melbourne, premium rates were only around 40 per cent of NQ rates. Australian premium rates in 2012-13 were, on average, </w:t>
      </w:r>
      <w:r w:rsidR="00FA5299" w:rsidRPr="00FA5299">
        <w:t>around 50 per cent of NQ premium rates.</w:t>
      </w:r>
      <w:bookmarkEnd w:id="5"/>
    </w:p>
    <w:p w:rsidR="005633C4" w:rsidRDefault="005633C4" w:rsidP="005633C4">
      <w:pPr>
        <w:pStyle w:val="BodyText"/>
      </w:pPr>
      <w:r>
        <w:t xml:space="preserve">In NQ, cyclone is a big risk. </w:t>
      </w:r>
    </w:p>
    <w:p w:rsidR="00FA5299" w:rsidRPr="00FA5299" w:rsidRDefault="00FA5299" w:rsidP="00966911">
      <w:pPr>
        <w:pStyle w:val="BodyText"/>
      </w:pPr>
      <w:r w:rsidRPr="00FA5299">
        <w:lastRenderedPageBreak/>
        <w:t>The chart below shows insurer estimates of home building claims costs</w:t>
      </w:r>
      <w:r w:rsidRPr="00FA5299">
        <w:rPr>
          <w:rStyle w:val="FootnoteReference"/>
        </w:rPr>
        <w:footnoteReference w:id="3"/>
      </w:r>
      <w:r w:rsidRPr="00FA5299">
        <w:t>, split between cyclone, other natural peril</w:t>
      </w:r>
      <w:r w:rsidRPr="00FA5299">
        <w:rPr>
          <w:rStyle w:val="FootnoteReference"/>
        </w:rPr>
        <w:footnoteReference w:id="4"/>
      </w:r>
      <w:r w:rsidRPr="00FA5299">
        <w:t xml:space="preserve"> and non-natural peril causes</w:t>
      </w:r>
      <w:r w:rsidRPr="00FA5299">
        <w:rPr>
          <w:rStyle w:val="FootnoteReference"/>
        </w:rPr>
        <w:footnoteReference w:id="5"/>
      </w:r>
      <w:r w:rsidRPr="00FA5299">
        <w:t xml:space="preserve"> for each of NQ, Brisbane and Sydney/Melbourne.</w:t>
      </w:r>
    </w:p>
    <w:p w:rsidR="00FA5299" w:rsidRDefault="00FA5299" w:rsidP="00FA5299">
      <w:pPr>
        <w:pStyle w:val="BodyText"/>
        <w:numPr>
          <w:ilvl w:val="0"/>
          <w:numId w:val="0"/>
        </w:numPr>
        <w:tabs>
          <w:tab w:val="left" w:pos="720"/>
        </w:tabs>
        <w:ind w:left="850"/>
        <w:rPr>
          <w:highlight w:val="yellow"/>
        </w:rPr>
      </w:pPr>
      <w:r w:rsidRPr="00FA5299">
        <w:rPr>
          <w:noProof/>
          <w:lang w:eastAsia="en-AU"/>
        </w:rPr>
        <w:drawing>
          <wp:inline distT="0" distB="0" distL="0" distR="0" wp14:anchorId="3D9FB8C9" wp14:editId="3380C65F">
            <wp:extent cx="4580255" cy="274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FA5299" w:rsidRPr="00FA5299" w:rsidRDefault="00415345" w:rsidP="00966911">
      <w:pPr>
        <w:pStyle w:val="BodyText"/>
      </w:pPr>
      <w:r>
        <w:t>This</w:t>
      </w:r>
      <w:r w:rsidR="00FA5299" w:rsidRPr="00FA5299">
        <w:t xml:space="preserve"> chart indicate</w:t>
      </w:r>
      <w:r>
        <w:t>s</w:t>
      </w:r>
      <w:r w:rsidR="00FA5299" w:rsidRPr="00FA5299">
        <w:t xml:space="preserve"> that the cost of cyclone risk is likely to be the main reason why NQ premium rates are, on average, </w:t>
      </w:r>
      <w:r w:rsidR="00961ED5">
        <w:t xml:space="preserve">significantly </w:t>
      </w:r>
      <w:r w:rsidR="00FA5299" w:rsidRPr="00FA5299">
        <w:t xml:space="preserve">higher than premium rates in most other parts of Australia. </w:t>
      </w:r>
    </w:p>
    <w:p w:rsidR="00FA5299" w:rsidRDefault="00FA5299" w:rsidP="00966911">
      <w:pPr>
        <w:pStyle w:val="BodyText"/>
      </w:pPr>
      <w:r>
        <w:t xml:space="preserve">Cyclone risk can have a substantial </w:t>
      </w:r>
      <w:r>
        <w:rPr>
          <w:u w:val="single"/>
        </w:rPr>
        <w:t>regional</w:t>
      </w:r>
      <w:r>
        <w:t xml:space="preserve"> impact on premiums. </w:t>
      </w:r>
    </w:p>
    <w:p w:rsidR="00FA5299" w:rsidRDefault="00FA5299" w:rsidP="00966911">
      <w:pPr>
        <w:pStyle w:val="BodyText"/>
      </w:pPr>
      <w:r>
        <w:t>Other natural perils</w:t>
      </w:r>
      <w:r>
        <w:rPr>
          <w:rStyle w:val="FootnoteReference"/>
        </w:rPr>
        <w:footnoteReference w:id="6"/>
      </w:r>
      <w:r>
        <w:t xml:space="preserve"> can have a substantial impact on </w:t>
      </w:r>
      <w:r>
        <w:rPr>
          <w:u w:val="single"/>
        </w:rPr>
        <w:t>individual</w:t>
      </w:r>
      <w:r>
        <w:t xml:space="preserve"> policyholder premiums. Flood is a good example. Some policyholders face very high flood premiums. However, when considered on a regional level the cost of flood (and other natural peril) tends to be relatively low. In this regard, cyclone risk is un</w:t>
      </w:r>
      <w:r w:rsidR="00DC29F8">
        <w:t>ique</w:t>
      </w:r>
      <w:r>
        <w:t>. This important point is discussed more fully in the body of the report.</w:t>
      </w:r>
    </w:p>
    <w:p w:rsidR="00FA5299" w:rsidRPr="00FA5299" w:rsidRDefault="00FA5299" w:rsidP="00966911">
      <w:pPr>
        <w:pStyle w:val="BodyText"/>
      </w:pPr>
      <w:r w:rsidRPr="00FA5299">
        <w:t xml:space="preserve">According to the data provided for this investigation, the average cost of cyclone risk for NQ policyholders is higher than the average cost of any other natural peril in most other regions. </w:t>
      </w:r>
    </w:p>
    <w:p w:rsidR="00FA5299" w:rsidRPr="00FA5299" w:rsidRDefault="00FA5299" w:rsidP="00966911">
      <w:pPr>
        <w:pStyle w:val="BodyText"/>
      </w:pPr>
      <w:r w:rsidRPr="00FA5299">
        <w:t>The main exception to this is the cost of cyclone risk in north-west WA which is estimated to be even higher than the corresponding cost in NQ.</w:t>
      </w:r>
    </w:p>
    <w:p w:rsidR="00971DE6" w:rsidRPr="00D233A5" w:rsidRDefault="00971DE6" w:rsidP="005B4336">
      <w:pPr>
        <w:pStyle w:val="Heading4"/>
      </w:pPr>
      <w:r w:rsidRPr="00D233A5">
        <w:lastRenderedPageBreak/>
        <w:t>Reading this report</w:t>
      </w:r>
    </w:p>
    <w:p w:rsidR="00525174" w:rsidRPr="00D233A5" w:rsidRDefault="00525174" w:rsidP="00971DE6">
      <w:pPr>
        <w:pStyle w:val="BodyText"/>
      </w:pPr>
      <w:r w:rsidRPr="00D233A5">
        <w:t xml:space="preserve">The purpose of this report is </w:t>
      </w:r>
      <w:r w:rsidR="007C7599" w:rsidRPr="00D233A5">
        <w:t>to document the findings of an investigation</w:t>
      </w:r>
      <w:r w:rsidR="007C7599">
        <w:t xml:space="preserve">. The purpose is </w:t>
      </w:r>
      <w:r w:rsidRPr="00D233A5">
        <w:t>not</w:t>
      </w:r>
      <w:r w:rsidR="007C7599">
        <w:t xml:space="preserve"> to make recommendations</w:t>
      </w:r>
      <w:r w:rsidRPr="00D233A5">
        <w:t>.</w:t>
      </w:r>
    </w:p>
    <w:p w:rsidR="00971DE6" w:rsidRPr="00D233A5" w:rsidRDefault="00971DE6" w:rsidP="00971DE6">
      <w:pPr>
        <w:pStyle w:val="BodyText"/>
      </w:pPr>
      <w:r w:rsidRPr="00D233A5">
        <w:t xml:space="preserve">This report is </w:t>
      </w:r>
      <w:r w:rsidR="003A50C4" w:rsidRPr="00D233A5">
        <w:t xml:space="preserve">intended </w:t>
      </w:r>
      <w:r w:rsidRPr="00D233A5">
        <w:t xml:space="preserve">to be read in its entirety. </w:t>
      </w:r>
      <w:r w:rsidR="006C3F6D" w:rsidRPr="00D233A5">
        <w:t>In particular, it is not appropriate to draw or infer c</w:t>
      </w:r>
      <w:r w:rsidR="005620F3" w:rsidRPr="00D233A5">
        <w:t>onclusions a</w:t>
      </w:r>
      <w:r w:rsidR="006C3F6D" w:rsidRPr="00D233A5">
        <w:t>bout the reason</w:t>
      </w:r>
      <w:r w:rsidR="008B692B">
        <w:t>s for</w:t>
      </w:r>
      <w:r w:rsidR="006C3F6D" w:rsidRPr="00D233A5">
        <w:t xml:space="preserve"> price variatio</w:t>
      </w:r>
      <w:r w:rsidR="003F4948" w:rsidRPr="00D233A5">
        <w:t>ns between NQ and other regions without careful consideration of the whole document</w:t>
      </w:r>
      <w:r w:rsidR="005620F3" w:rsidRPr="00D233A5">
        <w:t>.</w:t>
      </w:r>
    </w:p>
    <w:p w:rsidR="005620F3" w:rsidRPr="00D233A5" w:rsidRDefault="005620F3" w:rsidP="00971DE6">
      <w:pPr>
        <w:pStyle w:val="BodyText"/>
      </w:pPr>
      <w:r w:rsidRPr="00D233A5">
        <w:t>The analysis and results in this report are based on aggregating data from a number of participating insurers. They do not reflect the position of any individual insurer.</w:t>
      </w:r>
    </w:p>
    <w:p w:rsidR="00F373BD" w:rsidRDefault="00EC5664" w:rsidP="00F373BD">
      <w:pPr>
        <w:pStyle w:val="BodyText"/>
      </w:pPr>
      <w:r>
        <w:t>In general the charts in this report summarise data items relative to NQ. Thus NQ is shown with a (initial) value of 100 and other regions are shown relative to this. This approach has been taken to protect the commercially sensitive nature of the data provided.</w:t>
      </w:r>
      <w:r w:rsidR="00F373BD" w:rsidRPr="00F373BD">
        <w:t xml:space="preserve"> </w:t>
      </w:r>
    </w:p>
    <w:p w:rsidR="00EC5664" w:rsidRDefault="00F373BD" w:rsidP="00F373BD">
      <w:pPr>
        <w:pStyle w:val="BodyText"/>
      </w:pPr>
      <w:r>
        <w:t xml:space="preserve">Commentary on pricing in this report relates to </w:t>
      </w:r>
      <w:r w:rsidR="005C0CEE">
        <w:t>home and contents insurance</w:t>
      </w:r>
      <w:r>
        <w:t xml:space="preserve"> only and does not relate to any other business segments written by these insurers.</w:t>
      </w:r>
    </w:p>
    <w:p w:rsidR="00213117" w:rsidRDefault="005B4336" w:rsidP="005B4336">
      <w:pPr>
        <w:pStyle w:val="Heading4"/>
      </w:pPr>
      <w:r w:rsidRPr="005B4336">
        <w:t>Structure of this report</w:t>
      </w:r>
    </w:p>
    <w:p w:rsidR="005B4336" w:rsidRDefault="00F357A2" w:rsidP="005B4336">
      <w:pPr>
        <w:pStyle w:val="BodyText"/>
      </w:pPr>
      <w:r>
        <w:t>This report is therefore structured as follows:</w:t>
      </w:r>
    </w:p>
    <w:p w:rsidR="00F357A2" w:rsidRDefault="00F357A2" w:rsidP="00F357A2">
      <w:pPr>
        <w:pStyle w:val="Bullet"/>
      </w:pPr>
      <w:r w:rsidRPr="00F357A2">
        <w:rPr>
          <w:b/>
        </w:rPr>
        <w:t>Data</w:t>
      </w:r>
      <w:r>
        <w:t>: brief description of the data sources for this investigation</w:t>
      </w:r>
    </w:p>
    <w:p w:rsidR="00F357A2" w:rsidRDefault="00F357A2" w:rsidP="003E4C20">
      <w:pPr>
        <w:pStyle w:val="Bullet"/>
      </w:pPr>
      <w:r w:rsidRPr="003E4C20">
        <w:rPr>
          <w:b/>
        </w:rPr>
        <w:t>Pr</w:t>
      </w:r>
      <w:r w:rsidR="003E4C20" w:rsidRPr="003E4C20">
        <w:rPr>
          <w:b/>
        </w:rPr>
        <w:t xml:space="preserve">emium </w:t>
      </w:r>
      <w:r w:rsidR="003E4C20">
        <w:rPr>
          <w:b/>
        </w:rPr>
        <w:t>rate</w:t>
      </w:r>
      <w:r w:rsidR="0041139D">
        <w:rPr>
          <w:b/>
        </w:rPr>
        <w:t>s</w:t>
      </w:r>
      <w:r>
        <w:t>: comparison of premium rate</w:t>
      </w:r>
      <w:r w:rsidR="0041139D">
        <w:t>s</w:t>
      </w:r>
      <w:r>
        <w:t xml:space="preserve"> in NQ with those in other </w:t>
      </w:r>
      <w:r w:rsidR="003E4C20">
        <w:t>regions</w:t>
      </w:r>
    </w:p>
    <w:p w:rsidR="00F357A2" w:rsidRDefault="00F357A2" w:rsidP="00F357A2">
      <w:pPr>
        <w:pStyle w:val="Bullet"/>
      </w:pPr>
      <w:r w:rsidRPr="00F357A2">
        <w:rPr>
          <w:b/>
        </w:rPr>
        <w:t>Claims costs</w:t>
      </w:r>
      <w:r>
        <w:t>: analysis of the relative claims experience in NQ and in other centres over the 8 year period of the investigation</w:t>
      </w:r>
    </w:p>
    <w:p w:rsidR="0002621F" w:rsidRPr="0002621F" w:rsidRDefault="0002621F" w:rsidP="00F357A2">
      <w:pPr>
        <w:pStyle w:val="Bullet"/>
      </w:pPr>
      <w:r>
        <w:rPr>
          <w:b/>
        </w:rPr>
        <w:t>Technical peril costs</w:t>
      </w:r>
      <w:r>
        <w:t xml:space="preserve">: consideration of insurer estimates of </w:t>
      </w:r>
      <w:r w:rsidR="003F0E1C">
        <w:t>the cost of various perils, including natural perils</w:t>
      </w:r>
    </w:p>
    <w:p w:rsidR="00F357A2" w:rsidRDefault="00F357A2" w:rsidP="00F357A2">
      <w:pPr>
        <w:pStyle w:val="Bullet"/>
      </w:pPr>
      <w:r w:rsidRPr="00F357A2">
        <w:rPr>
          <w:b/>
        </w:rPr>
        <w:t>Reinsurance</w:t>
      </w:r>
      <w:r>
        <w:t>: consideration of the cost of catastrophe reinsurance</w:t>
      </w:r>
    </w:p>
    <w:p w:rsidR="00F357A2" w:rsidRDefault="00F357A2" w:rsidP="00F357A2">
      <w:pPr>
        <w:pStyle w:val="Bullet"/>
      </w:pPr>
      <w:r w:rsidRPr="00F357A2">
        <w:rPr>
          <w:b/>
        </w:rPr>
        <w:t>Competition</w:t>
      </w:r>
      <w:r>
        <w:t>: discussion of the role of competition in the pricing process</w:t>
      </w:r>
    </w:p>
    <w:p w:rsidR="00F357A2" w:rsidRPr="00F357A2" w:rsidRDefault="00F357A2" w:rsidP="00F357A2">
      <w:pPr>
        <w:pStyle w:val="Bullet"/>
        <w:rPr>
          <w:b/>
        </w:rPr>
      </w:pPr>
      <w:r w:rsidRPr="00F357A2">
        <w:rPr>
          <w:b/>
        </w:rPr>
        <w:t xml:space="preserve">Conclusions </w:t>
      </w:r>
    </w:p>
    <w:p w:rsidR="005D6A2A" w:rsidRDefault="005D6A2A" w:rsidP="005D6A2A">
      <w:pPr>
        <w:pStyle w:val="Heading1"/>
      </w:pPr>
      <w:bookmarkStart w:id="6" w:name="_Toc402772643"/>
      <w:r>
        <w:t>Data</w:t>
      </w:r>
      <w:bookmarkEnd w:id="6"/>
    </w:p>
    <w:p w:rsidR="00AC4CD8" w:rsidRDefault="00AC4CD8" w:rsidP="005D6A2A">
      <w:pPr>
        <w:pStyle w:val="BodyText"/>
      </w:pPr>
      <w:r>
        <w:t>For the purpose of this report, NQ is taken to include the Marlborough region along with areas in and around Mackay, Proserpine, Townsville, Ingham</w:t>
      </w:r>
      <w:r w:rsidR="00FB2669">
        <w:t>,</w:t>
      </w:r>
      <w:r>
        <w:t xml:space="preserve"> Cairns</w:t>
      </w:r>
      <w:r w:rsidR="00FB2669">
        <w:t xml:space="preserve"> and Cape York</w:t>
      </w:r>
      <w:r>
        <w:t>.</w:t>
      </w:r>
      <w:r w:rsidR="00FB2669">
        <w:t xml:space="preserve"> Specifically, NQ is taken to include ICA</w:t>
      </w:r>
      <w:r w:rsidR="00FB2669">
        <w:rPr>
          <w:rStyle w:val="FootnoteReference"/>
        </w:rPr>
        <w:footnoteReference w:id="7"/>
      </w:r>
      <w:r w:rsidR="00FB2669">
        <w:t xml:space="preserve"> </w:t>
      </w:r>
      <w:proofErr w:type="spellStart"/>
      <w:r w:rsidR="00FB2669">
        <w:t>Cresta</w:t>
      </w:r>
      <w:proofErr w:type="spellEnd"/>
      <w:r w:rsidR="00FB2669">
        <w:t xml:space="preserve"> zones 6 to 12.</w:t>
      </w:r>
      <w:r>
        <w:t xml:space="preserve"> </w:t>
      </w:r>
    </w:p>
    <w:p w:rsidR="005D6A2A" w:rsidRDefault="005D6A2A" w:rsidP="005D6A2A">
      <w:pPr>
        <w:pStyle w:val="BodyText"/>
      </w:pPr>
      <w:r>
        <w:lastRenderedPageBreak/>
        <w:t xml:space="preserve">I sought </w:t>
      </w:r>
      <w:r w:rsidR="00027091">
        <w:t xml:space="preserve">certain </w:t>
      </w:r>
      <w:r>
        <w:t xml:space="preserve">historical data from </w:t>
      </w:r>
      <w:r w:rsidR="00027091">
        <w:t>five</w:t>
      </w:r>
      <w:r>
        <w:t xml:space="preserve"> insurers</w:t>
      </w:r>
      <w:r w:rsidR="00AA5F05">
        <w:t>:</w:t>
      </w:r>
      <w:r w:rsidR="000911A3">
        <w:t xml:space="preserve"> Allianz, </w:t>
      </w:r>
      <w:r w:rsidR="00027091">
        <w:t>IAG Group</w:t>
      </w:r>
      <w:r w:rsidR="00AA5F05">
        <w:t>,</w:t>
      </w:r>
      <w:r w:rsidR="00AC4CD8">
        <w:t xml:space="preserve"> </w:t>
      </w:r>
      <w:r w:rsidR="00027091">
        <w:t xml:space="preserve">QBE, RACQI and </w:t>
      </w:r>
      <w:r w:rsidR="00AC4CD8">
        <w:t xml:space="preserve">Suncorp. </w:t>
      </w:r>
      <w:r>
        <w:t xml:space="preserve">The </w:t>
      </w:r>
      <w:r w:rsidR="00027091">
        <w:t xml:space="preserve">historical </w:t>
      </w:r>
      <w:r>
        <w:t xml:space="preserve">data provided by these insurers relates to </w:t>
      </w:r>
      <w:r w:rsidR="00027091">
        <w:t>home and contents</w:t>
      </w:r>
      <w:r>
        <w:t xml:space="preserve"> insurance business in NQ</w:t>
      </w:r>
      <w:r w:rsidR="0066505B">
        <w:t>.</w:t>
      </w:r>
      <w:r w:rsidR="000911A3">
        <w:t xml:space="preserve"> The </w:t>
      </w:r>
      <w:r w:rsidR="0066505B">
        <w:t xml:space="preserve">historical </w:t>
      </w:r>
      <w:r w:rsidR="000911A3">
        <w:t xml:space="preserve">data covered the 8 financial years from </w:t>
      </w:r>
      <w:r>
        <w:t>200</w:t>
      </w:r>
      <w:r w:rsidR="00306DCD">
        <w:t>5</w:t>
      </w:r>
      <w:r w:rsidR="004C1755">
        <w:t>-0</w:t>
      </w:r>
      <w:r w:rsidR="00306DCD">
        <w:t>6</w:t>
      </w:r>
      <w:r>
        <w:t xml:space="preserve"> </w:t>
      </w:r>
      <w:r w:rsidR="000911A3">
        <w:t>to</w:t>
      </w:r>
      <w:r>
        <w:t xml:space="preserve"> 20</w:t>
      </w:r>
      <w:r w:rsidR="004C1755">
        <w:t>12-</w:t>
      </w:r>
      <w:r>
        <w:t>1</w:t>
      </w:r>
      <w:r w:rsidR="000911A3">
        <w:t>3</w:t>
      </w:r>
      <w:r>
        <w:t>.</w:t>
      </w:r>
    </w:p>
    <w:p w:rsidR="0066505B" w:rsidRDefault="0066505B" w:rsidP="005D6A2A">
      <w:pPr>
        <w:pStyle w:val="BodyText"/>
      </w:pPr>
      <w:r>
        <w:t xml:space="preserve">I also sought certain technical data </w:t>
      </w:r>
      <w:r w:rsidR="00FB149D">
        <w:t xml:space="preserve">and supporting information </w:t>
      </w:r>
      <w:r>
        <w:t xml:space="preserve">from the same insurers. The technical data related to estimates of the </w:t>
      </w:r>
      <w:r w:rsidR="0041139D">
        <w:t xml:space="preserve">expected </w:t>
      </w:r>
      <w:r>
        <w:t>cost of claims arising from a number of natural and non-natural perils. The technical data was provided individually in respect of a number of regions including NQ.</w:t>
      </w:r>
    </w:p>
    <w:p w:rsidR="000157BF" w:rsidRDefault="0066505B" w:rsidP="005D6A2A">
      <w:pPr>
        <w:pStyle w:val="BodyText"/>
      </w:pPr>
      <w:r>
        <w:t>I also sought certain historical data from Insurance Statistics Australia (ISA). ISA provided historical premium and claims data by broad geographical region. That historical data a</w:t>
      </w:r>
      <w:r w:rsidR="006E5591">
        <w:t>lso</w:t>
      </w:r>
      <w:r>
        <w:t xml:space="preserve"> </w:t>
      </w:r>
      <w:r w:rsidR="006E5591">
        <w:t>included</w:t>
      </w:r>
      <w:r>
        <w:t xml:space="preserve"> the period from 2005-06 to 2012-13</w:t>
      </w:r>
      <w:r w:rsidR="000157BF">
        <w:t>.</w:t>
      </w:r>
    </w:p>
    <w:p w:rsidR="00AC408D" w:rsidRDefault="00AC408D" w:rsidP="005D6A2A">
      <w:pPr>
        <w:pStyle w:val="BodyText"/>
      </w:pPr>
      <w:r>
        <w:t>I have relied on the accuracy of the data provided, along with a number of discussions with the insurers. I carried out brief reasonableness checks on the data</w:t>
      </w:r>
      <w:r w:rsidR="00FC7631">
        <w:t xml:space="preserve"> and believe the data to be suitable for the current purpose</w:t>
      </w:r>
      <w:r>
        <w:t xml:space="preserve">. </w:t>
      </w:r>
      <w:r w:rsidRPr="002D0A00">
        <w:t xml:space="preserve">However, I </w:t>
      </w:r>
      <w:r w:rsidR="00A46856" w:rsidRPr="002D0A00">
        <w:t xml:space="preserve">was </w:t>
      </w:r>
      <w:r w:rsidRPr="002D0A00">
        <w:t xml:space="preserve">not in a position to independently audit the data.  </w:t>
      </w:r>
    </w:p>
    <w:p w:rsidR="0066505B" w:rsidRPr="002D0A00" w:rsidRDefault="0066505B" w:rsidP="005D6A2A">
      <w:pPr>
        <w:pStyle w:val="BodyText"/>
      </w:pPr>
      <w:r>
        <w:t>I have also had discussions with members of the Actuaries Institute who have relevant experience in this area.</w:t>
      </w:r>
    </w:p>
    <w:p w:rsidR="00437E61" w:rsidRDefault="005D6A2A" w:rsidP="000157BF">
      <w:pPr>
        <w:pStyle w:val="BodyText"/>
      </w:pPr>
      <w:r>
        <w:t>I acknowledge the efforts of the insurers</w:t>
      </w:r>
      <w:r w:rsidR="0066505B">
        <w:t>, ISA and the actuaries</w:t>
      </w:r>
      <w:r>
        <w:t xml:space="preserve"> in providing me with the data </w:t>
      </w:r>
      <w:r w:rsidR="0066505B">
        <w:t xml:space="preserve">and other information </w:t>
      </w:r>
      <w:r>
        <w:t xml:space="preserve">and </w:t>
      </w:r>
      <w:r w:rsidR="0066505B">
        <w:t xml:space="preserve">in </w:t>
      </w:r>
      <w:r>
        <w:t>respond</w:t>
      </w:r>
      <w:r w:rsidR="000157BF">
        <w:t>ing to my subsequent questions.</w:t>
      </w:r>
    </w:p>
    <w:p w:rsidR="00126792" w:rsidRDefault="0060326A" w:rsidP="005D6A2A">
      <w:pPr>
        <w:pStyle w:val="Heading1"/>
      </w:pPr>
      <w:bookmarkStart w:id="7" w:name="_Ref402250185"/>
      <w:bookmarkStart w:id="8" w:name="_Toc402772644"/>
      <w:bookmarkStart w:id="9" w:name="_Ref387307646"/>
      <w:r>
        <w:t>Pr</w:t>
      </w:r>
      <w:r w:rsidR="0066505B">
        <w:t>emium rate</w:t>
      </w:r>
      <w:r w:rsidR="00126792">
        <w:t>s</w:t>
      </w:r>
      <w:bookmarkEnd w:id="7"/>
      <w:bookmarkEnd w:id="8"/>
    </w:p>
    <w:p w:rsidR="0060326A" w:rsidRDefault="00126792" w:rsidP="00126792">
      <w:pPr>
        <w:pStyle w:val="Heading4"/>
      </w:pPr>
      <w:r>
        <w:t>Premium rate trajectory</w:t>
      </w:r>
      <w:bookmarkEnd w:id="9"/>
    </w:p>
    <w:p w:rsidR="00CD19B5" w:rsidRDefault="00CF39E1" w:rsidP="00CD19B5">
      <w:pPr>
        <w:pStyle w:val="BodyText"/>
      </w:pPr>
      <w:bookmarkStart w:id="10" w:name="_Ref402619877"/>
      <w:r>
        <w:t xml:space="preserve">The chart below </w:t>
      </w:r>
      <w:r w:rsidR="006D2F64">
        <w:t>illustrate</w:t>
      </w:r>
      <w:r w:rsidR="00CD19B5">
        <w:t>s</w:t>
      </w:r>
      <w:r>
        <w:t xml:space="preserve"> the </w:t>
      </w:r>
      <w:r w:rsidR="0066505B">
        <w:t xml:space="preserve">trajectory of </w:t>
      </w:r>
      <w:r>
        <w:t>average NQ premium rate</w:t>
      </w:r>
      <w:r w:rsidR="006D2F64">
        <w:t>s</w:t>
      </w:r>
      <w:r>
        <w:rPr>
          <w:rStyle w:val="FootnoteReference"/>
        </w:rPr>
        <w:footnoteReference w:id="8"/>
      </w:r>
      <w:r>
        <w:t xml:space="preserve"> </w:t>
      </w:r>
      <w:r w:rsidR="0066505B">
        <w:t>over the period from 2005-06 to</w:t>
      </w:r>
      <w:r>
        <w:t xml:space="preserve"> 2012-13.</w:t>
      </w:r>
      <w:r w:rsidR="00092523">
        <w:t xml:space="preserve"> </w:t>
      </w:r>
      <w:r w:rsidR="00CD19B5">
        <w:t>The averages shown here are weighted averages</w:t>
      </w:r>
      <w:r w:rsidR="00CD19B5">
        <w:rPr>
          <w:rStyle w:val="FootnoteReference"/>
        </w:rPr>
        <w:footnoteReference w:id="9"/>
      </w:r>
      <w:r w:rsidR="00CD19B5">
        <w:t xml:space="preserve"> of the premium rates implied within the insurer data provided for the investigation.</w:t>
      </w:r>
      <w:bookmarkEnd w:id="10"/>
    </w:p>
    <w:p w:rsidR="00126792" w:rsidRDefault="00126792" w:rsidP="00126792">
      <w:pPr>
        <w:pStyle w:val="BodyText"/>
        <w:numPr>
          <w:ilvl w:val="0"/>
          <w:numId w:val="0"/>
        </w:numPr>
        <w:ind w:left="850"/>
      </w:pPr>
    </w:p>
    <w:p w:rsidR="00126792" w:rsidRDefault="00CD7649" w:rsidP="00126792">
      <w:pPr>
        <w:pStyle w:val="BodyText"/>
        <w:numPr>
          <w:ilvl w:val="0"/>
          <w:numId w:val="0"/>
        </w:numPr>
        <w:ind w:left="850"/>
      </w:pPr>
      <w:r w:rsidRPr="00CD7649">
        <w:rPr>
          <w:noProof/>
          <w:lang w:eastAsia="en-AU"/>
        </w:rPr>
        <w:lastRenderedPageBreak/>
        <w:drawing>
          <wp:inline distT="0" distB="0" distL="0" distR="0" wp14:anchorId="6FC0529E" wp14:editId="402E73A1">
            <wp:extent cx="4683318" cy="2576099"/>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3492" cy="2576195"/>
                    </a:xfrm>
                    <a:prstGeom prst="rect">
                      <a:avLst/>
                    </a:prstGeom>
                    <a:noFill/>
                    <a:ln>
                      <a:noFill/>
                    </a:ln>
                  </pic:spPr>
                </pic:pic>
              </a:graphicData>
            </a:graphic>
          </wp:inline>
        </w:drawing>
      </w:r>
    </w:p>
    <w:p w:rsidR="00CD7649" w:rsidRPr="00CD7649" w:rsidRDefault="00CD19B5" w:rsidP="00DE78B5">
      <w:pPr>
        <w:pStyle w:val="BodyText"/>
      </w:pPr>
      <w:r w:rsidRPr="00CD7649">
        <w:t>The solid line in the chart above replicates the line shown in the chart at paragraph</w:t>
      </w:r>
      <w:r w:rsidR="007C7599">
        <w:t xml:space="preserve"> </w:t>
      </w:r>
      <w:r w:rsidR="007C7599">
        <w:fldChar w:fldCharType="begin"/>
      </w:r>
      <w:r w:rsidR="007C7599">
        <w:instrText xml:space="preserve"> REF _Ref402537193 \r \h </w:instrText>
      </w:r>
      <w:r w:rsidR="007C7599">
        <w:fldChar w:fldCharType="separate"/>
      </w:r>
      <w:r w:rsidR="006C0946">
        <w:t>1.4</w:t>
      </w:r>
      <w:r w:rsidR="007C7599">
        <w:fldChar w:fldCharType="end"/>
      </w:r>
      <w:r w:rsidR="007C7599">
        <w:t>.</w:t>
      </w:r>
      <w:r w:rsidRPr="00CD7649">
        <w:t xml:space="preserve"> The</w:t>
      </w:r>
      <w:r w:rsidR="00AA1F5E">
        <w:t xml:space="preserve"> </w:t>
      </w:r>
      <w:r w:rsidRPr="00CD7649">
        <w:t>other lines show the trajectories of home buildings premium rates and home contents premium rates. Home buildings premium rates have increased faster than home contents premium rates. This feature is not unique to NQ.</w:t>
      </w:r>
      <w:r w:rsidR="00FC748B" w:rsidRPr="00CD7649">
        <w:t xml:space="preserve"> </w:t>
      </w:r>
    </w:p>
    <w:p w:rsidR="0088729F" w:rsidRPr="00126792" w:rsidRDefault="00342AA1" w:rsidP="00DE78B5">
      <w:pPr>
        <w:pStyle w:val="BodyText"/>
      </w:pPr>
      <w:r w:rsidRPr="00126792">
        <w:t>The chart</w:t>
      </w:r>
      <w:r w:rsidR="0088729F" w:rsidRPr="00126792">
        <w:t xml:space="preserve">s below </w:t>
      </w:r>
      <w:r w:rsidR="001B536C">
        <w:t>illustrate</w:t>
      </w:r>
      <w:r w:rsidR="0088729F" w:rsidRPr="00126792">
        <w:t xml:space="preserve"> the increase in premium rates for Brisbane and for Sydney/Melbourne combined. In both cases, as for NQ, home buildings premium rates have increased faster than home contents premium rates.</w:t>
      </w:r>
    </w:p>
    <w:p w:rsidR="00A0216D" w:rsidRPr="00126792" w:rsidRDefault="0088729F" w:rsidP="00342AA1">
      <w:pPr>
        <w:pStyle w:val="BodyText"/>
        <w:numPr>
          <w:ilvl w:val="0"/>
          <w:numId w:val="0"/>
        </w:numPr>
        <w:ind w:left="850"/>
      </w:pPr>
      <w:r w:rsidRPr="00126792">
        <w:rPr>
          <w:noProof/>
          <w:lang w:eastAsia="en-AU"/>
        </w:rPr>
        <w:drawing>
          <wp:inline distT="0" distB="0" distL="0" distR="0" wp14:anchorId="5116C779" wp14:editId="71EF3A94">
            <wp:extent cx="4580255"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r w:rsidRPr="00126792">
        <w:t xml:space="preserve"> </w:t>
      </w:r>
    </w:p>
    <w:p w:rsidR="00342AA1" w:rsidRPr="00126792" w:rsidRDefault="0088729F" w:rsidP="00342AA1">
      <w:pPr>
        <w:pStyle w:val="BodyText"/>
        <w:numPr>
          <w:ilvl w:val="0"/>
          <w:numId w:val="0"/>
        </w:numPr>
        <w:ind w:left="850"/>
      </w:pPr>
      <w:r w:rsidRPr="00126792">
        <w:rPr>
          <w:noProof/>
          <w:lang w:eastAsia="en-AU"/>
        </w:rPr>
        <w:lastRenderedPageBreak/>
        <w:drawing>
          <wp:inline distT="0" distB="0" distL="0" distR="0" wp14:anchorId="01A746DE" wp14:editId="095652F2">
            <wp:extent cx="4580255"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126792" w:rsidRDefault="00126792" w:rsidP="00DE78B5">
      <w:pPr>
        <w:pStyle w:val="BodyText"/>
      </w:pPr>
      <w:r>
        <w:t>In general, NQ premium rates have increased faster than those in either Brisbane or Sydney/Melbourne.</w:t>
      </w:r>
    </w:p>
    <w:p w:rsidR="00126792" w:rsidRDefault="00126792" w:rsidP="00126792">
      <w:pPr>
        <w:pStyle w:val="Heading4"/>
      </w:pPr>
      <w:r>
        <w:t>Prevailing premium rates in 2012-13</w:t>
      </w:r>
    </w:p>
    <w:p w:rsidR="00DE78B5" w:rsidRDefault="00126792" w:rsidP="00DE78B5">
      <w:pPr>
        <w:pStyle w:val="BodyText"/>
      </w:pPr>
      <w:r>
        <w:t xml:space="preserve">The </w:t>
      </w:r>
      <w:r w:rsidR="00733441" w:rsidRPr="00126792">
        <w:t>chart</w:t>
      </w:r>
      <w:r w:rsidR="00A0216D" w:rsidRPr="00126792">
        <w:t>s</w:t>
      </w:r>
      <w:r w:rsidR="00733441" w:rsidRPr="00126792">
        <w:t xml:space="preserve"> below compare the </w:t>
      </w:r>
      <w:r w:rsidR="00DE78B5" w:rsidRPr="00126792">
        <w:t>average 2012-13 premium rate</w:t>
      </w:r>
      <w:r w:rsidR="00A0216D" w:rsidRPr="00126792">
        <w:t>s</w:t>
      </w:r>
      <w:r w:rsidR="00DE78B5" w:rsidRPr="00126792">
        <w:t xml:space="preserve"> in </w:t>
      </w:r>
      <w:r w:rsidR="00733441" w:rsidRPr="00126792">
        <w:t xml:space="preserve">NQ with </w:t>
      </w:r>
      <w:r w:rsidR="00DE78B5" w:rsidRPr="00126792">
        <w:t>the average prevailing premium rate</w:t>
      </w:r>
      <w:r w:rsidR="00733441" w:rsidRPr="00126792">
        <w:t xml:space="preserve">s in </w:t>
      </w:r>
      <w:r w:rsidR="00A0216D" w:rsidRPr="00126792">
        <w:t>Brisbane and in Sydney/Melbourne</w:t>
      </w:r>
      <w:r w:rsidR="00DE78B5" w:rsidRPr="00126792">
        <w:t>.</w:t>
      </w:r>
      <w:r w:rsidR="00733441" w:rsidRPr="00126792">
        <w:t xml:space="preserve"> </w:t>
      </w:r>
      <w:r w:rsidR="007F0EF1" w:rsidRPr="00126792">
        <w:t xml:space="preserve">These charts show that the relationship between </w:t>
      </w:r>
      <w:r w:rsidR="00AA1F5E">
        <w:t>regions is reasonably consistent</w:t>
      </w:r>
      <w:r w:rsidR="007F0EF1" w:rsidRPr="00126792">
        <w:t xml:space="preserve"> across each of home buildings</w:t>
      </w:r>
      <w:r w:rsidR="00AA1F5E">
        <w:t>,</w:t>
      </w:r>
      <w:r w:rsidR="007F0EF1" w:rsidRPr="00126792">
        <w:t xml:space="preserve"> home</w:t>
      </w:r>
      <w:r w:rsidR="007F0EF1">
        <w:t xml:space="preserve"> contents and combined home and contents insurance policies.</w:t>
      </w:r>
    </w:p>
    <w:p w:rsidR="00A0216D" w:rsidRDefault="00E42697" w:rsidP="00A0216D">
      <w:pPr>
        <w:pStyle w:val="BodyText"/>
        <w:numPr>
          <w:ilvl w:val="0"/>
          <w:numId w:val="0"/>
        </w:numPr>
        <w:ind w:left="850"/>
      </w:pPr>
      <w:r w:rsidRPr="00E42697">
        <w:rPr>
          <w:noProof/>
          <w:lang w:eastAsia="en-AU"/>
        </w:rPr>
        <w:drawing>
          <wp:inline distT="0" distB="0" distL="0" distR="0" wp14:anchorId="4FB8CC68" wp14:editId="7F86837D">
            <wp:extent cx="4580255" cy="274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A0216D" w:rsidRDefault="00E42697" w:rsidP="00A0216D">
      <w:pPr>
        <w:pStyle w:val="BodyText"/>
        <w:numPr>
          <w:ilvl w:val="0"/>
          <w:numId w:val="0"/>
        </w:numPr>
        <w:ind w:left="850"/>
      </w:pPr>
      <w:r w:rsidRPr="00E42697">
        <w:rPr>
          <w:noProof/>
          <w:lang w:eastAsia="en-AU"/>
        </w:rPr>
        <w:lastRenderedPageBreak/>
        <w:drawing>
          <wp:inline distT="0" distB="0" distL="0" distR="0" wp14:anchorId="666F4280" wp14:editId="55571E83">
            <wp:extent cx="4580255" cy="274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7F0EF1" w:rsidRDefault="00E42697" w:rsidP="00A0216D">
      <w:pPr>
        <w:pStyle w:val="BodyText"/>
        <w:numPr>
          <w:ilvl w:val="0"/>
          <w:numId w:val="0"/>
        </w:numPr>
        <w:ind w:left="850"/>
      </w:pPr>
      <w:r w:rsidRPr="00E42697">
        <w:rPr>
          <w:noProof/>
          <w:lang w:eastAsia="en-AU"/>
        </w:rPr>
        <w:drawing>
          <wp:inline distT="0" distB="0" distL="0" distR="0" wp14:anchorId="0A3A64A8" wp14:editId="7D342511">
            <wp:extent cx="4580255" cy="274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7F0EF1" w:rsidRDefault="007F0EF1" w:rsidP="007F0EF1">
      <w:pPr>
        <w:pStyle w:val="BodyText"/>
      </w:pPr>
      <w:r>
        <w:t>Average premium rates in Sydney and Melbourne were around 40 per cent of the rates prevailing in NQ. Average premium rates in Brisbane were about 60 per cent of prevailing NQ rates.</w:t>
      </w:r>
    </w:p>
    <w:p w:rsidR="00036EA6" w:rsidRPr="00036EA6" w:rsidRDefault="00126792" w:rsidP="00126792">
      <w:pPr>
        <w:pStyle w:val="BodyText"/>
      </w:pPr>
      <w:r w:rsidRPr="00036EA6">
        <w:t xml:space="preserve">The charts above </w:t>
      </w:r>
      <w:r w:rsidR="003D5592">
        <w:t>show</w:t>
      </w:r>
      <w:r w:rsidRPr="00036EA6">
        <w:t xml:space="preserve"> </w:t>
      </w:r>
      <w:r w:rsidRPr="003D5592">
        <w:rPr>
          <w:u w:val="single"/>
        </w:rPr>
        <w:t>average</w:t>
      </w:r>
      <w:r w:rsidRPr="00036EA6">
        <w:t xml:space="preserve"> premium rates in the selected regions. </w:t>
      </w:r>
      <w:r w:rsidRPr="003D5592">
        <w:rPr>
          <w:u w:val="single"/>
        </w:rPr>
        <w:t xml:space="preserve">Individual </w:t>
      </w:r>
      <w:r w:rsidRPr="00036EA6">
        <w:t>insurance policies (and, indeed, individual insurers) would be expected to have different premium rates from the average. Some policies (and insurers) would have higher premium rates than the average and some would have lower premium rates than the average depending, for exa</w:t>
      </w:r>
      <w:r w:rsidR="00E118CF">
        <w:t xml:space="preserve">mple, on insurer assessments of </w:t>
      </w:r>
      <w:r w:rsidRPr="00036EA6">
        <w:t>risk</w:t>
      </w:r>
      <w:r w:rsidR="00E118CF">
        <w:t xml:space="preserve"> at </w:t>
      </w:r>
      <w:r w:rsidR="003D5592">
        <w:t xml:space="preserve">an </w:t>
      </w:r>
      <w:r w:rsidR="00E118CF">
        <w:t>address</w:t>
      </w:r>
      <w:r w:rsidR="003D5592">
        <w:t xml:space="preserve"> </w:t>
      </w:r>
      <w:r w:rsidR="00E118CF">
        <w:t>level</w:t>
      </w:r>
      <w:r w:rsidRPr="00036EA6">
        <w:t xml:space="preserve">. </w:t>
      </w:r>
    </w:p>
    <w:p w:rsidR="00E118CF" w:rsidRDefault="001B536C" w:rsidP="00126792">
      <w:pPr>
        <w:pStyle w:val="BodyText"/>
      </w:pPr>
      <w:r>
        <w:t>T</w:t>
      </w:r>
      <w:r w:rsidR="00126792" w:rsidRPr="00036EA6">
        <w:t>here can be quite significant variation between premium rates on individual properties</w:t>
      </w:r>
      <w:r>
        <w:t xml:space="preserve"> e</w:t>
      </w:r>
      <w:r w:rsidRPr="00036EA6">
        <w:t>ven within a fairly small region</w:t>
      </w:r>
      <w:r w:rsidR="00126792" w:rsidRPr="00036EA6">
        <w:t xml:space="preserve">. </w:t>
      </w:r>
      <w:r w:rsidR="00E118CF" w:rsidRPr="00E118CF">
        <w:t>This reflects developments in pricing whereby, increasingly, insurers seek to price at an individual address level.</w:t>
      </w:r>
      <w:r w:rsidR="00E118CF" w:rsidRPr="00036EA6">
        <w:t xml:space="preserve"> </w:t>
      </w:r>
      <w:r w:rsidR="00E118CF">
        <w:t xml:space="preserve">Related </w:t>
      </w:r>
      <w:r w:rsidR="00E118CF">
        <w:lastRenderedPageBreak/>
        <w:t>to this, many insurers have recently added riverine flood to the list of covered perils. There is large variation in the cost of flood cover among policyholders.</w:t>
      </w:r>
    </w:p>
    <w:p w:rsidR="00126792" w:rsidRPr="00036EA6" w:rsidRDefault="00126792" w:rsidP="00126792">
      <w:pPr>
        <w:pStyle w:val="BodyText"/>
      </w:pPr>
      <w:r w:rsidRPr="00036EA6">
        <w:t>That variation is not captured in the charts above. Th</w:t>
      </w:r>
      <w:r w:rsidR="00FC748B">
        <w:t>e purpose of th</w:t>
      </w:r>
      <w:r w:rsidRPr="00036EA6">
        <w:t xml:space="preserve">is study </w:t>
      </w:r>
      <w:r w:rsidR="00FC748B">
        <w:t xml:space="preserve">is to </w:t>
      </w:r>
      <w:r w:rsidRPr="00036EA6">
        <w:t>consider premium variation</w:t>
      </w:r>
      <w:r w:rsidR="00E118CF">
        <w:t>s</w:t>
      </w:r>
      <w:r w:rsidRPr="00036EA6">
        <w:t xml:space="preserve"> at a regional level. Therefore</w:t>
      </w:r>
      <w:r w:rsidR="00E118CF">
        <w:t>,</w:t>
      </w:r>
      <w:r w:rsidRPr="00036EA6">
        <w:t xml:space="preserve"> it is appropriate to consider variation</w:t>
      </w:r>
      <w:r w:rsidR="00E118CF">
        <w:t>s</w:t>
      </w:r>
      <w:r w:rsidRPr="00036EA6">
        <w:t xml:space="preserve"> between regional average premiums rather than address-level variations.</w:t>
      </w:r>
    </w:p>
    <w:p w:rsidR="00CF39E1" w:rsidRDefault="00CF39E1" w:rsidP="00CF39E1">
      <w:pPr>
        <w:pStyle w:val="Heading1"/>
      </w:pPr>
      <w:bookmarkStart w:id="11" w:name="_Ref387247259"/>
      <w:bookmarkStart w:id="12" w:name="_Toc402772645"/>
      <w:r>
        <w:t>Claims costs</w:t>
      </w:r>
      <w:bookmarkEnd w:id="11"/>
      <w:bookmarkEnd w:id="12"/>
    </w:p>
    <w:p w:rsidR="000E6903" w:rsidRDefault="00092523" w:rsidP="00415345">
      <w:pPr>
        <w:pStyle w:val="BodyText"/>
      </w:pPr>
      <w:r>
        <w:t>A major driver of premium rates is the expected claims cost.</w:t>
      </w:r>
      <w:r w:rsidR="00E60D02">
        <w:t xml:space="preserve"> </w:t>
      </w:r>
      <w:r w:rsidR="000E6903">
        <w:t xml:space="preserve">The chart below compares average </w:t>
      </w:r>
      <w:r w:rsidR="00733441">
        <w:t>gross</w:t>
      </w:r>
      <w:r w:rsidR="000E6903">
        <w:t xml:space="preserve"> claims cost</w:t>
      </w:r>
      <w:r w:rsidR="00FC18FF">
        <w:rPr>
          <w:rStyle w:val="FootnoteReference"/>
        </w:rPr>
        <w:footnoteReference w:id="10"/>
      </w:r>
      <w:r w:rsidR="00733441">
        <w:t xml:space="preserve"> </w:t>
      </w:r>
      <w:r w:rsidR="00E60D02">
        <w:t xml:space="preserve">for NQ </w:t>
      </w:r>
      <w:r w:rsidR="000E6903">
        <w:t xml:space="preserve">over the 8 year period of the investigation with </w:t>
      </w:r>
      <w:r w:rsidR="00724023">
        <w:t>the corresponding costs in Brisbane and Sydney/Melbourne combined</w:t>
      </w:r>
      <w:r w:rsidR="000E6903">
        <w:t xml:space="preserve">. </w:t>
      </w:r>
      <w:r w:rsidR="00415345">
        <w:t>On average over the 8 year period of the investigation, claims costs per $’000 Sum Insured in these other major centres and, indeed, across Australia, were less than 20 per cent of those in NQ.</w:t>
      </w:r>
    </w:p>
    <w:p w:rsidR="00092523" w:rsidRDefault="00E42697" w:rsidP="00100519">
      <w:pPr>
        <w:pStyle w:val="BodyText"/>
        <w:numPr>
          <w:ilvl w:val="0"/>
          <w:numId w:val="0"/>
        </w:numPr>
        <w:ind w:left="850"/>
      </w:pPr>
      <w:r w:rsidRPr="00E42697">
        <w:rPr>
          <w:noProof/>
          <w:lang w:eastAsia="en-AU"/>
        </w:rPr>
        <w:drawing>
          <wp:inline distT="0" distB="0" distL="0" distR="0" wp14:anchorId="547F0B8A" wp14:editId="28EA8B78">
            <wp:extent cx="4572000" cy="274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0E6903" w:rsidRDefault="004E45C6" w:rsidP="00C63B06">
      <w:pPr>
        <w:pStyle w:val="BodyText"/>
      </w:pPr>
      <w:bookmarkStart w:id="13" w:name="_Ref387672291"/>
      <w:r>
        <w:t xml:space="preserve">The chart below compares the </w:t>
      </w:r>
      <w:r w:rsidR="00733441">
        <w:t>gross</w:t>
      </w:r>
      <w:r>
        <w:t xml:space="preserve"> claims cost trajectory over the investigation period in NQ with </w:t>
      </w:r>
      <w:r w:rsidR="0002621F">
        <w:t xml:space="preserve">that in </w:t>
      </w:r>
      <w:r w:rsidR="002A495A">
        <w:t>Brisbane</w:t>
      </w:r>
      <w:r w:rsidR="0002621F">
        <w:t xml:space="preserve"> and in </w:t>
      </w:r>
      <w:r w:rsidR="002A495A">
        <w:t>Sydney/Melbourne combined</w:t>
      </w:r>
      <w:r w:rsidR="0002621F">
        <w:t>.</w:t>
      </w:r>
      <w:bookmarkEnd w:id="13"/>
      <w:r w:rsidR="00C63B06" w:rsidRPr="00C63B06">
        <w:t xml:space="preserve"> </w:t>
      </w:r>
      <w:r w:rsidR="00862499">
        <w:t xml:space="preserve">Claim costs are shown relative to NQ in 2005-06. </w:t>
      </w:r>
      <w:r w:rsidR="00C63B06">
        <w:t xml:space="preserve">The impact of Cyclone Larry in 2005-06, the Mackay storms in 2007-08 and Cyclone </w:t>
      </w:r>
      <w:proofErr w:type="spellStart"/>
      <w:r w:rsidR="00C63B06">
        <w:t>Yasi</w:t>
      </w:r>
      <w:proofErr w:type="spellEnd"/>
      <w:r w:rsidR="00C63B06">
        <w:t xml:space="preserve"> in 2010-11 is clearly evident.</w:t>
      </w:r>
    </w:p>
    <w:p w:rsidR="004E45C6" w:rsidRDefault="00724023" w:rsidP="004E45C6">
      <w:pPr>
        <w:pStyle w:val="BodyText"/>
        <w:numPr>
          <w:ilvl w:val="0"/>
          <w:numId w:val="0"/>
        </w:numPr>
        <w:ind w:left="850"/>
      </w:pPr>
      <w:r w:rsidRPr="00724023">
        <w:rPr>
          <w:noProof/>
          <w:lang w:eastAsia="en-AU"/>
        </w:rPr>
        <w:lastRenderedPageBreak/>
        <w:drawing>
          <wp:inline distT="0" distB="0" distL="0" distR="0" wp14:anchorId="48F5485E" wp14:editId="04E62CD2">
            <wp:extent cx="4580255" cy="274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2A495A" w:rsidRDefault="002A495A" w:rsidP="004E45C6">
      <w:pPr>
        <w:pStyle w:val="BodyText"/>
      </w:pPr>
      <w:r>
        <w:t>The charts above compare historical claims cost experience with sum insured. They illustrate that, on an exposure-weighted basis, the recent claims cost experience in NQ was both higher and more volatile than in the other centres.</w:t>
      </w:r>
    </w:p>
    <w:p w:rsidR="00B264B6" w:rsidRDefault="00B264B6" w:rsidP="00B264B6">
      <w:pPr>
        <w:pStyle w:val="Heading4"/>
      </w:pPr>
      <w:r>
        <w:t>Loss Ratio</w:t>
      </w:r>
    </w:p>
    <w:p w:rsidR="00F517B2" w:rsidRDefault="00613993" w:rsidP="004E45C6">
      <w:pPr>
        <w:pStyle w:val="BodyText"/>
      </w:pPr>
      <w:r>
        <w:t xml:space="preserve">A common metric that is used to assess premium rate adequacy is the loss ratio. The loss ratio simply divides claims costs by premium. </w:t>
      </w:r>
    </w:p>
    <w:p w:rsidR="003D5592" w:rsidRDefault="00613993" w:rsidP="004E45C6">
      <w:pPr>
        <w:pStyle w:val="BodyText"/>
      </w:pPr>
      <w:r w:rsidRPr="00C3398C">
        <w:t xml:space="preserve">For home insurance business a loss ratio of around </w:t>
      </w:r>
      <w:r w:rsidR="00F307B9" w:rsidRPr="00C3398C">
        <w:t>60</w:t>
      </w:r>
      <w:r w:rsidR="003D55FA" w:rsidRPr="00C3398C">
        <w:t xml:space="preserve"> </w:t>
      </w:r>
      <w:r w:rsidRPr="00C3398C">
        <w:t>-</w:t>
      </w:r>
      <w:r w:rsidR="003D55FA" w:rsidRPr="00C3398C">
        <w:t xml:space="preserve"> </w:t>
      </w:r>
      <w:r w:rsidR="00483050" w:rsidRPr="00C3398C">
        <w:t>65</w:t>
      </w:r>
      <w:r w:rsidRPr="00C3398C">
        <w:t xml:space="preserve"> per cent might be regarded as indicating broadly adequate premium rates. </w:t>
      </w:r>
      <w:r w:rsidR="00B264B6">
        <w:t>Higher loss ratios than this might be regarded as indicating inadequate premium rates.</w:t>
      </w:r>
    </w:p>
    <w:p w:rsidR="00F517B2" w:rsidRDefault="00483050" w:rsidP="004E45C6">
      <w:pPr>
        <w:pStyle w:val="BodyText"/>
      </w:pPr>
      <w:r w:rsidRPr="00C3398C">
        <w:t>The</w:t>
      </w:r>
      <w:r>
        <w:t xml:space="preserve"> target loss ratio is </w:t>
      </w:r>
      <w:r w:rsidR="00B264B6">
        <w:t>less than</w:t>
      </w:r>
      <w:r>
        <w:t xml:space="preserve"> 100 per cent </w:t>
      </w:r>
      <w:r w:rsidR="00B264B6">
        <w:t xml:space="preserve">because </w:t>
      </w:r>
      <w:r>
        <w:t xml:space="preserve">the insurer needs to collect sufficient premium to meet not only </w:t>
      </w:r>
      <w:r w:rsidR="003D55FA">
        <w:t xml:space="preserve">expected </w:t>
      </w:r>
      <w:r>
        <w:t xml:space="preserve">claims costs, but also policy administration expenses, the cost of reinsurance and provide for a reasonable profit margin. </w:t>
      </w:r>
    </w:p>
    <w:p w:rsidR="00613993" w:rsidRDefault="00613993" w:rsidP="004E45C6">
      <w:pPr>
        <w:pStyle w:val="BodyText"/>
      </w:pPr>
      <w:r>
        <w:t>The chart below shows the actual NQ loss ratio for the period of the investigation</w:t>
      </w:r>
      <w:r w:rsidR="00F517B2">
        <w:t xml:space="preserve">. </w:t>
      </w:r>
    </w:p>
    <w:p w:rsidR="00613993" w:rsidRDefault="00EC7F41" w:rsidP="00613993">
      <w:pPr>
        <w:pStyle w:val="BodyText"/>
        <w:numPr>
          <w:ilvl w:val="0"/>
          <w:numId w:val="0"/>
        </w:numPr>
        <w:ind w:left="850"/>
      </w:pPr>
      <w:r w:rsidRPr="00EC7F41">
        <w:rPr>
          <w:noProof/>
          <w:lang w:eastAsia="en-AU"/>
        </w:rPr>
        <w:lastRenderedPageBreak/>
        <w:drawing>
          <wp:inline distT="0" distB="0" distL="0" distR="0">
            <wp:extent cx="4580255" cy="274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C63B06" w:rsidRDefault="00613993" w:rsidP="004E45C6">
      <w:pPr>
        <w:pStyle w:val="BodyText"/>
      </w:pPr>
      <w:r>
        <w:t xml:space="preserve">The chart shows the actual gross loss ratio during the investigation period averaged </w:t>
      </w:r>
      <w:r w:rsidR="00800EE0">
        <w:t>more than</w:t>
      </w:r>
      <w:r>
        <w:t xml:space="preserve"> 1</w:t>
      </w:r>
      <w:r w:rsidR="00800EE0">
        <w:t>4</w:t>
      </w:r>
      <w:r>
        <w:t xml:space="preserve">0 per cent. This means that insurers paid out </w:t>
      </w:r>
      <w:r w:rsidR="00800EE0">
        <w:t>more than</w:t>
      </w:r>
      <w:r w:rsidR="00C63B06">
        <w:t xml:space="preserve"> </w:t>
      </w:r>
      <w:r>
        <w:t>$1.</w:t>
      </w:r>
      <w:r w:rsidR="00800EE0">
        <w:t>4</w:t>
      </w:r>
      <w:r>
        <w:t>0 in claims for every $1 of premium that they collected</w:t>
      </w:r>
      <w:r w:rsidR="00C63B06">
        <w:t xml:space="preserve"> during the period</w:t>
      </w:r>
      <w:r>
        <w:t xml:space="preserve">. </w:t>
      </w:r>
    </w:p>
    <w:p w:rsidR="00C63B06" w:rsidRDefault="006B60D5" w:rsidP="004E45C6">
      <w:pPr>
        <w:pStyle w:val="BodyText"/>
      </w:pPr>
      <w:r>
        <w:t xml:space="preserve">The chart also shows that 2011-12 and 2012-13 have both seen </w:t>
      </w:r>
      <w:r w:rsidR="00F307B9">
        <w:t xml:space="preserve">loss ratios better than the target loss ratio, indicating that these years were profitable in NQ. Notably, </w:t>
      </w:r>
      <w:r w:rsidR="00E261DE">
        <w:t xml:space="preserve">both </w:t>
      </w:r>
      <w:r w:rsidR="00F307B9">
        <w:t xml:space="preserve">2011-12 and 2012-13 saw </w:t>
      </w:r>
      <w:r>
        <w:t>benign claims experience with no major weather events</w:t>
      </w:r>
      <w:r w:rsidR="00AE0C0D">
        <w:t xml:space="preserve"> in either year</w:t>
      </w:r>
      <w:r>
        <w:t>. The low loss ratio</w:t>
      </w:r>
      <w:r w:rsidR="00E261DE">
        <w:t>s</w:t>
      </w:r>
      <w:r>
        <w:t xml:space="preserve"> in these </w:t>
      </w:r>
      <w:r w:rsidR="00C63B06">
        <w:t xml:space="preserve">two </w:t>
      </w:r>
      <w:r>
        <w:t xml:space="preserve">years </w:t>
      </w:r>
      <w:r w:rsidR="00E261DE">
        <w:t>are</w:t>
      </w:r>
      <w:r>
        <w:t xml:space="preserve"> a result of both this benign claims experience and, of course, higher premium rates. </w:t>
      </w:r>
    </w:p>
    <w:p w:rsidR="00B264B6" w:rsidRDefault="00B264B6" w:rsidP="004E45C6">
      <w:pPr>
        <w:pStyle w:val="BodyText"/>
      </w:pPr>
      <w:r>
        <w:t xml:space="preserve">As there were significant premium rate increases over the period, </w:t>
      </w:r>
      <w:r w:rsidR="00EC7F41">
        <w:t>I have also calculated a</w:t>
      </w:r>
      <w:r>
        <w:t xml:space="preserve"> notional loss ratio by assuming that the premium rates that prevailed in 2012-13 had, in fact, applied throughout the period. The notional loss ratio is intended to present the current premium rates in a historical context.</w:t>
      </w:r>
      <w:r w:rsidR="00EC7F41">
        <w:t xml:space="preserve"> The chart below illustrates this notional loss ratio.</w:t>
      </w:r>
    </w:p>
    <w:p w:rsidR="00EC7F41" w:rsidRDefault="00C574A2" w:rsidP="00EC7F41">
      <w:pPr>
        <w:pStyle w:val="BodyText"/>
        <w:numPr>
          <w:ilvl w:val="0"/>
          <w:numId w:val="0"/>
        </w:numPr>
        <w:ind w:left="850"/>
      </w:pPr>
      <w:r w:rsidRPr="00C574A2">
        <w:rPr>
          <w:noProof/>
          <w:lang w:eastAsia="en-AU"/>
        </w:rPr>
        <w:drawing>
          <wp:inline distT="0" distB="0" distL="0" distR="0">
            <wp:extent cx="458025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613993" w:rsidRDefault="00C63B06" w:rsidP="004E45C6">
      <w:pPr>
        <w:pStyle w:val="BodyText"/>
      </w:pPr>
      <w:r>
        <w:lastRenderedPageBreak/>
        <w:t>Notwithstanding the good performance in 2011-12 and 2012-13</w:t>
      </w:r>
      <w:r w:rsidR="006B60D5">
        <w:t>, t</w:t>
      </w:r>
      <w:r w:rsidR="00613993">
        <w:t>he chart shows that, even if the 2012-13 premium rates applied throughout the 8 year period, a</w:t>
      </w:r>
      <w:r w:rsidR="004863B0">
        <w:t>n unprofitable</w:t>
      </w:r>
      <w:r w:rsidR="00613993">
        <w:t xml:space="preserve"> loss ratio of close to 100 per cent would have been achieved.</w:t>
      </w:r>
      <w:r>
        <w:t xml:space="preserve"> This highlights the importance of assessing performance over a longer </w:t>
      </w:r>
      <w:r w:rsidR="00F307B9">
        <w:t xml:space="preserve">time period </w:t>
      </w:r>
      <w:r>
        <w:t>rather than</w:t>
      </w:r>
      <w:r w:rsidR="00F307B9">
        <w:t xml:space="preserve"> a</w:t>
      </w:r>
      <w:r>
        <w:t xml:space="preserve"> shorter time period when considering an insurance environment that features volatile claims experience (such as NQ).</w:t>
      </w:r>
    </w:p>
    <w:p w:rsidR="003F0E1C" w:rsidRDefault="003F0E1C" w:rsidP="00CF39E1">
      <w:pPr>
        <w:pStyle w:val="Heading1"/>
      </w:pPr>
      <w:bookmarkStart w:id="14" w:name="_Toc402772646"/>
      <w:bookmarkStart w:id="15" w:name="_Ref387251994"/>
      <w:r>
        <w:t>Technical peril costs</w:t>
      </w:r>
      <w:bookmarkEnd w:id="14"/>
    </w:p>
    <w:p w:rsidR="003F0E1C" w:rsidRDefault="003F0E1C" w:rsidP="003F0E1C">
      <w:pPr>
        <w:pStyle w:val="BodyText"/>
      </w:pPr>
      <w:r>
        <w:t>Home insurance premiums need to cover the following costs:</w:t>
      </w:r>
    </w:p>
    <w:p w:rsidR="003F0E1C" w:rsidRDefault="003F0E1C" w:rsidP="003F0E1C">
      <w:pPr>
        <w:pStyle w:val="Bullet"/>
      </w:pPr>
      <w:r>
        <w:t>The cost of non-natural peril claims (</w:t>
      </w:r>
      <w:proofErr w:type="spellStart"/>
      <w:r w:rsidR="00E04539">
        <w:t>eg</w:t>
      </w:r>
      <w:proofErr w:type="spellEnd"/>
      <w:r w:rsidR="00E04539">
        <w:t xml:space="preserve"> </w:t>
      </w:r>
      <w:r>
        <w:t xml:space="preserve">fire [other than bushfire], theft, water leakage, </w:t>
      </w:r>
      <w:proofErr w:type="spellStart"/>
      <w:r>
        <w:t>etc</w:t>
      </w:r>
      <w:proofErr w:type="spellEnd"/>
      <w:r>
        <w:t>)</w:t>
      </w:r>
    </w:p>
    <w:p w:rsidR="003F0E1C" w:rsidRDefault="003F0E1C" w:rsidP="003F0E1C">
      <w:pPr>
        <w:pStyle w:val="Bullet"/>
      </w:pPr>
      <w:r>
        <w:t>The cost of natural peril claims  (storm, flood, cyclone, earthquake, bushfire)</w:t>
      </w:r>
    </w:p>
    <w:p w:rsidR="003F0E1C" w:rsidRDefault="003F0E1C" w:rsidP="003F0E1C">
      <w:pPr>
        <w:pStyle w:val="Bullet"/>
      </w:pPr>
      <w:r>
        <w:t>Reinsurance</w:t>
      </w:r>
    </w:p>
    <w:p w:rsidR="003F0E1C" w:rsidRDefault="003F0E1C" w:rsidP="003F0E1C">
      <w:pPr>
        <w:pStyle w:val="Bullet"/>
      </w:pPr>
      <w:r>
        <w:t>Administration expenses</w:t>
      </w:r>
    </w:p>
    <w:p w:rsidR="003F0E1C" w:rsidRDefault="003F0E1C" w:rsidP="003F0E1C">
      <w:pPr>
        <w:pStyle w:val="Bullet"/>
      </w:pPr>
      <w:r>
        <w:t xml:space="preserve">Profit </w:t>
      </w:r>
      <w:r w:rsidR="00AB3DFD">
        <w:t>margin</w:t>
      </w:r>
    </w:p>
    <w:p w:rsidR="00AB3DFD" w:rsidRDefault="00272B64" w:rsidP="003F0E1C">
      <w:pPr>
        <w:pStyle w:val="BodyText"/>
      </w:pPr>
      <w:r>
        <w:t xml:space="preserve">The first two items </w:t>
      </w:r>
      <w:r w:rsidR="00AB3DFD">
        <w:t xml:space="preserve">and a significant part of the third item </w:t>
      </w:r>
      <w:r>
        <w:t>re</w:t>
      </w:r>
      <w:r w:rsidR="00AB3DFD">
        <w:t>late</w:t>
      </w:r>
      <w:r>
        <w:t xml:space="preserve"> to the cost of claims and represent a major component of the insurance premium. </w:t>
      </w:r>
    </w:p>
    <w:p w:rsidR="00272B64" w:rsidRDefault="00272B64" w:rsidP="003F0E1C">
      <w:pPr>
        <w:pStyle w:val="BodyText"/>
      </w:pPr>
      <w:r>
        <w:t xml:space="preserve">Insurers provided </w:t>
      </w:r>
      <w:r w:rsidR="00AB3DFD">
        <w:t xml:space="preserve">me with </w:t>
      </w:r>
      <w:r>
        <w:t>estimates of the expected cost of claims</w:t>
      </w:r>
      <w:r w:rsidR="00AC7798">
        <w:rPr>
          <w:rStyle w:val="FootnoteReference"/>
        </w:rPr>
        <w:footnoteReference w:id="11"/>
      </w:r>
      <w:r>
        <w:t>, broken down by:</w:t>
      </w:r>
    </w:p>
    <w:p w:rsidR="00272B64" w:rsidRDefault="00272B64" w:rsidP="00272B64">
      <w:pPr>
        <w:pStyle w:val="Bullet"/>
      </w:pPr>
      <w:r>
        <w:t>Claim type – buildings or contents</w:t>
      </w:r>
    </w:p>
    <w:p w:rsidR="00272B64" w:rsidRDefault="00272B64" w:rsidP="00272B64">
      <w:pPr>
        <w:pStyle w:val="Bullet"/>
      </w:pPr>
      <w:r>
        <w:t>Peril - both non-natural and natural peril</w:t>
      </w:r>
    </w:p>
    <w:p w:rsidR="003F0E1C" w:rsidRDefault="00272B64" w:rsidP="00272B64">
      <w:pPr>
        <w:pStyle w:val="Bullet"/>
      </w:pPr>
      <w:r>
        <w:t>Region - for a number of regions</w:t>
      </w:r>
    </w:p>
    <w:p w:rsidR="003D5592" w:rsidRDefault="00FA23B5" w:rsidP="00AB3DFD">
      <w:pPr>
        <w:pStyle w:val="BodyText"/>
      </w:pPr>
      <w:r>
        <w:t>The</w:t>
      </w:r>
      <w:r w:rsidR="003D5592">
        <w:t>se estimates are forward-looking estimates. As such, they give insight into the insurers</w:t>
      </w:r>
      <w:r w:rsidR="001E23E8">
        <w:t>’</w:t>
      </w:r>
      <w:r w:rsidR="003D5592">
        <w:t xml:space="preserve"> views on risk in the selected regions.</w:t>
      </w:r>
    </w:p>
    <w:p w:rsidR="00FA23B5" w:rsidRDefault="003D5592" w:rsidP="00484F66">
      <w:pPr>
        <w:pStyle w:val="BodyText"/>
      </w:pPr>
      <w:r>
        <w:t xml:space="preserve">Notably, the </w:t>
      </w:r>
      <w:r w:rsidR="00FA23B5">
        <w:t xml:space="preserve">estimates provided varied </w:t>
      </w:r>
      <w:r>
        <w:t xml:space="preserve">somewhat </w:t>
      </w:r>
      <w:r w:rsidR="00FA23B5">
        <w:t xml:space="preserve">among insurers. This variation reflects, in part, differences in their individual risk exposures. It is also likely to reflect differing views among insurers on the underlying risk. </w:t>
      </w:r>
      <w:r w:rsidR="00484F66">
        <w:t>This, in turn, reflects</w:t>
      </w:r>
      <w:r w:rsidR="00FA23B5">
        <w:t xml:space="preserve"> that </w:t>
      </w:r>
      <w:r w:rsidR="00C421B6">
        <w:t xml:space="preserve">insurance </w:t>
      </w:r>
      <w:r w:rsidR="00FA23B5">
        <w:t xml:space="preserve">risk valuation is far from an exact science. It involves analysis and interpretation of typically inadequate and possibly inconsistent data drawn from a variety of sources. </w:t>
      </w:r>
    </w:p>
    <w:p w:rsidR="00CD4E13" w:rsidRDefault="00B61F98" w:rsidP="00484F66">
      <w:pPr>
        <w:pStyle w:val="BodyText"/>
      </w:pPr>
      <w:bookmarkStart w:id="16" w:name="_Ref402769302"/>
      <w:r>
        <w:lastRenderedPageBreak/>
        <w:t xml:space="preserve">Despite the variation mentioned above, there were some consistent signals in the data provided. </w:t>
      </w:r>
      <w:r w:rsidR="00B95418">
        <w:t>The chart</w:t>
      </w:r>
      <w:r w:rsidR="00CD4E13">
        <w:t>s</w:t>
      </w:r>
      <w:r w:rsidR="00B95418">
        <w:t xml:space="preserve"> below summarise the </w:t>
      </w:r>
      <w:r>
        <w:t xml:space="preserve">main relevant features </w:t>
      </w:r>
      <w:r w:rsidR="00484F66">
        <w:t>of</w:t>
      </w:r>
      <w:r>
        <w:t xml:space="preserve"> the </w:t>
      </w:r>
      <w:r w:rsidR="00B95418">
        <w:t>data provided by the insurers.</w:t>
      </w:r>
      <w:bookmarkEnd w:id="16"/>
    </w:p>
    <w:p w:rsidR="00B95418" w:rsidRDefault="00E07171" w:rsidP="00B95418">
      <w:pPr>
        <w:pStyle w:val="BodyText"/>
        <w:numPr>
          <w:ilvl w:val="0"/>
          <w:numId w:val="0"/>
        </w:numPr>
        <w:ind w:left="850"/>
      </w:pPr>
      <w:r w:rsidRPr="00E07171">
        <w:rPr>
          <w:noProof/>
          <w:lang w:eastAsia="en-AU"/>
        </w:rPr>
        <w:drawing>
          <wp:inline distT="0" distB="0" distL="0" distR="0" wp14:anchorId="2A2F1938" wp14:editId="6BE7520E">
            <wp:extent cx="4580255" cy="274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CD4E13" w:rsidRDefault="00E07171" w:rsidP="00B95418">
      <w:pPr>
        <w:pStyle w:val="BodyText"/>
        <w:numPr>
          <w:ilvl w:val="0"/>
          <w:numId w:val="0"/>
        </w:numPr>
        <w:ind w:left="850"/>
      </w:pPr>
      <w:r w:rsidRPr="00E07171">
        <w:rPr>
          <w:noProof/>
          <w:lang w:eastAsia="en-AU"/>
        </w:rPr>
        <w:drawing>
          <wp:inline distT="0" distB="0" distL="0" distR="0" wp14:anchorId="2443E5B0" wp14:editId="5BCF5B7D">
            <wp:extent cx="4580255" cy="27908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80255" cy="2790825"/>
                    </a:xfrm>
                    <a:prstGeom prst="rect">
                      <a:avLst/>
                    </a:prstGeom>
                    <a:noFill/>
                    <a:ln>
                      <a:noFill/>
                    </a:ln>
                  </pic:spPr>
                </pic:pic>
              </a:graphicData>
            </a:graphic>
          </wp:inline>
        </w:drawing>
      </w:r>
    </w:p>
    <w:p w:rsidR="00CD4E13" w:rsidRDefault="00CD4E13" w:rsidP="00CD4E13">
      <w:pPr>
        <w:pStyle w:val="BodyText"/>
      </w:pPr>
      <w:r>
        <w:t xml:space="preserve">First, </w:t>
      </w:r>
      <w:r w:rsidR="00484F66">
        <w:t xml:space="preserve">the </w:t>
      </w:r>
      <w:r>
        <w:t>relativ</w:t>
      </w:r>
      <w:r w:rsidR="00287CEF">
        <w:t>ities are consistent among regions in both charts.</w:t>
      </w:r>
      <w:r>
        <w:t xml:space="preserve"> In each case, the estimated costs for the southern capitals are less than 50 per cent of the estimated costs for NQ. The estimated costs for Brisbane/Gold Coast are around 50 per cent of the estimated costs for NQ. Darwin costs are estimated to be around 7</w:t>
      </w:r>
      <w:r w:rsidR="008129B7">
        <w:t>5</w:t>
      </w:r>
      <w:r>
        <w:t xml:space="preserve"> per cent of NQ costs and </w:t>
      </w:r>
      <w:r w:rsidR="007A4ED5">
        <w:t xml:space="preserve">north-west </w:t>
      </w:r>
      <w:r>
        <w:t>WA costs are estimated to be around twice NQ costs.</w:t>
      </w:r>
    </w:p>
    <w:p w:rsidR="00B24CE3" w:rsidRDefault="00CD4E13" w:rsidP="00CD4E13">
      <w:pPr>
        <w:pStyle w:val="BodyText"/>
      </w:pPr>
      <w:r>
        <w:t xml:space="preserve">Second, </w:t>
      </w:r>
      <w:r w:rsidR="00B64D16">
        <w:t xml:space="preserve">and importantly, the estimated cost of cyclone represents the single largest </w:t>
      </w:r>
      <w:r w:rsidR="00F307B9">
        <w:t>contributor to</w:t>
      </w:r>
      <w:r w:rsidR="00B64D16">
        <w:t xml:space="preserve"> regional difference.  For example, when home buildings and home contents are considered together, the cost of claims related to cyclone risk is estimated to account for about half of the cost of all NQ claims. </w:t>
      </w:r>
      <w:r w:rsidR="003D55FA">
        <w:t>In contrast, there is no cyclone risk for the southern capitals.</w:t>
      </w:r>
    </w:p>
    <w:p w:rsidR="00CD4E13" w:rsidRDefault="00B24CE3" w:rsidP="00CD4E13">
      <w:pPr>
        <w:pStyle w:val="BodyText"/>
      </w:pPr>
      <w:r>
        <w:lastRenderedPageBreak/>
        <w:t xml:space="preserve">Third, </w:t>
      </w:r>
      <w:r w:rsidR="00B64D16">
        <w:t xml:space="preserve">the estimated cost of non-natural peril claims </w:t>
      </w:r>
      <w:r w:rsidR="00E42697">
        <w:t xml:space="preserve">is </w:t>
      </w:r>
      <w:r w:rsidR="00B64D16">
        <w:t xml:space="preserve">consistently </w:t>
      </w:r>
      <w:r w:rsidR="00E42697">
        <w:t>higher</w:t>
      </w:r>
      <w:r w:rsidR="00B64D16">
        <w:t xml:space="preserve"> for home contents than it </w:t>
      </w:r>
      <w:r w:rsidR="00E42697">
        <w:t>is</w:t>
      </w:r>
      <w:r w:rsidR="00B64D16">
        <w:t xml:space="preserve"> for home buildings. This reflects</w:t>
      </w:r>
      <w:r w:rsidR="00484F66">
        <w:t>, for example,</w:t>
      </w:r>
      <w:r w:rsidR="00B64D16">
        <w:t xml:space="preserve"> costs associated with theft and burglary in the home contents context.</w:t>
      </w:r>
    </w:p>
    <w:p w:rsidR="00B64D16" w:rsidRDefault="00B64D16" w:rsidP="00CD4E13">
      <w:pPr>
        <w:pStyle w:val="BodyText"/>
      </w:pPr>
      <w:r>
        <w:t>Finally, although there is some regional variation in the estimated cost of claims due to natural peril other than cyclone, the extent of this regional variation is small when compared with the variation due to cyclone.</w:t>
      </w:r>
    </w:p>
    <w:p w:rsidR="000702CF" w:rsidRDefault="000702CF" w:rsidP="000702CF">
      <w:pPr>
        <w:pStyle w:val="Heading4"/>
      </w:pPr>
      <w:r>
        <w:t>Non-natural peril claims</w:t>
      </w:r>
    </w:p>
    <w:p w:rsidR="000702CF" w:rsidRDefault="000702CF" w:rsidP="000702CF">
      <w:pPr>
        <w:pStyle w:val="BodyText"/>
      </w:pPr>
      <w:r>
        <w:t>It was noted above that the cost of claims that arise for reasons other than natural peril tends to be higher</w:t>
      </w:r>
      <w:r w:rsidR="00AC7798">
        <w:rPr>
          <w:rStyle w:val="FootnoteReference"/>
        </w:rPr>
        <w:footnoteReference w:id="12"/>
      </w:r>
      <w:r>
        <w:t xml:space="preserve"> for home contents business than for home buildings business.</w:t>
      </w:r>
    </w:p>
    <w:p w:rsidR="000702CF" w:rsidRDefault="000702CF" w:rsidP="000702CF">
      <w:pPr>
        <w:pStyle w:val="BodyText"/>
      </w:pPr>
      <w:r>
        <w:t xml:space="preserve">It is also apparent from the charts above that non-natural peril claims costs are estimated to be higher </w:t>
      </w:r>
      <w:r w:rsidR="00725992">
        <w:t>for NQ than for the other regions shown in the charts.</w:t>
      </w:r>
    </w:p>
    <w:p w:rsidR="007A4ED5" w:rsidRDefault="00725992" w:rsidP="000702CF">
      <w:pPr>
        <w:pStyle w:val="BodyText"/>
      </w:pPr>
      <w:r>
        <w:t>The data provided by ISA allowed some analysis of historical claim costs by both peril and region</w:t>
      </w:r>
      <w:r w:rsidR="00AC7798">
        <w:t>, including</w:t>
      </w:r>
      <w:r>
        <w:t xml:space="preserve"> for other regions not shown in the charts above. That data suggests that non-natural peril claims costs </w:t>
      </w:r>
      <w:r w:rsidR="00AC7798">
        <w:t>are</w:t>
      </w:r>
      <w:r>
        <w:t xml:space="preserve"> </w:t>
      </w:r>
      <w:r w:rsidR="00A56BC0">
        <w:t xml:space="preserve">often </w:t>
      </w:r>
      <w:r>
        <w:t xml:space="preserve">higher in country regions than in metropolitan regions. There are likely to be a number of reasons for this. For example, claims costs have been analysed relative to Sum Insured and sums insured tend to be lower in country regions than metropolitans regions. </w:t>
      </w:r>
    </w:p>
    <w:p w:rsidR="00725992" w:rsidRDefault="00725992" w:rsidP="000702CF">
      <w:pPr>
        <w:pStyle w:val="BodyText"/>
      </w:pPr>
      <w:r>
        <w:t>The main point to draw from this discussion is that, although non-natural peril claims costs are estimated to be higher in NQ than in the other regions shown above, this does not appear unique to NQ</w:t>
      </w:r>
      <w:r w:rsidR="00C421B6">
        <w:t>. R</w:t>
      </w:r>
      <w:r>
        <w:t xml:space="preserve">ather it appears to be a feature of the claims experience in </w:t>
      </w:r>
      <w:r w:rsidR="007A4ED5">
        <w:t xml:space="preserve">a number of </w:t>
      </w:r>
      <w:r>
        <w:t>country regions.</w:t>
      </w:r>
    </w:p>
    <w:p w:rsidR="0055737A" w:rsidRDefault="007A4ED5" w:rsidP="0055737A">
      <w:pPr>
        <w:pStyle w:val="Heading4"/>
      </w:pPr>
      <w:r>
        <w:t>Natural peril costs</w:t>
      </w:r>
      <w:r w:rsidR="0055737A">
        <w:t xml:space="preserve"> (other than cyclone)</w:t>
      </w:r>
    </w:p>
    <w:p w:rsidR="0055737A" w:rsidRDefault="00862499" w:rsidP="0055737A">
      <w:pPr>
        <w:pStyle w:val="BodyText"/>
      </w:pPr>
      <w:r>
        <w:t>The main natural perils other than cyclone are storm, riverine flood, bushfire and earthquake.</w:t>
      </w:r>
      <w:r w:rsidR="00B64D16">
        <w:t xml:space="preserve"> </w:t>
      </w:r>
      <w:r w:rsidR="000E5354">
        <w:t>It is instructive to consider the insurers’ estimates of the</w:t>
      </w:r>
      <w:r w:rsidR="001267A9">
        <w:t xml:space="preserve"> expected</w:t>
      </w:r>
      <w:r w:rsidR="000E5354">
        <w:t xml:space="preserve"> cost of natural peril</w:t>
      </w:r>
      <w:r w:rsidR="001267A9">
        <w:t>s</w:t>
      </w:r>
      <w:r w:rsidR="000E5354">
        <w:t xml:space="preserve"> </w:t>
      </w:r>
      <w:r w:rsidR="001267A9">
        <w:t xml:space="preserve">(excluding cyclone). </w:t>
      </w:r>
      <w:r w:rsidR="00B64D16">
        <w:t>The chart below summarises the data provided by insurers for NQ, Brisbane and Sydney/Melbourne</w:t>
      </w:r>
      <w:r w:rsidR="00C421B6">
        <w:rPr>
          <w:rStyle w:val="FootnoteReference"/>
        </w:rPr>
        <w:footnoteReference w:id="13"/>
      </w:r>
      <w:r w:rsidR="00B64D16">
        <w:t>.</w:t>
      </w:r>
      <w:r w:rsidR="00C421B6">
        <w:t xml:space="preserve"> </w:t>
      </w:r>
    </w:p>
    <w:p w:rsidR="00B64D16" w:rsidRDefault="00FA5299" w:rsidP="00724CED">
      <w:pPr>
        <w:pStyle w:val="BodyText"/>
        <w:numPr>
          <w:ilvl w:val="0"/>
          <w:numId w:val="0"/>
        </w:numPr>
        <w:ind w:left="850"/>
      </w:pPr>
      <w:r w:rsidRPr="00FA5299">
        <w:rPr>
          <w:noProof/>
          <w:lang w:eastAsia="en-AU"/>
        </w:rPr>
        <w:lastRenderedPageBreak/>
        <w:drawing>
          <wp:inline distT="0" distB="0" distL="0" distR="0" wp14:anchorId="3CF5C059" wp14:editId="3AE0EC6D">
            <wp:extent cx="4333461" cy="259539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33748" cy="2595563"/>
                    </a:xfrm>
                    <a:prstGeom prst="rect">
                      <a:avLst/>
                    </a:prstGeom>
                    <a:noFill/>
                    <a:ln>
                      <a:noFill/>
                    </a:ln>
                  </pic:spPr>
                </pic:pic>
              </a:graphicData>
            </a:graphic>
          </wp:inline>
        </w:drawing>
      </w:r>
    </w:p>
    <w:p w:rsidR="007A4ED5" w:rsidRDefault="00724CED" w:rsidP="00724CED">
      <w:pPr>
        <w:pStyle w:val="BodyText"/>
      </w:pPr>
      <w:r>
        <w:t>Insurer</w:t>
      </w:r>
      <w:r w:rsidR="007A4ED5">
        <w:t>s</w:t>
      </w:r>
      <w:r>
        <w:t xml:space="preserve"> </w:t>
      </w:r>
      <w:r w:rsidR="007A4ED5">
        <w:t>estimate</w:t>
      </w:r>
      <w:r>
        <w:t xml:space="preserve"> that the costs of natural peril claims (other than cyclone) are</w:t>
      </w:r>
      <w:r w:rsidR="00E158BC">
        <w:t>, on average,</w:t>
      </w:r>
      <w:r>
        <w:t xml:space="preserve"> broadly similar among the regions shown. </w:t>
      </w:r>
    </w:p>
    <w:p w:rsidR="00724CED" w:rsidRDefault="00724CED" w:rsidP="00724CED">
      <w:pPr>
        <w:pStyle w:val="BodyText"/>
      </w:pPr>
      <w:r>
        <w:t xml:space="preserve">Costs associated with storm </w:t>
      </w:r>
      <w:r w:rsidR="00D33B33">
        <w:t xml:space="preserve">are estimated to </w:t>
      </w:r>
      <w:r>
        <w:t xml:space="preserve">account for </w:t>
      </w:r>
      <w:r w:rsidR="00D33B33">
        <w:t>more than half</w:t>
      </w:r>
      <w:r>
        <w:t xml:space="preserve"> of the non-cyclone natural peril costs in these regions. Indeed, storm represents the costliest natural peril across Australia when measured in </w:t>
      </w:r>
      <w:r w:rsidR="00FD138D">
        <w:t xml:space="preserve">aggregate </w:t>
      </w:r>
      <w:r>
        <w:t xml:space="preserve">dollar terms. </w:t>
      </w:r>
      <w:r w:rsidR="00FD138D">
        <w:t xml:space="preserve">In other words, insurers typically pay more out on storm-related claims than on any other natural peril. </w:t>
      </w:r>
      <w:r>
        <w:t xml:space="preserve">However, since storm risk is widespread, the cost of storm </w:t>
      </w:r>
      <w:r w:rsidR="00FD138D">
        <w:t xml:space="preserve">risk is also spread widely across a large number of policyholders in many regions. As a result, </w:t>
      </w:r>
      <w:r w:rsidR="00F307B9">
        <w:t xml:space="preserve">unlike cyclone risk, storm risk </w:t>
      </w:r>
      <w:r>
        <w:t>does not lead to large regional variations in premium</w:t>
      </w:r>
      <w:r w:rsidR="007A4ED5">
        <w:t xml:space="preserve"> rates</w:t>
      </w:r>
      <w:r>
        <w:t xml:space="preserve">.  </w:t>
      </w:r>
    </w:p>
    <w:p w:rsidR="00404853" w:rsidRDefault="00404853" w:rsidP="00404853">
      <w:pPr>
        <w:pStyle w:val="Heading4"/>
      </w:pPr>
      <w:r>
        <w:t>Flood vs cyclone</w:t>
      </w:r>
    </w:p>
    <w:p w:rsidR="00404853" w:rsidRDefault="00404853" w:rsidP="00404853">
      <w:pPr>
        <w:pStyle w:val="BodyText"/>
      </w:pPr>
      <w:r>
        <w:t>It is instructive to consider how the cost of riverine flood risk and the cost of cyclone risk impact on premiums.</w:t>
      </w:r>
    </w:p>
    <w:p w:rsidR="007A4ED5" w:rsidRDefault="00404853" w:rsidP="00404853">
      <w:pPr>
        <w:pStyle w:val="BodyText"/>
      </w:pPr>
      <w:r>
        <w:t>Flood cover is increasingly available</w:t>
      </w:r>
      <w:r w:rsidR="00FD138D">
        <w:t xml:space="preserve"> under home and contents insurance policies</w:t>
      </w:r>
      <w:r>
        <w:t>.</w:t>
      </w:r>
      <w:r w:rsidR="00FD138D">
        <w:t xml:space="preserve"> Indeed, many policies now cover flood risk as a standard inclusion. </w:t>
      </w:r>
      <w:r>
        <w:t xml:space="preserve"> Most </w:t>
      </w:r>
      <w:r w:rsidRPr="000951A2">
        <w:t xml:space="preserve">households have little or no flood risk and, for them, the </w:t>
      </w:r>
      <w:r w:rsidR="007A4ED5">
        <w:t xml:space="preserve">cost of flood cover is </w:t>
      </w:r>
      <w:r w:rsidRPr="000951A2">
        <w:t xml:space="preserve">negligible. </w:t>
      </w:r>
    </w:p>
    <w:p w:rsidR="00E158BC" w:rsidRDefault="00404853" w:rsidP="00404853">
      <w:pPr>
        <w:pStyle w:val="BodyText"/>
      </w:pPr>
      <w:r w:rsidRPr="000951A2">
        <w:t xml:space="preserve">However, for some individual properties, the cost of flood cover is very high. </w:t>
      </w:r>
    </w:p>
    <w:p w:rsidR="007A4ED5" w:rsidRDefault="00404853" w:rsidP="00404853">
      <w:pPr>
        <w:pStyle w:val="BodyText"/>
      </w:pPr>
      <w:r w:rsidRPr="000951A2">
        <w:t xml:space="preserve">Indeed, for some </w:t>
      </w:r>
      <w:r w:rsidR="003B3C69">
        <w:t>properties</w:t>
      </w:r>
      <w:r w:rsidR="007A4ED5">
        <w:t>,</w:t>
      </w:r>
      <w:r w:rsidRPr="000951A2">
        <w:t xml:space="preserve"> the cost of flood </w:t>
      </w:r>
      <w:r w:rsidR="007A4ED5">
        <w:t>cover</w:t>
      </w:r>
      <w:r w:rsidRPr="000951A2">
        <w:t xml:space="preserve"> can be much higher than the maximum cost of cyclone </w:t>
      </w:r>
      <w:r w:rsidR="007A4ED5">
        <w:t>cover</w:t>
      </w:r>
      <w:r w:rsidRPr="000951A2">
        <w:t xml:space="preserve"> </w:t>
      </w:r>
      <w:r w:rsidR="003B3C69">
        <w:t>for</w:t>
      </w:r>
      <w:r w:rsidRPr="000951A2">
        <w:t xml:space="preserve"> any p</w:t>
      </w:r>
      <w:r w:rsidR="003B3C69">
        <w:t>roperty</w:t>
      </w:r>
      <w:r w:rsidRPr="000951A2">
        <w:t xml:space="preserve"> in NQ.</w:t>
      </w:r>
      <w:r w:rsidR="008136DF" w:rsidRPr="000951A2">
        <w:t xml:space="preserve"> </w:t>
      </w:r>
    </w:p>
    <w:p w:rsidR="008136DF" w:rsidRDefault="008136DF" w:rsidP="00404853">
      <w:pPr>
        <w:pStyle w:val="BodyText"/>
      </w:pPr>
      <w:r w:rsidRPr="000951A2">
        <w:t>The</w:t>
      </w:r>
      <w:r>
        <w:t xml:space="preserve"> chart below compares insurer estimates of the maximum cost of cyclone risk </w:t>
      </w:r>
      <w:r w:rsidR="00E158BC">
        <w:t>among</w:t>
      </w:r>
      <w:r>
        <w:t xml:space="preserve"> NQ policyholders with the maximum cost of flood risk</w:t>
      </w:r>
      <w:r w:rsidR="00FD138D">
        <w:t xml:space="preserve">, also </w:t>
      </w:r>
      <w:r w:rsidR="00E158BC">
        <w:t>among</w:t>
      </w:r>
      <w:r w:rsidR="00FD138D">
        <w:t xml:space="preserve"> NQ </w:t>
      </w:r>
      <w:r w:rsidR="00FD138D">
        <w:lastRenderedPageBreak/>
        <w:t>policyholders</w:t>
      </w:r>
      <w:r>
        <w:t xml:space="preserve">. The maximum NQ flood risk </w:t>
      </w:r>
      <w:r w:rsidR="00484F66">
        <w:t>is estimated to</w:t>
      </w:r>
      <w:r>
        <w:t xml:space="preserve"> cost more than </w:t>
      </w:r>
      <w:r w:rsidR="000951A2">
        <w:t>2.5 times as much as the maximum NQ cyclone risk</w:t>
      </w:r>
      <w:r w:rsidR="00C421B6">
        <w:rPr>
          <w:rStyle w:val="FootnoteReference"/>
        </w:rPr>
        <w:footnoteReference w:id="14"/>
      </w:r>
      <w:r w:rsidR="000951A2">
        <w:t>.</w:t>
      </w:r>
    </w:p>
    <w:p w:rsidR="008136DF" w:rsidRPr="008136DF" w:rsidRDefault="008136DF" w:rsidP="008136DF">
      <w:pPr>
        <w:pStyle w:val="BodyText"/>
        <w:numPr>
          <w:ilvl w:val="0"/>
          <w:numId w:val="0"/>
        </w:numPr>
        <w:ind w:left="850"/>
      </w:pPr>
      <w:r w:rsidRPr="008136DF">
        <w:rPr>
          <w:noProof/>
          <w:lang w:eastAsia="en-AU"/>
        </w:rPr>
        <w:drawing>
          <wp:inline distT="0" distB="0" distL="0" distR="0" wp14:anchorId="61DAE01F" wp14:editId="24D4ECE4">
            <wp:extent cx="4580255" cy="274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A35C4E" w:rsidRDefault="00404853" w:rsidP="00404853">
      <w:pPr>
        <w:pStyle w:val="BodyText"/>
      </w:pPr>
      <w:r w:rsidRPr="000951A2">
        <w:t xml:space="preserve">However, when the cost of flood </w:t>
      </w:r>
      <w:r w:rsidR="00FD138D">
        <w:t>risk</w:t>
      </w:r>
      <w:r w:rsidRPr="000951A2">
        <w:t xml:space="preserve"> is averaged across all policyholders in a region (even a fairly small region), the </w:t>
      </w:r>
      <w:r w:rsidR="00FD138D">
        <w:t xml:space="preserve">(average) </w:t>
      </w:r>
      <w:r w:rsidRPr="000951A2">
        <w:t xml:space="preserve">cost generally tends to be relatively low. </w:t>
      </w:r>
    </w:p>
    <w:p w:rsidR="008136DF" w:rsidRPr="008136DF" w:rsidRDefault="008136DF" w:rsidP="00404853">
      <w:pPr>
        <w:pStyle w:val="BodyText"/>
      </w:pPr>
      <w:r w:rsidRPr="000951A2">
        <w:t xml:space="preserve">The chart below compares the estimated average cost of cyclone risk </w:t>
      </w:r>
      <w:r w:rsidR="00FD138D">
        <w:t>for</w:t>
      </w:r>
      <w:r>
        <w:t xml:space="preserve"> NQ policyholders with the estimated average cost of flood risk.</w:t>
      </w:r>
      <w:r w:rsidR="000951A2">
        <w:t xml:space="preserve"> It shows that when both cyclone and flood costs are averaged across all NQ policyholders, the cost of flood is only about 10 per cent of the cost of cyclone.</w:t>
      </w:r>
    </w:p>
    <w:p w:rsidR="008136DF" w:rsidRPr="008136DF" w:rsidRDefault="008136DF" w:rsidP="008136DF">
      <w:pPr>
        <w:pStyle w:val="BodyText"/>
        <w:numPr>
          <w:ilvl w:val="0"/>
          <w:numId w:val="0"/>
        </w:numPr>
        <w:ind w:left="850"/>
      </w:pPr>
      <w:r w:rsidRPr="008136DF">
        <w:rPr>
          <w:noProof/>
          <w:lang w:eastAsia="en-AU"/>
        </w:rPr>
        <w:drawing>
          <wp:inline distT="0" distB="0" distL="0" distR="0" wp14:anchorId="1790A253" wp14:editId="22B0062C">
            <wp:extent cx="4580255" cy="274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0951A2" w:rsidRPr="000951A2" w:rsidRDefault="00A35C4E" w:rsidP="00404853">
      <w:pPr>
        <w:pStyle w:val="BodyText"/>
      </w:pPr>
      <w:r>
        <w:lastRenderedPageBreak/>
        <w:t>W</w:t>
      </w:r>
      <w:r w:rsidR="00404853" w:rsidRPr="000951A2">
        <w:t xml:space="preserve">hile some NQ policyholders are at greater risk from cyclone than others, </w:t>
      </w:r>
      <w:r w:rsidR="000951A2">
        <w:t>most</w:t>
      </w:r>
      <w:r w:rsidR="00404853" w:rsidRPr="000951A2">
        <w:t xml:space="preserve"> policyholders in the region are at some risk, resulting in a significant regional premium impact due to cyclone. </w:t>
      </w:r>
    </w:p>
    <w:p w:rsidR="00404853" w:rsidRPr="000951A2" w:rsidRDefault="00404853" w:rsidP="000951A2">
      <w:pPr>
        <w:pStyle w:val="BodyText"/>
      </w:pPr>
      <w:r w:rsidRPr="000951A2">
        <w:t>On the other hand</w:t>
      </w:r>
      <w:r w:rsidR="00A35C4E">
        <w:t>, while</w:t>
      </w:r>
      <w:r w:rsidRPr="000951A2">
        <w:t xml:space="preserve"> some </w:t>
      </w:r>
      <w:r w:rsidR="000951A2" w:rsidRPr="000951A2">
        <w:t xml:space="preserve">NQ </w:t>
      </w:r>
      <w:r w:rsidRPr="000951A2">
        <w:t xml:space="preserve">policyholders </w:t>
      </w:r>
      <w:r w:rsidR="000951A2">
        <w:t>might</w:t>
      </w:r>
      <w:r w:rsidRPr="000951A2">
        <w:t xml:space="preserve"> face extreme flood risk, most policyholders will not have any flood risk. </w:t>
      </w:r>
      <w:r w:rsidR="000951A2" w:rsidRPr="000951A2">
        <w:t xml:space="preserve">This tends to be the case for regions generally. </w:t>
      </w:r>
      <w:r w:rsidR="00A35C4E">
        <w:t>W</w:t>
      </w:r>
      <w:r w:rsidR="000951A2" w:rsidRPr="000951A2">
        <w:t xml:space="preserve">hen averaged out across all policyholders in </w:t>
      </w:r>
      <w:r w:rsidR="00A35C4E">
        <w:t>a</w:t>
      </w:r>
      <w:r w:rsidR="000951A2" w:rsidRPr="000951A2">
        <w:t xml:space="preserve"> region, the cost of flood risk will usually tend to be relatively low. </w:t>
      </w:r>
      <w:r w:rsidRPr="000951A2">
        <w:t xml:space="preserve">As a result, </w:t>
      </w:r>
      <w:r w:rsidR="000951A2" w:rsidRPr="000951A2">
        <w:t xml:space="preserve">unlike cyclone risk, </w:t>
      </w:r>
      <w:r w:rsidRPr="000951A2">
        <w:t xml:space="preserve">there will generally not be any significant </w:t>
      </w:r>
      <w:r w:rsidRPr="00A35C4E">
        <w:rPr>
          <w:u w:val="single"/>
        </w:rPr>
        <w:t>regional</w:t>
      </w:r>
      <w:r w:rsidRPr="000951A2">
        <w:t xml:space="preserve"> premium impact as a result of flood risk.</w:t>
      </w:r>
      <w:r w:rsidR="000951A2" w:rsidRPr="000951A2">
        <w:t xml:space="preserve"> </w:t>
      </w:r>
    </w:p>
    <w:p w:rsidR="00CF39E1" w:rsidRDefault="00CF39E1" w:rsidP="00CF39E1">
      <w:pPr>
        <w:pStyle w:val="Heading1"/>
      </w:pPr>
      <w:bookmarkStart w:id="17" w:name="_Toc402772647"/>
      <w:r>
        <w:t>Catastrophe reinsurance</w:t>
      </w:r>
      <w:bookmarkEnd w:id="15"/>
      <w:bookmarkEnd w:id="17"/>
    </w:p>
    <w:p w:rsidR="00A96B13" w:rsidRDefault="00A96B13" w:rsidP="00A96B13">
      <w:pPr>
        <w:pStyle w:val="BodyText"/>
      </w:pPr>
      <w:r>
        <w:t>Insurers purchase reinsurance to transfer some of the risk from their balance sheet. Without reinsurance, an insurer would be exposed to the risk of very large losses arising f</w:t>
      </w:r>
      <w:r w:rsidR="009E189B">
        <w:t xml:space="preserve">rom a single catastrophic event. </w:t>
      </w:r>
    </w:p>
    <w:p w:rsidR="00A96B13" w:rsidRDefault="00A96B13" w:rsidP="00A96B13">
      <w:pPr>
        <w:pStyle w:val="BodyText"/>
      </w:pPr>
      <w:r>
        <w:t>Property insurers typically purchase what is known as catastrophe reinsurance. This type of reinsurance responds when a single catastrophic event leads to losses of a specified amount for the insurer. The specified amount is called the attachment point. For example, an insurer might carry catastrophe reinsurance with an attachment point of $50m. This means that any single catastrophic event which led to claims against the insurer of less than $50m would not be covered at all by the catastrophe reinsurance. However, if claims against the insurer from a single catastrophic event exceeded $50m, then catastrophe reinsurance would cover the excess claims cost over and above $50m.</w:t>
      </w:r>
      <w:r>
        <w:rPr>
          <w:rStyle w:val="FootnoteReference"/>
        </w:rPr>
        <w:footnoteReference w:id="15"/>
      </w:r>
    </w:p>
    <w:p w:rsidR="00A96B13" w:rsidRDefault="00A96B13" w:rsidP="00A96B13">
      <w:pPr>
        <w:pStyle w:val="BodyText"/>
      </w:pPr>
      <w:r w:rsidRPr="005F6B12">
        <w:t xml:space="preserve">Catastrophe reinsurance policies are typically purchased in respect of an insurer’s entire property portfolio. That is, there will </w:t>
      </w:r>
      <w:r w:rsidR="00A619DD">
        <w:t xml:space="preserve">usually </w:t>
      </w:r>
      <w:r w:rsidRPr="005F6B12">
        <w:t xml:space="preserve">not be separate catastrophe reinsurance policies for separate blocks of property business. Rather there will </w:t>
      </w:r>
      <w:r>
        <w:t xml:space="preserve">usually </w:t>
      </w:r>
      <w:r w:rsidRPr="005F6B12">
        <w:t xml:space="preserve">be one policy covering the whole property portfolio. </w:t>
      </w:r>
      <w:r w:rsidR="00484F66">
        <w:t>H</w:t>
      </w:r>
      <w:r w:rsidR="00AC18FA">
        <w:t>ome and contents</w:t>
      </w:r>
      <w:r w:rsidRPr="005F6B12">
        <w:t xml:space="preserve"> insurance in NQ is likely to represent only a </w:t>
      </w:r>
      <w:r w:rsidR="00AC18FA">
        <w:t xml:space="preserve">fairly </w:t>
      </w:r>
      <w:r w:rsidRPr="005F6B12">
        <w:t xml:space="preserve">small percentage of an insurer’s portfolio. An insurer’s catastrophe reinsurance policy would therefore provide protection for far more of its business than just its NQ </w:t>
      </w:r>
      <w:r w:rsidR="00AC18FA">
        <w:t>home insurance</w:t>
      </w:r>
      <w:r w:rsidRPr="005F6B12">
        <w:t xml:space="preserve"> business.</w:t>
      </w:r>
    </w:p>
    <w:p w:rsidR="00475F2B" w:rsidRDefault="00A96B13" w:rsidP="00A96B13">
      <w:pPr>
        <w:pStyle w:val="BodyText"/>
      </w:pPr>
      <w:r>
        <w:t xml:space="preserve">The cost of the catastrophe reinsurance cover needs to be passed on to policyholders. </w:t>
      </w:r>
      <w:r w:rsidR="00176364">
        <w:t xml:space="preserve">In other words, each policyholder’s premium must include an allowance for an equitable share of the cost of catastrophe reinsurance. </w:t>
      </w:r>
    </w:p>
    <w:p w:rsidR="00176364" w:rsidRDefault="00176364" w:rsidP="00A96B13">
      <w:pPr>
        <w:pStyle w:val="BodyText"/>
      </w:pPr>
      <w:r>
        <w:t>Th</w:t>
      </w:r>
      <w:r w:rsidR="00B171C1">
        <w:t xml:space="preserve">ere is no single correct way for an insurer to determine </w:t>
      </w:r>
      <w:r w:rsidR="001846D0">
        <w:t>the</w:t>
      </w:r>
      <w:r w:rsidR="00B171C1">
        <w:t xml:space="preserve"> share of </w:t>
      </w:r>
      <w:r>
        <w:t xml:space="preserve">the catastrophe reinsurance </w:t>
      </w:r>
      <w:r w:rsidR="00E61330">
        <w:t xml:space="preserve">premium </w:t>
      </w:r>
      <w:r w:rsidR="001846D0">
        <w:t xml:space="preserve">that is </w:t>
      </w:r>
      <w:r>
        <w:t xml:space="preserve">to </w:t>
      </w:r>
      <w:r w:rsidR="00B171C1">
        <w:t xml:space="preserve">be allocated to </w:t>
      </w:r>
      <w:r>
        <w:t xml:space="preserve">individual policies. </w:t>
      </w:r>
      <w:r w:rsidRPr="005F6B12">
        <w:t>In recent years, this process has been informed by catastrophe modelling. The level of soph</w:t>
      </w:r>
      <w:r>
        <w:t>istication of this modelling is improving</w:t>
      </w:r>
      <w:r w:rsidRPr="005F6B12">
        <w:t xml:space="preserve">, allowing more granular estimation of risk. As a result, catastrophe reinsurance costs are now increasingly allocated in line </w:t>
      </w:r>
      <w:r w:rsidRPr="005F6B12">
        <w:lastRenderedPageBreak/>
        <w:t>with the assessed risk presented by the underlying policy.</w:t>
      </w:r>
      <w:r>
        <w:t xml:space="preserve"> Having said that, catastrophe modelling remains an inexact science.</w:t>
      </w:r>
    </w:p>
    <w:p w:rsidR="00A96B13" w:rsidRDefault="00B34D4C" w:rsidP="00A96B13">
      <w:pPr>
        <w:pStyle w:val="BodyText"/>
      </w:pPr>
      <w:r>
        <w:t>Under a risk-based cost allocation methodology, the cost of catastrophe reinsurance that is to be allocated to a particular policy will depend on the extent to which that policy is expected to ‘benefit’ from the catastrophe reinsurance protection. This, in turn, will depend on:</w:t>
      </w:r>
    </w:p>
    <w:p w:rsidR="00B34D4C" w:rsidRDefault="00B34D4C" w:rsidP="00B34D4C">
      <w:pPr>
        <w:pStyle w:val="Bullet"/>
      </w:pPr>
      <w:r>
        <w:t>The insurer’s exposure in the relevant region. More exposure to a particular region increases the likelihood that a catastrophic event in that region will trigger the catastrophe reinsurance, all else equal.</w:t>
      </w:r>
    </w:p>
    <w:p w:rsidR="00B34D4C" w:rsidRDefault="00B34D4C" w:rsidP="00B34D4C">
      <w:pPr>
        <w:pStyle w:val="Bullet"/>
      </w:pPr>
      <w:r>
        <w:t xml:space="preserve">The frequency of catastrophic events in the relevant region. </w:t>
      </w:r>
    </w:p>
    <w:p w:rsidR="00B34D4C" w:rsidRDefault="00B34D4C" w:rsidP="00B34D4C">
      <w:pPr>
        <w:pStyle w:val="Bullet"/>
      </w:pPr>
      <w:r>
        <w:t>The potential scale of losses from a catastrophic event in the region.</w:t>
      </w:r>
    </w:p>
    <w:p w:rsidR="001B767B" w:rsidRDefault="00B34D4C" w:rsidP="00B34D4C">
      <w:pPr>
        <w:pStyle w:val="BodyText"/>
      </w:pPr>
      <w:r>
        <w:t>These factors interact in a somewhat complex way. Further, the frequency and scale of catastrophic events can only be estimated</w:t>
      </w:r>
      <w:r w:rsidR="00475F2B">
        <w:t xml:space="preserve"> </w:t>
      </w:r>
      <w:r w:rsidR="001B767B">
        <w:t xml:space="preserve">within a fairly wide band of </w:t>
      </w:r>
      <w:r w:rsidR="009E189B">
        <w:t>uncertainty</w:t>
      </w:r>
      <w:r w:rsidR="001B767B">
        <w:t xml:space="preserve">. </w:t>
      </w:r>
      <w:r w:rsidR="00234DF6">
        <w:t>Nonetheless, the significantly higher frequency of cyclone in NQ compared with the frequency of</w:t>
      </w:r>
      <w:r w:rsidR="00E61330">
        <w:t>, say,</w:t>
      </w:r>
      <w:r w:rsidR="00234DF6">
        <w:t xml:space="preserve"> earthquake in the capital cities means that the cost of the catastrophe reinsurance cover is likely to be skewed towards NQ</w:t>
      </w:r>
      <w:r w:rsidR="009E189B">
        <w:t xml:space="preserve"> if an insurer has exposure in NQ</w:t>
      </w:r>
      <w:r w:rsidR="00234DF6">
        <w:t>. In other words, an additional dollar of exposure in NQ is likely to result in more catastrophe reinsurance premium than an additional dollar of exposure in, say, Sydney.</w:t>
      </w:r>
    </w:p>
    <w:p w:rsidR="00B76368" w:rsidRDefault="00B76368" w:rsidP="00B34D4C">
      <w:pPr>
        <w:pStyle w:val="BodyText"/>
      </w:pPr>
      <w:r>
        <w:t>T</w:t>
      </w:r>
      <w:r w:rsidR="0028719A">
        <w:t xml:space="preserve">here was </w:t>
      </w:r>
      <w:r>
        <w:t xml:space="preserve">some </w:t>
      </w:r>
      <w:r w:rsidR="0028719A">
        <w:t xml:space="preserve">variation </w:t>
      </w:r>
      <w:r w:rsidR="009E189B">
        <w:t xml:space="preserve">(in the data provided for the investigation) </w:t>
      </w:r>
      <w:r w:rsidR="0028719A">
        <w:t>between insurers in respect of the cost of catastrophe reinsurance</w:t>
      </w:r>
      <w:r>
        <w:t xml:space="preserve"> notionally allocated to their NQ home insurance business. This variation is likely to reflect a number of factors</w:t>
      </w:r>
      <w:r w:rsidR="00E158BC">
        <w:t>, including</w:t>
      </w:r>
      <w:r>
        <w:t xml:space="preserve"> the geographical spread of their property business, the size and shape of their catastrophe reinsurance programs and their views on the underlying risks to their property portfolios. The chart below illustrates the </w:t>
      </w:r>
      <w:r w:rsidR="00E158BC">
        <w:t xml:space="preserve">broad </w:t>
      </w:r>
      <w:r>
        <w:t>trend in the allocated cost of catastrophe reinsurance</w:t>
      </w:r>
      <w:r w:rsidR="00E26EC4">
        <w:t xml:space="preserve"> to NQ home insurance business</w:t>
      </w:r>
      <w:r>
        <w:t>, when considered on an exposure-weighted basis.</w:t>
      </w:r>
    </w:p>
    <w:p w:rsidR="00B76368" w:rsidRDefault="00B76368" w:rsidP="00B76368">
      <w:pPr>
        <w:pStyle w:val="BodyText"/>
        <w:numPr>
          <w:ilvl w:val="0"/>
          <w:numId w:val="0"/>
        </w:numPr>
        <w:ind w:left="850"/>
      </w:pPr>
      <w:r w:rsidRPr="00B76368">
        <w:rPr>
          <w:noProof/>
          <w:lang w:eastAsia="en-AU"/>
        </w:rPr>
        <w:lastRenderedPageBreak/>
        <w:drawing>
          <wp:inline distT="0" distB="0" distL="0" distR="0" wp14:anchorId="55E98C6A" wp14:editId="7BBCB4D1">
            <wp:extent cx="4580255"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A8653A" w:rsidRPr="00C37B5A" w:rsidRDefault="00E26EC4" w:rsidP="00E26EC4">
      <w:pPr>
        <w:pStyle w:val="BodyText"/>
      </w:pPr>
      <w:r>
        <w:t xml:space="preserve">It will be seen that this trend is not inconsistent with the trend in NQ home insurance premium rates illustrated in paragraph </w:t>
      </w:r>
      <w:r w:rsidR="00484F66">
        <w:fldChar w:fldCharType="begin"/>
      </w:r>
      <w:r w:rsidR="00484F66">
        <w:instrText xml:space="preserve"> REF _Ref402619877 \r \h </w:instrText>
      </w:r>
      <w:r w:rsidR="00484F66">
        <w:fldChar w:fldCharType="separate"/>
      </w:r>
      <w:r w:rsidR="006C0946">
        <w:t>3.1</w:t>
      </w:r>
      <w:r w:rsidR="00484F66">
        <w:fldChar w:fldCharType="end"/>
      </w:r>
      <w:r w:rsidR="00484F66">
        <w:t>. T</w:t>
      </w:r>
      <w:r w:rsidR="004A2534">
        <w:t>he cost of catastrophe reinsurance is a material component o</w:t>
      </w:r>
      <w:r w:rsidR="009E189B">
        <w:t>f</w:t>
      </w:r>
      <w:r w:rsidR="004A2534">
        <w:t xml:space="preserve"> the </w:t>
      </w:r>
      <w:r>
        <w:t>NQ home</w:t>
      </w:r>
      <w:r w:rsidR="004A2534">
        <w:t xml:space="preserve"> insurance premium, accounting for perhaps 20 to 40 per cent of the underlying premium. </w:t>
      </w:r>
    </w:p>
    <w:p w:rsidR="00726702" w:rsidRDefault="00726702" w:rsidP="00726702">
      <w:pPr>
        <w:pStyle w:val="Heading1"/>
      </w:pPr>
      <w:bookmarkStart w:id="18" w:name="_Ref387332984"/>
      <w:bookmarkStart w:id="19" w:name="_Toc402772648"/>
      <w:r>
        <w:t>Competition</w:t>
      </w:r>
      <w:bookmarkEnd w:id="18"/>
      <w:bookmarkEnd w:id="19"/>
    </w:p>
    <w:p w:rsidR="002D5C4F" w:rsidRDefault="002D5C4F" w:rsidP="002D5C4F">
      <w:pPr>
        <w:pStyle w:val="Heading4"/>
      </w:pPr>
      <w:r>
        <w:t xml:space="preserve">Discussion </w:t>
      </w:r>
    </w:p>
    <w:p w:rsidR="00E63023" w:rsidRDefault="00E9708D" w:rsidP="002D5C4F">
      <w:pPr>
        <w:pStyle w:val="BodyText"/>
      </w:pPr>
      <w:r>
        <w:t xml:space="preserve">Premium rates </w:t>
      </w:r>
      <w:r w:rsidR="00E63023">
        <w:t>ha</w:t>
      </w:r>
      <w:r>
        <w:t xml:space="preserve">ve increased </w:t>
      </w:r>
      <w:r w:rsidR="00E63023">
        <w:t xml:space="preserve">faster </w:t>
      </w:r>
      <w:r>
        <w:t xml:space="preserve">in NQ </w:t>
      </w:r>
      <w:r w:rsidR="00E63023">
        <w:t>than in other centres.</w:t>
      </w:r>
    </w:p>
    <w:p w:rsidR="00E63023" w:rsidRDefault="00E63023" w:rsidP="002D5C4F">
      <w:pPr>
        <w:pStyle w:val="BodyText"/>
      </w:pPr>
      <w:r>
        <w:t>The chart below illustrates</w:t>
      </w:r>
      <w:r w:rsidR="0003728C">
        <w:t xml:space="preserve"> by comparing the home insurance premium rate trajectories</w:t>
      </w:r>
      <w:r w:rsidR="003B3C69">
        <w:rPr>
          <w:rStyle w:val="FootnoteReference"/>
        </w:rPr>
        <w:footnoteReference w:id="16"/>
      </w:r>
      <w:r w:rsidR="0003728C">
        <w:t xml:space="preserve"> for NQ, Brisbane and Sydney/Melbourne.</w:t>
      </w:r>
      <w:r w:rsidR="00E9708D">
        <w:t xml:space="preserve"> </w:t>
      </w:r>
    </w:p>
    <w:p w:rsidR="0003728C" w:rsidRDefault="00A216B0" w:rsidP="0003728C">
      <w:pPr>
        <w:pStyle w:val="BodyText"/>
        <w:numPr>
          <w:ilvl w:val="0"/>
          <w:numId w:val="0"/>
        </w:numPr>
        <w:ind w:left="850"/>
      </w:pPr>
      <w:r w:rsidRPr="00A216B0">
        <w:rPr>
          <w:noProof/>
          <w:lang w:eastAsia="en-AU"/>
        </w:rPr>
        <w:lastRenderedPageBreak/>
        <w:drawing>
          <wp:inline distT="0" distB="0" distL="0" distR="0" wp14:anchorId="1171AEDD" wp14:editId="514E0E34">
            <wp:extent cx="4572000" cy="2734945"/>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2734945"/>
                    </a:xfrm>
                    <a:prstGeom prst="rect">
                      <a:avLst/>
                    </a:prstGeom>
                    <a:noFill/>
                    <a:ln>
                      <a:noFill/>
                    </a:ln>
                  </pic:spPr>
                </pic:pic>
              </a:graphicData>
            </a:graphic>
          </wp:inline>
        </w:drawing>
      </w:r>
    </w:p>
    <w:p w:rsidR="00E65D92" w:rsidRDefault="00E65D92" w:rsidP="00373598">
      <w:pPr>
        <w:pStyle w:val="BodyText"/>
      </w:pPr>
      <w:r>
        <w:t>T</w:t>
      </w:r>
      <w:r w:rsidR="00484F66">
        <w:t>o illustrate possible reasons for the widening of the premium rate gap, t</w:t>
      </w:r>
      <w:r>
        <w:t>he chart below shows the cumulative loss ratios</w:t>
      </w:r>
      <w:r w:rsidR="00A216B0">
        <w:rPr>
          <w:rStyle w:val="FootnoteReference"/>
        </w:rPr>
        <w:footnoteReference w:id="17"/>
      </w:r>
      <w:r w:rsidR="00A35C4E">
        <w:t>, commencing in 2005-6,</w:t>
      </w:r>
      <w:r>
        <w:t xml:space="preserve"> for NQ and for Brisbane and Sydney/Melbourne combined over the investigation period. The widening of the premium rate gap has helped to improve the cumulative loss ratio for NQ somewhat. </w:t>
      </w:r>
    </w:p>
    <w:p w:rsidR="0003728C" w:rsidRDefault="007F0033" w:rsidP="00E65D92">
      <w:pPr>
        <w:pStyle w:val="BodyText"/>
        <w:numPr>
          <w:ilvl w:val="0"/>
          <w:numId w:val="0"/>
        </w:numPr>
        <w:ind w:left="850"/>
      </w:pPr>
      <w:r w:rsidRPr="007F0033">
        <w:rPr>
          <w:noProof/>
          <w:lang w:eastAsia="en-AU"/>
        </w:rPr>
        <w:drawing>
          <wp:inline distT="0" distB="0" distL="0" distR="0" wp14:anchorId="3A83CA64" wp14:editId="6CF82E93">
            <wp:extent cx="4572000" cy="2703443"/>
            <wp:effectExtent l="0" t="0" r="0"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5927" cy="2705765"/>
                    </a:xfrm>
                    <a:prstGeom prst="rect">
                      <a:avLst/>
                    </a:prstGeom>
                    <a:noFill/>
                    <a:ln>
                      <a:noFill/>
                    </a:ln>
                  </pic:spPr>
                </pic:pic>
              </a:graphicData>
            </a:graphic>
          </wp:inline>
        </w:drawing>
      </w:r>
    </w:p>
    <w:p w:rsidR="00AC1170" w:rsidRDefault="00373598" w:rsidP="002D5C4F">
      <w:pPr>
        <w:pStyle w:val="BodyText"/>
      </w:pPr>
      <w:r>
        <w:t xml:space="preserve">It is likely that the </w:t>
      </w:r>
      <w:r w:rsidR="00C11386">
        <w:t>widening of the gap between NQ premium rates and premium rates in the other centres</w:t>
      </w:r>
      <w:r>
        <w:t xml:space="preserve"> was </w:t>
      </w:r>
      <w:r w:rsidR="00AC1170">
        <w:t xml:space="preserve">primarily </w:t>
      </w:r>
      <w:r>
        <w:t xml:space="preserve">related to the scale of losses that had been incurred </w:t>
      </w:r>
      <w:r w:rsidR="00C11386">
        <w:t xml:space="preserve">over a period of </w:t>
      </w:r>
      <w:r>
        <w:t xml:space="preserve">years. Over the four years to June 2009 participating insurers collectively suffered insurance losses </w:t>
      </w:r>
      <w:r w:rsidR="004411D7">
        <w:t xml:space="preserve">in NQ </w:t>
      </w:r>
      <w:r>
        <w:t>of more than 1</w:t>
      </w:r>
      <w:r w:rsidR="00717E02">
        <w:t>0</w:t>
      </w:r>
      <w:r>
        <w:t xml:space="preserve">0 per cent of </w:t>
      </w:r>
      <w:r>
        <w:lastRenderedPageBreak/>
        <w:t>premium</w:t>
      </w:r>
      <w:r w:rsidR="00717E02">
        <w:t xml:space="preserve"> </w:t>
      </w:r>
      <w:r w:rsidR="00C11386">
        <w:t xml:space="preserve">(cumulative loss ratio to that time of around 200 per cent). Cyclone </w:t>
      </w:r>
      <w:proofErr w:type="spellStart"/>
      <w:r w:rsidR="00C11386">
        <w:t>Yasi</w:t>
      </w:r>
      <w:proofErr w:type="spellEnd"/>
      <w:r w:rsidR="00C11386">
        <w:t xml:space="preserve"> </w:t>
      </w:r>
      <w:r w:rsidR="00536D74">
        <w:t xml:space="preserve">in 2011 </w:t>
      </w:r>
      <w:r w:rsidR="00C11386">
        <w:t>added further impetus.</w:t>
      </w:r>
      <w:r w:rsidR="00294ACA">
        <w:t xml:space="preserve"> </w:t>
      </w:r>
    </w:p>
    <w:p w:rsidR="0022005E" w:rsidRDefault="00294ACA" w:rsidP="002D5C4F">
      <w:pPr>
        <w:pStyle w:val="BodyText"/>
      </w:pPr>
      <w:r>
        <w:t>This period of poor experience broadly coincided with development</w:t>
      </w:r>
      <w:r w:rsidR="00B10150">
        <w:t>s</w:t>
      </w:r>
      <w:r>
        <w:t xml:space="preserve"> </w:t>
      </w:r>
      <w:r w:rsidR="00B10150">
        <w:t>in</w:t>
      </w:r>
      <w:r>
        <w:t xml:space="preserve"> catastrophe modelling</w:t>
      </w:r>
      <w:r w:rsidR="00B10150">
        <w:t xml:space="preserve"> capability</w:t>
      </w:r>
      <w:r>
        <w:t>, including cyclone modelling. That modelling further focussed insurer (and reinsurer) attention on the scale of cyclone risk.</w:t>
      </w:r>
      <w:r w:rsidR="00AC1170">
        <w:t xml:space="preserve"> At the same time, reinsurance costs increased.</w:t>
      </w:r>
    </w:p>
    <w:p w:rsidR="00AC1170" w:rsidRPr="00D33B33" w:rsidRDefault="0022005E" w:rsidP="0022005E">
      <w:pPr>
        <w:pStyle w:val="BodyText"/>
      </w:pPr>
      <w:r w:rsidRPr="00D33B33">
        <w:t xml:space="preserve">In </w:t>
      </w:r>
      <w:r w:rsidR="00294ACA" w:rsidRPr="00D33B33">
        <w:t xml:space="preserve">my view it is likely that </w:t>
      </w:r>
      <w:r w:rsidR="00DB2452" w:rsidRPr="00D33B33">
        <w:t xml:space="preserve">these factors combined to lead insurers to a view that prevailing premium rates </w:t>
      </w:r>
      <w:r w:rsidR="00B10150" w:rsidRPr="00D33B33">
        <w:t xml:space="preserve">in NQ </w:t>
      </w:r>
      <w:r w:rsidR="00DB2452" w:rsidRPr="00D33B33">
        <w:t xml:space="preserve">were too low </w:t>
      </w:r>
      <w:r w:rsidR="00B10150" w:rsidRPr="00D33B33">
        <w:t xml:space="preserve">when </w:t>
      </w:r>
      <w:r w:rsidR="00DB2452" w:rsidRPr="00D33B33">
        <w:t>compared with the risk being carried</w:t>
      </w:r>
      <w:r w:rsidR="00AC1170" w:rsidRPr="00D33B33">
        <w:t xml:space="preserve"> and that rate increases were needed to restore profitability</w:t>
      </w:r>
      <w:r w:rsidR="00DB2452" w:rsidRPr="00D33B33">
        <w:t>.</w:t>
      </w:r>
      <w:r w:rsidR="00B10150" w:rsidRPr="00D33B33">
        <w:t xml:space="preserve"> </w:t>
      </w:r>
    </w:p>
    <w:p w:rsidR="00364B87" w:rsidRPr="00D33B33" w:rsidRDefault="00DB2452" w:rsidP="00364B87">
      <w:pPr>
        <w:pStyle w:val="BodyText"/>
      </w:pPr>
      <w:r w:rsidRPr="00D33B33">
        <w:t xml:space="preserve">Ultimately, </w:t>
      </w:r>
      <w:r w:rsidR="00AC1170" w:rsidRPr="00D33B33">
        <w:t xml:space="preserve">however, </w:t>
      </w:r>
      <w:r w:rsidRPr="00D33B33">
        <w:t xml:space="preserve">insurance pricing must have regard to commercial considerations as well as </w:t>
      </w:r>
      <w:r w:rsidR="00AC1170" w:rsidRPr="00D33B33">
        <w:t>the factors described above</w:t>
      </w:r>
      <w:r w:rsidRPr="00D33B33">
        <w:t>.</w:t>
      </w:r>
      <w:r w:rsidR="0022005E" w:rsidRPr="00D33B33">
        <w:t xml:space="preserve"> </w:t>
      </w:r>
      <w:r w:rsidR="00AC1170" w:rsidRPr="00D33B33">
        <w:t xml:space="preserve">In a competitive market it is not always possible for insurers to set prices at the level </w:t>
      </w:r>
      <w:r w:rsidRPr="00D33B33">
        <w:t>they believe to be necessary to achieve the desired profi</w:t>
      </w:r>
      <w:r w:rsidR="009D0591" w:rsidRPr="00D33B33">
        <w:t>t</w:t>
      </w:r>
      <w:r w:rsidR="00536D74">
        <w:t xml:space="preserve"> margin</w:t>
      </w:r>
      <w:r w:rsidR="009D0591" w:rsidRPr="00D33B33">
        <w:t>.</w:t>
      </w:r>
      <w:r w:rsidR="006E0670">
        <w:t xml:space="preserve"> </w:t>
      </w:r>
      <w:r w:rsidR="0022005E" w:rsidRPr="00D33B33">
        <w:t xml:space="preserve">Whenever there is an appetite to gain or protect market share, competitive pressure can </w:t>
      </w:r>
      <w:r w:rsidR="00761CD7" w:rsidRPr="00D33B33">
        <w:t xml:space="preserve">and will </w:t>
      </w:r>
      <w:r w:rsidR="0022005E" w:rsidRPr="00D33B33">
        <w:t xml:space="preserve">be brought to bear on prices. In my view this competitive pricing pressure is </w:t>
      </w:r>
      <w:r w:rsidR="00C43874" w:rsidRPr="00D33B33">
        <w:t xml:space="preserve">largely </w:t>
      </w:r>
      <w:r w:rsidR="0022005E" w:rsidRPr="00D33B33">
        <w:t>missing in NQ.</w:t>
      </w:r>
      <w:r w:rsidR="00294ACA" w:rsidRPr="00D33B33">
        <w:t xml:space="preserve"> </w:t>
      </w:r>
      <w:r w:rsidR="00305ED6" w:rsidRPr="00D33B33">
        <w:t>Those insurers who participate in the NQ market</w:t>
      </w:r>
      <w:r w:rsidR="00536D74">
        <w:rPr>
          <w:rStyle w:val="FootnoteReference"/>
        </w:rPr>
        <w:footnoteReference w:id="18"/>
      </w:r>
      <w:r w:rsidR="00305ED6" w:rsidRPr="00D33B33">
        <w:t xml:space="preserve"> do not appear particularly anxious to protect or grow market share in that market.</w:t>
      </w:r>
      <w:r w:rsidR="00364B87" w:rsidRPr="00D33B33">
        <w:t xml:space="preserve"> </w:t>
      </w:r>
      <w:r w:rsidR="00AA1221" w:rsidRPr="00D33B33">
        <w:t xml:space="preserve">Accordingly, </w:t>
      </w:r>
      <w:r w:rsidR="006E0670">
        <w:t xml:space="preserve">in my view, </w:t>
      </w:r>
      <w:r w:rsidR="00AC09B1" w:rsidRPr="00D33B33">
        <w:t xml:space="preserve">it </w:t>
      </w:r>
      <w:r w:rsidR="006E0670">
        <w:t>has been</w:t>
      </w:r>
      <w:r w:rsidR="00AC09B1" w:rsidRPr="00D33B33">
        <w:t xml:space="preserve"> possible for insurers participating in that market to </w:t>
      </w:r>
      <w:r w:rsidR="00294ACA" w:rsidRPr="00D33B33">
        <w:t>make their pricing decisions</w:t>
      </w:r>
      <w:r w:rsidR="006E2167" w:rsidRPr="00D33B33">
        <w:t xml:space="preserve"> </w:t>
      </w:r>
      <w:r w:rsidR="00E9708D" w:rsidRPr="00D33B33">
        <w:t xml:space="preserve">largely </w:t>
      </w:r>
      <w:r w:rsidR="006E2167" w:rsidRPr="00D33B33">
        <w:t>unconstrained by competitive forces</w:t>
      </w:r>
      <w:r w:rsidR="00AC09B1" w:rsidRPr="00D33B33">
        <w:t xml:space="preserve">. </w:t>
      </w:r>
      <w:r w:rsidR="006E0670">
        <w:t>Although this is a second order issue compared with the poor experience, it has played a part</w:t>
      </w:r>
      <w:r w:rsidR="00D43B85">
        <w:t xml:space="preserve"> in the premium rate increases</w:t>
      </w:r>
      <w:r w:rsidR="006E0670">
        <w:t>.</w:t>
      </w:r>
    </w:p>
    <w:p w:rsidR="002D0A00" w:rsidRDefault="001D5058" w:rsidP="00CF39E1">
      <w:pPr>
        <w:pStyle w:val="Heading1"/>
      </w:pPr>
      <w:bookmarkStart w:id="20" w:name="_Toc402772649"/>
      <w:bookmarkStart w:id="21" w:name="_Ref387333003"/>
      <w:r>
        <w:t>Northern Territory</w:t>
      </w:r>
      <w:bookmarkEnd w:id="20"/>
    </w:p>
    <w:p w:rsidR="00BD1B82" w:rsidRDefault="001D5058" w:rsidP="00BD1B82">
      <w:pPr>
        <w:pStyle w:val="BodyText"/>
      </w:pPr>
      <w:r>
        <w:t>The ISA data allows comparison of NQ premium rates with NT premium rates.</w:t>
      </w:r>
    </w:p>
    <w:p w:rsidR="00F75183" w:rsidRDefault="00F75183" w:rsidP="00F75183">
      <w:pPr>
        <w:pStyle w:val="BodyText"/>
        <w:numPr>
          <w:ilvl w:val="0"/>
          <w:numId w:val="0"/>
        </w:numPr>
        <w:ind w:left="850"/>
      </w:pPr>
    </w:p>
    <w:p w:rsidR="001D5058" w:rsidRDefault="001D5058" w:rsidP="00F75183">
      <w:pPr>
        <w:pStyle w:val="BodyText"/>
        <w:numPr>
          <w:ilvl w:val="0"/>
          <w:numId w:val="0"/>
        </w:numPr>
        <w:ind w:left="850"/>
      </w:pPr>
    </w:p>
    <w:p w:rsidR="00BD1B82" w:rsidRDefault="00AC1170" w:rsidP="00BD1B82">
      <w:pPr>
        <w:pStyle w:val="BodyText"/>
        <w:numPr>
          <w:ilvl w:val="0"/>
          <w:numId w:val="0"/>
        </w:numPr>
        <w:ind w:left="850"/>
      </w:pPr>
      <w:r w:rsidRPr="00AC1170">
        <w:rPr>
          <w:noProof/>
          <w:lang w:eastAsia="en-AU"/>
        </w:rPr>
        <w:lastRenderedPageBreak/>
        <w:drawing>
          <wp:inline distT="0" distB="0" distL="0" distR="0" wp14:anchorId="4B4C4274" wp14:editId="479E31A2">
            <wp:extent cx="4580255" cy="274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F75183" w:rsidRDefault="00F75183" w:rsidP="00BD1B82">
      <w:pPr>
        <w:pStyle w:val="BodyText"/>
      </w:pPr>
      <w:r>
        <w:t xml:space="preserve">Over the period of the investigation NT premium rates have remained stable while NQ premium rates have increased significantly. </w:t>
      </w:r>
    </w:p>
    <w:p w:rsidR="00F75183" w:rsidRDefault="00BA34EF" w:rsidP="00543183">
      <w:pPr>
        <w:pStyle w:val="BodyText"/>
      </w:pPr>
      <w:r>
        <w:t>The chart below</w:t>
      </w:r>
      <w:r w:rsidR="00F75183">
        <w:t xml:space="preserve"> compare</w:t>
      </w:r>
      <w:r>
        <w:t>s</w:t>
      </w:r>
      <w:r w:rsidR="00F75183">
        <w:t xml:space="preserve"> the cumulative loss ratio for NT with that of the other centres</w:t>
      </w:r>
      <w:r>
        <w:t>.</w:t>
      </w:r>
      <w:r w:rsidR="00543183" w:rsidRPr="00543183">
        <w:t xml:space="preserve"> </w:t>
      </w:r>
      <w:r w:rsidR="00543183">
        <w:t xml:space="preserve">The chart shows that NT claims experience has been relatively benign throughout the period of the investigation. </w:t>
      </w:r>
    </w:p>
    <w:p w:rsidR="00F75183" w:rsidRDefault="00AC1170" w:rsidP="00F75183">
      <w:pPr>
        <w:pStyle w:val="BodyText"/>
        <w:numPr>
          <w:ilvl w:val="0"/>
          <w:numId w:val="0"/>
        </w:numPr>
        <w:ind w:left="850"/>
      </w:pPr>
      <w:r w:rsidRPr="00AC1170">
        <w:rPr>
          <w:noProof/>
          <w:lang w:eastAsia="en-AU"/>
        </w:rPr>
        <w:drawing>
          <wp:inline distT="0" distB="0" distL="0" distR="0" wp14:anchorId="1AE2F75C" wp14:editId="1038404B">
            <wp:extent cx="4580255" cy="274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4C1755" w:rsidRDefault="009A66EB" w:rsidP="00954093">
      <w:pPr>
        <w:pStyle w:val="BodyText"/>
      </w:pPr>
      <w:r>
        <w:t>In my view, the stable premium rate trajectory for NT is consistent with th</w:t>
      </w:r>
      <w:r w:rsidR="00543183">
        <w:t>e benign claims experience</w:t>
      </w:r>
      <w:r>
        <w:t>.</w:t>
      </w:r>
      <w:r w:rsidR="00BD1B82">
        <w:t xml:space="preserve"> </w:t>
      </w:r>
      <w:r w:rsidR="004C1755">
        <w:t xml:space="preserve">There are likely to be a number of reasons for the </w:t>
      </w:r>
      <w:r>
        <w:t xml:space="preserve">(relatively) </w:t>
      </w:r>
      <w:r w:rsidR="004C1755">
        <w:t xml:space="preserve">lower claims cost in </w:t>
      </w:r>
      <w:r>
        <w:t>the NT</w:t>
      </w:r>
      <w:r w:rsidR="004C1755">
        <w:t xml:space="preserve"> than in NQ. Probably the most important reason is that </w:t>
      </w:r>
      <w:r>
        <w:t>the region</w:t>
      </w:r>
      <w:r w:rsidR="004C1755">
        <w:t xml:space="preserve"> has not experienced major weather-related insurance losses during this period. This may reflect a lower </w:t>
      </w:r>
      <w:r w:rsidR="002E743C">
        <w:t xml:space="preserve">underlying </w:t>
      </w:r>
      <w:r w:rsidR="004C1755">
        <w:t xml:space="preserve">risk exposure for </w:t>
      </w:r>
      <w:r>
        <w:t>NT, including a lower cyclone risk exposure</w:t>
      </w:r>
      <w:r w:rsidR="004C1755">
        <w:t xml:space="preserve">. </w:t>
      </w:r>
      <w:r w:rsidR="00536D74">
        <w:t xml:space="preserve">Indeed, the charts at paragraph </w:t>
      </w:r>
      <w:r w:rsidR="00536D74">
        <w:fldChar w:fldCharType="begin"/>
      </w:r>
      <w:r w:rsidR="00536D74">
        <w:instrText xml:space="preserve"> REF _Ref402769302 \r \h </w:instrText>
      </w:r>
      <w:r w:rsidR="00536D74">
        <w:fldChar w:fldCharType="separate"/>
      </w:r>
      <w:r w:rsidR="006C0946">
        <w:t>5.6</w:t>
      </w:r>
      <w:r w:rsidR="00536D74">
        <w:fldChar w:fldCharType="end"/>
      </w:r>
      <w:r w:rsidR="00536D74">
        <w:t xml:space="preserve"> are consistent with this. </w:t>
      </w:r>
      <w:r w:rsidR="004C1755">
        <w:t xml:space="preserve">It probably also reflects an element of luck. </w:t>
      </w:r>
    </w:p>
    <w:p w:rsidR="00CF39E1" w:rsidRPr="008D78A7" w:rsidRDefault="00CF39E1" w:rsidP="00CF39E1">
      <w:pPr>
        <w:pStyle w:val="Heading1"/>
      </w:pPr>
      <w:bookmarkStart w:id="22" w:name="_Toc402772650"/>
      <w:r w:rsidRPr="008D78A7">
        <w:lastRenderedPageBreak/>
        <w:t>Conclu</w:t>
      </w:r>
      <w:bookmarkEnd w:id="21"/>
      <w:r w:rsidR="00986BF4" w:rsidRPr="008D78A7">
        <w:t>ding remarks</w:t>
      </w:r>
      <w:bookmarkEnd w:id="22"/>
    </w:p>
    <w:p w:rsidR="00A216B0" w:rsidRPr="00D33B33" w:rsidRDefault="00A216B0" w:rsidP="00A216B0">
      <w:pPr>
        <w:pStyle w:val="BodyText"/>
      </w:pPr>
      <w:r w:rsidRPr="00D33B33">
        <w:t>NQ experienced a number of weather events during the period of the investigation which led to significant insurance losses. This period of poor claims experience coincided with developments in catastrophe modelling, including cyclone modelling.  Catastrophe reinsurance costs also increased.</w:t>
      </w:r>
    </w:p>
    <w:p w:rsidR="00A216B0" w:rsidRPr="00D33B33" w:rsidRDefault="00A216B0" w:rsidP="00A216B0">
      <w:pPr>
        <w:pStyle w:val="BodyText"/>
      </w:pPr>
      <w:r w:rsidRPr="00D33B33">
        <w:t xml:space="preserve">All of these factors increased focus on cyclone risk.  </w:t>
      </w:r>
    </w:p>
    <w:p w:rsidR="00A216B0" w:rsidRPr="00D33B33" w:rsidRDefault="00A216B0" w:rsidP="00A216B0">
      <w:pPr>
        <w:pStyle w:val="BodyText"/>
      </w:pPr>
      <w:r w:rsidRPr="00D33B33">
        <w:t xml:space="preserve">In my view it is likely that these factors combined to lead insurers to a view that rate increases were needed to restore profitability. </w:t>
      </w:r>
      <w:r w:rsidR="006E0670">
        <w:t>Indeed this appears likely to be the main reason for the rate increases in NQ that have occurred. At the same time, i</w:t>
      </w:r>
      <w:r w:rsidR="00E168CE">
        <w:t xml:space="preserve">t appears that </w:t>
      </w:r>
      <w:r w:rsidR="00E168CE" w:rsidRPr="00D33B33">
        <w:t xml:space="preserve">it </w:t>
      </w:r>
      <w:r w:rsidR="00E168CE">
        <w:t>was</w:t>
      </w:r>
      <w:r w:rsidR="00E168CE" w:rsidRPr="00D33B33">
        <w:t xml:space="preserve"> possible for insurers to </w:t>
      </w:r>
      <w:r w:rsidR="00E168CE">
        <w:t>implement rate increases</w:t>
      </w:r>
      <w:r w:rsidR="00E168CE" w:rsidRPr="00D33B33">
        <w:t xml:space="preserve"> largely unconstrained by competitive forces.</w:t>
      </w:r>
    </w:p>
    <w:p w:rsidR="005728E4" w:rsidRPr="008D78A7" w:rsidRDefault="00426CA7" w:rsidP="00426CA7">
      <w:pPr>
        <w:pStyle w:val="BodyText"/>
      </w:pPr>
      <w:r w:rsidRPr="008D78A7">
        <w:t xml:space="preserve">The average premium rate in NQ </w:t>
      </w:r>
      <w:r w:rsidR="00DE78B5" w:rsidRPr="008D78A7">
        <w:t>in 2012-13 wa</w:t>
      </w:r>
      <w:r w:rsidRPr="008D78A7">
        <w:t xml:space="preserve">s considerably higher than the average premium rate in </w:t>
      </w:r>
      <w:r w:rsidR="001F40B2">
        <w:t>Brisbane and Sydney/Melbourne</w:t>
      </w:r>
      <w:r w:rsidR="00950C3E" w:rsidRPr="008D78A7">
        <w:t>.</w:t>
      </w:r>
      <w:r w:rsidRPr="008D78A7">
        <w:t xml:space="preserve"> Indeed, according to the data provided, the average </w:t>
      </w:r>
      <w:r w:rsidR="001F40B2">
        <w:t>Brisbane</w:t>
      </w:r>
      <w:r w:rsidRPr="008D78A7">
        <w:t xml:space="preserve"> </w:t>
      </w:r>
      <w:r w:rsidR="00136D4F">
        <w:t xml:space="preserve">rate </w:t>
      </w:r>
      <w:r w:rsidR="00DE78B5" w:rsidRPr="008D78A7">
        <w:t>wa</w:t>
      </w:r>
      <w:r w:rsidRPr="008D78A7">
        <w:t xml:space="preserve">s only </w:t>
      </w:r>
      <w:r w:rsidR="00136D4F">
        <w:t xml:space="preserve">around </w:t>
      </w:r>
      <w:r w:rsidR="001F40B2">
        <w:t>60</w:t>
      </w:r>
      <w:r w:rsidRPr="008D78A7">
        <w:t xml:space="preserve"> per cent of </w:t>
      </w:r>
      <w:r w:rsidR="00136D4F">
        <w:t xml:space="preserve">the average </w:t>
      </w:r>
      <w:r w:rsidRPr="008D78A7">
        <w:t>NQ rate</w:t>
      </w:r>
      <w:r w:rsidR="001F40B2">
        <w:t xml:space="preserve"> while Sydney/Melbourne rates were around 40 per cent of NQ rates</w:t>
      </w:r>
      <w:r w:rsidRPr="008D78A7">
        <w:t>.</w:t>
      </w:r>
      <w:r w:rsidR="005728E4" w:rsidRPr="008D78A7">
        <w:t xml:space="preserve"> </w:t>
      </w:r>
    </w:p>
    <w:p w:rsidR="00136D4F" w:rsidRDefault="00136D4F" w:rsidP="00610E74">
      <w:pPr>
        <w:pStyle w:val="BodyText"/>
      </w:pPr>
      <w:r>
        <w:t>Relevantly, difference</w:t>
      </w:r>
      <w:r w:rsidR="00543183">
        <w:t>s</w:t>
      </w:r>
      <w:r>
        <w:t xml:space="preserve"> </w:t>
      </w:r>
      <w:r w:rsidR="00A216B0">
        <w:t>between NQ</w:t>
      </w:r>
      <w:r>
        <w:t xml:space="preserve"> premium rates </w:t>
      </w:r>
      <w:r w:rsidR="00A216B0">
        <w:t>and those in</w:t>
      </w:r>
      <w:r>
        <w:t xml:space="preserve"> Brisbane and Sydney/Melbourne </w:t>
      </w:r>
      <w:r w:rsidR="00543183">
        <w:t>are</w:t>
      </w:r>
      <w:r>
        <w:t xml:space="preserve"> </w:t>
      </w:r>
      <w:r w:rsidR="00543183">
        <w:t xml:space="preserve">consistent with differences in </w:t>
      </w:r>
      <w:r>
        <w:t>the estimated cost of cyclone risk.</w:t>
      </w:r>
      <w:r w:rsidR="00E168CE" w:rsidRPr="00E168CE">
        <w:t xml:space="preserve"> </w:t>
      </w:r>
      <w:r w:rsidR="00E168CE">
        <w:t>In my view, t</w:t>
      </w:r>
      <w:r w:rsidR="00E168CE" w:rsidRPr="00FA5299">
        <w:t xml:space="preserve">he </w:t>
      </w:r>
      <w:r w:rsidR="00E168CE">
        <w:t xml:space="preserve">estimated </w:t>
      </w:r>
      <w:r w:rsidR="00E168CE" w:rsidRPr="00FA5299">
        <w:t xml:space="preserve">cost of cyclone risk is likely to be the main reason why NQ premium rates are, on average, </w:t>
      </w:r>
      <w:r w:rsidR="00E168CE">
        <w:t xml:space="preserve">significantly </w:t>
      </w:r>
      <w:r w:rsidR="00E168CE" w:rsidRPr="00FA5299">
        <w:t>higher than premium rates in most other parts of Australia.</w:t>
      </w:r>
    </w:p>
    <w:p w:rsidR="00136D4F" w:rsidRPr="00BB3878" w:rsidRDefault="00BB3878" w:rsidP="00543183">
      <w:pPr>
        <w:pStyle w:val="BodyText"/>
        <w:numPr>
          <w:ilvl w:val="0"/>
          <w:numId w:val="0"/>
        </w:numPr>
      </w:pPr>
      <w:r w:rsidRPr="00BB3878">
        <w:rPr>
          <w:rFonts w:cs="Arial"/>
          <w:noProof/>
          <w:lang w:eastAsia="en-AU"/>
        </w:rPr>
        <w:drawing>
          <wp:inline distT="0" distB="0" distL="0" distR="0" wp14:anchorId="15165D65" wp14:editId="1609AB75">
            <wp:extent cx="2333625" cy="1104900"/>
            <wp:effectExtent l="0" t="0" r="9525" b="0"/>
            <wp:docPr id="53" name="Picture 53" descr="H:\AGA\Administration\PM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GA\Administration\PMsignature.b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3625" cy="1104900"/>
                    </a:xfrm>
                    <a:prstGeom prst="rect">
                      <a:avLst/>
                    </a:prstGeom>
                    <a:noFill/>
                    <a:ln>
                      <a:noFill/>
                    </a:ln>
                  </pic:spPr>
                </pic:pic>
              </a:graphicData>
            </a:graphic>
          </wp:inline>
        </w:drawing>
      </w:r>
    </w:p>
    <w:p w:rsidR="00CF44B8" w:rsidRDefault="00120336" w:rsidP="00120336">
      <w:pPr>
        <w:pStyle w:val="BodyText"/>
        <w:numPr>
          <w:ilvl w:val="0"/>
          <w:numId w:val="0"/>
        </w:numPr>
        <w:jc w:val="left"/>
      </w:pPr>
      <w:bookmarkStart w:id="23" w:name="Name"/>
      <w:bookmarkEnd w:id="23"/>
      <w:r>
        <w:br/>
      </w:r>
      <w:r w:rsidR="003A3851">
        <w:t>Peter Martin</w:t>
      </w:r>
      <w:bookmarkStart w:id="24" w:name="Position"/>
      <w:bookmarkEnd w:id="24"/>
      <w:r w:rsidR="00171249">
        <w:br/>
      </w:r>
      <w:r w:rsidR="003A3851">
        <w:t xml:space="preserve">Australian Government Actuary </w:t>
      </w:r>
      <w:r w:rsidR="00B82662">
        <w:br/>
      </w:r>
      <w:r w:rsidR="00CE68CC">
        <w:t xml:space="preserve"> </w:t>
      </w:r>
      <w:r w:rsidR="00136D4F">
        <w:t>3</w:t>
      </w:r>
      <w:r w:rsidR="002A344D">
        <w:t xml:space="preserve"> November</w:t>
      </w:r>
      <w:r w:rsidR="00CE68CC">
        <w:t xml:space="preserve"> 2014</w:t>
      </w:r>
    </w:p>
    <w:sectPr w:rsidR="00CF44B8" w:rsidSect="00E03BD5">
      <w:headerReference w:type="even" r:id="rId41"/>
      <w:headerReference w:type="default" r:id="rId42"/>
      <w:footerReference w:type="default" r:id="rId43"/>
      <w:headerReference w:type="first" r:id="rId44"/>
      <w:footerReference w:type="first" r:id="rId4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6C" w:rsidRDefault="001B536C">
      <w:r>
        <w:separator/>
      </w:r>
    </w:p>
  </w:endnote>
  <w:endnote w:type="continuationSeparator" w:id="0">
    <w:p w:rsidR="001B536C" w:rsidRDefault="001B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C9" w:rsidRDefault="00BF2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6C" w:rsidRDefault="001B536C" w:rsidP="004C1F8D">
    <w:pPr>
      <w:pStyle w:val="Footer"/>
      <w:jc w:val="right"/>
    </w:pPr>
    <w:r>
      <w:t>Australian Government Actuary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6C" w:rsidRPr="004C1F8D" w:rsidRDefault="001B536C" w:rsidP="004C1F8D">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6C" w:rsidRPr="005126B2" w:rsidRDefault="001B536C" w:rsidP="005126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6C" w:rsidRDefault="001B536C" w:rsidP="000E1EEE">
    <w:pPr>
      <w:pStyle w:val="Footer"/>
      <w:tabs>
        <w:tab w:val="clear" w:pos="8306"/>
        <w:tab w:val="right" w:pos="8800"/>
      </w:tabs>
      <w:spacing w:before="0"/>
      <w:jc w:val="left"/>
    </w:pPr>
    <w:r>
      <w:tab/>
    </w:r>
    <w:r>
      <w:rPr>
        <w:rStyle w:val="PageNumber"/>
      </w:rPr>
      <w:fldChar w:fldCharType="begin"/>
    </w:r>
    <w:r>
      <w:rPr>
        <w:rStyle w:val="PageNumber"/>
      </w:rPr>
      <w:instrText xml:space="preserve"> PAGE </w:instrText>
    </w:r>
    <w:r>
      <w:rPr>
        <w:rStyle w:val="PageNumber"/>
      </w:rPr>
      <w:fldChar w:fldCharType="separate"/>
    </w:r>
    <w:r w:rsidR="00BF2EC9">
      <w:rPr>
        <w:rStyle w:val="PageNumber"/>
        <w:noProof/>
      </w:rPr>
      <w:t>25</w:t>
    </w:r>
    <w:r>
      <w:rPr>
        <w:rStyle w:val="PageNumber"/>
      </w:rPr>
      <w:fldChar w:fldCharType="end"/>
    </w:r>
    <w:r>
      <w:rPr>
        <w:rStyle w:val="PageNumber"/>
      </w:rPr>
      <w:tab/>
    </w:r>
    <w:r>
      <w:rPr>
        <w:noProof/>
        <w:position w:val="-48"/>
        <w:lang w:eastAsia="en-AU"/>
      </w:rPr>
      <w:drawing>
        <wp:inline distT="0" distB="0" distL="0" distR="0" wp14:anchorId="5AA4DEDD" wp14:editId="0206A52C">
          <wp:extent cx="1171575" cy="514350"/>
          <wp:effectExtent l="19050" t="0" r="9525" b="0"/>
          <wp:docPr id="8" name="Picture 8"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6C" w:rsidRPr="004C1F8D" w:rsidRDefault="001B536C" w:rsidP="000E1EEE">
    <w:pPr>
      <w:pStyle w:val="Footer"/>
      <w:tabs>
        <w:tab w:val="clear" w:pos="8306"/>
        <w:tab w:val="right" w:pos="8800"/>
      </w:tabs>
      <w:spacing w:before="0"/>
      <w:jc w:val="left"/>
    </w:pPr>
    <w:r>
      <w:tab/>
    </w:r>
    <w:r>
      <w:rPr>
        <w:rStyle w:val="PageNumber"/>
      </w:rPr>
      <w:fldChar w:fldCharType="begin"/>
    </w:r>
    <w:r>
      <w:rPr>
        <w:rStyle w:val="PageNumber"/>
      </w:rPr>
      <w:instrText xml:space="preserve"> PAGE </w:instrText>
    </w:r>
    <w:r>
      <w:rPr>
        <w:rStyle w:val="PageNumber"/>
      </w:rPr>
      <w:fldChar w:fldCharType="separate"/>
    </w:r>
    <w:r w:rsidR="00BF2EC9">
      <w:rPr>
        <w:rStyle w:val="PageNumber"/>
        <w:noProof/>
      </w:rPr>
      <w:t>3</w:t>
    </w:r>
    <w:r>
      <w:rPr>
        <w:rStyle w:val="PageNumber"/>
      </w:rPr>
      <w:fldChar w:fldCharType="end"/>
    </w:r>
    <w:r>
      <w:rPr>
        <w:rStyle w:val="PageNumber"/>
      </w:rPr>
      <w:tab/>
    </w:r>
    <w:r>
      <w:rPr>
        <w:noProof/>
        <w:position w:val="-48"/>
        <w:lang w:eastAsia="en-AU"/>
      </w:rPr>
      <w:drawing>
        <wp:inline distT="0" distB="0" distL="0" distR="0" wp14:anchorId="53FB3724" wp14:editId="677F35B9">
          <wp:extent cx="1190625" cy="523875"/>
          <wp:effectExtent l="19050" t="0" r="9525" b="0"/>
          <wp:docPr id="9" name="Picture 9"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text%20for%20template"/>
                  <pic:cNvPicPr>
                    <a:picLocks noChangeAspect="1" noChangeArrowheads="1"/>
                  </pic:cNvPicPr>
                </pic:nvPicPr>
                <pic:blipFill>
                  <a:blip r:embed="rId1"/>
                  <a:srcRect/>
                  <a:stretch>
                    <a:fillRect/>
                  </a:stretch>
                </pic:blipFill>
                <pic:spPr bwMode="auto">
                  <a:xfrm>
                    <a:off x="0" y="0"/>
                    <a:ext cx="1190625" cy="5238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6C" w:rsidRDefault="001B536C">
      <w:r>
        <w:separator/>
      </w:r>
    </w:p>
  </w:footnote>
  <w:footnote w:type="continuationSeparator" w:id="0">
    <w:p w:rsidR="001B536C" w:rsidRDefault="001B536C">
      <w:r>
        <w:continuationSeparator/>
      </w:r>
    </w:p>
  </w:footnote>
  <w:footnote w:id="1">
    <w:p w:rsidR="00FA5299" w:rsidRDefault="00FA5299" w:rsidP="00FA5299">
      <w:pPr>
        <w:pStyle w:val="FootnoteText"/>
      </w:pPr>
      <w:r>
        <w:rPr>
          <w:rStyle w:val="FootnoteReference"/>
        </w:rPr>
        <w:footnoteRef/>
      </w:r>
      <w:r>
        <w:t xml:space="preserve"> Premium per $’000 Sum Insured</w:t>
      </w:r>
    </w:p>
  </w:footnote>
  <w:footnote w:id="2">
    <w:p w:rsidR="00FA5299" w:rsidRDefault="00FA5299" w:rsidP="00FA5299">
      <w:pPr>
        <w:pStyle w:val="FootnoteText"/>
      </w:pPr>
      <w:r>
        <w:rPr>
          <w:rStyle w:val="FootnoteReference"/>
        </w:rPr>
        <w:footnoteRef/>
      </w:r>
      <w:r>
        <w:t xml:space="preserve"> Incurred claim cost per $’000 Sum Insured. Claim costs are shown relative to NQ in 2005-06.</w:t>
      </w:r>
    </w:p>
  </w:footnote>
  <w:footnote w:id="3">
    <w:p w:rsidR="00FA5299" w:rsidRDefault="00FA5299" w:rsidP="00FA5299">
      <w:pPr>
        <w:pStyle w:val="FootnoteText"/>
      </w:pPr>
      <w:r>
        <w:rPr>
          <w:rStyle w:val="FootnoteReference"/>
        </w:rPr>
        <w:footnoteRef/>
      </w:r>
      <w:r>
        <w:t xml:space="preserve"> Relative to NQ</w:t>
      </w:r>
    </w:p>
  </w:footnote>
  <w:footnote w:id="4">
    <w:p w:rsidR="00FA5299" w:rsidRDefault="00FA5299" w:rsidP="00FA5299">
      <w:pPr>
        <w:pStyle w:val="FootnoteText"/>
      </w:pPr>
      <w:r>
        <w:rPr>
          <w:rStyle w:val="FootnoteReference"/>
        </w:rPr>
        <w:footnoteRef/>
      </w:r>
      <w:r>
        <w:t xml:space="preserve"> </w:t>
      </w:r>
      <w:r w:rsidR="005B495B">
        <w:t>S</w:t>
      </w:r>
      <w:r>
        <w:t>torm, flood, bushfire and earthquake</w:t>
      </w:r>
    </w:p>
  </w:footnote>
  <w:footnote w:id="5">
    <w:p w:rsidR="00FA5299" w:rsidRDefault="00FA5299" w:rsidP="00FA5299">
      <w:pPr>
        <w:pStyle w:val="FootnoteText"/>
      </w:pPr>
      <w:r>
        <w:rPr>
          <w:rStyle w:val="FootnoteReference"/>
        </w:rPr>
        <w:footnoteRef/>
      </w:r>
      <w:r>
        <w:t xml:space="preserve"> For example, fire</w:t>
      </w:r>
      <w:r w:rsidR="006E5591">
        <w:t xml:space="preserve"> other than bushfire</w:t>
      </w:r>
    </w:p>
  </w:footnote>
  <w:footnote w:id="6">
    <w:p w:rsidR="00FA5299" w:rsidRDefault="00FA5299" w:rsidP="00FA5299">
      <w:pPr>
        <w:pStyle w:val="FootnoteText"/>
      </w:pPr>
      <w:r>
        <w:rPr>
          <w:rStyle w:val="FootnoteReference"/>
        </w:rPr>
        <w:footnoteRef/>
      </w:r>
      <w:r>
        <w:t xml:space="preserve"> Storm, riverine flood, bushfire, earthquake</w:t>
      </w:r>
    </w:p>
  </w:footnote>
  <w:footnote w:id="7">
    <w:p w:rsidR="001B536C" w:rsidRDefault="001B536C">
      <w:pPr>
        <w:pStyle w:val="FootnoteText"/>
      </w:pPr>
      <w:r>
        <w:rPr>
          <w:rStyle w:val="FootnoteReference"/>
        </w:rPr>
        <w:footnoteRef/>
      </w:r>
      <w:r>
        <w:t xml:space="preserve"> Insurance Council of Australia</w:t>
      </w:r>
    </w:p>
  </w:footnote>
  <w:footnote w:id="8">
    <w:p w:rsidR="001B536C" w:rsidRDefault="001B536C">
      <w:pPr>
        <w:pStyle w:val="FootnoteText"/>
      </w:pPr>
      <w:r>
        <w:rPr>
          <w:rStyle w:val="FootnoteReference"/>
        </w:rPr>
        <w:footnoteRef/>
      </w:r>
      <w:r>
        <w:t xml:space="preserve"> Premium rate refers to premium charged per $’000 Sum Insured. Separate premium rates have been derived for home buildings only, home contents only and combined home buildings and contents policies. Premium rate excludes any taxes and charges.</w:t>
      </w:r>
    </w:p>
  </w:footnote>
  <w:footnote w:id="9">
    <w:p w:rsidR="001B536C" w:rsidRDefault="001B536C" w:rsidP="00CD19B5">
      <w:pPr>
        <w:pStyle w:val="FootnoteText"/>
      </w:pPr>
      <w:r>
        <w:rPr>
          <w:rStyle w:val="FootnoteReference"/>
        </w:rPr>
        <w:footnoteRef/>
      </w:r>
      <w:r>
        <w:t xml:space="preserve"> Weighted by the aggregate exposure of individual insurers in each region</w:t>
      </w:r>
    </w:p>
  </w:footnote>
  <w:footnote w:id="10">
    <w:p w:rsidR="00FC18FF" w:rsidRDefault="00FC18FF" w:rsidP="00FC18FF">
      <w:pPr>
        <w:pStyle w:val="FootnoteText"/>
      </w:pPr>
      <w:r>
        <w:rPr>
          <w:rStyle w:val="FootnoteReference"/>
        </w:rPr>
        <w:footnoteRef/>
      </w:r>
      <w:r>
        <w:t xml:space="preserve"> Gross claims cost = incurred claims cost per $’000 Sum Insured</w:t>
      </w:r>
    </w:p>
  </w:footnote>
  <w:footnote w:id="11">
    <w:p w:rsidR="00AC7798" w:rsidRDefault="00AC7798">
      <w:pPr>
        <w:pStyle w:val="FootnoteText"/>
      </w:pPr>
      <w:r>
        <w:rPr>
          <w:rStyle w:val="FootnoteReference"/>
        </w:rPr>
        <w:footnoteRef/>
      </w:r>
      <w:r>
        <w:t xml:space="preserve"> Per $100,000 Sum Insured</w:t>
      </w:r>
    </w:p>
  </w:footnote>
  <w:footnote w:id="12">
    <w:p w:rsidR="00AC7798" w:rsidRDefault="00AC7798">
      <w:pPr>
        <w:pStyle w:val="FootnoteText"/>
      </w:pPr>
      <w:r>
        <w:rPr>
          <w:rStyle w:val="FootnoteReference"/>
        </w:rPr>
        <w:footnoteRef/>
      </w:r>
      <w:r>
        <w:t xml:space="preserve"> Per $’000 Sum Insured </w:t>
      </w:r>
    </w:p>
  </w:footnote>
  <w:footnote w:id="13">
    <w:p w:rsidR="00C421B6" w:rsidRDefault="00C421B6">
      <w:pPr>
        <w:pStyle w:val="FootnoteText"/>
      </w:pPr>
      <w:r>
        <w:rPr>
          <w:rStyle w:val="FootnoteReference"/>
        </w:rPr>
        <w:footnoteRef/>
      </w:r>
      <w:r>
        <w:t xml:space="preserve"> Again, these relativities differ among individual insurers.</w:t>
      </w:r>
    </w:p>
  </w:footnote>
  <w:footnote w:id="14">
    <w:p w:rsidR="00C421B6" w:rsidRDefault="00C421B6">
      <w:pPr>
        <w:pStyle w:val="FootnoteText"/>
      </w:pPr>
      <w:r>
        <w:rPr>
          <w:rStyle w:val="FootnoteReference"/>
        </w:rPr>
        <w:footnoteRef/>
      </w:r>
      <w:r>
        <w:t xml:space="preserve"> Per $’000 Sum Insured</w:t>
      </w:r>
    </w:p>
  </w:footnote>
  <w:footnote w:id="15">
    <w:p w:rsidR="001B536C" w:rsidRDefault="001B536C" w:rsidP="00A96B13">
      <w:pPr>
        <w:pStyle w:val="FootnoteText"/>
      </w:pPr>
      <w:r>
        <w:rPr>
          <w:rStyle w:val="FootnoteReference"/>
        </w:rPr>
        <w:footnoteRef/>
      </w:r>
      <w:r>
        <w:t xml:space="preserve"> Up to the limit of the catastrophe reinsurance policy</w:t>
      </w:r>
    </w:p>
  </w:footnote>
  <w:footnote w:id="16">
    <w:p w:rsidR="001B536C" w:rsidRDefault="001B536C">
      <w:pPr>
        <w:pStyle w:val="FootnoteText"/>
      </w:pPr>
      <w:r>
        <w:rPr>
          <w:rStyle w:val="FootnoteReference"/>
        </w:rPr>
        <w:footnoteRef/>
      </w:r>
      <w:r>
        <w:t xml:space="preserve"> Combined home buildings and home contents premium rates</w:t>
      </w:r>
    </w:p>
  </w:footnote>
  <w:footnote w:id="17">
    <w:p w:rsidR="00A216B0" w:rsidRDefault="00A216B0">
      <w:pPr>
        <w:pStyle w:val="FootnoteText"/>
      </w:pPr>
      <w:r>
        <w:rPr>
          <w:rStyle w:val="FootnoteReference"/>
        </w:rPr>
        <w:footnoteRef/>
      </w:r>
      <w:r>
        <w:t xml:space="preserve"> Found by dividing the </w:t>
      </w:r>
      <w:r w:rsidR="00484F66">
        <w:t xml:space="preserve">progressive </w:t>
      </w:r>
      <w:r>
        <w:t xml:space="preserve">sum of annual incurred claims costs by the </w:t>
      </w:r>
      <w:r w:rsidR="00484F66">
        <w:t xml:space="preserve">progressive </w:t>
      </w:r>
      <w:r>
        <w:t>sum of annual premium</w:t>
      </w:r>
    </w:p>
  </w:footnote>
  <w:footnote w:id="18">
    <w:p w:rsidR="00536D74" w:rsidRDefault="00536D74">
      <w:pPr>
        <w:pStyle w:val="FootnoteText"/>
      </w:pPr>
      <w:r>
        <w:rPr>
          <w:rStyle w:val="FootnoteReference"/>
        </w:rPr>
        <w:footnoteRef/>
      </w:r>
      <w:r>
        <w:t xml:space="preserve"> Not all home and contents insurers choose to participate in the NQ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C9" w:rsidRDefault="00BF2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6C" w:rsidRDefault="00BF2EC9" w:rsidP="00ED706E">
    <w:pPr>
      <w:pStyle w:val="Header"/>
      <w:pBdr>
        <w:bottom w:val="single" w:sz="24" w:space="1" w:color="auto"/>
      </w:pBdr>
      <w:jc w:val="right"/>
    </w:pPr>
    <w:r>
      <w:fldChar w:fldCharType="begin"/>
    </w:r>
    <w:r>
      <w:instrText xml:space="preserve"> STYLEREF  "Report Title"  \* MERGEFORMAT </w:instrText>
    </w:r>
    <w:r>
      <w:fldChar w:fldCharType="separate"/>
    </w:r>
    <w:r w:rsidR="006C0946">
      <w:rPr>
        <w:noProof/>
      </w:rPr>
      <w:t>Report on home and contents insurance prices in North Queensland</w:t>
    </w:r>
    <w:r>
      <w:rPr>
        <w:noProof/>
      </w:rPr>
      <w:fldChar w:fldCharType="end"/>
    </w:r>
    <w:r>
      <w:fldChar w:fldCharType="begin"/>
    </w:r>
    <w:r>
      <w:instrText xml:space="preserve"> STYLEREF  "Report Title"  \* MERGEFORMAT </w:instrText>
    </w:r>
    <w:r>
      <w:fldChar w:fldCharType="separate"/>
    </w:r>
    <w:r w:rsidR="006C0946">
      <w:rPr>
        <w:noProof/>
      </w:rPr>
      <w:t>Report on home and contents insurance prices in North Queensland</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6C" w:rsidRDefault="001B536C" w:rsidP="00B24731">
    <w:pPr>
      <w:pStyle w:val="Header"/>
      <w:jc w:val="center"/>
    </w:pPr>
    <w:r>
      <w:rPr>
        <w:noProof/>
        <w:lang w:eastAsia="en-AU"/>
      </w:rPr>
      <w:drawing>
        <wp:inline distT="0" distB="0" distL="0" distR="0" wp14:anchorId="340607DB" wp14:editId="666821B7">
          <wp:extent cx="1838325" cy="971550"/>
          <wp:effectExtent l="19050" t="0" r="9525" b="0"/>
          <wp:docPr id="4" name="Picture 4" descr="Austrlian%20Governmnet%20Actua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lian%20Governmnet%20Actuary_stacked"/>
                  <pic:cNvPicPr>
                    <a:picLocks noChangeAspect="1" noChangeArrowheads="1"/>
                  </pic:cNvPicPr>
                </pic:nvPicPr>
                <pic:blipFill>
                  <a:blip r:embed="rId1"/>
                  <a:srcRect/>
                  <a:stretch>
                    <a:fillRect/>
                  </a:stretch>
                </pic:blipFill>
                <pic:spPr bwMode="auto">
                  <a:xfrm>
                    <a:off x="0" y="0"/>
                    <a:ext cx="1838325" cy="9715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6C" w:rsidRDefault="001B53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6C" w:rsidRDefault="001B536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6C" w:rsidRDefault="00BF2EC9" w:rsidP="00B24731">
    <w:pPr>
      <w:pStyle w:val="Header"/>
      <w:pBdr>
        <w:bottom w:val="single" w:sz="12" w:space="1" w:color="auto"/>
      </w:pBdr>
      <w:jc w:val="right"/>
    </w:pPr>
    <w:r>
      <w:fldChar w:fldCharType="begin"/>
    </w:r>
    <w:r>
      <w:instrText xml:space="preserve"> STYLEREF  "Report Title"  \* MERGEFORMAT </w:instrText>
    </w:r>
    <w:r>
      <w:fldChar w:fldCharType="separate"/>
    </w:r>
    <w:r>
      <w:rPr>
        <w:noProof/>
      </w:rPr>
      <w:t>Report on home and contents insurance prices in North Queensland</w:t>
    </w:r>
    <w:r>
      <w:rPr>
        <w:noProof/>
      </w:rPr>
      <w:fldChar w:fldCharType="end"/>
    </w:r>
  </w:p>
  <w:p w:rsidR="001B536C" w:rsidRDefault="001B536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6C" w:rsidRDefault="00BF2EC9" w:rsidP="00C8430F">
    <w:pPr>
      <w:pStyle w:val="Header"/>
      <w:pBdr>
        <w:bottom w:val="single" w:sz="12" w:space="1" w:color="auto"/>
      </w:pBdr>
      <w:jc w:val="right"/>
    </w:pPr>
    <w:r>
      <w:fldChar w:fldCharType="begin"/>
    </w:r>
    <w:r>
      <w:instrText xml:space="preserve"> STYLEREF  "Report Title"  \* MERGEFORMAT </w:instrText>
    </w:r>
    <w:r>
      <w:fldChar w:fldCharType="separate"/>
    </w:r>
    <w:r>
      <w:rPr>
        <w:noProof/>
      </w:rPr>
      <w:t>Report on home and contents insurance prices in North Queensland</w:t>
    </w:r>
    <w:r>
      <w:rPr>
        <w:noProof/>
      </w:rPr>
      <w:fldChar w:fldCharType="end"/>
    </w:r>
  </w:p>
  <w:p w:rsidR="001B536C" w:rsidRDefault="001B53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0F5A"/>
    <w:multiLevelType w:val="singleLevel"/>
    <w:tmpl w:val="6F14EA2A"/>
    <w:name w:val="StandardNumberedParagraphList"/>
    <w:lvl w:ilvl="0">
      <w:start w:val="2"/>
      <w:numFmt w:val="decimal"/>
      <w:pStyle w:val="NumberedParagraph"/>
      <w:lvlText w:val="%1"/>
      <w:lvlJc w:val="left"/>
      <w:pPr>
        <w:tabs>
          <w:tab w:val="num" w:pos="850"/>
        </w:tabs>
        <w:ind w:left="850" w:hanging="850"/>
      </w:pPr>
    </w:lvl>
  </w:abstractNum>
  <w:abstractNum w:abstractNumId="1">
    <w:nsid w:val="2140509D"/>
    <w:multiLevelType w:val="multilevel"/>
    <w:tmpl w:val="AAD88BFC"/>
    <w:lvl w:ilvl="0">
      <w:start w:val="1"/>
      <w:numFmt w:val="decimal"/>
      <w:pStyle w:val="Heading1"/>
      <w:lvlText w:val="%1"/>
      <w:lvlJc w:val="left"/>
      <w:pPr>
        <w:tabs>
          <w:tab w:val="num" w:pos="850"/>
        </w:tabs>
        <w:ind w:left="850" w:hanging="850"/>
      </w:pPr>
      <w:rPr>
        <w:rFonts w:ascii="Arial" w:hAnsi="Arial" w:cs="Arial" w:hint="default"/>
        <w:b/>
        <w:i w:val="0"/>
        <w:sz w:val="28"/>
        <w:szCs w:val="28"/>
      </w:rPr>
    </w:lvl>
    <w:lvl w:ilvl="1">
      <w:start w:val="1"/>
      <w:numFmt w:val="decimal"/>
      <w:pStyle w:val="Heading2"/>
      <w:lvlText w:val="%1.%2"/>
      <w:lvlJc w:val="left"/>
      <w:pPr>
        <w:tabs>
          <w:tab w:val="num" w:pos="850"/>
        </w:tabs>
        <w:ind w:left="850" w:hanging="850"/>
      </w:pPr>
      <w:rPr>
        <w:rFonts w:ascii="Arial" w:hAnsi="Arial" w:cs="Arial" w:hint="default"/>
        <w:b/>
        <w:i/>
        <w:sz w:val="24"/>
        <w:szCs w:val="24"/>
      </w:rPr>
    </w:lvl>
    <w:lvl w:ilvl="2">
      <w:start w:val="1"/>
      <w:numFmt w:val="decimal"/>
      <w:pStyle w:val="BodyText"/>
      <w:lvlText w:val="%1.%3"/>
      <w:lvlJc w:val="left"/>
      <w:pPr>
        <w:tabs>
          <w:tab w:val="num" w:pos="850"/>
        </w:tabs>
        <w:ind w:left="850" w:hanging="850"/>
      </w:pPr>
      <w:rPr>
        <w:rFonts w:ascii="Arial" w:hAnsi="Arial" w:cs="Arial" w:hint="default"/>
        <w:b w:val="0"/>
        <w:i w:val="0"/>
        <w:sz w:val="20"/>
        <w:szCs w:val="20"/>
      </w:rPr>
    </w:lvl>
    <w:lvl w:ilvl="3">
      <w:start w:val="1"/>
      <w:numFmt w:val="decimal"/>
      <w:pStyle w:val="BodyText2"/>
      <w:lvlText w:val="%1.%2.%4"/>
      <w:lvlJc w:val="left"/>
      <w:pPr>
        <w:tabs>
          <w:tab w:val="num" w:pos="850"/>
        </w:tabs>
        <w:ind w:left="850" w:hanging="850"/>
      </w:pPr>
      <w:rPr>
        <w:rFonts w:ascii="Arial" w:hAnsi="Arial" w:cs="Arial" w:hint="default"/>
        <w:b w:val="0"/>
        <w:i w:val="0"/>
        <w:sz w:val="20"/>
        <w:szCs w:val="20"/>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332775D"/>
    <w:multiLevelType w:val="multilevel"/>
    <w:tmpl w:val="04627576"/>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ACB6029"/>
    <w:multiLevelType w:val="multilevel"/>
    <w:tmpl w:val="0C09001D"/>
    <w:name w:val="StandardHeadingList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E64CAB"/>
    <w:multiLevelType w:val="multilevel"/>
    <w:tmpl w:val="925654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pStyle w:val="Heading5"/>
      <w:lvlText w:val=""/>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31DD3640"/>
    <w:multiLevelType w:val="multilevel"/>
    <w:tmpl w:val="0C09001D"/>
    <w:name w:val="StandardHeadingList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C6671B"/>
    <w:multiLevelType w:val="multilevel"/>
    <w:tmpl w:val="1DEA1C5A"/>
    <w:name w:val="StandardHeadingList4"/>
    <w:lvl w:ilvl="0">
      <w:start w:val="1"/>
      <w:numFmt w:val="decimal"/>
      <w:lvlText w:val="%1"/>
      <w:lvlJc w:val="left"/>
      <w:pPr>
        <w:tabs>
          <w:tab w:val="num" w:pos="850"/>
        </w:tabs>
        <w:ind w:left="850" w:hanging="850"/>
      </w:pPr>
      <w:rPr>
        <w:rFonts w:ascii="Trebuchet MS" w:hAnsi="Trebuchet MS" w:hint="default"/>
        <w:b/>
        <w:i w:val="0"/>
        <w:sz w:val="28"/>
      </w:rPr>
    </w:lvl>
    <w:lvl w:ilvl="1">
      <w:start w:val="1"/>
      <w:numFmt w:val="decimal"/>
      <w:lvlText w:val="%1.%2"/>
      <w:lvlJc w:val="left"/>
      <w:pPr>
        <w:tabs>
          <w:tab w:val="num" w:pos="850"/>
        </w:tabs>
        <w:ind w:left="850" w:hanging="850"/>
      </w:pPr>
      <w:rPr>
        <w:rFonts w:ascii="Trebuchet MS" w:hAnsi="Trebuchet MS" w:hint="default"/>
        <w:b/>
        <w:i/>
        <w:sz w:val="24"/>
      </w:rPr>
    </w:lvl>
    <w:lvl w:ilvl="2">
      <w:start w:val="1"/>
      <w:numFmt w:val="decimal"/>
      <w:lvlText w:val="%1.%2.%3"/>
      <w:lvlJc w:val="left"/>
      <w:pPr>
        <w:tabs>
          <w:tab w:val="num" w:pos="1134"/>
        </w:tabs>
        <w:ind w:left="1134" w:hanging="1134"/>
      </w:pPr>
      <w:rPr>
        <w:rFonts w:ascii="Trebuchet MS" w:hAnsi="Trebuchet MS" w:hint="default"/>
        <w:b w:val="0"/>
        <w:i w:val="0"/>
        <w:sz w:val="22"/>
      </w:rPr>
    </w:lvl>
    <w:lvl w:ilvl="3">
      <w:start w:val="1"/>
      <w:numFmt w:val="bullet"/>
      <w:lvlText w:val=""/>
      <w:lvlJc w:val="left"/>
      <w:pPr>
        <w:tabs>
          <w:tab w:val="num" w:pos="851"/>
        </w:tabs>
        <w:ind w:left="851" w:hanging="851"/>
      </w:pPr>
      <w:rPr>
        <w:rFonts w:ascii="Symbol" w:hAnsi="Symbol" w:hint="default"/>
        <w:sz w:val="28"/>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AFE5266"/>
    <w:multiLevelType w:val="multilevel"/>
    <w:tmpl w:val="049E660A"/>
    <w:name w:val="StandardHeadingList3"/>
    <w:lvl w:ilvl="0">
      <w:start w:val="1"/>
      <w:numFmt w:val="decimal"/>
      <w:lvlText w:val="%1"/>
      <w:lvlJc w:val="left"/>
      <w:pPr>
        <w:tabs>
          <w:tab w:val="num" w:pos="850"/>
        </w:tabs>
        <w:ind w:left="850" w:hanging="850"/>
      </w:pPr>
      <w:rPr>
        <w:rFonts w:ascii="Trebuchet MS" w:hAnsi="Trebuchet MS" w:hint="default"/>
        <w:b/>
        <w:i w:val="0"/>
        <w:sz w:val="28"/>
      </w:rPr>
    </w:lvl>
    <w:lvl w:ilvl="1">
      <w:start w:val="1"/>
      <w:numFmt w:val="decimal"/>
      <w:lvlText w:val="%1.%2"/>
      <w:lvlJc w:val="left"/>
      <w:pPr>
        <w:tabs>
          <w:tab w:val="num" w:pos="850"/>
        </w:tabs>
        <w:ind w:left="850" w:hanging="850"/>
      </w:pPr>
      <w:rPr>
        <w:rFonts w:ascii="Trebuchet MS" w:hAnsi="Trebuchet MS" w:hint="default"/>
        <w:b/>
        <w:i/>
        <w:sz w:val="24"/>
      </w:rPr>
    </w:lvl>
    <w:lvl w:ilvl="2">
      <w:start w:val="1"/>
      <w:numFmt w:val="decimal"/>
      <w:lvlText w:val="%1.%2.%3"/>
      <w:lvlJc w:val="left"/>
      <w:pPr>
        <w:tabs>
          <w:tab w:val="num" w:pos="1134"/>
        </w:tabs>
        <w:ind w:left="1134" w:hanging="1134"/>
      </w:pPr>
      <w:rPr>
        <w:rFonts w:ascii="Trebuchet MS" w:hAnsi="Trebuchet MS" w:hint="default"/>
        <w:b w:val="0"/>
        <w:i w:val="0"/>
        <w:sz w:val="22"/>
      </w:rPr>
    </w:lvl>
    <w:lvl w:ilvl="3">
      <w:start w:val="1"/>
      <w:numFmt w:val="bullet"/>
      <w:lvlText w:val=""/>
      <w:lvlJc w:val="left"/>
      <w:pPr>
        <w:tabs>
          <w:tab w:val="num" w:pos="851"/>
        </w:tabs>
        <w:ind w:left="851" w:hanging="851"/>
      </w:pPr>
      <w:rPr>
        <w:rFonts w:ascii="Symbol" w:hAnsi="Symbol" w:hint="default"/>
        <w:sz w:val="28"/>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63D662D"/>
    <w:multiLevelType w:val="multilevel"/>
    <w:tmpl w:val="0C09001D"/>
    <w:name w:val="AGAReportBullete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04D7167"/>
    <w:multiLevelType w:val="multilevel"/>
    <w:tmpl w:val="21622140"/>
    <w:name w:val="AGAReportBulletedList"/>
    <w:lvl w:ilvl="0">
      <w:start w:val="1"/>
      <w:numFmt w:val="bullet"/>
      <w:pStyle w:val="Bullet"/>
      <w:lvlText w:val="•"/>
      <w:lvlJc w:val="left"/>
      <w:pPr>
        <w:tabs>
          <w:tab w:val="num" w:pos="1418"/>
        </w:tabs>
        <w:ind w:left="1418" w:hanging="567"/>
      </w:pPr>
      <w:rPr>
        <w:rFonts w:hint="default"/>
      </w:rPr>
    </w:lvl>
    <w:lvl w:ilvl="1">
      <w:start w:val="1"/>
      <w:numFmt w:val="bullet"/>
      <w:pStyle w:val="Dash"/>
      <w:lvlText w:val="–"/>
      <w:lvlJc w:val="left"/>
      <w:pPr>
        <w:tabs>
          <w:tab w:val="num" w:pos="1985"/>
        </w:tabs>
        <w:ind w:left="1985" w:hanging="567"/>
      </w:pPr>
      <w:rPr>
        <w:rFonts w:hint="default"/>
      </w:rPr>
    </w:lvl>
    <w:lvl w:ilvl="2">
      <w:start w:val="1"/>
      <w:numFmt w:val="bullet"/>
      <w:pStyle w:val="DoubleDot"/>
      <w:lvlText w:val=":"/>
      <w:lvlJc w:val="left"/>
      <w:pPr>
        <w:tabs>
          <w:tab w:val="num" w:pos="2552"/>
        </w:tabs>
        <w:ind w:left="2552" w:hanging="567"/>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5D3E6583"/>
    <w:multiLevelType w:val="multilevel"/>
    <w:tmpl w:val="0C09001D"/>
    <w:name w:val="StandardHeading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7EB7CD2"/>
    <w:multiLevelType w:val="multilevel"/>
    <w:tmpl w:val="94726B66"/>
    <w:name w:val="StandardHeadingListAG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1134"/>
        </w:tabs>
        <w:ind w:left="1134" w:hanging="1134"/>
      </w:pPr>
      <w:rPr>
        <w:rFonts w:ascii="Univers 55" w:hAnsi="Univers 55" w:hint="default"/>
      </w:rPr>
    </w:lvl>
    <w:lvl w:ilvl="3">
      <w:start w:val="1"/>
      <w:numFmt w:val="decimal"/>
      <w:isLgl/>
      <w:lvlText w:val="%1.%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4064DE7"/>
    <w:multiLevelType w:val="multilevel"/>
    <w:tmpl w:val="30D6F65A"/>
    <w:name w:val="StandardBulletedList"/>
    <w:lvl w:ilvl="0">
      <w:start w:val="1"/>
      <w:numFmt w:val="bullet"/>
      <w:lvlText w:val="•"/>
      <w:lvlJc w:val="left"/>
      <w:pPr>
        <w:tabs>
          <w:tab w:val="num" w:pos="1370"/>
        </w:tabs>
        <w:ind w:left="1370" w:hanging="520"/>
      </w:pPr>
      <w:rPr>
        <w:rFonts w:ascii="Times New Roman" w:hAnsi="Times New Roman" w:cs="Times New Roman"/>
      </w:rPr>
    </w:lvl>
    <w:lvl w:ilvl="1">
      <w:start w:val="1"/>
      <w:numFmt w:val="bullet"/>
      <w:lvlText w:val="–"/>
      <w:lvlJc w:val="left"/>
      <w:pPr>
        <w:tabs>
          <w:tab w:val="num" w:pos="1890"/>
        </w:tabs>
        <w:ind w:left="1890" w:hanging="520"/>
      </w:pPr>
      <w:rPr>
        <w:rFonts w:ascii="Times New Roman" w:hAnsi="Times New Roman" w:cs="Times New Roman"/>
      </w:rPr>
    </w:lvl>
    <w:lvl w:ilvl="2">
      <w:start w:val="1"/>
      <w:numFmt w:val="bullet"/>
      <w:lvlText w:val=":"/>
      <w:lvlJc w:val="left"/>
      <w:pPr>
        <w:tabs>
          <w:tab w:val="num" w:pos="2410"/>
        </w:tabs>
        <w:ind w:left="2410" w:hanging="520"/>
      </w:pPr>
      <w:rPr>
        <w:rFonts w:ascii="Times New Roman" w:hAnsi="Times New Roman" w:cs="Times New Roman"/>
      </w:rPr>
    </w:lvl>
    <w:lvl w:ilvl="3">
      <w:start w:val="1"/>
      <w:numFmt w:val="decimal"/>
      <w:lvlText w:val="(%4)"/>
      <w:lvlJc w:val="left"/>
      <w:pPr>
        <w:ind w:left="2290" w:hanging="360"/>
      </w:pPr>
    </w:lvl>
    <w:lvl w:ilvl="4">
      <w:start w:val="1"/>
      <w:numFmt w:val="lowerLetter"/>
      <w:lvlText w:val="(%5)"/>
      <w:lvlJc w:val="left"/>
      <w:pPr>
        <w:ind w:left="2650" w:hanging="360"/>
      </w:pPr>
    </w:lvl>
    <w:lvl w:ilvl="5">
      <w:start w:val="1"/>
      <w:numFmt w:val="lowerRoman"/>
      <w:lvlText w:val="(%6)"/>
      <w:lvlJc w:val="left"/>
      <w:pPr>
        <w:ind w:left="3010" w:hanging="360"/>
      </w:pPr>
    </w:lvl>
    <w:lvl w:ilvl="6">
      <w:start w:val="1"/>
      <w:numFmt w:val="decimal"/>
      <w:lvlText w:val="%7."/>
      <w:lvlJc w:val="left"/>
      <w:pPr>
        <w:ind w:left="3370" w:hanging="360"/>
      </w:pPr>
    </w:lvl>
    <w:lvl w:ilvl="7">
      <w:start w:val="1"/>
      <w:numFmt w:val="lowerLetter"/>
      <w:lvlText w:val="%8."/>
      <w:lvlJc w:val="left"/>
      <w:pPr>
        <w:ind w:left="3730" w:hanging="360"/>
      </w:pPr>
    </w:lvl>
    <w:lvl w:ilvl="8">
      <w:start w:val="1"/>
      <w:numFmt w:val="lowerRoman"/>
      <w:lvlText w:val="%9."/>
      <w:lvlJc w:val="left"/>
      <w:pPr>
        <w:ind w:left="4090" w:hanging="360"/>
      </w:pPr>
    </w:lvl>
  </w:abstractNum>
  <w:abstractNum w:abstractNumId="13">
    <w:nsid w:val="79A449E7"/>
    <w:multiLevelType w:val="multilevel"/>
    <w:tmpl w:val="21AC0DA8"/>
    <w:name w:val="StandardHeadingList2"/>
    <w:lvl w:ilvl="0">
      <w:start w:val="1"/>
      <w:numFmt w:val="decimal"/>
      <w:lvlText w:val="%1"/>
      <w:lvlJc w:val="left"/>
      <w:pPr>
        <w:tabs>
          <w:tab w:val="num" w:pos="850"/>
        </w:tabs>
        <w:ind w:left="850" w:hanging="850"/>
      </w:pPr>
      <w:rPr>
        <w:rFonts w:ascii="Trebuchet MS" w:hAnsi="Trebuchet MS" w:hint="default"/>
        <w:b/>
        <w:i w:val="0"/>
        <w:sz w:val="28"/>
      </w:rPr>
    </w:lvl>
    <w:lvl w:ilvl="1">
      <w:start w:val="1"/>
      <w:numFmt w:val="decimal"/>
      <w:lvlText w:val="%1.%2"/>
      <w:lvlJc w:val="left"/>
      <w:pPr>
        <w:tabs>
          <w:tab w:val="num" w:pos="850"/>
        </w:tabs>
        <w:ind w:left="850" w:hanging="850"/>
      </w:pPr>
      <w:rPr>
        <w:rFonts w:ascii="Trebuchet MS" w:hAnsi="Trebuchet MS" w:hint="default"/>
        <w:b/>
        <w:i/>
        <w:sz w:val="24"/>
      </w:rPr>
    </w:lvl>
    <w:lvl w:ilvl="2">
      <w:start w:val="1"/>
      <w:numFmt w:val="decimal"/>
      <w:lvlText w:val="%1.%2.%3"/>
      <w:lvlJc w:val="left"/>
      <w:pPr>
        <w:tabs>
          <w:tab w:val="num" w:pos="1134"/>
        </w:tabs>
        <w:ind w:left="1134" w:hanging="1134"/>
      </w:pPr>
      <w:rPr>
        <w:rFonts w:ascii="Trebuchet MS" w:hAnsi="Trebuchet MS" w:hint="default"/>
        <w:b w:val="0"/>
        <w:i w:val="0"/>
        <w:sz w:val="22"/>
      </w:rPr>
    </w:lvl>
    <w:lvl w:ilvl="3">
      <w:start w:val="1"/>
      <w:numFmt w:val="bullet"/>
      <w:lvlText w:val=""/>
      <w:lvlJc w:val="left"/>
      <w:pPr>
        <w:tabs>
          <w:tab w:val="num" w:pos="851"/>
        </w:tabs>
        <w:ind w:left="851" w:hanging="851"/>
      </w:pPr>
      <w:rPr>
        <w:rFonts w:ascii="Symbol" w:hAnsi="Symbol" w:hint="default"/>
        <w:sz w:val="28"/>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0"/>
  </w:num>
  <w:num w:numId="3">
    <w:abstractNumId w:val="4"/>
  </w:num>
  <w:num w:numId="4">
    <w:abstractNumId w:val="1"/>
  </w:num>
  <w:num w:numId="5">
    <w:abstractNumId w:val="2"/>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51"/>
    <w:rsid w:val="00000049"/>
    <w:rsid w:val="00011EBA"/>
    <w:rsid w:val="000138C3"/>
    <w:rsid w:val="000157BF"/>
    <w:rsid w:val="00015904"/>
    <w:rsid w:val="00016DF5"/>
    <w:rsid w:val="00017FF3"/>
    <w:rsid w:val="0002621F"/>
    <w:rsid w:val="00027091"/>
    <w:rsid w:val="000329B1"/>
    <w:rsid w:val="00035538"/>
    <w:rsid w:val="00036EA6"/>
    <w:rsid w:val="0003728C"/>
    <w:rsid w:val="00037DF7"/>
    <w:rsid w:val="00040C43"/>
    <w:rsid w:val="00054085"/>
    <w:rsid w:val="000540CD"/>
    <w:rsid w:val="00062C17"/>
    <w:rsid w:val="0006431A"/>
    <w:rsid w:val="000702CF"/>
    <w:rsid w:val="00070398"/>
    <w:rsid w:val="00075E17"/>
    <w:rsid w:val="00077EA5"/>
    <w:rsid w:val="00081F9E"/>
    <w:rsid w:val="00083411"/>
    <w:rsid w:val="00084B56"/>
    <w:rsid w:val="0008525E"/>
    <w:rsid w:val="000868EB"/>
    <w:rsid w:val="00090229"/>
    <w:rsid w:val="000911A3"/>
    <w:rsid w:val="00092523"/>
    <w:rsid w:val="000951A2"/>
    <w:rsid w:val="00096EA6"/>
    <w:rsid w:val="00097510"/>
    <w:rsid w:val="00097BF8"/>
    <w:rsid w:val="000A2214"/>
    <w:rsid w:val="000A2DB0"/>
    <w:rsid w:val="000B06D5"/>
    <w:rsid w:val="000B198C"/>
    <w:rsid w:val="000B3F23"/>
    <w:rsid w:val="000B41C8"/>
    <w:rsid w:val="000B4F83"/>
    <w:rsid w:val="000C206B"/>
    <w:rsid w:val="000C2A9D"/>
    <w:rsid w:val="000C50EC"/>
    <w:rsid w:val="000C6CCC"/>
    <w:rsid w:val="000D2C05"/>
    <w:rsid w:val="000D3BD3"/>
    <w:rsid w:val="000E1EEE"/>
    <w:rsid w:val="000E5354"/>
    <w:rsid w:val="000E5D83"/>
    <w:rsid w:val="000E6194"/>
    <w:rsid w:val="000E6903"/>
    <w:rsid w:val="000F4E5B"/>
    <w:rsid w:val="000F5B48"/>
    <w:rsid w:val="00100519"/>
    <w:rsid w:val="00102664"/>
    <w:rsid w:val="001061C2"/>
    <w:rsid w:val="00111E4C"/>
    <w:rsid w:val="00115AF7"/>
    <w:rsid w:val="00115D09"/>
    <w:rsid w:val="00120336"/>
    <w:rsid w:val="00121E44"/>
    <w:rsid w:val="00126792"/>
    <w:rsid w:val="001267A9"/>
    <w:rsid w:val="00130286"/>
    <w:rsid w:val="001321BC"/>
    <w:rsid w:val="00136C84"/>
    <w:rsid w:val="00136D4F"/>
    <w:rsid w:val="0013721F"/>
    <w:rsid w:val="00154C43"/>
    <w:rsid w:val="00162C0A"/>
    <w:rsid w:val="00171249"/>
    <w:rsid w:val="00172136"/>
    <w:rsid w:val="00173ABD"/>
    <w:rsid w:val="00175F50"/>
    <w:rsid w:val="0017606D"/>
    <w:rsid w:val="00176364"/>
    <w:rsid w:val="001846D0"/>
    <w:rsid w:val="00190ADF"/>
    <w:rsid w:val="0019529A"/>
    <w:rsid w:val="0019614C"/>
    <w:rsid w:val="00196352"/>
    <w:rsid w:val="00196BD6"/>
    <w:rsid w:val="001A3C4E"/>
    <w:rsid w:val="001A5CD2"/>
    <w:rsid w:val="001B1EF7"/>
    <w:rsid w:val="001B536C"/>
    <w:rsid w:val="001B767B"/>
    <w:rsid w:val="001C2155"/>
    <w:rsid w:val="001C2E9B"/>
    <w:rsid w:val="001D1F4E"/>
    <w:rsid w:val="001D5058"/>
    <w:rsid w:val="001D62EA"/>
    <w:rsid w:val="001D780C"/>
    <w:rsid w:val="001E23E8"/>
    <w:rsid w:val="001E429D"/>
    <w:rsid w:val="001E675A"/>
    <w:rsid w:val="001E6C93"/>
    <w:rsid w:val="001F40B2"/>
    <w:rsid w:val="001F40FE"/>
    <w:rsid w:val="001F4494"/>
    <w:rsid w:val="00204342"/>
    <w:rsid w:val="00206145"/>
    <w:rsid w:val="0021170B"/>
    <w:rsid w:val="00213117"/>
    <w:rsid w:val="0022005E"/>
    <w:rsid w:val="00220D80"/>
    <w:rsid w:val="0023025C"/>
    <w:rsid w:val="00232C81"/>
    <w:rsid w:val="00234DF6"/>
    <w:rsid w:val="0023796A"/>
    <w:rsid w:val="002476E1"/>
    <w:rsid w:val="00253525"/>
    <w:rsid w:val="00254495"/>
    <w:rsid w:val="002568B6"/>
    <w:rsid w:val="0025692B"/>
    <w:rsid w:val="00257130"/>
    <w:rsid w:val="002615B4"/>
    <w:rsid w:val="00271D18"/>
    <w:rsid w:val="00272B64"/>
    <w:rsid w:val="00281AC0"/>
    <w:rsid w:val="0028719A"/>
    <w:rsid w:val="00287CEF"/>
    <w:rsid w:val="00291096"/>
    <w:rsid w:val="00294ACA"/>
    <w:rsid w:val="002A3112"/>
    <w:rsid w:val="002A344D"/>
    <w:rsid w:val="002A495A"/>
    <w:rsid w:val="002A4F40"/>
    <w:rsid w:val="002A71C3"/>
    <w:rsid w:val="002B59C8"/>
    <w:rsid w:val="002C1AF2"/>
    <w:rsid w:val="002D0A00"/>
    <w:rsid w:val="002D3E58"/>
    <w:rsid w:val="002D5C4F"/>
    <w:rsid w:val="002D6384"/>
    <w:rsid w:val="002E743C"/>
    <w:rsid w:val="002F477E"/>
    <w:rsid w:val="003031B7"/>
    <w:rsid w:val="00303414"/>
    <w:rsid w:val="00305607"/>
    <w:rsid w:val="00305ED6"/>
    <w:rsid w:val="00306DCD"/>
    <w:rsid w:val="00307F5B"/>
    <w:rsid w:val="003117EF"/>
    <w:rsid w:val="00342AA1"/>
    <w:rsid w:val="00363A4E"/>
    <w:rsid w:val="00364B87"/>
    <w:rsid w:val="003658BF"/>
    <w:rsid w:val="00373598"/>
    <w:rsid w:val="00374E50"/>
    <w:rsid w:val="00376AF5"/>
    <w:rsid w:val="003773E9"/>
    <w:rsid w:val="003812F2"/>
    <w:rsid w:val="003817D6"/>
    <w:rsid w:val="00382116"/>
    <w:rsid w:val="00385F00"/>
    <w:rsid w:val="003876D9"/>
    <w:rsid w:val="00390679"/>
    <w:rsid w:val="003911CE"/>
    <w:rsid w:val="003A3851"/>
    <w:rsid w:val="003A50C4"/>
    <w:rsid w:val="003B155F"/>
    <w:rsid w:val="003B24D2"/>
    <w:rsid w:val="003B3C69"/>
    <w:rsid w:val="003C0A0E"/>
    <w:rsid w:val="003C1DB7"/>
    <w:rsid w:val="003D2AFC"/>
    <w:rsid w:val="003D2D41"/>
    <w:rsid w:val="003D5592"/>
    <w:rsid w:val="003D55FA"/>
    <w:rsid w:val="003E453F"/>
    <w:rsid w:val="003E4C20"/>
    <w:rsid w:val="003F0020"/>
    <w:rsid w:val="003F0E1C"/>
    <w:rsid w:val="003F4948"/>
    <w:rsid w:val="0040161B"/>
    <w:rsid w:val="00404853"/>
    <w:rsid w:val="0041139D"/>
    <w:rsid w:val="00415345"/>
    <w:rsid w:val="004165DD"/>
    <w:rsid w:val="0042376A"/>
    <w:rsid w:val="00426CA7"/>
    <w:rsid w:val="004271AA"/>
    <w:rsid w:val="00437E61"/>
    <w:rsid w:val="004411D7"/>
    <w:rsid w:val="00442894"/>
    <w:rsid w:val="00450DA3"/>
    <w:rsid w:val="00460517"/>
    <w:rsid w:val="0046116B"/>
    <w:rsid w:val="004634B1"/>
    <w:rsid w:val="00464CB6"/>
    <w:rsid w:val="00475F2B"/>
    <w:rsid w:val="00480D19"/>
    <w:rsid w:val="00483050"/>
    <w:rsid w:val="00484F66"/>
    <w:rsid w:val="004863B0"/>
    <w:rsid w:val="00486E00"/>
    <w:rsid w:val="00490771"/>
    <w:rsid w:val="00496A00"/>
    <w:rsid w:val="004A2534"/>
    <w:rsid w:val="004A35E8"/>
    <w:rsid w:val="004A4018"/>
    <w:rsid w:val="004A495F"/>
    <w:rsid w:val="004A55DC"/>
    <w:rsid w:val="004A5F12"/>
    <w:rsid w:val="004C1755"/>
    <w:rsid w:val="004C1F8D"/>
    <w:rsid w:val="004D11BE"/>
    <w:rsid w:val="004E36E9"/>
    <w:rsid w:val="004E4388"/>
    <w:rsid w:val="004E45C6"/>
    <w:rsid w:val="004F2343"/>
    <w:rsid w:val="005068BD"/>
    <w:rsid w:val="005126B2"/>
    <w:rsid w:val="00516097"/>
    <w:rsid w:val="005207AF"/>
    <w:rsid w:val="005247AC"/>
    <w:rsid w:val="00525174"/>
    <w:rsid w:val="00531343"/>
    <w:rsid w:val="005364CC"/>
    <w:rsid w:val="00536D74"/>
    <w:rsid w:val="00543183"/>
    <w:rsid w:val="00544C04"/>
    <w:rsid w:val="005503C9"/>
    <w:rsid w:val="0055737A"/>
    <w:rsid w:val="00560AAC"/>
    <w:rsid w:val="00561CD0"/>
    <w:rsid w:val="005620F3"/>
    <w:rsid w:val="00562D15"/>
    <w:rsid w:val="005633C4"/>
    <w:rsid w:val="005728E4"/>
    <w:rsid w:val="0057698A"/>
    <w:rsid w:val="00580F2C"/>
    <w:rsid w:val="0059656D"/>
    <w:rsid w:val="005A18C7"/>
    <w:rsid w:val="005B2AF4"/>
    <w:rsid w:val="005B306C"/>
    <w:rsid w:val="005B4336"/>
    <w:rsid w:val="005B495B"/>
    <w:rsid w:val="005C0CEE"/>
    <w:rsid w:val="005C4AB4"/>
    <w:rsid w:val="005C6AD6"/>
    <w:rsid w:val="005D08EB"/>
    <w:rsid w:val="005D10CF"/>
    <w:rsid w:val="005D2522"/>
    <w:rsid w:val="005D259A"/>
    <w:rsid w:val="005D3941"/>
    <w:rsid w:val="005D3ECA"/>
    <w:rsid w:val="005D6A2A"/>
    <w:rsid w:val="005E7827"/>
    <w:rsid w:val="005E783B"/>
    <w:rsid w:val="005F1139"/>
    <w:rsid w:val="005F2146"/>
    <w:rsid w:val="005F3D13"/>
    <w:rsid w:val="005F3F4D"/>
    <w:rsid w:val="005F50E0"/>
    <w:rsid w:val="005F6B12"/>
    <w:rsid w:val="005F7704"/>
    <w:rsid w:val="0060326A"/>
    <w:rsid w:val="00606865"/>
    <w:rsid w:val="00607820"/>
    <w:rsid w:val="00610E74"/>
    <w:rsid w:val="00613993"/>
    <w:rsid w:val="006236C3"/>
    <w:rsid w:val="0062522E"/>
    <w:rsid w:val="00632A55"/>
    <w:rsid w:val="00633751"/>
    <w:rsid w:val="00656BFD"/>
    <w:rsid w:val="006605F2"/>
    <w:rsid w:val="0066391B"/>
    <w:rsid w:val="0066505B"/>
    <w:rsid w:val="00674C2C"/>
    <w:rsid w:val="00675E6B"/>
    <w:rsid w:val="006A1872"/>
    <w:rsid w:val="006A2E66"/>
    <w:rsid w:val="006A6880"/>
    <w:rsid w:val="006B42A4"/>
    <w:rsid w:val="006B60D5"/>
    <w:rsid w:val="006C0946"/>
    <w:rsid w:val="006C3423"/>
    <w:rsid w:val="006C3F6D"/>
    <w:rsid w:val="006C700F"/>
    <w:rsid w:val="006D2F64"/>
    <w:rsid w:val="006D46BC"/>
    <w:rsid w:val="006D4E58"/>
    <w:rsid w:val="006E0670"/>
    <w:rsid w:val="006E2167"/>
    <w:rsid w:val="006E3147"/>
    <w:rsid w:val="006E5591"/>
    <w:rsid w:val="00704FD2"/>
    <w:rsid w:val="00707055"/>
    <w:rsid w:val="007074F2"/>
    <w:rsid w:val="007141A5"/>
    <w:rsid w:val="00717E02"/>
    <w:rsid w:val="00724023"/>
    <w:rsid w:val="00724CED"/>
    <w:rsid w:val="00725992"/>
    <w:rsid w:val="00726702"/>
    <w:rsid w:val="00730E43"/>
    <w:rsid w:val="00733441"/>
    <w:rsid w:val="00741E71"/>
    <w:rsid w:val="00752B58"/>
    <w:rsid w:val="00756157"/>
    <w:rsid w:val="00761CD7"/>
    <w:rsid w:val="0077161F"/>
    <w:rsid w:val="007730AB"/>
    <w:rsid w:val="00784954"/>
    <w:rsid w:val="00793ABA"/>
    <w:rsid w:val="00793CD1"/>
    <w:rsid w:val="00796224"/>
    <w:rsid w:val="007A4ED5"/>
    <w:rsid w:val="007A573D"/>
    <w:rsid w:val="007A612C"/>
    <w:rsid w:val="007B02A8"/>
    <w:rsid w:val="007B172E"/>
    <w:rsid w:val="007B7E5D"/>
    <w:rsid w:val="007C32E4"/>
    <w:rsid w:val="007C5FA9"/>
    <w:rsid w:val="007C7599"/>
    <w:rsid w:val="007D2C81"/>
    <w:rsid w:val="007D7583"/>
    <w:rsid w:val="007E6875"/>
    <w:rsid w:val="007F0033"/>
    <w:rsid w:val="007F0EF1"/>
    <w:rsid w:val="00800652"/>
    <w:rsid w:val="00800EE0"/>
    <w:rsid w:val="008019C9"/>
    <w:rsid w:val="00801F91"/>
    <w:rsid w:val="008058E2"/>
    <w:rsid w:val="008129B7"/>
    <w:rsid w:val="008136DF"/>
    <w:rsid w:val="00814C36"/>
    <w:rsid w:val="00820C77"/>
    <w:rsid w:val="00820E8E"/>
    <w:rsid w:val="00821B52"/>
    <w:rsid w:val="00823B0F"/>
    <w:rsid w:val="00826094"/>
    <w:rsid w:val="00850918"/>
    <w:rsid w:val="008533CA"/>
    <w:rsid w:val="00857193"/>
    <w:rsid w:val="00862499"/>
    <w:rsid w:val="00862732"/>
    <w:rsid w:val="00871E2B"/>
    <w:rsid w:val="00872A67"/>
    <w:rsid w:val="008734BF"/>
    <w:rsid w:val="008738F4"/>
    <w:rsid w:val="0088132A"/>
    <w:rsid w:val="00881B96"/>
    <w:rsid w:val="00886111"/>
    <w:rsid w:val="0088729F"/>
    <w:rsid w:val="00887FC3"/>
    <w:rsid w:val="00893A31"/>
    <w:rsid w:val="008A09E8"/>
    <w:rsid w:val="008A1C39"/>
    <w:rsid w:val="008A371B"/>
    <w:rsid w:val="008B29E1"/>
    <w:rsid w:val="008B692B"/>
    <w:rsid w:val="008B7A0E"/>
    <w:rsid w:val="008C2136"/>
    <w:rsid w:val="008C2820"/>
    <w:rsid w:val="008C700A"/>
    <w:rsid w:val="008D058E"/>
    <w:rsid w:val="008D2B45"/>
    <w:rsid w:val="008D2DA9"/>
    <w:rsid w:val="008D6CD5"/>
    <w:rsid w:val="008D78A7"/>
    <w:rsid w:val="008F28CA"/>
    <w:rsid w:val="008F36EE"/>
    <w:rsid w:val="009013E7"/>
    <w:rsid w:val="0090149C"/>
    <w:rsid w:val="009057D7"/>
    <w:rsid w:val="0091294A"/>
    <w:rsid w:val="00913F0F"/>
    <w:rsid w:val="00922B2E"/>
    <w:rsid w:val="00927ABC"/>
    <w:rsid w:val="00932BFC"/>
    <w:rsid w:val="00943355"/>
    <w:rsid w:val="00947323"/>
    <w:rsid w:val="00947B91"/>
    <w:rsid w:val="00950C3E"/>
    <w:rsid w:val="00951515"/>
    <w:rsid w:val="00954093"/>
    <w:rsid w:val="00960D23"/>
    <w:rsid w:val="00961906"/>
    <w:rsid w:val="00961ED5"/>
    <w:rsid w:val="00964290"/>
    <w:rsid w:val="009653F0"/>
    <w:rsid w:val="00966911"/>
    <w:rsid w:val="00971DE6"/>
    <w:rsid w:val="00974700"/>
    <w:rsid w:val="009752E4"/>
    <w:rsid w:val="00980A02"/>
    <w:rsid w:val="00981696"/>
    <w:rsid w:val="00986BF4"/>
    <w:rsid w:val="0099389F"/>
    <w:rsid w:val="00996009"/>
    <w:rsid w:val="009965B4"/>
    <w:rsid w:val="009A1FBB"/>
    <w:rsid w:val="009A66EB"/>
    <w:rsid w:val="009B138F"/>
    <w:rsid w:val="009B2156"/>
    <w:rsid w:val="009B2EC0"/>
    <w:rsid w:val="009C0778"/>
    <w:rsid w:val="009C173C"/>
    <w:rsid w:val="009D0591"/>
    <w:rsid w:val="009D21CB"/>
    <w:rsid w:val="009D3133"/>
    <w:rsid w:val="009E189B"/>
    <w:rsid w:val="009E30A7"/>
    <w:rsid w:val="009F4108"/>
    <w:rsid w:val="00A0216D"/>
    <w:rsid w:val="00A0474F"/>
    <w:rsid w:val="00A06B28"/>
    <w:rsid w:val="00A16699"/>
    <w:rsid w:val="00A216B0"/>
    <w:rsid w:val="00A245CC"/>
    <w:rsid w:val="00A24BC0"/>
    <w:rsid w:val="00A25ED5"/>
    <w:rsid w:val="00A35C4E"/>
    <w:rsid w:val="00A37567"/>
    <w:rsid w:val="00A37E2F"/>
    <w:rsid w:val="00A41A10"/>
    <w:rsid w:val="00A427A2"/>
    <w:rsid w:val="00A46856"/>
    <w:rsid w:val="00A53E4B"/>
    <w:rsid w:val="00A56BC0"/>
    <w:rsid w:val="00A60028"/>
    <w:rsid w:val="00A619DD"/>
    <w:rsid w:val="00A67AC7"/>
    <w:rsid w:val="00A75CF0"/>
    <w:rsid w:val="00A7746E"/>
    <w:rsid w:val="00A83D8F"/>
    <w:rsid w:val="00A84CF3"/>
    <w:rsid w:val="00A8653A"/>
    <w:rsid w:val="00A92D1F"/>
    <w:rsid w:val="00A93B94"/>
    <w:rsid w:val="00A9586D"/>
    <w:rsid w:val="00A96B13"/>
    <w:rsid w:val="00AA1221"/>
    <w:rsid w:val="00AA1F5E"/>
    <w:rsid w:val="00AA4C9F"/>
    <w:rsid w:val="00AA5F05"/>
    <w:rsid w:val="00AB3DFD"/>
    <w:rsid w:val="00AC09B1"/>
    <w:rsid w:val="00AC1170"/>
    <w:rsid w:val="00AC18FA"/>
    <w:rsid w:val="00AC2B25"/>
    <w:rsid w:val="00AC30F5"/>
    <w:rsid w:val="00AC408D"/>
    <w:rsid w:val="00AC4CD8"/>
    <w:rsid w:val="00AC7798"/>
    <w:rsid w:val="00AD4F16"/>
    <w:rsid w:val="00AD52F9"/>
    <w:rsid w:val="00AE0C0D"/>
    <w:rsid w:val="00AE133F"/>
    <w:rsid w:val="00AE31C0"/>
    <w:rsid w:val="00AE45FB"/>
    <w:rsid w:val="00AE5E74"/>
    <w:rsid w:val="00AF4952"/>
    <w:rsid w:val="00B054EE"/>
    <w:rsid w:val="00B05A51"/>
    <w:rsid w:val="00B07D18"/>
    <w:rsid w:val="00B10150"/>
    <w:rsid w:val="00B11B10"/>
    <w:rsid w:val="00B171C1"/>
    <w:rsid w:val="00B24731"/>
    <w:rsid w:val="00B24CE3"/>
    <w:rsid w:val="00B264B6"/>
    <w:rsid w:val="00B30257"/>
    <w:rsid w:val="00B34D4C"/>
    <w:rsid w:val="00B35BE7"/>
    <w:rsid w:val="00B3778D"/>
    <w:rsid w:val="00B4645E"/>
    <w:rsid w:val="00B61F98"/>
    <w:rsid w:val="00B64D16"/>
    <w:rsid w:val="00B76368"/>
    <w:rsid w:val="00B77AB4"/>
    <w:rsid w:val="00B82662"/>
    <w:rsid w:val="00B8556B"/>
    <w:rsid w:val="00B90B22"/>
    <w:rsid w:val="00B94FB4"/>
    <w:rsid w:val="00B95418"/>
    <w:rsid w:val="00B9689D"/>
    <w:rsid w:val="00B968EB"/>
    <w:rsid w:val="00B96E69"/>
    <w:rsid w:val="00B96FFE"/>
    <w:rsid w:val="00BA34EF"/>
    <w:rsid w:val="00BB3878"/>
    <w:rsid w:val="00BB740A"/>
    <w:rsid w:val="00BC2105"/>
    <w:rsid w:val="00BD1524"/>
    <w:rsid w:val="00BD1B82"/>
    <w:rsid w:val="00BD2B50"/>
    <w:rsid w:val="00BF045D"/>
    <w:rsid w:val="00BF2EC9"/>
    <w:rsid w:val="00BF3233"/>
    <w:rsid w:val="00C03375"/>
    <w:rsid w:val="00C11386"/>
    <w:rsid w:val="00C3398C"/>
    <w:rsid w:val="00C345CB"/>
    <w:rsid w:val="00C37B5A"/>
    <w:rsid w:val="00C4021B"/>
    <w:rsid w:val="00C40F5B"/>
    <w:rsid w:val="00C421B6"/>
    <w:rsid w:val="00C43874"/>
    <w:rsid w:val="00C448AF"/>
    <w:rsid w:val="00C5737D"/>
    <w:rsid w:val="00C574A2"/>
    <w:rsid w:val="00C63B06"/>
    <w:rsid w:val="00C71DBB"/>
    <w:rsid w:val="00C82764"/>
    <w:rsid w:val="00C8430F"/>
    <w:rsid w:val="00C90FE1"/>
    <w:rsid w:val="00C95655"/>
    <w:rsid w:val="00CA05C9"/>
    <w:rsid w:val="00CA109A"/>
    <w:rsid w:val="00CA3CEF"/>
    <w:rsid w:val="00CB1B62"/>
    <w:rsid w:val="00CB3A39"/>
    <w:rsid w:val="00CB73F0"/>
    <w:rsid w:val="00CB7E60"/>
    <w:rsid w:val="00CC01E8"/>
    <w:rsid w:val="00CC5901"/>
    <w:rsid w:val="00CD175A"/>
    <w:rsid w:val="00CD19B5"/>
    <w:rsid w:val="00CD3A41"/>
    <w:rsid w:val="00CD4E13"/>
    <w:rsid w:val="00CD57DA"/>
    <w:rsid w:val="00CD7649"/>
    <w:rsid w:val="00CE1C75"/>
    <w:rsid w:val="00CE68CC"/>
    <w:rsid w:val="00CF04E8"/>
    <w:rsid w:val="00CF1DD1"/>
    <w:rsid w:val="00CF39E1"/>
    <w:rsid w:val="00CF44B8"/>
    <w:rsid w:val="00CF6F5D"/>
    <w:rsid w:val="00D02450"/>
    <w:rsid w:val="00D05DE6"/>
    <w:rsid w:val="00D21AF1"/>
    <w:rsid w:val="00D233A5"/>
    <w:rsid w:val="00D24AC5"/>
    <w:rsid w:val="00D33039"/>
    <w:rsid w:val="00D33B33"/>
    <w:rsid w:val="00D35BE0"/>
    <w:rsid w:val="00D412AC"/>
    <w:rsid w:val="00D418C9"/>
    <w:rsid w:val="00D43B85"/>
    <w:rsid w:val="00D44BD6"/>
    <w:rsid w:val="00D57D5F"/>
    <w:rsid w:val="00D71A59"/>
    <w:rsid w:val="00D71C93"/>
    <w:rsid w:val="00D72B83"/>
    <w:rsid w:val="00D84A68"/>
    <w:rsid w:val="00D96109"/>
    <w:rsid w:val="00DA0041"/>
    <w:rsid w:val="00DA48E6"/>
    <w:rsid w:val="00DB2452"/>
    <w:rsid w:val="00DC1514"/>
    <w:rsid w:val="00DC29F8"/>
    <w:rsid w:val="00DC3DED"/>
    <w:rsid w:val="00DC6319"/>
    <w:rsid w:val="00DC6640"/>
    <w:rsid w:val="00DC6D37"/>
    <w:rsid w:val="00DD469C"/>
    <w:rsid w:val="00DD70BB"/>
    <w:rsid w:val="00DE036E"/>
    <w:rsid w:val="00DE112F"/>
    <w:rsid w:val="00DE3676"/>
    <w:rsid w:val="00DE4E52"/>
    <w:rsid w:val="00DE78B5"/>
    <w:rsid w:val="00DF1CFD"/>
    <w:rsid w:val="00DF2C13"/>
    <w:rsid w:val="00E018F0"/>
    <w:rsid w:val="00E03BD5"/>
    <w:rsid w:val="00E04539"/>
    <w:rsid w:val="00E07171"/>
    <w:rsid w:val="00E118CF"/>
    <w:rsid w:val="00E12562"/>
    <w:rsid w:val="00E158BC"/>
    <w:rsid w:val="00E16109"/>
    <w:rsid w:val="00E168CE"/>
    <w:rsid w:val="00E261DE"/>
    <w:rsid w:val="00E26EC4"/>
    <w:rsid w:val="00E27211"/>
    <w:rsid w:val="00E317F0"/>
    <w:rsid w:val="00E31EFE"/>
    <w:rsid w:val="00E36079"/>
    <w:rsid w:val="00E36ADB"/>
    <w:rsid w:val="00E42697"/>
    <w:rsid w:val="00E47EC1"/>
    <w:rsid w:val="00E551A2"/>
    <w:rsid w:val="00E55285"/>
    <w:rsid w:val="00E60D02"/>
    <w:rsid w:val="00E61330"/>
    <w:rsid w:val="00E63023"/>
    <w:rsid w:val="00E65D92"/>
    <w:rsid w:val="00E70865"/>
    <w:rsid w:val="00E722DD"/>
    <w:rsid w:val="00E85E35"/>
    <w:rsid w:val="00E92061"/>
    <w:rsid w:val="00E94E39"/>
    <w:rsid w:val="00E9708D"/>
    <w:rsid w:val="00EA28DE"/>
    <w:rsid w:val="00EA42E0"/>
    <w:rsid w:val="00EA656B"/>
    <w:rsid w:val="00EB0A5C"/>
    <w:rsid w:val="00EB2592"/>
    <w:rsid w:val="00EB4835"/>
    <w:rsid w:val="00EB59A4"/>
    <w:rsid w:val="00EC0ACB"/>
    <w:rsid w:val="00EC5664"/>
    <w:rsid w:val="00EC65D7"/>
    <w:rsid w:val="00EC7F41"/>
    <w:rsid w:val="00ED4792"/>
    <w:rsid w:val="00ED6455"/>
    <w:rsid w:val="00ED706E"/>
    <w:rsid w:val="00EE09F0"/>
    <w:rsid w:val="00EE0A6C"/>
    <w:rsid w:val="00EE3E46"/>
    <w:rsid w:val="00EE7300"/>
    <w:rsid w:val="00F039DA"/>
    <w:rsid w:val="00F05E55"/>
    <w:rsid w:val="00F0685C"/>
    <w:rsid w:val="00F11991"/>
    <w:rsid w:val="00F17F59"/>
    <w:rsid w:val="00F20E2C"/>
    <w:rsid w:val="00F231E3"/>
    <w:rsid w:val="00F307B9"/>
    <w:rsid w:val="00F31975"/>
    <w:rsid w:val="00F32783"/>
    <w:rsid w:val="00F33081"/>
    <w:rsid w:val="00F357A2"/>
    <w:rsid w:val="00F373BD"/>
    <w:rsid w:val="00F5128C"/>
    <w:rsid w:val="00F517B2"/>
    <w:rsid w:val="00F66024"/>
    <w:rsid w:val="00F70194"/>
    <w:rsid w:val="00F75183"/>
    <w:rsid w:val="00F772A5"/>
    <w:rsid w:val="00F84A5F"/>
    <w:rsid w:val="00F902A3"/>
    <w:rsid w:val="00F96D09"/>
    <w:rsid w:val="00FA23B5"/>
    <w:rsid w:val="00FA5299"/>
    <w:rsid w:val="00FB149D"/>
    <w:rsid w:val="00FB2669"/>
    <w:rsid w:val="00FB2736"/>
    <w:rsid w:val="00FC18FF"/>
    <w:rsid w:val="00FC748B"/>
    <w:rsid w:val="00FC7631"/>
    <w:rsid w:val="00FD138D"/>
    <w:rsid w:val="00FD6220"/>
    <w:rsid w:val="00FE0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ADB"/>
    <w:pPr>
      <w:spacing w:before="160" w:after="160" w:line="300" w:lineRule="atLeast"/>
      <w:jc w:val="both"/>
    </w:pPr>
    <w:rPr>
      <w:rFonts w:ascii="Arial" w:hAnsi="Arial"/>
      <w:lang w:eastAsia="en-US"/>
    </w:rPr>
  </w:style>
  <w:style w:type="paragraph" w:styleId="Heading1">
    <w:name w:val="heading 1"/>
    <w:basedOn w:val="BodyText"/>
    <w:next w:val="BodyText"/>
    <w:qFormat/>
    <w:rsid w:val="00EA656B"/>
    <w:pPr>
      <w:keepNext/>
      <w:numPr>
        <w:ilvl w:val="0"/>
      </w:numPr>
      <w:spacing w:before="240" w:after="240"/>
      <w:outlineLvl w:val="0"/>
    </w:pPr>
    <w:rPr>
      <w:b/>
      <w:sz w:val="28"/>
    </w:rPr>
  </w:style>
  <w:style w:type="paragraph" w:styleId="Heading2">
    <w:name w:val="heading 2"/>
    <w:basedOn w:val="BodyText"/>
    <w:next w:val="BodyText2"/>
    <w:qFormat/>
    <w:rsid w:val="00EA656B"/>
    <w:pPr>
      <w:keepNext/>
      <w:numPr>
        <w:ilvl w:val="1"/>
      </w:numPr>
      <w:spacing w:before="60"/>
      <w:outlineLvl w:val="1"/>
    </w:pPr>
    <w:rPr>
      <w:b/>
      <w:i/>
      <w:sz w:val="24"/>
    </w:rPr>
  </w:style>
  <w:style w:type="paragraph" w:styleId="Heading3">
    <w:name w:val="heading 3"/>
    <w:basedOn w:val="BodyText"/>
    <w:next w:val="BodyText"/>
    <w:qFormat/>
    <w:rsid w:val="00814C36"/>
    <w:pPr>
      <w:keepNext/>
      <w:numPr>
        <w:numId w:val="3"/>
      </w:numPr>
      <w:spacing w:before="240" w:after="60"/>
      <w:outlineLvl w:val="2"/>
    </w:pPr>
    <w:rPr>
      <w:b/>
      <w:sz w:val="24"/>
    </w:rPr>
  </w:style>
  <w:style w:type="paragraph" w:styleId="Heading4">
    <w:name w:val="heading 4"/>
    <w:basedOn w:val="BodyText"/>
    <w:next w:val="BodyText"/>
    <w:link w:val="Heading4Char"/>
    <w:qFormat/>
    <w:rsid w:val="00814C36"/>
    <w:pPr>
      <w:keepNext/>
      <w:numPr>
        <w:ilvl w:val="0"/>
        <w:numId w:val="0"/>
      </w:numPr>
      <w:spacing w:before="40" w:after="40"/>
      <w:outlineLvl w:val="3"/>
    </w:pPr>
    <w:rPr>
      <w:b/>
    </w:rPr>
  </w:style>
  <w:style w:type="paragraph" w:styleId="Heading5">
    <w:name w:val="heading 5"/>
    <w:basedOn w:val="Normal"/>
    <w:next w:val="Normal"/>
    <w:qFormat/>
    <w:rsid w:val="00814C36"/>
    <w:pPr>
      <w:keepNext/>
      <w:numPr>
        <w:ilvl w:val="4"/>
        <w:numId w:val="3"/>
      </w:numPr>
      <w:outlineLvl w:val="4"/>
    </w:pPr>
    <w:rPr>
      <w:b/>
      <w:u w:val="single"/>
    </w:rPr>
  </w:style>
  <w:style w:type="paragraph" w:styleId="Heading6">
    <w:name w:val="heading 6"/>
    <w:basedOn w:val="Normal"/>
    <w:next w:val="Normal"/>
    <w:qFormat/>
    <w:rsid w:val="00814C36"/>
    <w:pPr>
      <w:keepNext/>
      <w:numPr>
        <w:ilvl w:val="5"/>
        <w:numId w:val="3"/>
      </w:numPr>
      <w:outlineLvl w:val="5"/>
    </w:pPr>
    <w:rPr>
      <w:b/>
    </w:rPr>
  </w:style>
  <w:style w:type="paragraph" w:styleId="Heading7">
    <w:name w:val="heading 7"/>
    <w:basedOn w:val="Normal"/>
    <w:next w:val="Normal"/>
    <w:qFormat/>
    <w:rsid w:val="00814C36"/>
    <w:pPr>
      <w:numPr>
        <w:ilvl w:val="6"/>
        <w:numId w:val="3"/>
      </w:numPr>
      <w:spacing w:before="240" w:after="60"/>
      <w:outlineLvl w:val="6"/>
    </w:pPr>
  </w:style>
  <w:style w:type="paragraph" w:styleId="Heading8">
    <w:name w:val="heading 8"/>
    <w:basedOn w:val="Normal"/>
    <w:next w:val="Normal"/>
    <w:qFormat/>
    <w:rsid w:val="00814C36"/>
    <w:pPr>
      <w:numPr>
        <w:ilvl w:val="7"/>
        <w:numId w:val="3"/>
      </w:numPr>
      <w:spacing w:before="240" w:after="60"/>
      <w:outlineLvl w:val="7"/>
    </w:pPr>
    <w:rPr>
      <w:i/>
    </w:rPr>
  </w:style>
  <w:style w:type="paragraph" w:styleId="Heading9">
    <w:name w:val="heading 9"/>
    <w:basedOn w:val="Normal"/>
    <w:next w:val="Normal"/>
    <w:qFormat/>
    <w:rsid w:val="00814C36"/>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CA109A"/>
    <w:pPr>
      <w:jc w:val="center"/>
    </w:pPr>
    <w:rPr>
      <w:b/>
    </w:rPr>
  </w:style>
  <w:style w:type="paragraph" w:customStyle="1" w:styleId="ChartSecondHeading">
    <w:name w:val="Chart Second Heading"/>
    <w:basedOn w:val="SingleParagraph"/>
    <w:next w:val="Normal"/>
    <w:rsid w:val="00CA109A"/>
    <w:pPr>
      <w:jc w:val="center"/>
    </w:pPr>
  </w:style>
  <w:style w:type="paragraph" w:customStyle="1" w:styleId="TableMainHeading">
    <w:name w:val="Table Main Heading"/>
    <w:basedOn w:val="ChartMainHeading"/>
    <w:next w:val="Normal"/>
    <w:rsid w:val="00AE31C0"/>
    <w:pPr>
      <w:jc w:val="left"/>
    </w:pPr>
  </w:style>
  <w:style w:type="paragraph" w:styleId="Header">
    <w:name w:val="header"/>
    <w:basedOn w:val="Normal"/>
    <w:rsid w:val="005D3941"/>
    <w:pPr>
      <w:tabs>
        <w:tab w:val="center" w:pos="4153"/>
        <w:tab w:val="right" w:pos="8306"/>
      </w:tabs>
    </w:pPr>
    <w:rPr>
      <w:b/>
    </w:rPr>
  </w:style>
  <w:style w:type="paragraph" w:styleId="Footer">
    <w:name w:val="footer"/>
    <w:basedOn w:val="Normal"/>
    <w:rsid w:val="005D3941"/>
    <w:pPr>
      <w:tabs>
        <w:tab w:val="center" w:pos="4153"/>
        <w:tab w:val="right" w:pos="8306"/>
      </w:tabs>
    </w:pPr>
  </w:style>
  <w:style w:type="paragraph" w:styleId="BodyText">
    <w:name w:val="Body Text"/>
    <w:basedOn w:val="Normal"/>
    <w:link w:val="BodyTextChar"/>
    <w:rsid w:val="00EA656B"/>
    <w:pPr>
      <w:numPr>
        <w:ilvl w:val="2"/>
        <w:numId w:val="4"/>
      </w:numPr>
    </w:pPr>
  </w:style>
  <w:style w:type="paragraph" w:customStyle="1" w:styleId="Bullet">
    <w:name w:val="Bullet"/>
    <w:basedOn w:val="Normal"/>
    <w:link w:val="BulletChar"/>
    <w:rsid w:val="005F3F4D"/>
    <w:pPr>
      <w:numPr>
        <w:numId w:val="1"/>
      </w:numPr>
    </w:pPr>
  </w:style>
  <w:style w:type="paragraph" w:styleId="Caption">
    <w:name w:val="caption"/>
    <w:basedOn w:val="Normal"/>
    <w:next w:val="BodyText"/>
    <w:qFormat/>
    <w:rsid w:val="005D3941"/>
    <w:pPr>
      <w:keepNext/>
    </w:pPr>
    <w:rPr>
      <w:u w:val="single"/>
    </w:rPr>
  </w:style>
  <w:style w:type="character" w:styleId="FootnoteReference">
    <w:name w:val="footnote reference"/>
    <w:basedOn w:val="DefaultParagraphFont"/>
    <w:uiPriority w:val="99"/>
    <w:semiHidden/>
    <w:rsid w:val="005D3941"/>
    <w:rPr>
      <w:vertAlign w:val="superscript"/>
    </w:rPr>
  </w:style>
  <w:style w:type="paragraph" w:styleId="FootnoteText">
    <w:name w:val="footnote text"/>
    <w:basedOn w:val="Normal"/>
    <w:link w:val="FootnoteTextChar"/>
    <w:uiPriority w:val="99"/>
    <w:semiHidden/>
    <w:rsid w:val="005D3941"/>
    <w:pPr>
      <w:spacing w:after="240"/>
    </w:pPr>
    <w:rPr>
      <w:sz w:val="18"/>
    </w:rPr>
  </w:style>
  <w:style w:type="character" w:styleId="Hyperlink">
    <w:name w:val="Hyperlink"/>
    <w:basedOn w:val="DefaultParagraphFont"/>
    <w:uiPriority w:val="99"/>
    <w:rsid w:val="00EE7300"/>
    <w:rPr>
      <w:rFonts w:ascii="Arial" w:hAnsi="Arial"/>
      <w:color w:val="0000FF"/>
      <w:sz w:val="20"/>
      <w:szCs w:val="20"/>
      <w:u w:val="single"/>
    </w:rPr>
  </w:style>
  <w:style w:type="character" w:styleId="PageNumber">
    <w:name w:val="page number"/>
    <w:basedOn w:val="DefaultParagraphFont"/>
    <w:rsid w:val="005D3941"/>
  </w:style>
  <w:style w:type="paragraph" w:customStyle="1" w:styleId="ReportTitle">
    <w:name w:val="Report Title"/>
    <w:basedOn w:val="Normal"/>
    <w:rsid w:val="00951515"/>
    <w:pPr>
      <w:spacing w:before="4791" w:after="720"/>
      <w:jc w:val="center"/>
    </w:pPr>
    <w:rPr>
      <w:b/>
      <w:caps/>
      <w:sz w:val="32"/>
    </w:rPr>
  </w:style>
  <w:style w:type="paragraph" w:customStyle="1" w:styleId="signaturename">
    <w:name w:val="signature name"/>
    <w:basedOn w:val="Normal"/>
    <w:next w:val="Normal"/>
    <w:rsid w:val="005D3941"/>
    <w:pPr>
      <w:spacing w:before="1200" w:after="0"/>
    </w:pPr>
  </w:style>
  <w:style w:type="paragraph" w:customStyle="1" w:styleId="signaturetitle">
    <w:name w:val="signature title"/>
    <w:basedOn w:val="Normal"/>
    <w:next w:val="Normal"/>
    <w:rsid w:val="00E31EFE"/>
    <w:pPr>
      <w:spacing w:before="240" w:after="0"/>
    </w:pPr>
  </w:style>
  <w:style w:type="paragraph" w:customStyle="1" w:styleId="table">
    <w:name w:val="table"/>
    <w:basedOn w:val="Normal"/>
    <w:rsid w:val="005D3941"/>
    <w:pPr>
      <w:spacing w:before="100"/>
      <w:ind w:left="113"/>
    </w:pPr>
  </w:style>
  <w:style w:type="paragraph" w:customStyle="1" w:styleId="TableofContentsTitle">
    <w:name w:val="Table of Contents Title"/>
    <w:basedOn w:val="Normal"/>
    <w:next w:val="Normal"/>
    <w:rsid w:val="005D3941"/>
    <w:rPr>
      <w:b/>
      <w:caps/>
      <w:sz w:val="28"/>
    </w:rPr>
  </w:style>
  <w:style w:type="paragraph" w:styleId="TableofFigures">
    <w:name w:val="table of figures"/>
    <w:basedOn w:val="Normal"/>
    <w:next w:val="Normal"/>
    <w:semiHidden/>
    <w:rsid w:val="005D3941"/>
    <w:pPr>
      <w:tabs>
        <w:tab w:val="left" w:pos="851"/>
        <w:tab w:val="right" w:pos="8307"/>
      </w:tabs>
      <w:ind w:left="851" w:right="567" w:hanging="851"/>
    </w:pPr>
  </w:style>
  <w:style w:type="paragraph" w:customStyle="1" w:styleId="TableText">
    <w:name w:val="Table Text"/>
    <w:basedOn w:val="BodyText"/>
    <w:rsid w:val="001F40FE"/>
    <w:pPr>
      <w:numPr>
        <w:ilvl w:val="0"/>
        <w:numId w:val="0"/>
      </w:numPr>
      <w:spacing w:before="60" w:after="60"/>
    </w:pPr>
  </w:style>
  <w:style w:type="paragraph" w:styleId="TOC1">
    <w:name w:val="toc 1"/>
    <w:basedOn w:val="Normal"/>
    <w:next w:val="Normal"/>
    <w:uiPriority w:val="39"/>
    <w:rsid w:val="00AA4C9F"/>
    <w:pPr>
      <w:tabs>
        <w:tab w:val="left" w:pos="567"/>
        <w:tab w:val="right" w:leader="dot" w:pos="8301"/>
      </w:tabs>
      <w:spacing w:before="360" w:after="0"/>
    </w:pPr>
    <w:rPr>
      <w:rFonts w:cs="Arial"/>
      <w:b/>
      <w:bCs/>
      <w:caps/>
      <w:sz w:val="24"/>
      <w:szCs w:val="24"/>
    </w:rPr>
  </w:style>
  <w:style w:type="paragraph" w:styleId="TOC2">
    <w:name w:val="toc 2"/>
    <w:basedOn w:val="Normal"/>
    <w:next w:val="Normal"/>
    <w:uiPriority w:val="39"/>
    <w:rsid w:val="005D3941"/>
    <w:pPr>
      <w:spacing w:before="240" w:after="0"/>
    </w:pPr>
    <w:rPr>
      <w:rFonts w:ascii="Times New Roman" w:hAnsi="Times New Roman"/>
      <w:b/>
      <w:bCs/>
    </w:rPr>
  </w:style>
  <w:style w:type="paragraph" w:styleId="TOC3">
    <w:name w:val="toc 3"/>
    <w:basedOn w:val="Normal"/>
    <w:next w:val="Normal"/>
    <w:semiHidden/>
    <w:rsid w:val="005D3941"/>
    <w:pPr>
      <w:spacing w:before="0" w:after="0"/>
      <w:ind w:left="220"/>
    </w:pPr>
    <w:rPr>
      <w:rFonts w:ascii="Times New Roman" w:hAnsi="Times New Roman"/>
    </w:rPr>
  </w:style>
  <w:style w:type="paragraph" w:styleId="TOC4">
    <w:name w:val="toc 4"/>
    <w:basedOn w:val="Normal"/>
    <w:next w:val="Normal"/>
    <w:semiHidden/>
    <w:rsid w:val="005D3941"/>
    <w:pPr>
      <w:spacing w:before="0" w:after="0"/>
      <w:ind w:left="440"/>
    </w:pPr>
    <w:rPr>
      <w:rFonts w:ascii="Times New Roman" w:hAnsi="Times New Roman"/>
    </w:rPr>
  </w:style>
  <w:style w:type="paragraph" w:styleId="TOC5">
    <w:name w:val="toc 5"/>
    <w:basedOn w:val="Normal"/>
    <w:next w:val="Normal"/>
    <w:semiHidden/>
    <w:rsid w:val="005D3941"/>
    <w:pPr>
      <w:spacing w:before="0" w:after="0"/>
      <w:ind w:left="660"/>
    </w:pPr>
    <w:rPr>
      <w:rFonts w:ascii="Times New Roman" w:hAnsi="Times New Roman"/>
    </w:rPr>
  </w:style>
  <w:style w:type="paragraph" w:styleId="TOC6">
    <w:name w:val="toc 6"/>
    <w:basedOn w:val="Normal"/>
    <w:next w:val="Normal"/>
    <w:semiHidden/>
    <w:rsid w:val="005D3941"/>
    <w:pPr>
      <w:spacing w:before="0" w:after="0"/>
      <w:ind w:left="880"/>
    </w:pPr>
    <w:rPr>
      <w:rFonts w:ascii="Times New Roman" w:hAnsi="Times New Roman"/>
    </w:rPr>
  </w:style>
  <w:style w:type="paragraph" w:styleId="TOC7">
    <w:name w:val="toc 7"/>
    <w:basedOn w:val="Normal"/>
    <w:next w:val="Normal"/>
    <w:semiHidden/>
    <w:rsid w:val="005D3941"/>
    <w:pPr>
      <w:spacing w:before="0" w:after="0"/>
      <w:ind w:left="1100"/>
    </w:pPr>
    <w:rPr>
      <w:rFonts w:ascii="Times New Roman" w:hAnsi="Times New Roman"/>
    </w:rPr>
  </w:style>
  <w:style w:type="paragraph" w:styleId="TOC8">
    <w:name w:val="toc 8"/>
    <w:basedOn w:val="Normal"/>
    <w:next w:val="Normal"/>
    <w:semiHidden/>
    <w:rsid w:val="005D3941"/>
    <w:pPr>
      <w:spacing w:before="0" w:after="0"/>
      <w:ind w:left="1320"/>
    </w:pPr>
    <w:rPr>
      <w:rFonts w:ascii="Times New Roman" w:hAnsi="Times New Roman"/>
    </w:rPr>
  </w:style>
  <w:style w:type="paragraph" w:styleId="TOC9">
    <w:name w:val="toc 9"/>
    <w:basedOn w:val="Normal"/>
    <w:next w:val="Normal"/>
    <w:semiHidden/>
    <w:rsid w:val="005D3941"/>
    <w:pPr>
      <w:spacing w:before="0" w:after="0"/>
      <w:ind w:left="1540"/>
    </w:pPr>
    <w:rPr>
      <w:rFonts w:ascii="Times New Roman" w:hAnsi="Times New Roman"/>
    </w:rPr>
  </w:style>
  <w:style w:type="paragraph" w:customStyle="1" w:styleId="Dash">
    <w:name w:val="Dash"/>
    <w:basedOn w:val="Normal"/>
    <w:rsid w:val="005F3F4D"/>
    <w:pPr>
      <w:numPr>
        <w:ilvl w:val="1"/>
        <w:numId w:val="1"/>
      </w:numPr>
    </w:pPr>
  </w:style>
  <w:style w:type="paragraph" w:customStyle="1" w:styleId="DoubleDot">
    <w:name w:val="Double Dot"/>
    <w:basedOn w:val="Normal"/>
    <w:rsid w:val="005F3F4D"/>
    <w:pPr>
      <w:numPr>
        <w:ilvl w:val="2"/>
        <w:numId w:val="1"/>
      </w:numPr>
    </w:pPr>
  </w:style>
  <w:style w:type="table" w:styleId="TableGrid">
    <w:name w:val="Table Grid"/>
    <w:basedOn w:val="TableNormal"/>
    <w:rsid w:val="00D72B8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Table">
    <w:name w:val="Std Table"/>
    <w:basedOn w:val="TableNormal"/>
    <w:rsid w:val="00D72B83"/>
    <w:pPr>
      <w:spacing w:before="120" w:after="120"/>
    </w:pPr>
    <w:rPr>
      <w:rFonts w:ascii="Trebuchet MS" w:hAnsi="Trebuchet MS"/>
    </w:rPr>
    <w:tblPr>
      <w:tblBorders>
        <w:top w:val="double" w:sz="4" w:space="0" w:color="auto"/>
        <w:left w:val="double" w:sz="4" w:space="0" w:color="auto"/>
        <w:bottom w:val="double" w:sz="4" w:space="0" w:color="auto"/>
        <w:right w:val="double" w:sz="4" w:space="0" w:color="auto"/>
      </w:tblBorders>
    </w:tblPr>
    <w:tblStylePr w:type="firstRow">
      <w:pPr>
        <w:wordWrap/>
        <w:spacing w:beforeLines="0"/>
        <w:jc w:val="center"/>
      </w:pPr>
      <w:rPr>
        <w:rFonts w:ascii="Book Antiqua" w:hAnsi="Book Antiqua"/>
        <w:b/>
        <w:i w:val="0"/>
        <w:sz w:val="24"/>
        <w:szCs w:val="24"/>
      </w:rPr>
    </w:tblStylePr>
  </w:style>
  <w:style w:type="paragraph" w:customStyle="1" w:styleId="NoNumber">
    <w:name w:val="No Number"/>
    <w:basedOn w:val="Normal"/>
    <w:rsid w:val="00D72B83"/>
    <w:pPr>
      <w:ind w:left="851"/>
    </w:pPr>
  </w:style>
  <w:style w:type="paragraph" w:customStyle="1" w:styleId="Appendix">
    <w:name w:val="Appendix"/>
    <w:basedOn w:val="Normal"/>
    <w:next w:val="BodyText"/>
    <w:rsid w:val="000A2DB0"/>
    <w:rPr>
      <w:b/>
      <w:sz w:val="28"/>
      <w:szCs w:val="28"/>
    </w:rPr>
  </w:style>
  <w:style w:type="paragraph" w:styleId="BodyText2">
    <w:name w:val="Body Text 2"/>
    <w:basedOn w:val="Normal"/>
    <w:rsid w:val="00EA656B"/>
    <w:pPr>
      <w:numPr>
        <w:ilvl w:val="3"/>
        <w:numId w:val="4"/>
      </w:numPr>
    </w:pPr>
  </w:style>
  <w:style w:type="paragraph" w:customStyle="1" w:styleId="NumberedParagraph">
    <w:name w:val="Numbered Paragraph"/>
    <w:basedOn w:val="Normal"/>
    <w:rsid w:val="005F2146"/>
    <w:pPr>
      <w:numPr>
        <w:numId w:val="2"/>
      </w:numPr>
      <w:tabs>
        <w:tab w:val="right" w:pos="9020"/>
      </w:tabs>
      <w:jc w:val="right"/>
    </w:pPr>
  </w:style>
  <w:style w:type="paragraph" w:styleId="BalloonText">
    <w:name w:val="Balloon Text"/>
    <w:basedOn w:val="Normal"/>
    <w:link w:val="BalloonTextChar"/>
    <w:rsid w:val="00F330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3081"/>
    <w:rPr>
      <w:rFonts w:ascii="Tahoma" w:hAnsi="Tahoma" w:cs="Tahoma"/>
      <w:sz w:val="16"/>
      <w:szCs w:val="16"/>
      <w:lang w:eastAsia="en-US"/>
    </w:rPr>
  </w:style>
  <w:style w:type="character" w:customStyle="1" w:styleId="BulletChar">
    <w:name w:val="Bullet Char"/>
    <w:basedOn w:val="DefaultParagraphFont"/>
    <w:link w:val="Bullet"/>
    <w:rsid w:val="005D6A2A"/>
    <w:rPr>
      <w:rFonts w:ascii="Arial" w:hAnsi="Arial"/>
      <w:lang w:eastAsia="en-US"/>
    </w:rPr>
  </w:style>
  <w:style w:type="paragraph" w:customStyle="1" w:styleId="OutlineNumbered1">
    <w:name w:val="Outline Numbered 1"/>
    <w:basedOn w:val="Normal"/>
    <w:link w:val="OutlineNumbered1Char"/>
    <w:rsid w:val="005D6A2A"/>
    <w:pPr>
      <w:numPr>
        <w:numId w:val="5"/>
      </w:numPr>
    </w:pPr>
  </w:style>
  <w:style w:type="character" w:customStyle="1" w:styleId="OutlineNumbered1Char">
    <w:name w:val="Outline Numbered 1 Char"/>
    <w:basedOn w:val="DefaultParagraphFont"/>
    <w:link w:val="OutlineNumbered1"/>
    <w:rsid w:val="005D6A2A"/>
    <w:rPr>
      <w:rFonts w:ascii="Arial" w:hAnsi="Arial"/>
      <w:lang w:eastAsia="en-US"/>
    </w:rPr>
  </w:style>
  <w:style w:type="paragraph" w:customStyle="1" w:styleId="OutlineNumbered2">
    <w:name w:val="Outline Numbered 2"/>
    <w:basedOn w:val="Normal"/>
    <w:link w:val="OutlineNumbered2Char"/>
    <w:rsid w:val="005D6A2A"/>
    <w:pPr>
      <w:numPr>
        <w:ilvl w:val="1"/>
        <w:numId w:val="5"/>
      </w:numPr>
    </w:pPr>
  </w:style>
  <w:style w:type="character" w:customStyle="1" w:styleId="OutlineNumbered2Char">
    <w:name w:val="Outline Numbered 2 Char"/>
    <w:basedOn w:val="DefaultParagraphFont"/>
    <w:link w:val="OutlineNumbered2"/>
    <w:rsid w:val="005D6A2A"/>
    <w:rPr>
      <w:rFonts w:ascii="Arial" w:hAnsi="Arial"/>
      <w:lang w:eastAsia="en-US"/>
    </w:rPr>
  </w:style>
  <w:style w:type="paragraph" w:customStyle="1" w:styleId="OutlineNumbered3">
    <w:name w:val="Outline Numbered 3"/>
    <w:basedOn w:val="Normal"/>
    <w:link w:val="OutlineNumbered3Char"/>
    <w:rsid w:val="005D6A2A"/>
    <w:pPr>
      <w:numPr>
        <w:ilvl w:val="2"/>
        <w:numId w:val="5"/>
      </w:numPr>
    </w:pPr>
  </w:style>
  <w:style w:type="character" w:customStyle="1" w:styleId="OutlineNumbered3Char">
    <w:name w:val="Outline Numbered 3 Char"/>
    <w:basedOn w:val="DefaultParagraphFont"/>
    <w:link w:val="OutlineNumbered3"/>
    <w:rsid w:val="005D6A2A"/>
    <w:rPr>
      <w:rFonts w:ascii="Arial" w:hAnsi="Arial"/>
      <w:lang w:eastAsia="en-US"/>
    </w:rPr>
  </w:style>
  <w:style w:type="character" w:customStyle="1" w:styleId="FootnoteTextChar">
    <w:name w:val="Footnote Text Char"/>
    <w:basedOn w:val="DefaultParagraphFont"/>
    <w:link w:val="FootnoteText"/>
    <w:uiPriority w:val="99"/>
    <w:semiHidden/>
    <w:rsid w:val="005D6A2A"/>
    <w:rPr>
      <w:rFonts w:ascii="Arial" w:hAnsi="Arial"/>
      <w:sz w:val="18"/>
      <w:lang w:eastAsia="en-US"/>
    </w:rPr>
  </w:style>
  <w:style w:type="character" w:customStyle="1" w:styleId="Heading4Char">
    <w:name w:val="Heading 4 Char"/>
    <w:basedOn w:val="DefaultParagraphFont"/>
    <w:link w:val="Heading4"/>
    <w:rsid w:val="00FA5299"/>
    <w:rPr>
      <w:rFonts w:ascii="Arial" w:hAnsi="Arial"/>
      <w:b/>
      <w:lang w:eastAsia="en-US"/>
    </w:rPr>
  </w:style>
  <w:style w:type="character" w:customStyle="1" w:styleId="BodyTextChar">
    <w:name w:val="Body Text Char"/>
    <w:basedOn w:val="DefaultParagraphFont"/>
    <w:link w:val="BodyText"/>
    <w:rsid w:val="00FA5299"/>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ADB"/>
    <w:pPr>
      <w:spacing w:before="160" w:after="160" w:line="300" w:lineRule="atLeast"/>
      <w:jc w:val="both"/>
    </w:pPr>
    <w:rPr>
      <w:rFonts w:ascii="Arial" w:hAnsi="Arial"/>
      <w:lang w:eastAsia="en-US"/>
    </w:rPr>
  </w:style>
  <w:style w:type="paragraph" w:styleId="Heading1">
    <w:name w:val="heading 1"/>
    <w:basedOn w:val="BodyText"/>
    <w:next w:val="BodyText"/>
    <w:qFormat/>
    <w:rsid w:val="00EA656B"/>
    <w:pPr>
      <w:keepNext/>
      <w:numPr>
        <w:ilvl w:val="0"/>
      </w:numPr>
      <w:spacing w:before="240" w:after="240"/>
      <w:outlineLvl w:val="0"/>
    </w:pPr>
    <w:rPr>
      <w:b/>
      <w:sz w:val="28"/>
    </w:rPr>
  </w:style>
  <w:style w:type="paragraph" w:styleId="Heading2">
    <w:name w:val="heading 2"/>
    <w:basedOn w:val="BodyText"/>
    <w:next w:val="BodyText2"/>
    <w:qFormat/>
    <w:rsid w:val="00EA656B"/>
    <w:pPr>
      <w:keepNext/>
      <w:numPr>
        <w:ilvl w:val="1"/>
      </w:numPr>
      <w:spacing w:before="60"/>
      <w:outlineLvl w:val="1"/>
    </w:pPr>
    <w:rPr>
      <w:b/>
      <w:i/>
      <w:sz w:val="24"/>
    </w:rPr>
  </w:style>
  <w:style w:type="paragraph" w:styleId="Heading3">
    <w:name w:val="heading 3"/>
    <w:basedOn w:val="BodyText"/>
    <w:next w:val="BodyText"/>
    <w:qFormat/>
    <w:rsid w:val="00814C36"/>
    <w:pPr>
      <w:keepNext/>
      <w:numPr>
        <w:numId w:val="3"/>
      </w:numPr>
      <w:spacing w:before="240" w:after="60"/>
      <w:outlineLvl w:val="2"/>
    </w:pPr>
    <w:rPr>
      <w:b/>
      <w:sz w:val="24"/>
    </w:rPr>
  </w:style>
  <w:style w:type="paragraph" w:styleId="Heading4">
    <w:name w:val="heading 4"/>
    <w:basedOn w:val="BodyText"/>
    <w:next w:val="BodyText"/>
    <w:link w:val="Heading4Char"/>
    <w:qFormat/>
    <w:rsid w:val="00814C36"/>
    <w:pPr>
      <w:keepNext/>
      <w:numPr>
        <w:ilvl w:val="0"/>
        <w:numId w:val="0"/>
      </w:numPr>
      <w:spacing w:before="40" w:after="40"/>
      <w:outlineLvl w:val="3"/>
    </w:pPr>
    <w:rPr>
      <w:b/>
    </w:rPr>
  </w:style>
  <w:style w:type="paragraph" w:styleId="Heading5">
    <w:name w:val="heading 5"/>
    <w:basedOn w:val="Normal"/>
    <w:next w:val="Normal"/>
    <w:qFormat/>
    <w:rsid w:val="00814C36"/>
    <w:pPr>
      <w:keepNext/>
      <w:numPr>
        <w:ilvl w:val="4"/>
        <w:numId w:val="3"/>
      </w:numPr>
      <w:outlineLvl w:val="4"/>
    </w:pPr>
    <w:rPr>
      <w:b/>
      <w:u w:val="single"/>
    </w:rPr>
  </w:style>
  <w:style w:type="paragraph" w:styleId="Heading6">
    <w:name w:val="heading 6"/>
    <w:basedOn w:val="Normal"/>
    <w:next w:val="Normal"/>
    <w:qFormat/>
    <w:rsid w:val="00814C36"/>
    <w:pPr>
      <w:keepNext/>
      <w:numPr>
        <w:ilvl w:val="5"/>
        <w:numId w:val="3"/>
      </w:numPr>
      <w:outlineLvl w:val="5"/>
    </w:pPr>
    <w:rPr>
      <w:b/>
    </w:rPr>
  </w:style>
  <w:style w:type="paragraph" w:styleId="Heading7">
    <w:name w:val="heading 7"/>
    <w:basedOn w:val="Normal"/>
    <w:next w:val="Normal"/>
    <w:qFormat/>
    <w:rsid w:val="00814C36"/>
    <w:pPr>
      <w:numPr>
        <w:ilvl w:val="6"/>
        <w:numId w:val="3"/>
      </w:numPr>
      <w:spacing w:before="240" w:after="60"/>
      <w:outlineLvl w:val="6"/>
    </w:pPr>
  </w:style>
  <w:style w:type="paragraph" w:styleId="Heading8">
    <w:name w:val="heading 8"/>
    <w:basedOn w:val="Normal"/>
    <w:next w:val="Normal"/>
    <w:qFormat/>
    <w:rsid w:val="00814C36"/>
    <w:pPr>
      <w:numPr>
        <w:ilvl w:val="7"/>
        <w:numId w:val="3"/>
      </w:numPr>
      <w:spacing w:before="240" w:after="60"/>
      <w:outlineLvl w:val="7"/>
    </w:pPr>
    <w:rPr>
      <w:i/>
    </w:rPr>
  </w:style>
  <w:style w:type="paragraph" w:styleId="Heading9">
    <w:name w:val="heading 9"/>
    <w:basedOn w:val="Normal"/>
    <w:next w:val="Normal"/>
    <w:qFormat/>
    <w:rsid w:val="00814C36"/>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CA109A"/>
    <w:pPr>
      <w:jc w:val="center"/>
    </w:pPr>
    <w:rPr>
      <w:b/>
    </w:rPr>
  </w:style>
  <w:style w:type="paragraph" w:customStyle="1" w:styleId="ChartSecondHeading">
    <w:name w:val="Chart Second Heading"/>
    <w:basedOn w:val="SingleParagraph"/>
    <w:next w:val="Normal"/>
    <w:rsid w:val="00CA109A"/>
    <w:pPr>
      <w:jc w:val="center"/>
    </w:pPr>
  </w:style>
  <w:style w:type="paragraph" w:customStyle="1" w:styleId="TableMainHeading">
    <w:name w:val="Table Main Heading"/>
    <w:basedOn w:val="ChartMainHeading"/>
    <w:next w:val="Normal"/>
    <w:rsid w:val="00AE31C0"/>
    <w:pPr>
      <w:jc w:val="left"/>
    </w:pPr>
  </w:style>
  <w:style w:type="paragraph" w:styleId="Header">
    <w:name w:val="header"/>
    <w:basedOn w:val="Normal"/>
    <w:rsid w:val="005D3941"/>
    <w:pPr>
      <w:tabs>
        <w:tab w:val="center" w:pos="4153"/>
        <w:tab w:val="right" w:pos="8306"/>
      </w:tabs>
    </w:pPr>
    <w:rPr>
      <w:b/>
    </w:rPr>
  </w:style>
  <w:style w:type="paragraph" w:styleId="Footer">
    <w:name w:val="footer"/>
    <w:basedOn w:val="Normal"/>
    <w:rsid w:val="005D3941"/>
    <w:pPr>
      <w:tabs>
        <w:tab w:val="center" w:pos="4153"/>
        <w:tab w:val="right" w:pos="8306"/>
      </w:tabs>
    </w:pPr>
  </w:style>
  <w:style w:type="paragraph" w:styleId="BodyText">
    <w:name w:val="Body Text"/>
    <w:basedOn w:val="Normal"/>
    <w:link w:val="BodyTextChar"/>
    <w:rsid w:val="00EA656B"/>
    <w:pPr>
      <w:numPr>
        <w:ilvl w:val="2"/>
        <w:numId w:val="4"/>
      </w:numPr>
    </w:pPr>
  </w:style>
  <w:style w:type="paragraph" w:customStyle="1" w:styleId="Bullet">
    <w:name w:val="Bullet"/>
    <w:basedOn w:val="Normal"/>
    <w:link w:val="BulletChar"/>
    <w:rsid w:val="005F3F4D"/>
    <w:pPr>
      <w:numPr>
        <w:numId w:val="1"/>
      </w:numPr>
    </w:pPr>
  </w:style>
  <w:style w:type="paragraph" w:styleId="Caption">
    <w:name w:val="caption"/>
    <w:basedOn w:val="Normal"/>
    <w:next w:val="BodyText"/>
    <w:qFormat/>
    <w:rsid w:val="005D3941"/>
    <w:pPr>
      <w:keepNext/>
    </w:pPr>
    <w:rPr>
      <w:u w:val="single"/>
    </w:rPr>
  </w:style>
  <w:style w:type="character" w:styleId="FootnoteReference">
    <w:name w:val="footnote reference"/>
    <w:basedOn w:val="DefaultParagraphFont"/>
    <w:uiPriority w:val="99"/>
    <w:semiHidden/>
    <w:rsid w:val="005D3941"/>
    <w:rPr>
      <w:vertAlign w:val="superscript"/>
    </w:rPr>
  </w:style>
  <w:style w:type="paragraph" w:styleId="FootnoteText">
    <w:name w:val="footnote text"/>
    <w:basedOn w:val="Normal"/>
    <w:link w:val="FootnoteTextChar"/>
    <w:uiPriority w:val="99"/>
    <w:semiHidden/>
    <w:rsid w:val="005D3941"/>
    <w:pPr>
      <w:spacing w:after="240"/>
    </w:pPr>
    <w:rPr>
      <w:sz w:val="18"/>
    </w:rPr>
  </w:style>
  <w:style w:type="character" w:styleId="Hyperlink">
    <w:name w:val="Hyperlink"/>
    <w:basedOn w:val="DefaultParagraphFont"/>
    <w:uiPriority w:val="99"/>
    <w:rsid w:val="00EE7300"/>
    <w:rPr>
      <w:rFonts w:ascii="Arial" w:hAnsi="Arial"/>
      <w:color w:val="0000FF"/>
      <w:sz w:val="20"/>
      <w:szCs w:val="20"/>
      <w:u w:val="single"/>
    </w:rPr>
  </w:style>
  <w:style w:type="character" w:styleId="PageNumber">
    <w:name w:val="page number"/>
    <w:basedOn w:val="DefaultParagraphFont"/>
    <w:rsid w:val="005D3941"/>
  </w:style>
  <w:style w:type="paragraph" w:customStyle="1" w:styleId="ReportTitle">
    <w:name w:val="Report Title"/>
    <w:basedOn w:val="Normal"/>
    <w:rsid w:val="00951515"/>
    <w:pPr>
      <w:spacing w:before="4791" w:after="720"/>
      <w:jc w:val="center"/>
    </w:pPr>
    <w:rPr>
      <w:b/>
      <w:caps/>
      <w:sz w:val="32"/>
    </w:rPr>
  </w:style>
  <w:style w:type="paragraph" w:customStyle="1" w:styleId="signaturename">
    <w:name w:val="signature name"/>
    <w:basedOn w:val="Normal"/>
    <w:next w:val="Normal"/>
    <w:rsid w:val="005D3941"/>
    <w:pPr>
      <w:spacing w:before="1200" w:after="0"/>
    </w:pPr>
  </w:style>
  <w:style w:type="paragraph" w:customStyle="1" w:styleId="signaturetitle">
    <w:name w:val="signature title"/>
    <w:basedOn w:val="Normal"/>
    <w:next w:val="Normal"/>
    <w:rsid w:val="00E31EFE"/>
    <w:pPr>
      <w:spacing w:before="240" w:after="0"/>
    </w:pPr>
  </w:style>
  <w:style w:type="paragraph" w:customStyle="1" w:styleId="table">
    <w:name w:val="table"/>
    <w:basedOn w:val="Normal"/>
    <w:rsid w:val="005D3941"/>
    <w:pPr>
      <w:spacing w:before="100"/>
      <w:ind w:left="113"/>
    </w:pPr>
  </w:style>
  <w:style w:type="paragraph" w:customStyle="1" w:styleId="TableofContentsTitle">
    <w:name w:val="Table of Contents Title"/>
    <w:basedOn w:val="Normal"/>
    <w:next w:val="Normal"/>
    <w:rsid w:val="005D3941"/>
    <w:rPr>
      <w:b/>
      <w:caps/>
      <w:sz w:val="28"/>
    </w:rPr>
  </w:style>
  <w:style w:type="paragraph" w:styleId="TableofFigures">
    <w:name w:val="table of figures"/>
    <w:basedOn w:val="Normal"/>
    <w:next w:val="Normal"/>
    <w:semiHidden/>
    <w:rsid w:val="005D3941"/>
    <w:pPr>
      <w:tabs>
        <w:tab w:val="left" w:pos="851"/>
        <w:tab w:val="right" w:pos="8307"/>
      </w:tabs>
      <w:ind w:left="851" w:right="567" w:hanging="851"/>
    </w:pPr>
  </w:style>
  <w:style w:type="paragraph" w:customStyle="1" w:styleId="TableText">
    <w:name w:val="Table Text"/>
    <w:basedOn w:val="BodyText"/>
    <w:rsid w:val="001F40FE"/>
    <w:pPr>
      <w:numPr>
        <w:ilvl w:val="0"/>
        <w:numId w:val="0"/>
      </w:numPr>
      <w:spacing w:before="60" w:after="60"/>
    </w:pPr>
  </w:style>
  <w:style w:type="paragraph" w:styleId="TOC1">
    <w:name w:val="toc 1"/>
    <w:basedOn w:val="Normal"/>
    <w:next w:val="Normal"/>
    <w:uiPriority w:val="39"/>
    <w:rsid w:val="00AA4C9F"/>
    <w:pPr>
      <w:tabs>
        <w:tab w:val="left" w:pos="567"/>
        <w:tab w:val="right" w:leader="dot" w:pos="8301"/>
      </w:tabs>
      <w:spacing w:before="360" w:after="0"/>
    </w:pPr>
    <w:rPr>
      <w:rFonts w:cs="Arial"/>
      <w:b/>
      <w:bCs/>
      <w:caps/>
      <w:sz w:val="24"/>
      <w:szCs w:val="24"/>
    </w:rPr>
  </w:style>
  <w:style w:type="paragraph" w:styleId="TOC2">
    <w:name w:val="toc 2"/>
    <w:basedOn w:val="Normal"/>
    <w:next w:val="Normal"/>
    <w:uiPriority w:val="39"/>
    <w:rsid w:val="005D3941"/>
    <w:pPr>
      <w:spacing w:before="240" w:after="0"/>
    </w:pPr>
    <w:rPr>
      <w:rFonts w:ascii="Times New Roman" w:hAnsi="Times New Roman"/>
      <w:b/>
      <w:bCs/>
    </w:rPr>
  </w:style>
  <w:style w:type="paragraph" w:styleId="TOC3">
    <w:name w:val="toc 3"/>
    <w:basedOn w:val="Normal"/>
    <w:next w:val="Normal"/>
    <w:semiHidden/>
    <w:rsid w:val="005D3941"/>
    <w:pPr>
      <w:spacing w:before="0" w:after="0"/>
      <w:ind w:left="220"/>
    </w:pPr>
    <w:rPr>
      <w:rFonts w:ascii="Times New Roman" w:hAnsi="Times New Roman"/>
    </w:rPr>
  </w:style>
  <w:style w:type="paragraph" w:styleId="TOC4">
    <w:name w:val="toc 4"/>
    <w:basedOn w:val="Normal"/>
    <w:next w:val="Normal"/>
    <w:semiHidden/>
    <w:rsid w:val="005D3941"/>
    <w:pPr>
      <w:spacing w:before="0" w:after="0"/>
      <w:ind w:left="440"/>
    </w:pPr>
    <w:rPr>
      <w:rFonts w:ascii="Times New Roman" w:hAnsi="Times New Roman"/>
    </w:rPr>
  </w:style>
  <w:style w:type="paragraph" w:styleId="TOC5">
    <w:name w:val="toc 5"/>
    <w:basedOn w:val="Normal"/>
    <w:next w:val="Normal"/>
    <w:semiHidden/>
    <w:rsid w:val="005D3941"/>
    <w:pPr>
      <w:spacing w:before="0" w:after="0"/>
      <w:ind w:left="660"/>
    </w:pPr>
    <w:rPr>
      <w:rFonts w:ascii="Times New Roman" w:hAnsi="Times New Roman"/>
    </w:rPr>
  </w:style>
  <w:style w:type="paragraph" w:styleId="TOC6">
    <w:name w:val="toc 6"/>
    <w:basedOn w:val="Normal"/>
    <w:next w:val="Normal"/>
    <w:semiHidden/>
    <w:rsid w:val="005D3941"/>
    <w:pPr>
      <w:spacing w:before="0" w:after="0"/>
      <w:ind w:left="880"/>
    </w:pPr>
    <w:rPr>
      <w:rFonts w:ascii="Times New Roman" w:hAnsi="Times New Roman"/>
    </w:rPr>
  </w:style>
  <w:style w:type="paragraph" w:styleId="TOC7">
    <w:name w:val="toc 7"/>
    <w:basedOn w:val="Normal"/>
    <w:next w:val="Normal"/>
    <w:semiHidden/>
    <w:rsid w:val="005D3941"/>
    <w:pPr>
      <w:spacing w:before="0" w:after="0"/>
      <w:ind w:left="1100"/>
    </w:pPr>
    <w:rPr>
      <w:rFonts w:ascii="Times New Roman" w:hAnsi="Times New Roman"/>
    </w:rPr>
  </w:style>
  <w:style w:type="paragraph" w:styleId="TOC8">
    <w:name w:val="toc 8"/>
    <w:basedOn w:val="Normal"/>
    <w:next w:val="Normal"/>
    <w:semiHidden/>
    <w:rsid w:val="005D3941"/>
    <w:pPr>
      <w:spacing w:before="0" w:after="0"/>
      <w:ind w:left="1320"/>
    </w:pPr>
    <w:rPr>
      <w:rFonts w:ascii="Times New Roman" w:hAnsi="Times New Roman"/>
    </w:rPr>
  </w:style>
  <w:style w:type="paragraph" w:styleId="TOC9">
    <w:name w:val="toc 9"/>
    <w:basedOn w:val="Normal"/>
    <w:next w:val="Normal"/>
    <w:semiHidden/>
    <w:rsid w:val="005D3941"/>
    <w:pPr>
      <w:spacing w:before="0" w:after="0"/>
      <w:ind w:left="1540"/>
    </w:pPr>
    <w:rPr>
      <w:rFonts w:ascii="Times New Roman" w:hAnsi="Times New Roman"/>
    </w:rPr>
  </w:style>
  <w:style w:type="paragraph" w:customStyle="1" w:styleId="Dash">
    <w:name w:val="Dash"/>
    <w:basedOn w:val="Normal"/>
    <w:rsid w:val="005F3F4D"/>
    <w:pPr>
      <w:numPr>
        <w:ilvl w:val="1"/>
        <w:numId w:val="1"/>
      </w:numPr>
    </w:pPr>
  </w:style>
  <w:style w:type="paragraph" w:customStyle="1" w:styleId="DoubleDot">
    <w:name w:val="Double Dot"/>
    <w:basedOn w:val="Normal"/>
    <w:rsid w:val="005F3F4D"/>
    <w:pPr>
      <w:numPr>
        <w:ilvl w:val="2"/>
        <w:numId w:val="1"/>
      </w:numPr>
    </w:pPr>
  </w:style>
  <w:style w:type="table" w:styleId="TableGrid">
    <w:name w:val="Table Grid"/>
    <w:basedOn w:val="TableNormal"/>
    <w:rsid w:val="00D72B8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Table">
    <w:name w:val="Std Table"/>
    <w:basedOn w:val="TableNormal"/>
    <w:rsid w:val="00D72B83"/>
    <w:pPr>
      <w:spacing w:before="120" w:after="120"/>
    </w:pPr>
    <w:rPr>
      <w:rFonts w:ascii="Trebuchet MS" w:hAnsi="Trebuchet MS"/>
    </w:rPr>
    <w:tblPr>
      <w:tblBorders>
        <w:top w:val="double" w:sz="4" w:space="0" w:color="auto"/>
        <w:left w:val="double" w:sz="4" w:space="0" w:color="auto"/>
        <w:bottom w:val="double" w:sz="4" w:space="0" w:color="auto"/>
        <w:right w:val="double" w:sz="4" w:space="0" w:color="auto"/>
      </w:tblBorders>
    </w:tblPr>
    <w:tblStylePr w:type="firstRow">
      <w:pPr>
        <w:wordWrap/>
        <w:spacing w:beforeLines="0"/>
        <w:jc w:val="center"/>
      </w:pPr>
      <w:rPr>
        <w:rFonts w:ascii="Book Antiqua" w:hAnsi="Book Antiqua"/>
        <w:b/>
        <w:i w:val="0"/>
        <w:sz w:val="24"/>
        <w:szCs w:val="24"/>
      </w:rPr>
    </w:tblStylePr>
  </w:style>
  <w:style w:type="paragraph" w:customStyle="1" w:styleId="NoNumber">
    <w:name w:val="No Number"/>
    <w:basedOn w:val="Normal"/>
    <w:rsid w:val="00D72B83"/>
    <w:pPr>
      <w:ind w:left="851"/>
    </w:pPr>
  </w:style>
  <w:style w:type="paragraph" w:customStyle="1" w:styleId="Appendix">
    <w:name w:val="Appendix"/>
    <w:basedOn w:val="Normal"/>
    <w:next w:val="BodyText"/>
    <w:rsid w:val="000A2DB0"/>
    <w:rPr>
      <w:b/>
      <w:sz w:val="28"/>
      <w:szCs w:val="28"/>
    </w:rPr>
  </w:style>
  <w:style w:type="paragraph" w:styleId="BodyText2">
    <w:name w:val="Body Text 2"/>
    <w:basedOn w:val="Normal"/>
    <w:rsid w:val="00EA656B"/>
    <w:pPr>
      <w:numPr>
        <w:ilvl w:val="3"/>
        <w:numId w:val="4"/>
      </w:numPr>
    </w:pPr>
  </w:style>
  <w:style w:type="paragraph" w:customStyle="1" w:styleId="NumberedParagraph">
    <w:name w:val="Numbered Paragraph"/>
    <w:basedOn w:val="Normal"/>
    <w:rsid w:val="005F2146"/>
    <w:pPr>
      <w:numPr>
        <w:numId w:val="2"/>
      </w:numPr>
      <w:tabs>
        <w:tab w:val="right" w:pos="9020"/>
      </w:tabs>
      <w:jc w:val="right"/>
    </w:pPr>
  </w:style>
  <w:style w:type="paragraph" w:styleId="BalloonText">
    <w:name w:val="Balloon Text"/>
    <w:basedOn w:val="Normal"/>
    <w:link w:val="BalloonTextChar"/>
    <w:rsid w:val="00F330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3081"/>
    <w:rPr>
      <w:rFonts w:ascii="Tahoma" w:hAnsi="Tahoma" w:cs="Tahoma"/>
      <w:sz w:val="16"/>
      <w:szCs w:val="16"/>
      <w:lang w:eastAsia="en-US"/>
    </w:rPr>
  </w:style>
  <w:style w:type="character" w:customStyle="1" w:styleId="BulletChar">
    <w:name w:val="Bullet Char"/>
    <w:basedOn w:val="DefaultParagraphFont"/>
    <w:link w:val="Bullet"/>
    <w:rsid w:val="005D6A2A"/>
    <w:rPr>
      <w:rFonts w:ascii="Arial" w:hAnsi="Arial"/>
      <w:lang w:eastAsia="en-US"/>
    </w:rPr>
  </w:style>
  <w:style w:type="paragraph" w:customStyle="1" w:styleId="OutlineNumbered1">
    <w:name w:val="Outline Numbered 1"/>
    <w:basedOn w:val="Normal"/>
    <w:link w:val="OutlineNumbered1Char"/>
    <w:rsid w:val="005D6A2A"/>
    <w:pPr>
      <w:numPr>
        <w:numId w:val="5"/>
      </w:numPr>
    </w:pPr>
  </w:style>
  <w:style w:type="character" w:customStyle="1" w:styleId="OutlineNumbered1Char">
    <w:name w:val="Outline Numbered 1 Char"/>
    <w:basedOn w:val="DefaultParagraphFont"/>
    <w:link w:val="OutlineNumbered1"/>
    <w:rsid w:val="005D6A2A"/>
    <w:rPr>
      <w:rFonts w:ascii="Arial" w:hAnsi="Arial"/>
      <w:lang w:eastAsia="en-US"/>
    </w:rPr>
  </w:style>
  <w:style w:type="paragraph" w:customStyle="1" w:styleId="OutlineNumbered2">
    <w:name w:val="Outline Numbered 2"/>
    <w:basedOn w:val="Normal"/>
    <w:link w:val="OutlineNumbered2Char"/>
    <w:rsid w:val="005D6A2A"/>
    <w:pPr>
      <w:numPr>
        <w:ilvl w:val="1"/>
        <w:numId w:val="5"/>
      </w:numPr>
    </w:pPr>
  </w:style>
  <w:style w:type="character" w:customStyle="1" w:styleId="OutlineNumbered2Char">
    <w:name w:val="Outline Numbered 2 Char"/>
    <w:basedOn w:val="DefaultParagraphFont"/>
    <w:link w:val="OutlineNumbered2"/>
    <w:rsid w:val="005D6A2A"/>
    <w:rPr>
      <w:rFonts w:ascii="Arial" w:hAnsi="Arial"/>
      <w:lang w:eastAsia="en-US"/>
    </w:rPr>
  </w:style>
  <w:style w:type="paragraph" w:customStyle="1" w:styleId="OutlineNumbered3">
    <w:name w:val="Outline Numbered 3"/>
    <w:basedOn w:val="Normal"/>
    <w:link w:val="OutlineNumbered3Char"/>
    <w:rsid w:val="005D6A2A"/>
    <w:pPr>
      <w:numPr>
        <w:ilvl w:val="2"/>
        <w:numId w:val="5"/>
      </w:numPr>
    </w:pPr>
  </w:style>
  <w:style w:type="character" w:customStyle="1" w:styleId="OutlineNumbered3Char">
    <w:name w:val="Outline Numbered 3 Char"/>
    <w:basedOn w:val="DefaultParagraphFont"/>
    <w:link w:val="OutlineNumbered3"/>
    <w:rsid w:val="005D6A2A"/>
    <w:rPr>
      <w:rFonts w:ascii="Arial" w:hAnsi="Arial"/>
      <w:lang w:eastAsia="en-US"/>
    </w:rPr>
  </w:style>
  <w:style w:type="character" w:customStyle="1" w:styleId="FootnoteTextChar">
    <w:name w:val="Footnote Text Char"/>
    <w:basedOn w:val="DefaultParagraphFont"/>
    <w:link w:val="FootnoteText"/>
    <w:uiPriority w:val="99"/>
    <w:semiHidden/>
    <w:rsid w:val="005D6A2A"/>
    <w:rPr>
      <w:rFonts w:ascii="Arial" w:hAnsi="Arial"/>
      <w:sz w:val="18"/>
      <w:lang w:eastAsia="en-US"/>
    </w:rPr>
  </w:style>
  <w:style w:type="character" w:customStyle="1" w:styleId="Heading4Char">
    <w:name w:val="Heading 4 Char"/>
    <w:basedOn w:val="DefaultParagraphFont"/>
    <w:link w:val="Heading4"/>
    <w:rsid w:val="00FA5299"/>
    <w:rPr>
      <w:rFonts w:ascii="Arial" w:hAnsi="Arial"/>
      <w:b/>
      <w:lang w:eastAsia="en-US"/>
    </w:rPr>
  </w:style>
  <w:style w:type="character" w:customStyle="1" w:styleId="BodyTextChar">
    <w:name w:val="Body Text Char"/>
    <w:basedOn w:val="DefaultParagraphFont"/>
    <w:link w:val="BodyText"/>
    <w:rsid w:val="00FA529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png"/><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26.png"/></Relationships>
</file>

<file path=word/_rels/footer6.xml.rels><?xml version="1.0" encoding="UTF-8" standalone="yes"?>
<Relationships xmlns="http://schemas.openxmlformats.org/package/2006/relationships"><Relationship Id="rId1" Type="http://schemas.openxmlformats.org/officeDocument/2006/relationships/image" Target="media/image26.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A364-F47D-4363-A065-48602B48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4693</Words>
  <Characters>24562</Characters>
  <Application>Microsoft Office Word</Application>
  <DocSecurity>0</DocSecurity>
  <Lines>204</Lines>
  <Paragraphs>58</Paragraphs>
  <ScaleCrop>false</ScaleCrop>
  <Company/>
  <LinksUpToDate>false</LinksUpToDate>
  <CharactersWithSpaces>29197</CharactersWithSpaces>
  <SharedDoc>false</SharedDoc>
  <HLinks>
    <vt:vector size="6" baseType="variant">
      <vt:variant>
        <vt:i4>1441854</vt:i4>
      </vt:variant>
      <vt:variant>
        <vt:i4>2</vt:i4>
      </vt:variant>
      <vt:variant>
        <vt:i4>0</vt:i4>
      </vt:variant>
      <vt:variant>
        <vt:i4>5</vt:i4>
      </vt:variant>
      <vt:variant>
        <vt:lpwstr/>
      </vt:variant>
      <vt:variant>
        <vt:lpwstr>_Toc59270798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2014-12-04T22:40:00Z</dcterms:created>
  <dcterms:modified xsi:type="dcterms:W3CDTF">2014-12-04T22:40:00Z</dcterms:modified>
</cp:coreProperties>
</file>