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0A60" w14:textId="7889CB8E" w:rsidR="001F31B5" w:rsidRPr="000E6C41" w:rsidRDefault="00943323" w:rsidP="000E6C41">
      <w:pPr>
        <w:pStyle w:val="StyleReportTitle19pt"/>
      </w:pPr>
      <w:bookmarkStart w:id="0" w:name="_GoBack"/>
      <w:bookmarkEnd w:id="0"/>
      <w:r w:rsidRPr="000E6C41">
        <w:t>Military Superannuation Scheme</w:t>
      </w:r>
      <w:r w:rsidR="00E26873" w:rsidRPr="000E6C41">
        <w:t>S</w:t>
      </w:r>
      <w:r w:rsidR="000E6C41" w:rsidRPr="000E6C41">
        <w:t xml:space="preserve"> </w:t>
      </w:r>
      <w:r w:rsidR="00E26873" w:rsidRPr="000E6C41">
        <w:t xml:space="preserve">Review of </w:t>
      </w:r>
      <w:r w:rsidR="002E4FE4" w:rsidRPr="000E6C41">
        <w:t xml:space="preserve">LONG-TERM </w:t>
      </w:r>
      <w:r w:rsidR="00E26873" w:rsidRPr="000E6C41">
        <w:t>costs</w:t>
      </w:r>
    </w:p>
    <w:p w14:paraId="6B8D0886" w14:textId="77777777" w:rsidR="005D3941" w:rsidRDefault="00E26873" w:rsidP="001F31B5">
      <w:pPr>
        <w:pStyle w:val="ReportTitle"/>
      </w:pPr>
      <w:r w:rsidRPr="001F31B5">
        <w:rPr>
          <w:rStyle w:val="ReportsubtitleChar"/>
        </w:rPr>
        <w:t>as at 30 June 201</w:t>
      </w:r>
      <w:r w:rsidR="00DC4264" w:rsidRPr="001F31B5">
        <w:rPr>
          <w:rStyle w:val="ReportsubtitleChar"/>
        </w:rPr>
        <w:t>4</w:t>
      </w:r>
    </w:p>
    <w:p w14:paraId="1C8CDC11" w14:textId="77777777" w:rsidR="005D3941" w:rsidRDefault="005D3941">
      <w:pPr>
        <w:sectPr w:rsidR="005D3941" w:rsidSect="000E6C41">
          <w:headerReference w:type="even" r:id="rId14"/>
          <w:headerReference w:type="default" r:id="rId15"/>
          <w:footerReference w:type="default" r:id="rId16"/>
          <w:headerReference w:type="first" r:id="rId17"/>
          <w:footerReference w:type="first" r:id="rId18"/>
          <w:pgSz w:w="11906" w:h="16838" w:code="9"/>
          <w:pgMar w:top="2466" w:right="2098" w:bottom="2466" w:left="2098" w:header="1899" w:footer="1899" w:gutter="0"/>
          <w:cols w:space="708"/>
          <w:vAlign w:val="center"/>
          <w:titlePg/>
          <w:docGrid w:linePitch="360"/>
        </w:sectPr>
      </w:pPr>
    </w:p>
    <w:p w14:paraId="62E3347E" w14:textId="77777777" w:rsidR="002C50B3" w:rsidRDefault="002C50B3" w:rsidP="00557FDC">
      <w:pPr>
        <w:spacing w:before="120" w:after="120" w:line="280" w:lineRule="atLeast"/>
      </w:pPr>
      <w:r w:rsidRPr="00661BF0">
        <w:lastRenderedPageBreak/>
        <w:t xml:space="preserve">© Commonwealth of Australia </w:t>
      </w:r>
      <w:r w:rsidRPr="002C50B3">
        <w:t>2015</w:t>
      </w:r>
    </w:p>
    <w:p w14:paraId="4161A814" w14:textId="3D66D468" w:rsidR="002C50B3" w:rsidRPr="00464A16" w:rsidRDefault="002C50B3" w:rsidP="00557FDC">
      <w:pPr>
        <w:spacing w:before="120" w:after="120" w:line="280" w:lineRule="atLeast"/>
      </w:pPr>
      <w:r w:rsidRPr="00464A16">
        <w:t xml:space="preserve">ISBN </w:t>
      </w:r>
      <w:r w:rsidR="00FD46CC" w:rsidRPr="00FD46CC">
        <w:t>978-1-925220-62-9</w:t>
      </w:r>
    </w:p>
    <w:p w14:paraId="5A79ED18" w14:textId="125A1052" w:rsidR="002C50B3" w:rsidRPr="005B3D84" w:rsidRDefault="002C50B3" w:rsidP="00557FDC">
      <w:pPr>
        <w:tabs>
          <w:tab w:val="left" w:pos="1650"/>
        </w:tabs>
        <w:spacing w:before="120" w:after="120" w:line="280" w:lineRule="atLeast"/>
      </w:pPr>
      <w:r w:rsidRPr="002F1BC2">
        <w:t>This publication is available for your use under a</w:t>
      </w:r>
      <w:r w:rsidRPr="005B3D84">
        <w:t xml:space="preserve"> </w:t>
      </w:r>
      <w:hyperlink r:id="rId19" w:history="1">
        <w:r w:rsidRPr="005B3D84">
          <w:t>Creative Commons BY Attribution 3.0 Australia</w:t>
        </w:r>
      </w:hyperlink>
      <w:r w:rsidRPr="005B3D84">
        <w:rPr>
          <w:rStyle w:val="A5"/>
          <w:rFonts w:cs="Calibri"/>
          <w:sz w:val="24"/>
          <w:szCs w:val="24"/>
        </w:rPr>
        <w:t xml:space="preserve"> </w:t>
      </w:r>
      <w:r w:rsidRPr="002F1BC2">
        <w:t xml:space="preserve">licence, with the exception of the Commonwealth Coat of Arms, the </w:t>
      </w:r>
      <w:r w:rsidR="00557FDC">
        <w:t>Australian Government Actuary</w:t>
      </w:r>
      <w:r w:rsidRPr="002F1BC2">
        <w:t xml:space="preserve"> logo</w:t>
      </w:r>
      <w:r>
        <w:t xml:space="preserve">, photographs, images, signatures </w:t>
      </w:r>
      <w:r w:rsidRPr="002F1BC2">
        <w:t>and where otherwise stated. The full licence terms are available from</w:t>
      </w:r>
      <w:r w:rsidRPr="005B3D84">
        <w:t xml:space="preserve"> </w:t>
      </w:r>
      <w:hyperlink r:id="rId20" w:history="1">
        <w:r w:rsidRPr="005B3D84">
          <w:t>http://creativecommons.org/licenses/by/3.0/au/legalcode</w:t>
        </w:r>
      </w:hyperlink>
      <w:r w:rsidRPr="005B3D84">
        <w:t>.</w:t>
      </w:r>
    </w:p>
    <w:p w14:paraId="128985CB" w14:textId="77777777" w:rsidR="002C50B3" w:rsidRPr="005B3D84" w:rsidRDefault="002C50B3" w:rsidP="00557FDC">
      <w:pPr>
        <w:tabs>
          <w:tab w:val="left" w:pos="1650"/>
        </w:tabs>
        <w:spacing w:before="120" w:after="120" w:line="280" w:lineRule="atLeast"/>
        <w:rPr>
          <w:rFonts w:cs="Calibri"/>
          <w:color w:val="000000"/>
          <w:sz w:val="24"/>
          <w:szCs w:val="24"/>
        </w:rPr>
      </w:pPr>
      <w:r>
        <w:rPr>
          <w:rFonts w:cs="Calibri"/>
          <w:noProof/>
          <w:color w:val="000000"/>
          <w:sz w:val="24"/>
          <w:szCs w:val="24"/>
          <w:lang w:val="en-US"/>
        </w:rPr>
        <w:drawing>
          <wp:inline distT="0" distB="0" distL="0" distR="0" wp14:anchorId="3A6F8347" wp14:editId="630C208B">
            <wp:extent cx="810895" cy="284480"/>
            <wp:effectExtent l="0" t="0" r="8255" b="1270"/>
            <wp:docPr id="2" name="Picture 2"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40DE6894" w14:textId="167B2F00" w:rsidR="002C50B3" w:rsidRPr="006627B4" w:rsidRDefault="002C50B3" w:rsidP="00557FDC">
      <w:pPr>
        <w:tabs>
          <w:tab w:val="left" w:pos="1650"/>
        </w:tabs>
        <w:spacing w:before="120" w:after="120" w:line="280" w:lineRule="atLeast"/>
      </w:pPr>
      <w:r w:rsidRPr="006627B4">
        <w:t xml:space="preserve">Use of </w:t>
      </w:r>
      <w:r w:rsidR="00557FDC">
        <w:t>Australian Government Actuary</w:t>
      </w:r>
      <w:r w:rsidRPr="006627B4">
        <w:t xml:space="preserve"> material under a</w:t>
      </w:r>
      <w:r w:rsidRPr="005B3D84">
        <w:t xml:space="preserve"> </w:t>
      </w:r>
      <w:hyperlink r:id="rId22" w:history="1">
        <w:r w:rsidRPr="005B3D84">
          <w:t>Creative Commons BY Attribution 3.0 Australia</w:t>
        </w:r>
      </w:hyperlink>
      <w:r w:rsidRPr="005B3D84">
        <w:t xml:space="preserve"> </w:t>
      </w:r>
      <w:r w:rsidRPr="006627B4">
        <w:t xml:space="preserve">licence requires you to attribute the work (but not in any way that suggests that the </w:t>
      </w:r>
      <w:r w:rsidR="00557FDC">
        <w:t>Australian Government Actuary</w:t>
      </w:r>
      <w:r w:rsidRPr="006627B4">
        <w:t xml:space="preserve"> endorse</w:t>
      </w:r>
      <w:r>
        <w:t>s you or your use of the work).</w:t>
      </w:r>
    </w:p>
    <w:p w14:paraId="2F5ED992" w14:textId="5A4A93DA" w:rsidR="002C50B3" w:rsidRPr="002F1BC2" w:rsidRDefault="00557FDC" w:rsidP="00235B96">
      <w:pPr>
        <w:spacing w:before="120" w:after="120" w:line="280" w:lineRule="atLeast"/>
        <w:ind w:left="709"/>
        <w:rPr>
          <w:i/>
        </w:rPr>
      </w:pPr>
      <w:proofErr w:type="gramStart"/>
      <w:r>
        <w:rPr>
          <w:i/>
        </w:rPr>
        <w:t>Australian Government Actuary</w:t>
      </w:r>
      <w:r w:rsidR="002C50B3" w:rsidRPr="002F1BC2">
        <w:rPr>
          <w:i/>
        </w:rPr>
        <w:t xml:space="preserve"> material used </w:t>
      </w:r>
      <w:r w:rsidR="002C50B3">
        <w:rPr>
          <w:i/>
        </w:rPr>
        <w:t>‘</w:t>
      </w:r>
      <w:r w:rsidR="002C50B3" w:rsidRPr="002F1BC2">
        <w:rPr>
          <w:i/>
        </w:rPr>
        <w:t>as supplied</w:t>
      </w:r>
      <w:r w:rsidR="002C50B3">
        <w:rPr>
          <w:i/>
        </w:rPr>
        <w:t>’.</w:t>
      </w:r>
      <w:proofErr w:type="gramEnd"/>
    </w:p>
    <w:p w14:paraId="64CD8DC7" w14:textId="19213E85" w:rsidR="002C50B3" w:rsidRPr="00476F09" w:rsidRDefault="002C50B3" w:rsidP="00557FDC">
      <w:pPr>
        <w:spacing w:before="120" w:after="120" w:line="280" w:lineRule="atLeast"/>
      </w:pPr>
      <w:r w:rsidRPr="00476F09">
        <w:t xml:space="preserve">Provided you have not modified or transformed </w:t>
      </w:r>
      <w:r w:rsidR="00557FDC">
        <w:t>Australian Government Actuary</w:t>
      </w:r>
      <w:r w:rsidRPr="00476F09">
        <w:t xml:space="preserve"> material in any way including, for example, by</w:t>
      </w:r>
      <w:r>
        <w:t xml:space="preserve"> </w:t>
      </w:r>
      <w:r w:rsidRPr="0096692D">
        <w:t xml:space="preserve">changing the </w:t>
      </w:r>
      <w:r w:rsidR="00557FDC">
        <w:t>Australian Government Actuary</w:t>
      </w:r>
      <w:r w:rsidRPr="0096692D">
        <w:t xml:space="preserve"> text; calculating percentage changes; graphing or charting data</w:t>
      </w:r>
      <w:r>
        <w:t>;</w:t>
      </w:r>
      <w:r w:rsidRPr="0096692D">
        <w:t xml:space="preserve"> or deriving new statistics from published </w:t>
      </w:r>
      <w:r w:rsidR="00557FDC">
        <w:t>Australian Government Actuary</w:t>
      </w:r>
      <w:r w:rsidRPr="0096692D">
        <w:t xml:space="preserve"> statistics</w:t>
      </w:r>
      <w:r>
        <w:t xml:space="preserve"> — then </w:t>
      </w:r>
      <w:r w:rsidR="00557FDC">
        <w:t>Australian Government Actuary</w:t>
      </w:r>
      <w:r>
        <w:t xml:space="preserve"> prefers the following attribution:</w:t>
      </w:r>
    </w:p>
    <w:p w14:paraId="3CC50008" w14:textId="71D67B67" w:rsidR="002C50B3" w:rsidRPr="00A13A11" w:rsidRDefault="002C50B3" w:rsidP="00235B96">
      <w:pPr>
        <w:spacing w:before="120" w:after="120" w:line="280" w:lineRule="atLeast"/>
        <w:ind w:left="709"/>
      </w:pPr>
      <w:r w:rsidRPr="002F1BC2">
        <w:rPr>
          <w:i/>
        </w:rPr>
        <w:t xml:space="preserve">Source: The </w:t>
      </w:r>
      <w:r w:rsidR="00557FDC">
        <w:rPr>
          <w:i/>
          <w:iCs/>
        </w:rPr>
        <w:t>Australian Government Actuary</w:t>
      </w:r>
      <w:r>
        <w:t>.</w:t>
      </w:r>
    </w:p>
    <w:p w14:paraId="6C9F0C98" w14:textId="77777777" w:rsidR="002C50B3" w:rsidRPr="005B3D84" w:rsidRDefault="002C50B3" w:rsidP="00557FDC">
      <w:pPr>
        <w:spacing w:before="120" w:after="120" w:line="280" w:lineRule="atLeast"/>
        <w:rPr>
          <w:b/>
        </w:rPr>
      </w:pPr>
      <w:r w:rsidRPr="005B3D84">
        <w:rPr>
          <w:b/>
        </w:rPr>
        <w:t>Derivative material</w:t>
      </w:r>
    </w:p>
    <w:p w14:paraId="2CB30D52" w14:textId="2BE56D73" w:rsidR="002C50B3" w:rsidRPr="006627B4" w:rsidRDefault="002C50B3" w:rsidP="00557FDC">
      <w:pPr>
        <w:spacing w:before="120" w:after="120" w:line="280" w:lineRule="atLeast"/>
      </w:pPr>
      <w:r w:rsidRPr="006627B4">
        <w:t xml:space="preserve">If you have modified or transformed </w:t>
      </w:r>
      <w:r w:rsidR="00557FDC">
        <w:t>Australian Government Actuary</w:t>
      </w:r>
      <w:r w:rsidRPr="006627B4">
        <w:t xml:space="preserve"> material, or derived new material from those of the </w:t>
      </w:r>
      <w:r w:rsidR="00557FDC">
        <w:t>Australian Government Actuary</w:t>
      </w:r>
      <w:r w:rsidRPr="006627B4">
        <w:t xml:space="preserve"> in any way, then </w:t>
      </w:r>
      <w:r w:rsidR="00557FDC">
        <w:t>Australian Government Actuary</w:t>
      </w:r>
      <w:r w:rsidRPr="006627B4">
        <w:t xml:space="preserve"> prefers the </w:t>
      </w:r>
      <w:r>
        <w:t>following attribution:</w:t>
      </w:r>
    </w:p>
    <w:p w14:paraId="6C12BE0E" w14:textId="4C491554" w:rsidR="002C50B3" w:rsidRPr="006627B4" w:rsidRDefault="002C50B3" w:rsidP="00235B96">
      <w:pPr>
        <w:spacing w:before="120" w:after="120" w:line="280" w:lineRule="atLeast"/>
        <w:ind w:left="709"/>
      </w:pPr>
      <w:proofErr w:type="gramStart"/>
      <w:r w:rsidRPr="002F1BC2">
        <w:rPr>
          <w:i/>
        </w:rPr>
        <w:t xml:space="preserve">Based on The </w:t>
      </w:r>
      <w:r w:rsidR="00557FDC">
        <w:rPr>
          <w:i/>
        </w:rPr>
        <w:t>Australian Government Actuary</w:t>
      </w:r>
      <w:r w:rsidRPr="002F1BC2">
        <w:rPr>
          <w:i/>
        </w:rPr>
        <w:t xml:space="preserve"> data</w:t>
      </w:r>
      <w:r>
        <w:t>.</w:t>
      </w:r>
      <w:proofErr w:type="gramEnd"/>
    </w:p>
    <w:p w14:paraId="261212ED" w14:textId="77777777" w:rsidR="002C50B3" w:rsidRPr="006627B4" w:rsidRDefault="002C50B3" w:rsidP="00557FDC">
      <w:pPr>
        <w:spacing w:before="120" w:after="120" w:line="280" w:lineRule="atLeast"/>
        <w:rPr>
          <w:b/>
        </w:rPr>
      </w:pPr>
      <w:r w:rsidRPr="006627B4">
        <w:rPr>
          <w:b/>
        </w:rPr>
        <w:t>Use of the Coat of Arms</w:t>
      </w:r>
    </w:p>
    <w:p w14:paraId="1E6CE0E5" w14:textId="77777777" w:rsidR="002C50B3" w:rsidRPr="006627B4" w:rsidRDefault="002C50B3" w:rsidP="00557FDC">
      <w:pPr>
        <w:spacing w:before="120" w:after="120" w:line="280" w:lineRule="atLeast"/>
      </w:pPr>
      <w:r w:rsidRPr="006627B4">
        <w:t>The terms under which the Coat of Arms can be used are set out on the It</w:t>
      </w:r>
      <w:r>
        <w:t>’</w:t>
      </w:r>
      <w:r w:rsidRPr="006627B4">
        <w:t>s an Honour website (see</w:t>
      </w:r>
      <w:r>
        <w:t> </w:t>
      </w:r>
      <w:hyperlink r:id="rId23" w:history="1">
        <w:r w:rsidRPr="006627B4">
          <w:t>www.itsanhonour.gov.au</w:t>
        </w:r>
      </w:hyperlink>
      <w:r w:rsidRPr="006627B4">
        <w:t>)</w:t>
      </w:r>
      <w:r>
        <w:t>.</w:t>
      </w:r>
    </w:p>
    <w:p w14:paraId="51FC8004" w14:textId="77777777" w:rsidR="002C50B3" w:rsidRPr="006627B4" w:rsidRDefault="002C50B3" w:rsidP="00557FDC">
      <w:pPr>
        <w:spacing w:before="120" w:after="120" w:line="280" w:lineRule="atLeast"/>
        <w:rPr>
          <w:b/>
        </w:rPr>
      </w:pPr>
      <w:r w:rsidRPr="006627B4">
        <w:rPr>
          <w:b/>
        </w:rPr>
        <w:t>Other Uses</w:t>
      </w:r>
    </w:p>
    <w:p w14:paraId="5EC7F696" w14:textId="77777777" w:rsidR="002C50B3" w:rsidRPr="006627B4" w:rsidRDefault="002C50B3" w:rsidP="00557FDC">
      <w:pPr>
        <w:spacing w:before="120" w:after="120" w:line="280" w:lineRule="atLeast"/>
      </w:pPr>
      <w:r w:rsidRPr="006627B4">
        <w:t>Inquiries regarding this licence and any other use of this document are welcome at:</w:t>
      </w:r>
    </w:p>
    <w:p w14:paraId="2478D926" w14:textId="6DD8AB14" w:rsidR="00235B96" w:rsidRPr="00235B96" w:rsidRDefault="00235B96" w:rsidP="00235B96">
      <w:pPr>
        <w:spacing w:before="120" w:after="120" w:line="280" w:lineRule="atLeast"/>
        <w:ind w:left="709"/>
        <w:jc w:val="left"/>
      </w:pPr>
      <w:r w:rsidRPr="00235B96">
        <w:t>Publications enquiries</w:t>
      </w:r>
      <w:r>
        <w:br/>
      </w:r>
      <w:r w:rsidRPr="00235B96">
        <w:t>The Australian Government Actuary</w:t>
      </w:r>
      <w:r>
        <w:br/>
      </w:r>
      <w:r w:rsidRPr="00235B96">
        <w:t>The Treasury Building</w:t>
      </w:r>
      <w:r>
        <w:br/>
      </w:r>
      <w:r w:rsidRPr="00235B96">
        <w:t>Langton Crescent</w:t>
      </w:r>
      <w:r>
        <w:br/>
      </w:r>
      <w:proofErr w:type="spellStart"/>
      <w:proofErr w:type="gramStart"/>
      <w:r w:rsidRPr="00235B96">
        <w:t>Parkes</w:t>
      </w:r>
      <w:proofErr w:type="spellEnd"/>
      <w:r w:rsidRPr="00235B96">
        <w:t xml:space="preserve">  ACT</w:t>
      </w:r>
      <w:proofErr w:type="gramEnd"/>
      <w:r w:rsidRPr="00235B96">
        <w:t xml:space="preserve">  2600</w:t>
      </w:r>
      <w:r>
        <w:br/>
      </w:r>
      <w:r w:rsidRPr="00235B96">
        <w:t xml:space="preserve">Email: </w:t>
      </w:r>
      <w:hyperlink r:id="rId24" w:history="1">
        <w:r w:rsidRPr="00235B96">
          <w:t>aga@aga.gov.au</w:t>
        </w:r>
      </w:hyperlink>
    </w:p>
    <w:p w14:paraId="2EFA202A" w14:textId="77777777" w:rsidR="001F31B5" w:rsidRPr="001F31B5" w:rsidRDefault="001F31B5" w:rsidP="00235B96">
      <w:pPr>
        <w:spacing w:before="120" w:after="120" w:line="280" w:lineRule="atLeast"/>
        <w:ind w:left="709"/>
        <w:jc w:val="left"/>
        <w:sectPr w:rsidR="001F31B5" w:rsidRPr="001F31B5" w:rsidSect="000E6C41">
          <w:headerReference w:type="even" r:id="rId25"/>
          <w:headerReference w:type="default" r:id="rId26"/>
          <w:footerReference w:type="even" r:id="rId27"/>
          <w:footerReference w:type="default" r:id="rId28"/>
          <w:headerReference w:type="first" r:id="rId29"/>
          <w:footerReference w:type="first" r:id="rId30"/>
          <w:pgSz w:w="11906" w:h="16838" w:code="9"/>
          <w:pgMar w:top="2466" w:right="2098" w:bottom="2466" w:left="2098" w:header="1899" w:footer="1899" w:gutter="0"/>
          <w:pgNumType w:fmt="lowerRoman" w:start="1"/>
          <w:cols w:space="708"/>
          <w:titlePg/>
          <w:docGrid w:linePitch="360"/>
        </w:sectPr>
      </w:pPr>
    </w:p>
    <w:p w14:paraId="4CB0C553" w14:textId="77777777" w:rsidR="00B94FB4" w:rsidRPr="00D83CA2" w:rsidRDefault="007D7583" w:rsidP="00A31B6E">
      <w:pPr>
        <w:pStyle w:val="StyleTableofContentsTitleAccent2"/>
      </w:pPr>
      <w:r w:rsidRPr="00D83CA2">
        <w:lastRenderedPageBreak/>
        <w:t>TABLE OF CONTENTS</w:t>
      </w:r>
    </w:p>
    <w:p w14:paraId="544724C3" w14:textId="77777777" w:rsidR="00510749" w:rsidRDefault="00F310DA" w:rsidP="00510749">
      <w:pPr>
        <w:pStyle w:val="TOC1"/>
        <w:tabs>
          <w:tab w:val="clear" w:pos="1134"/>
        </w:tabs>
        <w:rPr>
          <w:rFonts w:asciiTheme="minorHAnsi" w:eastAsiaTheme="minorEastAsia" w:hAnsiTheme="minorHAnsi" w:cstheme="minorBidi"/>
          <w:b w:val="0"/>
          <w:bCs w:val="0"/>
          <w:noProof/>
          <w:color w:val="auto"/>
          <w:sz w:val="22"/>
          <w:szCs w:val="22"/>
          <w:lang w:eastAsia="en-AU"/>
        </w:rPr>
      </w:pPr>
      <w:r w:rsidRPr="0065055E">
        <w:rPr>
          <w:rFonts w:ascii="Arial" w:hAnsi="Arial"/>
          <w:b w:val="0"/>
          <w:bCs w:val="0"/>
          <w:color w:val="943634" w:themeColor="accent2" w:themeShade="BF"/>
        </w:rPr>
        <w:fldChar w:fldCharType="begin"/>
      </w:r>
      <w:r w:rsidRPr="0065055E">
        <w:rPr>
          <w:rFonts w:ascii="Arial" w:hAnsi="Arial"/>
          <w:b w:val="0"/>
          <w:bCs w:val="0"/>
          <w:color w:val="943634" w:themeColor="accent2" w:themeShade="BF"/>
        </w:rPr>
        <w:instrText xml:space="preserve"> TOC \o "1-2" \h \z \u </w:instrText>
      </w:r>
      <w:r w:rsidRPr="0065055E">
        <w:rPr>
          <w:rFonts w:ascii="Arial" w:hAnsi="Arial"/>
          <w:b w:val="0"/>
          <w:bCs w:val="0"/>
          <w:color w:val="943634" w:themeColor="accent2" w:themeShade="BF"/>
        </w:rPr>
        <w:fldChar w:fldCharType="separate"/>
      </w:r>
      <w:hyperlink w:anchor="_Toc425770467" w:history="1">
        <w:r w:rsidR="00510749" w:rsidRPr="0046033D">
          <w:rPr>
            <w:rStyle w:val="Hyperlink"/>
            <w:noProof/>
          </w:rPr>
          <w:t>Summary</w:t>
        </w:r>
        <w:r w:rsidR="00510749">
          <w:rPr>
            <w:noProof/>
            <w:webHidden/>
          </w:rPr>
          <w:tab/>
        </w:r>
        <w:r w:rsidR="00510749">
          <w:rPr>
            <w:noProof/>
            <w:webHidden/>
          </w:rPr>
          <w:fldChar w:fldCharType="begin"/>
        </w:r>
        <w:r w:rsidR="00510749">
          <w:rPr>
            <w:noProof/>
            <w:webHidden/>
          </w:rPr>
          <w:instrText xml:space="preserve"> PAGEREF _Toc425770467 \h </w:instrText>
        </w:r>
        <w:r w:rsidR="00510749">
          <w:rPr>
            <w:noProof/>
            <w:webHidden/>
          </w:rPr>
        </w:r>
        <w:r w:rsidR="00510749">
          <w:rPr>
            <w:noProof/>
            <w:webHidden/>
          </w:rPr>
          <w:fldChar w:fldCharType="separate"/>
        </w:r>
        <w:r w:rsidR="00B82BC4">
          <w:rPr>
            <w:noProof/>
            <w:webHidden/>
          </w:rPr>
          <w:t>1</w:t>
        </w:r>
        <w:r w:rsidR="00510749">
          <w:rPr>
            <w:noProof/>
            <w:webHidden/>
          </w:rPr>
          <w:fldChar w:fldCharType="end"/>
        </w:r>
      </w:hyperlink>
    </w:p>
    <w:p w14:paraId="485A233B"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68" w:history="1">
        <w:r w:rsidR="00510749" w:rsidRPr="0046033D">
          <w:rPr>
            <w:rStyle w:val="Hyperlink"/>
            <w:noProof/>
          </w:rPr>
          <w:t>Changes to military superannuation since the previous report</w:t>
        </w:r>
        <w:r w:rsidR="00510749">
          <w:rPr>
            <w:noProof/>
            <w:webHidden/>
          </w:rPr>
          <w:tab/>
        </w:r>
        <w:r w:rsidR="00510749">
          <w:rPr>
            <w:noProof/>
            <w:webHidden/>
          </w:rPr>
          <w:fldChar w:fldCharType="begin"/>
        </w:r>
        <w:r w:rsidR="00510749">
          <w:rPr>
            <w:noProof/>
            <w:webHidden/>
          </w:rPr>
          <w:instrText xml:space="preserve"> PAGEREF _Toc425770468 \h </w:instrText>
        </w:r>
        <w:r w:rsidR="00510749">
          <w:rPr>
            <w:noProof/>
            <w:webHidden/>
          </w:rPr>
        </w:r>
        <w:r w:rsidR="00510749">
          <w:rPr>
            <w:noProof/>
            <w:webHidden/>
          </w:rPr>
          <w:fldChar w:fldCharType="separate"/>
        </w:r>
        <w:r w:rsidR="00B82BC4">
          <w:rPr>
            <w:noProof/>
            <w:webHidden/>
          </w:rPr>
          <w:t>1</w:t>
        </w:r>
        <w:r w:rsidR="00510749">
          <w:rPr>
            <w:noProof/>
            <w:webHidden/>
          </w:rPr>
          <w:fldChar w:fldCharType="end"/>
        </w:r>
      </w:hyperlink>
    </w:p>
    <w:p w14:paraId="450678D5"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69" w:history="1">
        <w:r w:rsidR="00510749" w:rsidRPr="0046033D">
          <w:rPr>
            <w:rStyle w:val="Hyperlink"/>
            <w:noProof/>
          </w:rPr>
          <w:t>Notional employer contribution rates</w:t>
        </w:r>
        <w:r w:rsidR="00510749">
          <w:rPr>
            <w:noProof/>
            <w:webHidden/>
          </w:rPr>
          <w:tab/>
        </w:r>
        <w:r w:rsidR="00510749">
          <w:rPr>
            <w:noProof/>
            <w:webHidden/>
          </w:rPr>
          <w:fldChar w:fldCharType="begin"/>
        </w:r>
        <w:r w:rsidR="00510749">
          <w:rPr>
            <w:noProof/>
            <w:webHidden/>
          </w:rPr>
          <w:instrText xml:space="preserve"> PAGEREF _Toc425770469 \h </w:instrText>
        </w:r>
        <w:r w:rsidR="00510749">
          <w:rPr>
            <w:noProof/>
            <w:webHidden/>
          </w:rPr>
        </w:r>
        <w:r w:rsidR="00510749">
          <w:rPr>
            <w:noProof/>
            <w:webHidden/>
          </w:rPr>
          <w:fldChar w:fldCharType="separate"/>
        </w:r>
        <w:r w:rsidR="00B82BC4">
          <w:rPr>
            <w:noProof/>
            <w:webHidden/>
          </w:rPr>
          <w:t>2</w:t>
        </w:r>
        <w:r w:rsidR="00510749">
          <w:rPr>
            <w:noProof/>
            <w:webHidden/>
          </w:rPr>
          <w:fldChar w:fldCharType="end"/>
        </w:r>
      </w:hyperlink>
    </w:p>
    <w:p w14:paraId="24565A86"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0" w:history="1">
        <w:r w:rsidR="00510749" w:rsidRPr="0046033D">
          <w:rPr>
            <w:rStyle w:val="Hyperlink"/>
            <w:noProof/>
          </w:rPr>
          <w:t>Projection of employer cash costs</w:t>
        </w:r>
        <w:r w:rsidR="00510749">
          <w:rPr>
            <w:noProof/>
            <w:webHidden/>
          </w:rPr>
          <w:tab/>
        </w:r>
        <w:r w:rsidR="00510749">
          <w:rPr>
            <w:noProof/>
            <w:webHidden/>
          </w:rPr>
          <w:fldChar w:fldCharType="begin"/>
        </w:r>
        <w:r w:rsidR="00510749">
          <w:rPr>
            <w:noProof/>
            <w:webHidden/>
          </w:rPr>
          <w:instrText xml:space="preserve"> PAGEREF _Toc425770470 \h </w:instrText>
        </w:r>
        <w:r w:rsidR="00510749">
          <w:rPr>
            <w:noProof/>
            <w:webHidden/>
          </w:rPr>
        </w:r>
        <w:r w:rsidR="00510749">
          <w:rPr>
            <w:noProof/>
            <w:webHidden/>
          </w:rPr>
          <w:fldChar w:fldCharType="separate"/>
        </w:r>
        <w:r w:rsidR="00B82BC4">
          <w:rPr>
            <w:noProof/>
            <w:webHidden/>
          </w:rPr>
          <w:t>3</w:t>
        </w:r>
        <w:r w:rsidR="00510749">
          <w:rPr>
            <w:noProof/>
            <w:webHidden/>
          </w:rPr>
          <w:fldChar w:fldCharType="end"/>
        </w:r>
      </w:hyperlink>
    </w:p>
    <w:p w14:paraId="1FDB83AC"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1" w:history="1">
        <w:r w:rsidR="00510749" w:rsidRPr="0046033D">
          <w:rPr>
            <w:rStyle w:val="Hyperlink"/>
            <w:noProof/>
          </w:rPr>
          <w:t>Present value of unfunded liabilities</w:t>
        </w:r>
        <w:r w:rsidR="00510749">
          <w:rPr>
            <w:noProof/>
            <w:webHidden/>
          </w:rPr>
          <w:tab/>
        </w:r>
        <w:r w:rsidR="00510749">
          <w:rPr>
            <w:noProof/>
            <w:webHidden/>
          </w:rPr>
          <w:fldChar w:fldCharType="begin"/>
        </w:r>
        <w:r w:rsidR="00510749">
          <w:rPr>
            <w:noProof/>
            <w:webHidden/>
          </w:rPr>
          <w:instrText xml:space="preserve"> PAGEREF _Toc425770471 \h </w:instrText>
        </w:r>
        <w:r w:rsidR="00510749">
          <w:rPr>
            <w:noProof/>
            <w:webHidden/>
          </w:rPr>
        </w:r>
        <w:r w:rsidR="00510749">
          <w:rPr>
            <w:noProof/>
            <w:webHidden/>
          </w:rPr>
          <w:fldChar w:fldCharType="separate"/>
        </w:r>
        <w:r w:rsidR="00B82BC4">
          <w:rPr>
            <w:noProof/>
            <w:webHidden/>
          </w:rPr>
          <w:t>4</w:t>
        </w:r>
        <w:r w:rsidR="00510749">
          <w:rPr>
            <w:noProof/>
            <w:webHidden/>
          </w:rPr>
          <w:fldChar w:fldCharType="end"/>
        </w:r>
      </w:hyperlink>
    </w:p>
    <w:p w14:paraId="435731C7"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2" w:history="1">
        <w:r w:rsidR="00510749" w:rsidRPr="0046033D">
          <w:rPr>
            <w:rStyle w:val="Hyperlink"/>
            <w:noProof/>
          </w:rPr>
          <w:t>Scheme membership</w:t>
        </w:r>
        <w:r w:rsidR="00510749">
          <w:rPr>
            <w:noProof/>
            <w:webHidden/>
          </w:rPr>
          <w:tab/>
        </w:r>
        <w:r w:rsidR="00510749">
          <w:rPr>
            <w:noProof/>
            <w:webHidden/>
          </w:rPr>
          <w:fldChar w:fldCharType="begin"/>
        </w:r>
        <w:r w:rsidR="00510749">
          <w:rPr>
            <w:noProof/>
            <w:webHidden/>
          </w:rPr>
          <w:instrText xml:space="preserve"> PAGEREF _Toc425770472 \h </w:instrText>
        </w:r>
        <w:r w:rsidR="00510749">
          <w:rPr>
            <w:noProof/>
            <w:webHidden/>
          </w:rPr>
        </w:r>
        <w:r w:rsidR="00510749">
          <w:rPr>
            <w:noProof/>
            <w:webHidden/>
          </w:rPr>
          <w:fldChar w:fldCharType="separate"/>
        </w:r>
        <w:r w:rsidR="00B82BC4">
          <w:rPr>
            <w:noProof/>
            <w:webHidden/>
          </w:rPr>
          <w:t>5</w:t>
        </w:r>
        <w:r w:rsidR="00510749">
          <w:rPr>
            <w:noProof/>
            <w:webHidden/>
          </w:rPr>
          <w:fldChar w:fldCharType="end"/>
        </w:r>
      </w:hyperlink>
    </w:p>
    <w:p w14:paraId="031D8666"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3" w:history="1">
        <w:r w:rsidR="00510749" w:rsidRPr="0046033D">
          <w:rPr>
            <w:rStyle w:val="Hyperlink"/>
            <w:noProof/>
          </w:rPr>
          <w:t>Changes in assumptions since the previous report</w:t>
        </w:r>
        <w:r w:rsidR="00510749">
          <w:rPr>
            <w:noProof/>
            <w:webHidden/>
          </w:rPr>
          <w:tab/>
        </w:r>
        <w:r w:rsidR="00510749">
          <w:rPr>
            <w:noProof/>
            <w:webHidden/>
          </w:rPr>
          <w:fldChar w:fldCharType="begin"/>
        </w:r>
        <w:r w:rsidR="00510749">
          <w:rPr>
            <w:noProof/>
            <w:webHidden/>
          </w:rPr>
          <w:instrText xml:space="preserve"> PAGEREF _Toc425770473 \h </w:instrText>
        </w:r>
        <w:r w:rsidR="00510749">
          <w:rPr>
            <w:noProof/>
            <w:webHidden/>
          </w:rPr>
        </w:r>
        <w:r w:rsidR="00510749">
          <w:rPr>
            <w:noProof/>
            <w:webHidden/>
          </w:rPr>
          <w:fldChar w:fldCharType="separate"/>
        </w:r>
        <w:r w:rsidR="00B82BC4">
          <w:rPr>
            <w:noProof/>
            <w:webHidden/>
          </w:rPr>
          <w:t>5</w:t>
        </w:r>
        <w:r w:rsidR="00510749">
          <w:rPr>
            <w:noProof/>
            <w:webHidden/>
          </w:rPr>
          <w:fldChar w:fldCharType="end"/>
        </w:r>
      </w:hyperlink>
    </w:p>
    <w:p w14:paraId="1EB9A823"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74" w:history="1">
        <w:r w:rsidR="00510749" w:rsidRPr="0046033D">
          <w:rPr>
            <w:rStyle w:val="Hyperlink"/>
            <w:noProof/>
          </w:rPr>
          <w:t>Chapter 1:</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Introduction</w:t>
        </w:r>
        <w:r w:rsidR="00510749">
          <w:rPr>
            <w:noProof/>
            <w:webHidden/>
          </w:rPr>
          <w:tab/>
        </w:r>
        <w:r w:rsidR="00510749">
          <w:rPr>
            <w:noProof/>
            <w:webHidden/>
          </w:rPr>
          <w:fldChar w:fldCharType="begin"/>
        </w:r>
        <w:r w:rsidR="00510749">
          <w:rPr>
            <w:noProof/>
            <w:webHidden/>
          </w:rPr>
          <w:instrText xml:space="preserve"> PAGEREF _Toc425770474 \h </w:instrText>
        </w:r>
        <w:r w:rsidR="00510749">
          <w:rPr>
            <w:noProof/>
            <w:webHidden/>
          </w:rPr>
        </w:r>
        <w:r w:rsidR="00510749">
          <w:rPr>
            <w:noProof/>
            <w:webHidden/>
          </w:rPr>
          <w:fldChar w:fldCharType="separate"/>
        </w:r>
        <w:r w:rsidR="00B82BC4">
          <w:rPr>
            <w:noProof/>
            <w:webHidden/>
          </w:rPr>
          <w:t>7</w:t>
        </w:r>
        <w:r w:rsidR="00510749">
          <w:rPr>
            <w:noProof/>
            <w:webHidden/>
          </w:rPr>
          <w:fldChar w:fldCharType="end"/>
        </w:r>
      </w:hyperlink>
    </w:p>
    <w:p w14:paraId="5373F938"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5" w:history="1">
        <w:r w:rsidR="00510749" w:rsidRPr="0046033D">
          <w:rPr>
            <w:rStyle w:val="Hyperlink"/>
            <w:noProof/>
          </w:rPr>
          <w:t>Changes to future Superannuation Guarantee contribution rates</w:t>
        </w:r>
        <w:r w:rsidR="00510749">
          <w:rPr>
            <w:noProof/>
            <w:webHidden/>
          </w:rPr>
          <w:tab/>
        </w:r>
        <w:r w:rsidR="00510749">
          <w:rPr>
            <w:noProof/>
            <w:webHidden/>
          </w:rPr>
          <w:fldChar w:fldCharType="begin"/>
        </w:r>
        <w:r w:rsidR="00510749">
          <w:rPr>
            <w:noProof/>
            <w:webHidden/>
          </w:rPr>
          <w:instrText xml:space="preserve"> PAGEREF _Toc425770475 \h </w:instrText>
        </w:r>
        <w:r w:rsidR="00510749">
          <w:rPr>
            <w:noProof/>
            <w:webHidden/>
          </w:rPr>
        </w:r>
        <w:r w:rsidR="00510749">
          <w:rPr>
            <w:noProof/>
            <w:webHidden/>
          </w:rPr>
          <w:fldChar w:fldCharType="separate"/>
        </w:r>
        <w:r w:rsidR="00B82BC4">
          <w:rPr>
            <w:noProof/>
            <w:webHidden/>
          </w:rPr>
          <w:t>9</w:t>
        </w:r>
        <w:r w:rsidR="00510749">
          <w:rPr>
            <w:noProof/>
            <w:webHidden/>
          </w:rPr>
          <w:fldChar w:fldCharType="end"/>
        </w:r>
      </w:hyperlink>
    </w:p>
    <w:p w14:paraId="232CB429"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6" w:history="1">
        <w:r w:rsidR="00510749" w:rsidRPr="0046033D">
          <w:rPr>
            <w:rStyle w:val="Hyperlink"/>
            <w:noProof/>
          </w:rPr>
          <w:t>Future Fund</w:t>
        </w:r>
        <w:r w:rsidR="00510749">
          <w:rPr>
            <w:noProof/>
            <w:webHidden/>
          </w:rPr>
          <w:tab/>
        </w:r>
        <w:r w:rsidR="00510749">
          <w:rPr>
            <w:noProof/>
            <w:webHidden/>
          </w:rPr>
          <w:fldChar w:fldCharType="begin"/>
        </w:r>
        <w:r w:rsidR="00510749">
          <w:rPr>
            <w:noProof/>
            <w:webHidden/>
          </w:rPr>
          <w:instrText xml:space="preserve"> PAGEREF _Toc425770476 \h </w:instrText>
        </w:r>
        <w:r w:rsidR="00510749">
          <w:rPr>
            <w:noProof/>
            <w:webHidden/>
          </w:rPr>
        </w:r>
        <w:r w:rsidR="00510749">
          <w:rPr>
            <w:noProof/>
            <w:webHidden/>
          </w:rPr>
          <w:fldChar w:fldCharType="separate"/>
        </w:r>
        <w:r w:rsidR="00B82BC4">
          <w:rPr>
            <w:noProof/>
            <w:webHidden/>
          </w:rPr>
          <w:t>9</w:t>
        </w:r>
        <w:r w:rsidR="00510749">
          <w:rPr>
            <w:noProof/>
            <w:webHidden/>
          </w:rPr>
          <w:fldChar w:fldCharType="end"/>
        </w:r>
      </w:hyperlink>
    </w:p>
    <w:p w14:paraId="05084212"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7" w:history="1">
        <w:r w:rsidR="00510749" w:rsidRPr="0046033D">
          <w:rPr>
            <w:rStyle w:val="Hyperlink"/>
            <w:noProof/>
          </w:rPr>
          <w:t>Compliance with professional standards</w:t>
        </w:r>
        <w:r w:rsidR="00510749">
          <w:rPr>
            <w:noProof/>
            <w:webHidden/>
          </w:rPr>
          <w:tab/>
        </w:r>
        <w:r w:rsidR="00510749">
          <w:rPr>
            <w:noProof/>
            <w:webHidden/>
          </w:rPr>
          <w:fldChar w:fldCharType="begin"/>
        </w:r>
        <w:r w:rsidR="00510749">
          <w:rPr>
            <w:noProof/>
            <w:webHidden/>
          </w:rPr>
          <w:instrText xml:space="preserve"> PAGEREF _Toc425770477 \h </w:instrText>
        </w:r>
        <w:r w:rsidR="00510749">
          <w:rPr>
            <w:noProof/>
            <w:webHidden/>
          </w:rPr>
        </w:r>
        <w:r w:rsidR="00510749">
          <w:rPr>
            <w:noProof/>
            <w:webHidden/>
          </w:rPr>
          <w:fldChar w:fldCharType="separate"/>
        </w:r>
        <w:r w:rsidR="00B82BC4">
          <w:rPr>
            <w:noProof/>
            <w:webHidden/>
          </w:rPr>
          <w:t>9</w:t>
        </w:r>
        <w:r w:rsidR="00510749">
          <w:rPr>
            <w:noProof/>
            <w:webHidden/>
          </w:rPr>
          <w:fldChar w:fldCharType="end"/>
        </w:r>
      </w:hyperlink>
    </w:p>
    <w:p w14:paraId="28DB505B"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78" w:history="1">
        <w:r w:rsidR="00510749" w:rsidRPr="0046033D">
          <w:rPr>
            <w:rStyle w:val="Hyperlink"/>
            <w:noProof/>
          </w:rPr>
          <w:t>Chapter 2:</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The Military Superannuation Schemes</w:t>
        </w:r>
        <w:r w:rsidR="00510749">
          <w:rPr>
            <w:noProof/>
            <w:webHidden/>
          </w:rPr>
          <w:tab/>
        </w:r>
        <w:r w:rsidR="00510749">
          <w:rPr>
            <w:noProof/>
            <w:webHidden/>
          </w:rPr>
          <w:fldChar w:fldCharType="begin"/>
        </w:r>
        <w:r w:rsidR="00510749">
          <w:rPr>
            <w:noProof/>
            <w:webHidden/>
          </w:rPr>
          <w:instrText xml:space="preserve"> PAGEREF _Toc425770478 \h </w:instrText>
        </w:r>
        <w:r w:rsidR="00510749">
          <w:rPr>
            <w:noProof/>
            <w:webHidden/>
          </w:rPr>
        </w:r>
        <w:r w:rsidR="00510749">
          <w:rPr>
            <w:noProof/>
            <w:webHidden/>
          </w:rPr>
          <w:fldChar w:fldCharType="separate"/>
        </w:r>
        <w:r w:rsidR="00B82BC4">
          <w:rPr>
            <w:noProof/>
            <w:webHidden/>
          </w:rPr>
          <w:t>11</w:t>
        </w:r>
        <w:r w:rsidR="00510749">
          <w:rPr>
            <w:noProof/>
            <w:webHidden/>
          </w:rPr>
          <w:fldChar w:fldCharType="end"/>
        </w:r>
      </w:hyperlink>
    </w:p>
    <w:p w14:paraId="00A68629"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79" w:history="1">
        <w:r w:rsidR="00510749" w:rsidRPr="0046033D">
          <w:rPr>
            <w:rStyle w:val="Hyperlink"/>
            <w:noProof/>
          </w:rPr>
          <w:t>The Defence Forces Retirement Benefits Scheme</w:t>
        </w:r>
        <w:r w:rsidR="00510749">
          <w:rPr>
            <w:noProof/>
            <w:webHidden/>
          </w:rPr>
          <w:tab/>
        </w:r>
        <w:r w:rsidR="00510749">
          <w:rPr>
            <w:noProof/>
            <w:webHidden/>
          </w:rPr>
          <w:fldChar w:fldCharType="begin"/>
        </w:r>
        <w:r w:rsidR="00510749">
          <w:rPr>
            <w:noProof/>
            <w:webHidden/>
          </w:rPr>
          <w:instrText xml:space="preserve"> PAGEREF _Toc425770479 \h </w:instrText>
        </w:r>
        <w:r w:rsidR="00510749">
          <w:rPr>
            <w:noProof/>
            <w:webHidden/>
          </w:rPr>
        </w:r>
        <w:r w:rsidR="00510749">
          <w:rPr>
            <w:noProof/>
            <w:webHidden/>
          </w:rPr>
          <w:fldChar w:fldCharType="separate"/>
        </w:r>
        <w:r w:rsidR="00B82BC4">
          <w:rPr>
            <w:noProof/>
            <w:webHidden/>
          </w:rPr>
          <w:t>11</w:t>
        </w:r>
        <w:r w:rsidR="00510749">
          <w:rPr>
            <w:noProof/>
            <w:webHidden/>
          </w:rPr>
          <w:fldChar w:fldCharType="end"/>
        </w:r>
      </w:hyperlink>
    </w:p>
    <w:p w14:paraId="0F7570DF"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0" w:history="1">
        <w:r w:rsidR="00510749" w:rsidRPr="0046033D">
          <w:rPr>
            <w:rStyle w:val="Hyperlink"/>
            <w:noProof/>
            <w:spacing w:val="-2"/>
          </w:rPr>
          <w:t>The Defence Force Retirement and Death Benefits Scheme</w:t>
        </w:r>
        <w:r w:rsidR="00510749">
          <w:rPr>
            <w:noProof/>
            <w:webHidden/>
          </w:rPr>
          <w:tab/>
        </w:r>
        <w:r w:rsidR="00510749">
          <w:rPr>
            <w:noProof/>
            <w:webHidden/>
          </w:rPr>
          <w:fldChar w:fldCharType="begin"/>
        </w:r>
        <w:r w:rsidR="00510749">
          <w:rPr>
            <w:noProof/>
            <w:webHidden/>
          </w:rPr>
          <w:instrText xml:space="preserve"> PAGEREF _Toc425770480 \h </w:instrText>
        </w:r>
        <w:r w:rsidR="00510749">
          <w:rPr>
            <w:noProof/>
            <w:webHidden/>
          </w:rPr>
        </w:r>
        <w:r w:rsidR="00510749">
          <w:rPr>
            <w:noProof/>
            <w:webHidden/>
          </w:rPr>
          <w:fldChar w:fldCharType="separate"/>
        </w:r>
        <w:r w:rsidR="00B82BC4">
          <w:rPr>
            <w:noProof/>
            <w:webHidden/>
          </w:rPr>
          <w:t>11</w:t>
        </w:r>
        <w:r w:rsidR="00510749">
          <w:rPr>
            <w:noProof/>
            <w:webHidden/>
          </w:rPr>
          <w:fldChar w:fldCharType="end"/>
        </w:r>
      </w:hyperlink>
    </w:p>
    <w:p w14:paraId="2777C14E"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1" w:history="1">
        <w:r w:rsidR="00510749" w:rsidRPr="0046033D">
          <w:rPr>
            <w:rStyle w:val="Hyperlink"/>
            <w:noProof/>
          </w:rPr>
          <w:t>The Military Superannuation and Benefits Scheme</w:t>
        </w:r>
        <w:r w:rsidR="00510749">
          <w:rPr>
            <w:noProof/>
            <w:webHidden/>
          </w:rPr>
          <w:tab/>
        </w:r>
        <w:r w:rsidR="00510749">
          <w:rPr>
            <w:noProof/>
            <w:webHidden/>
          </w:rPr>
          <w:fldChar w:fldCharType="begin"/>
        </w:r>
        <w:r w:rsidR="00510749">
          <w:rPr>
            <w:noProof/>
            <w:webHidden/>
          </w:rPr>
          <w:instrText xml:space="preserve"> PAGEREF _Toc425770481 \h </w:instrText>
        </w:r>
        <w:r w:rsidR="00510749">
          <w:rPr>
            <w:noProof/>
            <w:webHidden/>
          </w:rPr>
        </w:r>
        <w:r w:rsidR="00510749">
          <w:rPr>
            <w:noProof/>
            <w:webHidden/>
          </w:rPr>
          <w:fldChar w:fldCharType="separate"/>
        </w:r>
        <w:r w:rsidR="00B82BC4">
          <w:rPr>
            <w:noProof/>
            <w:webHidden/>
          </w:rPr>
          <w:t>12</w:t>
        </w:r>
        <w:r w:rsidR="00510749">
          <w:rPr>
            <w:noProof/>
            <w:webHidden/>
          </w:rPr>
          <w:fldChar w:fldCharType="end"/>
        </w:r>
      </w:hyperlink>
    </w:p>
    <w:p w14:paraId="383F8558"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2" w:history="1">
        <w:r w:rsidR="00510749" w:rsidRPr="0046033D">
          <w:rPr>
            <w:rStyle w:val="Hyperlink"/>
            <w:noProof/>
          </w:rPr>
          <w:t>Changes to military superannuation over the review period</w:t>
        </w:r>
        <w:r w:rsidR="00510749">
          <w:rPr>
            <w:noProof/>
            <w:webHidden/>
          </w:rPr>
          <w:tab/>
        </w:r>
        <w:r w:rsidR="00510749">
          <w:rPr>
            <w:noProof/>
            <w:webHidden/>
          </w:rPr>
          <w:fldChar w:fldCharType="begin"/>
        </w:r>
        <w:r w:rsidR="00510749">
          <w:rPr>
            <w:noProof/>
            <w:webHidden/>
          </w:rPr>
          <w:instrText xml:space="preserve"> PAGEREF _Toc425770482 \h </w:instrText>
        </w:r>
        <w:r w:rsidR="00510749">
          <w:rPr>
            <w:noProof/>
            <w:webHidden/>
          </w:rPr>
        </w:r>
        <w:r w:rsidR="00510749">
          <w:rPr>
            <w:noProof/>
            <w:webHidden/>
          </w:rPr>
          <w:fldChar w:fldCharType="separate"/>
        </w:r>
        <w:r w:rsidR="00B82BC4">
          <w:rPr>
            <w:noProof/>
            <w:webHidden/>
          </w:rPr>
          <w:t>13</w:t>
        </w:r>
        <w:r w:rsidR="00510749">
          <w:rPr>
            <w:noProof/>
            <w:webHidden/>
          </w:rPr>
          <w:fldChar w:fldCharType="end"/>
        </w:r>
      </w:hyperlink>
    </w:p>
    <w:p w14:paraId="77EB6568"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3" w:history="1">
        <w:r w:rsidR="00510749" w:rsidRPr="0046033D">
          <w:rPr>
            <w:rStyle w:val="Hyperlink"/>
            <w:noProof/>
          </w:rPr>
          <w:t>Funding and payment of benefits</w:t>
        </w:r>
        <w:r w:rsidR="00510749">
          <w:rPr>
            <w:noProof/>
            <w:webHidden/>
          </w:rPr>
          <w:tab/>
        </w:r>
        <w:r w:rsidR="00510749">
          <w:rPr>
            <w:noProof/>
            <w:webHidden/>
          </w:rPr>
          <w:fldChar w:fldCharType="begin"/>
        </w:r>
        <w:r w:rsidR="00510749">
          <w:rPr>
            <w:noProof/>
            <w:webHidden/>
          </w:rPr>
          <w:instrText xml:space="preserve"> PAGEREF _Toc425770483 \h </w:instrText>
        </w:r>
        <w:r w:rsidR="00510749">
          <w:rPr>
            <w:noProof/>
            <w:webHidden/>
          </w:rPr>
        </w:r>
        <w:r w:rsidR="00510749">
          <w:rPr>
            <w:noProof/>
            <w:webHidden/>
          </w:rPr>
          <w:fldChar w:fldCharType="separate"/>
        </w:r>
        <w:r w:rsidR="00B82BC4">
          <w:rPr>
            <w:noProof/>
            <w:webHidden/>
          </w:rPr>
          <w:t>14</w:t>
        </w:r>
        <w:r w:rsidR="00510749">
          <w:rPr>
            <w:noProof/>
            <w:webHidden/>
          </w:rPr>
          <w:fldChar w:fldCharType="end"/>
        </w:r>
      </w:hyperlink>
    </w:p>
    <w:p w14:paraId="1C9E469D"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4" w:history="1">
        <w:r w:rsidR="00510749" w:rsidRPr="0046033D">
          <w:rPr>
            <w:rStyle w:val="Hyperlink"/>
            <w:noProof/>
          </w:rPr>
          <w:t>Retention benefit</w:t>
        </w:r>
        <w:r w:rsidR="00510749">
          <w:rPr>
            <w:noProof/>
            <w:webHidden/>
          </w:rPr>
          <w:tab/>
        </w:r>
        <w:r w:rsidR="00510749">
          <w:rPr>
            <w:noProof/>
            <w:webHidden/>
          </w:rPr>
          <w:fldChar w:fldCharType="begin"/>
        </w:r>
        <w:r w:rsidR="00510749">
          <w:rPr>
            <w:noProof/>
            <w:webHidden/>
          </w:rPr>
          <w:instrText xml:space="preserve"> PAGEREF _Toc425770484 \h </w:instrText>
        </w:r>
        <w:r w:rsidR="00510749">
          <w:rPr>
            <w:noProof/>
            <w:webHidden/>
          </w:rPr>
        </w:r>
        <w:r w:rsidR="00510749">
          <w:rPr>
            <w:noProof/>
            <w:webHidden/>
          </w:rPr>
          <w:fldChar w:fldCharType="separate"/>
        </w:r>
        <w:r w:rsidR="00B82BC4">
          <w:rPr>
            <w:noProof/>
            <w:webHidden/>
          </w:rPr>
          <w:t>17</w:t>
        </w:r>
        <w:r w:rsidR="00510749">
          <w:rPr>
            <w:noProof/>
            <w:webHidden/>
          </w:rPr>
          <w:fldChar w:fldCharType="end"/>
        </w:r>
      </w:hyperlink>
    </w:p>
    <w:p w14:paraId="7F07A3DD"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85" w:history="1">
        <w:r w:rsidR="00510749" w:rsidRPr="0046033D">
          <w:rPr>
            <w:rStyle w:val="Hyperlink"/>
            <w:noProof/>
          </w:rPr>
          <w:t>Chapter 3:</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Membership, data and assets</w:t>
        </w:r>
        <w:r w:rsidR="00510749">
          <w:rPr>
            <w:noProof/>
            <w:webHidden/>
          </w:rPr>
          <w:tab/>
        </w:r>
        <w:r w:rsidR="00510749">
          <w:rPr>
            <w:noProof/>
            <w:webHidden/>
          </w:rPr>
          <w:fldChar w:fldCharType="begin"/>
        </w:r>
        <w:r w:rsidR="00510749">
          <w:rPr>
            <w:noProof/>
            <w:webHidden/>
          </w:rPr>
          <w:instrText xml:space="preserve"> PAGEREF _Toc425770485 \h </w:instrText>
        </w:r>
        <w:r w:rsidR="00510749">
          <w:rPr>
            <w:noProof/>
            <w:webHidden/>
          </w:rPr>
        </w:r>
        <w:r w:rsidR="00510749">
          <w:rPr>
            <w:noProof/>
            <w:webHidden/>
          </w:rPr>
          <w:fldChar w:fldCharType="separate"/>
        </w:r>
        <w:r w:rsidR="00B82BC4">
          <w:rPr>
            <w:noProof/>
            <w:webHidden/>
          </w:rPr>
          <w:t>19</w:t>
        </w:r>
        <w:r w:rsidR="00510749">
          <w:rPr>
            <w:noProof/>
            <w:webHidden/>
          </w:rPr>
          <w:fldChar w:fldCharType="end"/>
        </w:r>
      </w:hyperlink>
    </w:p>
    <w:p w14:paraId="63264347"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6" w:history="1">
        <w:r w:rsidR="00510749" w:rsidRPr="0046033D">
          <w:rPr>
            <w:rStyle w:val="Hyperlink"/>
            <w:noProof/>
          </w:rPr>
          <w:t>Data</w:t>
        </w:r>
        <w:r w:rsidR="00510749">
          <w:rPr>
            <w:noProof/>
            <w:webHidden/>
          </w:rPr>
          <w:tab/>
        </w:r>
        <w:r w:rsidR="00510749">
          <w:rPr>
            <w:noProof/>
            <w:webHidden/>
          </w:rPr>
          <w:fldChar w:fldCharType="begin"/>
        </w:r>
        <w:r w:rsidR="00510749">
          <w:rPr>
            <w:noProof/>
            <w:webHidden/>
          </w:rPr>
          <w:instrText xml:space="preserve"> PAGEREF _Toc425770486 \h </w:instrText>
        </w:r>
        <w:r w:rsidR="00510749">
          <w:rPr>
            <w:noProof/>
            <w:webHidden/>
          </w:rPr>
        </w:r>
        <w:r w:rsidR="00510749">
          <w:rPr>
            <w:noProof/>
            <w:webHidden/>
          </w:rPr>
          <w:fldChar w:fldCharType="separate"/>
        </w:r>
        <w:r w:rsidR="00B82BC4">
          <w:rPr>
            <w:noProof/>
            <w:webHidden/>
          </w:rPr>
          <w:t>19</w:t>
        </w:r>
        <w:r w:rsidR="00510749">
          <w:rPr>
            <w:noProof/>
            <w:webHidden/>
          </w:rPr>
          <w:fldChar w:fldCharType="end"/>
        </w:r>
      </w:hyperlink>
    </w:p>
    <w:p w14:paraId="4DEFED82"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7" w:history="1">
        <w:r w:rsidR="00510749" w:rsidRPr="0046033D">
          <w:rPr>
            <w:rStyle w:val="Hyperlink"/>
            <w:noProof/>
          </w:rPr>
          <w:t>Membership</w:t>
        </w:r>
        <w:r w:rsidR="00510749">
          <w:rPr>
            <w:noProof/>
            <w:webHidden/>
          </w:rPr>
          <w:tab/>
        </w:r>
        <w:r w:rsidR="00510749">
          <w:rPr>
            <w:noProof/>
            <w:webHidden/>
          </w:rPr>
          <w:fldChar w:fldCharType="begin"/>
        </w:r>
        <w:r w:rsidR="00510749">
          <w:rPr>
            <w:noProof/>
            <w:webHidden/>
          </w:rPr>
          <w:instrText xml:space="preserve"> PAGEREF _Toc425770487 \h </w:instrText>
        </w:r>
        <w:r w:rsidR="00510749">
          <w:rPr>
            <w:noProof/>
            <w:webHidden/>
          </w:rPr>
        </w:r>
        <w:r w:rsidR="00510749">
          <w:rPr>
            <w:noProof/>
            <w:webHidden/>
          </w:rPr>
          <w:fldChar w:fldCharType="separate"/>
        </w:r>
        <w:r w:rsidR="00B82BC4">
          <w:rPr>
            <w:noProof/>
            <w:webHidden/>
          </w:rPr>
          <w:t>19</w:t>
        </w:r>
        <w:r w:rsidR="00510749">
          <w:rPr>
            <w:noProof/>
            <w:webHidden/>
          </w:rPr>
          <w:fldChar w:fldCharType="end"/>
        </w:r>
      </w:hyperlink>
    </w:p>
    <w:p w14:paraId="08777197"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88" w:history="1">
        <w:r w:rsidR="00510749" w:rsidRPr="0046033D">
          <w:rPr>
            <w:rStyle w:val="Hyperlink"/>
            <w:noProof/>
          </w:rPr>
          <w:t>Assets</w:t>
        </w:r>
        <w:r w:rsidR="00510749">
          <w:rPr>
            <w:noProof/>
            <w:webHidden/>
          </w:rPr>
          <w:tab/>
        </w:r>
        <w:r w:rsidR="00510749">
          <w:rPr>
            <w:noProof/>
            <w:webHidden/>
          </w:rPr>
          <w:fldChar w:fldCharType="begin"/>
        </w:r>
        <w:r w:rsidR="00510749">
          <w:rPr>
            <w:noProof/>
            <w:webHidden/>
          </w:rPr>
          <w:instrText xml:space="preserve"> PAGEREF _Toc425770488 \h </w:instrText>
        </w:r>
        <w:r w:rsidR="00510749">
          <w:rPr>
            <w:noProof/>
            <w:webHidden/>
          </w:rPr>
        </w:r>
        <w:r w:rsidR="00510749">
          <w:rPr>
            <w:noProof/>
            <w:webHidden/>
          </w:rPr>
          <w:fldChar w:fldCharType="separate"/>
        </w:r>
        <w:r w:rsidR="00B82BC4">
          <w:rPr>
            <w:noProof/>
            <w:webHidden/>
          </w:rPr>
          <w:t>23</w:t>
        </w:r>
        <w:r w:rsidR="00510749">
          <w:rPr>
            <w:noProof/>
            <w:webHidden/>
          </w:rPr>
          <w:fldChar w:fldCharType="end"/>
        </w:r>
      </w:hyperlink>
    </w:p>
    <w:p w14:paraId="694D6DC4"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89" w:history="1">
        <w:r w:rsidR="00510749" w:rsidRPr="0046033D">
          <w:rPr>
            <w:rStyle w:val="Hyperlink"/>
            <w:noProof/>
          </w:rPr>
          <w:t>Chapter 4:</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Assumptions</w:t>
        </w:r>
        <w:r w:rsidR="00510749">
          <w:rPr>
            <w:noProof/>
            <w:webHidden/>
          </w:rPr>
          <w:tab/>
        </w:r>
        <w:r w:rsidR="00510749">
          <w:rPr>
            <w:noProof/>
            <w:webHidden/>
          </w:rPr>
          <w:fldChar w:fldCharType="begin"/>
        </w:r>
        <w:r w:rsidR="00510749">
          <w:rPr>
            <w:noProof/>
            <w:webHidden/>
          </w:rPr>
          <w:instrText xml:space="preserve"> PAGEREF _Toc425770489 \h </w:instrText>
        </w:r>
        <w:r w:rsidR="00510749">
          <w:rPr>
            <w:noProof/>
            <w:webHidden/>
          </w:rPr>
        </w:r>
        <w:r w:rsidR="00510749">
          <w:rPr>
            <w:noProof/>
            <w:webHidden/>
          </w:rPr>
          <w:fldChar w:fldCharType="separate"/>
        </w:r>
        <w:r w:rsidR="00B82BC4">
          <w:rPr>
            <w:noProof/>
            <w:webHidden/>
          </w:rPr>
          <w:t>25</w:t>
        </w:r>
        <w:r w:rsidR="00510749">
          <w:rPr>
            <w:noProof/>
            <w:webHidden/>
          </w:rPr>
          <w:fldChar w:fldCharType="end"/>
        </w:r>
      </w:hyperlink>
    </w:p>
    <w:p w14:paraId="5A78F615"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90" w:history="1">
        <w:r w:rsidR="00510749" w:rsidRPr="0046033D">
          <w:rPr>
            <w:rStyle w:val="Hyperlink"/>
            <w:noProof/>
          </w:rPr>
          <w:t>General assumptions</w:t>
        </w:r>
        <w:r w:rsidR="00510749">
          <w:rPr>
            <w:noProof/>
            <w:webHidden/>
          </w:rPr>
          <w:tab/>
        </w:r>
        <w:r w:rsidR="00510749">
          <w:rPr>
            <w:noProof/>
            <w:webHidden/>
          </w:rPr>
          <w:fldChar w:fldCharType="begin"/>
        </w:r>
        <w:r w:rsidR="00510749">
          <w:rPr>
            <w:noProof/>
            <w:webHidden/>
          </w:rPr>
          <w:instrText xml:space="preserve"> PAGEREF _Toc425770490 \h </w:instrText>
        </w:r>
        <w:r w:rsidR="00510749">
          <w:rPr>
            <w:noProof/>
            <w:webHidden/>
          </w:rPr>
        </w:r>
        <w:r w:rsidR="00510749">
          <w:rPr>
            <w:noProof/>
            <w:webHidden/>
          </w:rPr>
          <w:fldChar w:fldCharType="separate"/>
        </w:r>
        <w:r w:rsidR="00B82BC4">
          <w:rPr>
            <w:noProof/>
            <w:webHidden/>
          </w:rPr>
          <w:t>25</w:t>
        </w:r>
        <w:r w:rsidR="00510749">
          <w:rPr>
            <w:noProof/>
            <w:webHidden/>
          </w:rPr>
          <w:fldChar w:fldCharType="end"/>
        </w:r>
      </w:hyperlink>
    </w:p>
    <w:p w14:paraId="6D856376"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91" w:history="1">
        <w:r w:rsidR="00510749" w:rsidRPr="0046033D">
          <w:rPr>
            <w:rStyle w:val="Hyperlink"/>
            <w:noProof/>
          </w:rPr>
          <w:t>Experience assumptions</w:t>
        </w:r>
        <w:r w:rsidR="00510749">
          <w:rPr>
            <w:noProof/>
            <w:webHidden/>
          </w:rPr>
          <w:tab/>
        </w:r>
        <w:r w:rsidR="00510749">
          <w:rPr>
            <w:noProof/>
            <w:webHidden/>
          </w:rPr>
          <w:fldChar w:fldCharType="begin"/>
        </w:r>
        <w:r w:rsidR="00510749">
          <w:rPr>
            <w:noProof/>
            <w:webHidden/>
          </w:rPr>
          <w:instrText xml:space="preserve"> PAGEREF _Toc425770491 \h </w:instrText>
        </w:r>
        <w:r w:rsidR="00510749">
          <w:rPr>
            <w:noProof/>
            <w:webHidden/>
          </w:rPr>
        </w:r>
        <w:r w:rsidR="00510749">
          <w:rPr>
            <w:noProof/>
            <w:webHidden/>
          </w:rPr>
          <w:fldChar w:fldCharType="separate"/>
        </w:r>
        <w:r w:rsidR="00B82BC4">
          <w:rPr>
            <w:noProof/>
            <w:webHidden/>
          </w:rPr>
          <w:t>29</w:t>
        </w:r>
        <w:r w:rsidR="00510749">
          <w:rPr>
            <w:noProof/>
            <w:webHidden/>
          </w:rPr>
          <w:fldChar w:fldCharType="end"/>
        </w:r>
      </w:hyperlink>
    </w:p>
    <w:p w14:paraId="31458BEC"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92" w:history="1">
        <w:r w:rsidR="00510749" w:rsidRPr="0046033D">
          <w:rPr>
            <w:rStyle w:val="Hyperlink"/>
            <w:noProof/>
          </w:rPr>
          <w:t>Chapter 5:</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Notional employer contribution rates</w:t>
        </w:r>
        <w:r w:rsidR="00510749">
          <w:rPr>
            <w:noProof/>
            <w:webHidden/>
          </w:rPr>
          <w:tab/>
        </w:r>
        <w:r w:rsidR="00510749">
          <w:rPr>
            <w:noProof/>
            <w:webHidden/>
          </w:rPr>
          <w:fldChar w:fldCharType="begin"/>
        </w:r>
        <w:r w:rsidR="00510749">
          <w:rPr>
            <w:noProof/>
            <w:webHidden/>
          </w:rPr>
          <w:instrText xml:space="preserve"> PAGEREF _Toc425770492 \h </w:instrText>
        </w:r>
        <w:r w:rsidR="00510749">
          <w:rPr>
            <w:noProof/>
            <w:webHidden/>
          </w:rPr>
        </w:r>
        <w:r w:rsidR="00510749">
          <w:rPr>
            <w:noProof/>
            <w:webHidden/>
          </w:rPr>
          <w:fldChar w:fldCharType="separate"/>
        </w:r>
        <w:r w:rsidR="00B82BC4">
          <w:rPr>
            <w:noProof/>
            <w:webHidden/>
          </w:rPr>
          <w:t>41</w:t>
        </w:r>
        <w:r w:rsidR="00510749">
          <w:rPr>
            <w:noProof/>
            <w:webHidden/>
          </w:rPr>
          <w:fldChar w:fldCharType="end"/>
        </w:r>
      </w:hyperlink>
    </w:p>
    <w:p w14:paraId="54159F58"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93" w:history="1">
        <w:r w:rsidR="00510749" w:rsidRPr="0046033D">
          <w:rPr>
            <w:rStyle w:val="Hyperlink"/>
            <w:noProof/>
          </w:rPr>
          <w:t>Chapter 6:</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Projection of outlays</w:t>
        </w:r>
        <w:r w:rsidR="00510749">
          <w:rPr>
            <w:noProof/>
            <w:webHidden/>
          </w:rPr>
          <w:tab/>
        </w:r>
        <w:r w:rsidR="00510749">
          <w:rPr>
            <w:noProof/>
            <w:webHidden/>
          </w:rPr>
          <w:fldChar w:fldCharType="begin"/>
        </w:r>
        <w:r w:rsidR="00510749">
          <w:rPr>
            <w:noProof/>
            <w:webHidden/>
          </w:rPr>
          <w:instrText xml:space="preserve"> PAGEREF _Toc425770493 \h </w:instrText>
        </w:r>
        <w:r w:rsidR="00510749">
          <w:rPr>
            <w:noProof/>
            <w:webHidden/>
          </w:rPr>
        </w:r>
        <w:r w:rsidR="00510749">
          <w:rPr>
            <w:noProof/>
            <w:webHidden/>
          </w:rPr>
          <w:fldChar w:fldCharType="separate"/>
        </w:r>
        <w:r w:rsidR="00B82BC4">
          <w:rPr>
            <w:noProof/>
            <w:webHidden/>
          </w:rPr>
          <w:t>43</w:t>
        </w:r>
        <w:r w:rsidR="00510749">
          <w:rPr>
            <w:noProof/>
            <w:webHidden/>
          </w:rPr>
          <w:fldChar w:fldCharType="end"/>
        </w:r>
      </w:hyperlink>
    </w:p>
    <w:p w14:paraId="5C8EDF2A" w14:textId="77777777" w:rsidR="00510749" w:rsidRDefault="00260AE7">
      <w:pPr>
        <w:pStyle w:val="TOC1"/>
        <w:rPr>
          <w:rFonts w:asciiTheme="minorHAnsi" w:eastAsiaTheme="minorEastAsia" w:hAnsiTheme="minorHAnsi" w:cstheme="minorBidi"/>
          <w:b w:val="0"/>
          <w:bCs w:val="0"/>
          <w:noProof/>
          <w:color w:val="auto"/>
          <w:sz w:val="22"/>
          <w:szCs w:val="22"/>
          <w:lang w:eastAsia="en-AU"/>
        </w:rPr>
      </w:pPr>
      <w:hyperlink w:anchor="_Toc425770494" w:history="1">
        <w:r w:rsidR="00510749" w:rsidRPr="0046033D">
          <w:rPr>
            <w:rStyle w:val="Hyperlink"/>
            <w:noProof/>
          </w:rPr>
          <w:t>Chapter 7:</w:t>
        </w:r>
        <w:r w:rsidR="00510749">
          <w:rPr>
            <w:rFonts w:asciiTheme="minorHAnsi" w:eastAsiaTheme="minorEastAsia" w:hAnsiTheme="minorHAnsi" w:cstheme="minorBidi"/>
            <w:b w:val="0"/>
            <w:bCs w:val="0"/>
            <w:noProof/>
            <w:color w:val="auto"/>
            <w:sz w:val="22"/>
            <w:szCs w:val="22"/>
            <w:lang w:eastAsia="en-AU"/>
          </w:rPr>
          <w:tab/>
        </w:r>
        <w:r w:rsidR="00510749" w:rsidRPr="0046033D">
          <w:rPr>
            <w:rStyle w:val="Hyperlink"/>
            <w:noProof/>
          </w:rPr>
          <w:t>Unfunded liabilities</w:t>
        </w:r>
        <w:r w:rsidR="00510749">
          <w:rPr>
            <w:noProof/>
            <w:webHidden/>
          </w:rPr>
          <w:tab/>
        </w:r>
        <w:r w:rsidR="00510749">
          <w:rPr>
            <w:noProof/>
            <w:webHidden/>
          </w:rPr>
          <w:fldChar w:fldCharType="begin"/>
        </w:r>
        <w:r w:rsidR="00510749">
          <w:rPr>
            <w:noProof/>
            <w:webHidden/>
          </w:rPr>
          <w:instrText xml:space="preserve"> PAGEREF _Toc425770494 \h </w:instrText>
        </w:r>
        <w:r w:rsidR="00510749">
          <w:rPr>
            <w:noProof/>
            <w:webHidden/>
          </w:rPr>
        </w:r>
        <w:r w:rsidR="00510749">
          <w:rPr>
            <w:noProof/>
            <w:webHidden/>
          </w:rPr>
          <w:fldChar w:fldCharType="separate"/>
        </w:r>
        <w:r w:rsidR="00B82BC4">
          <w:rPr>
            <w:noProof/>
            <w:webHidden/>
          </w:rPr>
          <w:t>47</w:t>
        </w:r>
        <w:r w:rsidR="00510749">
          <w:rPr>
            <w:noProof/>
            <w:webHidden/>
          </w:rPr>
          <w:fldChar w:fldCharType="end"/>
        </w:r>
      </w:hyperlink>
    </w:p>
    <w:p w14:paraId="7014332F"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95" w:history="1">
        <w:r w:rsidR="00510749" w:rsidRPr="0046033D">
          <w:rPr>
            <w:rStyle w:val="Hyperlink"/>
            <w:noProof/>
          </w:rPr>
          <w:t>AASB 119</w:t>
        </w:r>
        <w:r w:rsidR="00510749">
          <w:rPr>
            <w:noProof/>
            <w:webHidden/>
          </w:rPr>
          <w:tab/>
        </w:r>
        <w:r w:rsidR="00510749">
          <w:rPr>
            <w:noProof/>
            <w:webHidden/>
          </w:rPr>
          <w:fldChar w:fldCharType="begin"/>
        </w:r>
        <w:r w:rsidR="00510749">
          <w:rPr>
            <w:noProof/>
            <w:webHidden/>
          </w:rPr>
          <w:instrText xml:space="preserve"> PAGEREF _Toc425770495 \h </w:instrText>
        </w:r>
        <w:r w:rsidR="00510749">
          <w:rPr>
            <w:noProof/>
            <w:webHidden/>
          </w:rPr>
        </w:r>
        <w:r w:rsidR="00510749">
          <w:rPr>
            <w:noProof/>
            <w:webHidden/>
          </w:rPr>
          <w:fldChar w:fldCharType="separate"/>
        </w:r>
        <w:r w:rsidR="00B82BC4">
          <w:rPr>
            <w:noProof/>
            <w:webHidden/>
          </w:rPr>
          <w:t>51</w:t>
        </w:r>
        <w:r w:rsidR="00510749">
          <w:rPr>
            <w:noProof/>
            <w:webHidden/>
          </w:rPr>
          <w:fldChar w:fldCharType="end"/>
        </w:r>
      </w:hyperlink>
    </w:p>
    <w:p w14:paraId="4E7EED00" w14:textId="77777777" w:rsidR="00510749" w:rsidRDefault="00510749">
      <w:pPr>
        <w:spacing w:before="0" w:after="0" w:line="240" w:lineRule="auto"/>
        <w:jc w:val="left"/>
        <w:rPr>
          <w:rStyle w:val="Hyperlink"/>
          <w:rFonts w:cs="Arial"/>
          <w:b/>
          <w:bCs/>
          <w:noProof/>
        </w:rPr>
      </w:pPr>
      <w:r>
        <w:rPr>
          <w:rStyle w:val="Hyperlink"/>
          <w:noProof/>
        </w:rPr>
        <w:br w:type="page"/>
      </w:r>
    </w:p>
    <w:p w14:paraId="51FC859D" w14:textId="77A9F73E" w:rsidR="00510749" w:rsidRDefault="00260AE7" w:rsidP="00510749">
      <w:pPr>
        <w:pStyle w:val="TOC1"/>
        <w:tabs>
          <w:tab w:val="clear" w:pos="1134"/>
        </w:tabs>
        <w:rPr>
          <w:rFonts w:asciiTheme="minorHAnsi" w:eastAsiaTheme="minorEastAsia" w:hAnsiTheme="minorHAnsi" w:cstheme="minorBidi"/>
          <w:b w:val="0"/>
          <w:bCs w:val="0"/>
          <w:noProof/>
          <w:color w:val="auto"/>
          <w:sz w:val="22"/>
          <w:szCs w:val="22"/>
          <w:lang w:eastAsia="en-AU"/>
        </w:rPr>
      </w:pPr>
      <w:hyperlink w:anchor="_Toc425770496" w:history="1">
        <w:r w:rsidR="00510749" w:rsidRPr="0046033D">
          <w:rPr>
            <w:rStyle w:val="Hyperlink"/>
            <w:noProof/>
          </w:rPr>
          <w:t>Appendix A</w:t>
        </w:r>
        <w:r w:rsidR="00510749">
          <w:rPr>
            <w:noProof/>
            <w:webHidden/>
          </w:rPr>
          <w:tab/>
        </w:r>
        <w:r w:rsidR="00510749">
          <w:rPr>
            <w:noProof/>
            <w:webHidden/>
          </w:rPr>
          <w:fldChar w:fldCharType="begin"/>
        </w:r>
        <w:r w:rsidR="00510749">
          <w:rPr>
            <w:noProof/>
            <w:webHidden/>
          </w:rPr>
          <w:instrText xml:space="preserve"> PAGEREF _Toc425770496 \h </w:instrText>
        </w:r>
        <w:r w:rsidR="00510749">
          <w:rPr>
            <w:noProof/>
            <w:webHidden/>
          </w:rPr>
        </w:r>
        <w:r w:rsidR="00510749">
          <w:rPr>
            <w:noProof/>
            <w:webHidden/>
          </w:rPr>
          <w:fldChar w:fldCharType="separate"/>
        </w:r>
        <w:r w:rsidR="00B82BC4">
          <w:rPr>
            <w:noProof/>
            <w:webHidden/>
          </w:rPr>
          <w:t>53</w:t>
        </w:r>
        <w:r w:rsidR="00510749">
          <w:rPr>
            <w:noProof/>
            <w:webHidden/>
          </w:rPr>
          <w:fldChar w:fldCharType="end"/>
        </w:r>
      </w:hyperlink>
    </w:p>
    <w:p w14:paraId="5F9EB552"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97" w:history="1">
        <w:r w:rsidR="00510749" w:rsidRPr="0046033D">
          <w:rPr>
            <w:rStyle w:val="Hyperlink"/>
            <w:noProof/>
          </w:rPr>
          <w:t>Summary of membership, contribution and benefit provisions of the Military Superannuation and Benefits Scheme</w:t>
        </w:r>
        <w:r w:rsidR="00510749">
          <w:rPr>
            <w:noProof/>
            <w:webHidden/>
          </w:rPr>
          <w:tab/>
        </w:r>
        <w:r w:rsidR="00510749">
          <w:rPr>
            <w:noProof/>
            <w:webHidden/>
          </w:rPr>
          <w:fldChar w:fldCharType="begin"/>
        </w:r>
        <w:r w:rsidR="00510749">
          <w:rPr>
            <w:noProof/>
            <w:webHidden/>
          </w:rPr>
          <w:instrText xml:space="preserve"> PAGEREF _Toc425770497 \h </w:instrText>
        </w:r>
        <w:r w:rsidR="00510749">
          <w:rPr>
            <w:noProof/>
            <w:webHidden/>
          </w:rPr>
        </w:r>
        <w:r w:rsidR="00510749">
          <w:rPr>
            <w:noProof/>
            <w:webHidden/>
          </w:rPr>
          <w:fldChar w:fldCharType="separate"/>
        </w:r>
        <w:r w:rsidR="00B82BC4">
          <w:rPr>
            <w:noProof/>
            <w:webHidden/>
          </w:rPr>
          <w:t>53</w:t>
        </w:r>
        <w:r w:rsidR="00510749">
          <w:rPr>
            <w:noProof/>
            <w:webHidden/>
          </w:rPr>
          <w:fldChar w:fldCharType="end"/>
        </w:r>
      </w:hyperlink>
    </w:p>
    <w:p w14:paraId="669EEA19" w14:textId="77777777" w:rsidR="00510749" w:rsidRDefault="00260AE7" w:rsidP="00510749">
      <w:pPr>
        <w:pStyle w:val="TOC1"/>
        <w:tabs>
          <w:tab w:val="clear" w:pos="1134"/>
        </w:tabs>
        <w:rPr>
          <w:rFonts w:asciiTheme="minorHAnsi" w:eastAsiaTheme="minorEastAsia" w:hAnsiTheme="minorHAnsi" w:cstheme="minorBidi"/>
          <w:b w:val="0"/>
          <w:bCs w:val="0"/>
          <w:noProof/>
          <w:color w:val="auto"/>
          <w:sz w:val="22"/>
          <w:szCs w:val="22"/>
          <w:lang w:eastAsia="en-AU"/>
        </w:rPr>
      </w:pPr>
      <w:hyperlink w:anchor="_Toc425770498" w:history="1">
        <w:r w:rsidR="00510749" w:rsidRPr="0046033D">
          <w:rPr>
            <w:rStyle w:val="Hyperlink"/>
            <w:noProof/>
          </w:rPr>
          <w:t>Appendix B</w:t>
        </w:r>
        <w:r w:rsidR="00510749">
          <w:rPr>
            <w:noProof/>
            <w:webHidden/>
          </w:rPr>
          <w:tab/>
        </w:r>
        <w:r w:rsidR="00510749">
          <w:rPr>
            <w:noProof/>
            <w:webHidden/>
          </w:rPr>
          <w:fldChar w:fldCharType="begin"/>
        </w:r>
        <w:r w:rsidR="00510749">
          <w:rPr>
            <w:noProof/>
            <w:webHidden/>
          </w:rPr>
          <w:instrText xml:space="preserve"> PAGEREF _Toc425770498 \h </w:instrText>
        </w:r>
        <w:r w:rsidR="00510749">
          <w:rPr>
            <w:noProof/>
            <w:webHidden/>
          </w:rPr>
        </w:r>
        <w:r w:rsidR="00510749">
          <w:rPr>
            <w:noProof/>
            <w:webHidden/>
          </w:rPr>
          <w:fldChar w:fldCharType="separate"/>
        </w:r>
        <w:r w:rsidR="00B82BC4">
          <w:rPr>
            <w:noProof/>
            <w:webHidden/>
          </w:rPr>
          <w:t>59</w:t>
        </w:r>
        <w:r w:rsidR="00510749">
          <w:rPr>
            <w:noProof/>
            <w:webHidden/>
          </w:rPr>
          <w:fldChar w:fldCharType="end"/>
        </w:r>
      </w:hyperlink>
    </w:p>
    <w:p w14:paraId="79879CB7"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499" w:history="1">
        <w:r w:rsidR="00510749" w:rsidRPr="0046033D">
          <w:rPr>
            <w:rStyle w:val="Hyperlink"/>
            <w:noProof/>
          </w:rPr>
          <w:t>Summary of membership, contribution and  benefit provisions of the Defence Force Retirement and Death Benefits Scheme</w:t>
        </w:r>
        <w:r w:rsidR="00510749">
          <w:rPr>
            <w:noProof/>
            <w:webHidden/>
          </w:rPr>
          <w:tab/>
        </w:r>
        <w:r w:rsidR="00510749">
          <w:rPr>
            <w:noProof/>
            <w:webHidden/>
          </w:rPr>
          <w:fldChar w:fldCharType="begin"/>
        </w:r>
        <w:r w:rsidR="00510749">
          <w:rPr>
            <w:noProof/>
            <w:webHidden/>
          </w:rPr>
          <w:instrText xml:space="preserve"> PAGEREF _Toc425770499 \h </w:instrText>
        </w:r>
        <w:r w:rsidR="00510749">
          <w:rPr>
            <w:noProof/>
            <w:webHidden/>
          </w:rPr>
        </w:r>
        <w:r w:rsidR="00510749">
          <w:rPr>
            <w:noProof/>
            <w:webHidden/>
          </w:rPr>
          <w:fldChar w:fldCharType="separate"/>
        </w:r>
        <w:r w:rsidR="00B82BC4">
          <w:rPr>
            <w:noProof/>
            <w:webHidden/>
          </w:rPr>
          <w:t>59</w:t>
        </w:r>
        <w:r w:rsidR="00510749">
          <w:rPr>
            <w:noProof/>
            <w:webHidden/>
          </w:rPr>
          <w:fldChar w:fldCharType="end"/>
        </w:r>
      </w:hyperlink>
    </w:p>
    <w:p w14:paraId="62941E4D" w14:textId="77777777" w:rsidR="00510749" w:rsidRDefault="00260AE7" w:rsidP="00510749">
      <w:pPr>
        <w:pStyle w:val="TOC1"/>
        <w:tabs>
          <w:tab w:val="clear" w:pos="1134"/>
        </w:tabs>
        <w:rPr>
          <w:rFonts w:asciiTheme="minorHAnsi" w:eastAsiaTheme="minorEastAsia" w:hAnsiTheme="minorHAnsi" w:cstheme="minorBidi"/>
          <w:b w:val="0"/>
          <w:bCs w:val="0"/>
          <w:noProof/>
          <w:color w:val="auto"/>
          <w:sz w:val="22"/>
          <w:szCs w:val="22"/>
          <w:lang w:eastAsia="en-AU"/>
        </w:rPr>
      </w:pPr>
      <w:hyperlink w:anchor="_Toc425770500" w:history="1">
        <w:r w:rsidR="00510749" w:rsidRPr="0046033D">
          <w:rPr>
            <w:rStyle w:val="Hyperlink"/>
            <w:noProof/>
          </w:rPr>
          <w:t>Appendix C</w:t>
        </w:r>
        <w:r w:rsidR="00510749">
          <w:rPr>
            <w:noProof/>
            <w:webHidden/>
          </w:rPr>
          <w:tab/>
        </w:r>
        <w:r w:rsidR="00510749">
          <w:rPr>
            <w:noProof/>
            <w:webHidden/>
          </w:rPr>
          <w:fldChar w:fldCharType="begin"/>
        </w:r>
        <w:r w:rsidR="00510749">
          <w:rPr>
            <w:noProof/>
            <w:webHidden/>
          </w:rPr>
          <w:instrText xml:space="preserve"> PAGEREF _Toc425770500 \h </w:instrText>
        </w:r>
        <w:r w:rsidR="00510749">
          <w:rPr>
            <w:noProof/>
            <w:webHidden/>
          </w:rPr>
        </w:r>
        <w:r w:rsidR="00510749">
          <w:rPr>
            <w:noProof/>
            <w:webHidden/>
          </w:rPr>
          <w:fldChar w:fldCharType="separate"/>
        </w:r>
        <w:r w:rsidR="00B82BC4">
          <w:rPr>
            <w:noProof/>
            <w:webHidden/>
          </w:rPr>
          <w:t>63</w:t>
        </w:r>
        <w:r w:rsidR="00510749">
          <w:rPr>
            <w:noProof/>
            <w:webHidden/>
          </w:rPr>
          <w:fldChar w:fldCharType="end"/>
        </w:r>
      </w:hyperlink>
    </w:p>
    <w:p w14:paraId="675B598B"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501" w:history="1">
        <w:r w:rsidR="00510749" w:rsidRPr="0046033D">
          <w:rPr>
            <w:rStyle w:val="Hyperlink"/>
            <w:noProof/>
          </w:rPr>
          <w:t>Demographic assumptions</w:t>
        </w:r>
        <w:r w:rsidR="00510749">
          <w:rPr>
            <w:noProof/>
            <w:webHidden/>
          </w:rPr>
          <w:tab/>
        </w:r>
        <w:r w:rsidR="00510749">
          <w:rPr>
            <w:noProof/>
            <w:webHidden/>
          </w:rPr>
          <w:fldChar w:fldCharType="begin"/>
        </w:r>
        <w:r w:rsidR="00510749">
          <w:rPr>
            <w:noProof/>
            <w:webHidden/>
          </w:rPr>
          <w:instrText xml:space="preserve"> PAGEREF _Toc425770501 \h </w:instrText>
        </w:r>
        <w:r w:rsidR="00510749">
          <w:rPr>
            <w:noProof/>
            <w:webHidden/>
          </w:rPr>
        </w:r>
        <w:r w:rsidR="00510749">
          <w:rPr>
            <w:noProof/>
            <w:webHidden/>
          </w:rPr>
          <w:fldChar w:fldCharType="separate"/>
        </w:r>
        <w:r w:rsidR="00B82BC4">
          <w:rPr>
            <w:noProof/>
            <w:webHidden/>
          </w:rPr>
          <w:t>63</w:t>
        </w:r>
        <w:r w:rsidR="00510749">
          <w:rPr>
            <w:noProof/>
            <w:webHidden/>
          </w:rPr>
          <w:fldChar w:fldCharType="end"/>
        </w:r>
      </w:hyperlink>
    </w:p>
    <w:p w14:paraId="36872714" w14:textId="77777777" w:rsidR="00510749" w:rsidRDefault="00260AE7" w:rsidP="00510749">
      <w:pPr>
        <w:pStyle w:val="TOC1"/>
        <w:tabs>
          <w:tab w:val="clear" w:pos="1134"/>
        </w:tabs>
        <w:rPr>
          <w:rFonts w:asciiTheme="minorHAnsi" w:eastAsiaTheme="minorEastAsia" w:hAnsiTheme="minorHAnsi" w:cstheme="minorBidi"/>
          <w:b w:val="0"/>
          <w:bCs w:val="0"/>
          <w:noProof/>
          <w:color w:val="auto"/>
          <w:sz w:val="22"/>
          <w:szCs w:val="22"/>
          <w:lang w:eastAsia="en-AU"/>
        </w:rPr>
      </w:pPr>
      <w:hyperlink w:anchor="_Toc425770502" w:history="1">
        <w:r w:rsidR="00510749" w:rsidRPr="0046033D">
          <w:rPr>
            <w:rStyle w:val="Hyperlink"/>
            <w:noProof/>
          </w:rPr>
          <w:t>Appendix D</w:t>
        </w:r>
        <w:r w:rsidR="00510749">
          <w:rPr>
            <w:noProof/>
            <w:webHidden/>
          </w:rPr>
          <w:tab/>
        </w:r>
        <w:r w:rsidR="00510749">
          <w:rPr>
            <w:noProof/>
            <w:webHidden/>
          </w:rPr>
          <w:fldChar w:fldCharType="begin"/>
        </w:r>
        <w:r w:rsidR="00510749">
          <w:rPr>
            <w:noProof/>
            <w:webHidden/>
          </w:rPr>
          <w:instrText xml:space="preserve"> PAGEREF _Toc425770502 \h </w:instrText>
        </w:r>
        <w:r w:rsidR="00510749">
          <w:rPr>
            <w:noProof/>
            <w:webHidden/>
          </w:rPr>
        </w:r>
        <w:r w:rsidR="00510749">
          <w:rPr>
            <w:noProof/>
            <w:webHidden/>
          </w:rPr>
          <w:fldChar w:fldCharType="separate"/>
        </w:r>
        <w:r w:rsidR="00B82BC4">
          <w:rPr>
            <w:noProof/>
            <w:webHidden/>
          </w:rPr>
          <w:t>73</w:t>
        </w:r>
        <w:r w:rsidR="00510749">
          <w:rPr>
            <w:noProof/>
            <w:webHidden/>
          </w:rPr>
          <w:fldChar w:fldCharType="end"/>
        </w:r>
      </w:hyperlink>
    </w:p>
    <w:p w14:paraId="79F2EE39" w14:textId="77777777" w:rsidR="00510749" w:rsidRDefault="00260AE7">
      <w:pPr>
        <w:pStyle w:val="TOC2"/>
        <w:rPr>
          <w:rFonts w:asciiTheme="minorHAnsi" w:eastAsiaTheme="minorEastAsia" w:hAnsiTheme="minorHAnsi" w:cstheme="minorBidi"/>
          <w:bCs w:val="0"/>
          <w:noProof/>
          <w:color w:val="auto"/>
          <w:sz w:val="22"/>
          <w:szCs w:val="22"/>
          <w:lang w:eastAsia="en-AU"/>
        </w:rPr>
      </w:pPr>
      <w:hyperlink w:anchor="_Toc425770503" w:history="1">
        <w:r w:rsidR="00510749" w:rsidRPr="0046033D">
          <w:rPr>
            <w:rStyle w:val="Hyperlink"/>
            <w:noProof/>
          </w:rPr>
          <w:t>Sensitivity analysis</w:t>
        </w:r>
        <w:r w:rsidR="00510749">
          <w:rPr>
            <w:noProof/>
            <w:webHidden/>
          </w:rPr>
          <w:tab/>
        </w:r>
        <w:r w:rsidR="00510749">
          <w:rPr>
            <w:noProof/>
            <w:webHidden/>
          </w:rPr>
          <w:fldChar w:fldCharType="begin"/>
        </w:r>
        <w:r w:rsidR="00510749">
          <w:rPr>
            <w:noProof/>
            <w:webHidden/>
          </w:rPr>
          <w:instrText xml:space="preserve"> PAGEREF _Toc425770503 \h </w:instrText>
        </w:r>
        <w:r w:rsidR="00510749">
          <w:rPr>
            <w:noProof/>
            <w:webHidden/>
          </w:rPr>
        </w:r>
        <w:r w:rsidR="00510749">
          <w:rPr>
            <w:noProof/>
            <w:webHidden/>
          </w:rPr>
          <w:fldChar w:fldCharType="separate"/>
        </w:r>
        <w:r w:rsidR="00B82BC4">
          <w:rPr>
            <w:noProof/>
            <w:webHidden/>
          </w:rPr>
          <w:t>73</w:t>
        </w:r>
        <w:r w:rsidR="00510749">
          <w:rPr>
            <w:noProof/>
            <w:webHidden/>
          </w:rPr>
          <w:fldChar w:fldCharType="end"/>
        </w:r>
      </w:hyperlink>
    </w:p>
    <w:p w14:paraId="29A4D90F" w14:textId="77777777" w:rsidR="00313D04" w:rsidRPr="001133E6" w:rsidRDefault="00F310DA" w:rsidP="001133E6">
      <w:pPr>
        <w:spacing w:before="0" w:after="0" w:line="240" w:lineRule="auto"/>
        <w:rPr>
          <w:sz w:val="12"/>
        </w:rPr>
      </w:pPr>
      <w:r w:rsidRPr="0065055E">
        <w:rPr>
          <w:rFonts w:cs="Arial"/>
          <w:b/>
          <w:bCs/>
          <w:color w:val="943634" w:themeColor="accent2" w:themeShade="BF"/>
          <w:sz w:val="22"/>
          <w:szCs w:val="24"/>
        </w:rPr>
        <w:fldChar w:fldCharType="end"/>
      </w:r>
    </w:p>
    <w:p w14:paraId="3427E3CD" w14:textId="77777777" w:rsidR="007F01BE" w:rsidRPr="001F31B5" w:rsidRDefault="007F01BE" w:rsidP="001F31B5">
      <w:pPr>
        <w:sectPr w:rsidR="007F01BE" w:rsidRPr="001F31B5" w:rsidSect="000E6C41">
          <w:footerReference w:type="first" r:id="rId31"/>
          <w:type w:val="oddPage"/>
          <w:pgSz w:w="11906" w:h="16838" w:code="9"/>
          <w:pgMar w:top="2466" w:right="2098" w:bottom="2466" w:left="2098" w:header="1899" w:footer="1899" w:gutter="0"/>
          <w:pgNumType w:fmt="lowerRoman"/>
          <w:cols w:space="708"/>
          <w:titlePg/>
          <w:docGrid w:linePitch="360"/>
        </w:sectPr>
      </w:pPr>
    </w:p>
    <w:p w14:paraId="795AF0A8" w14:textId="77777777" w:rsidR="00EB4835" w:rsidRPr="00490A07" w:rsidRDefault="00943323" w:rsidP="001F546B">
      <w:pPr>
        <w:pStyle w:val="Heading1nonumber"/>
      </w:pPr>
      <w:bookmarkStart w:id="1" w:name="_Toc425770467"/>
      <w:r w:rsidRPr="00490A07">
        <w:lastRenderedPageBreak/>
        <w:t>Summary</w:t>
      </w:r>
      <w:bookmarkEnd w:id="1"/>
    </w:p>
    <w:p w14:paraId="30CF5E49" w14:textId="1032BBA6" w:rsidR="00943323" w:rsidRPr="00857BB6" w:rsidRDefault="00943323" w:rsidP="00943323">
      <w:pPr>
        <w:rPr>
          <w:u w:val="single"/>
        </w:rPr>
      </w:pPr>
      <w:r w:rsidRPr="00857BB6">
        <w:t>This report sets out estimates as at 30 June 20</w:t>
      </w:r>
      <w:r>
        <w:t>1</w:t>
      </w:r>
      <w:r w:rsidR="00DC4264">
        <w:t>4</w:t>
      </w:r>
      <w:r w:rsidR="00EB28DD">
        <w:t xml:space="preserve"> of the long-</w:t>
      </w:r>
      <w:r w:rsidRPr="00857BB6">
        <w:t xml:space="preserve">term costs of superannuation benefits payable in respect of the members of the </w:t>
      </w:r>
      <w:r w:rsidR="001212F4">
        <w:t>three</w:t>
      </w:r>
      <w:r w:rsidR="00FD46CC">
        <w:t> </w:t>
      </w:r>
      <w:r w:rsidRPr="00857BB6">
        <w:t xml:space="preserve">superannuation schemes covering the vast majority of </w:t>
      </w:r>
      <w:r>
        <w:t xml:space="preserve">Australian </w:t>
      </w:r>
      <w:r w:rsidRPr="00857BB6">
        <w:t>Defence Force</w:t>
      </w:r>
      <w:r>
        <w:t xml:space="preserve"> (ADF)</w:t>
      </w:r>
      <w:r w:rsidRPr="00857BB6">
        <w:t xml:space="preserve"> personnel</w:t>
      </w:r>
      <w:r>
        <w:t xml:space="preserve">. </w:t>
      </w:r>
      <w:r>
        <w:rPr>
          <w:rFonts w:cs="Arial"/>
        </w:rPr>
        <w:t>The previous report was prepared using data as at 30 June 20</w:t>
      </w:r>
      <w:r w:rsidR="00DC4264">
        <w:rPr>
          <w:rFonts w:cs="Arial"/>
        </w:rPr>
        <w:t>11</w:t>
      </w:r>
      <w:r>
        <w:rPr>
          <w:rFonts w:cs="Arial"/>
        </w:rPr>
        <w:t>.</w:t>
      </w:r>
    </w:p>
    <w:p w14:paraId="1E60D6BC" w14:textId="77777777" w:rsidR="00943323" w:rsidRPr="00857BB6" w:rsidRDefault="00943323" w:rsidP="00943323">
      <w:pPr>
        <w:ind w:left="284" w:hanging="284"/>
        <w:rPr>
          <w:rFonts w:cs="Arial"/>
        </w:rPr>
      </w:pPr>
      <w:r w:rsidRPr="00857BB6">
        <w:rPr>
          <w:rFonts w:cs="Arial"/>
        </w:rPr>
        <w:t>The schemes covered in this report are:</w:t>
      </w:r>
    </w:p>
    <w:p w14:paraId="041AB754" w14:textId="0B52F2E7" w:rsidR="00943323" w:rsidRPr="00857BB6" w:rsidRDefault="00943323" w:rsidP="00FD46CC">
      <w:pPr>
        <w:pStyle w:val="Bullet"/>
      </w:pPr>
      <w:r w:rsidRPr="00857BB6">
        <w:t>the Military Superannuation and Benefits Scheme (MSBS) which commenced on 1</w:t>
      </w:r>
      <w:r w:rsidR="00420B66">
        <w:t> </w:t>
      </w:r>
      <w:r w:rsidRPr="00857BB6">
        <w:t>October 1991</w:t>
      </w:r>
      <w:r w:rsidR="00CA3B31">
        <w:t xml:space="preserve"> and which is planned to </w:t>
      </w:r>
      <w:r w:rsidR="00C11AA6">
        <w:t xml:space="preserve">be </w:t>
      </w:r>
      <w:r w:rsidR="00CA3B31">
        <w:t>close</w:t>
      </w:r>
      <w:r w:rsidR="00C11AA6">
        <w:t>d</w:t>
      </w:r>
      <w:r w:rsidR="00CA3B31">
        <w:t xml:space="preserve"> </w:t>
      </w:r>
      <w:r w:rsidR="00C11AA6">
        <w:t>to new ADF personnel</w:t>
      </w:r>
      <w:r w:rsidR="004440F5">
        <w:t xml:space="preserve"> </w:t>
      </w:r>
      <w:r w:rsidR="00CA3B31">
        <w:t>from</w:t>
      </w:r>
      <w:r w:rsidR="00420B66">
        <w:br/>
      </w:r>
      <w:r w:rsidR="00CA3B31">
        <w:t>1</w:t>
      </w:r>
      <w:r w:rsidR="00FD46CC">
        <w:t> </w:t>
      </w:r>
      <w:r w:rsidR="00CA3B31">
        <w:t>July 2016</w:t>
      </w:r>
      <w:r>
        <w:t xml:space="preserve">; </w:t>
      </w:r>
    </w:p>
    <w:p w14:paraId="0FF7BA81" w14:textId="77777777" w:rsidR="00943323" w:rsidRDefault="00943323" w:rsidP="00FD46CC">
      <w:pPr>
        <w:pStyle w:val="Bullet"/>
      </w:pPr>
      <w:r w:rsidRPr="00857BB6">
        <w:t xml:space="preserve">the Defence Force Retirement and Death Benefits Scheme (DFRDB) </w:t>
      </w:r>
      <w:r w:rsidR="00884457">
        <w:t xml:space="preserve">which commenced on 1 October 1972 and </w:t>
      </w:r>
      <w:r w:rsidRPr="00857BB6">
        <w:t>which has been closed to new members since the commencement of the MSBS</w:t>
      </w:r>
      <w:r>
        <w:t>; and</w:t>
      </w:r>
    </w:p>
    <w:p w14:paraId="2DBAA80D" w14:textId="2DFD1BCF" w:rsidR="00943323" w:rsidRDefault="00943323" w:rsidP="00FD46CC">
      <w:pPr>
        <w:pStyle w:val="Bullet"/>
      </w:pPr>
      <w:proofErr w:type="gramStart"/>
      <w:r>
        <w:t>the</w:t>
      </w:r>
      <w:proofErr w:type="gramEnd"/>
      <w:r>
        <w:t xml:space="preserve"> Defence Forces Retirement Benefits Scheme (DFRB) which commenced on</w:t>
      </w:r>
      <w:r w:rsidR="00420B66">
        <w:br/>
      </w:r>
      <w:r>
        <w:t xml:space="preserve">1 July 1948 and </w:t>
      </w:r>
      <w:r w:rsidR="00A568FC">
        <w:t xml:space="preserve">only </w:t>
      </w:r>
      <w:r>
        <w:t xml:space="preserve">covers those who were in receipt of </w:t>
      </w:r>
      <w:r w:rsidR="00884457">
        <w:t xml:space="preserve">a </w:t>
      </w:r>
      <w:r>
        <w:t>pension at the time DFRDB commenced</w:t>
      </w:r>
      <w:r w:rsidR="00BB6BDD">
        <w:t>,</w:t>
      </w:r>
      <w:r>
        <w:t xml:space="preserve"> or their </w:t>
      </w:r>
      <w:r w:rsidR="00BB6BDD">
        <w:t xml:space="preserve">reversionary </w:t>
      </w:r>
      <w:r>
        <w:t>dependants.</w:t>
      </w:r>
    </w:p>
    <w:p w14:paraId="2F88A82D" w14:textId="77777777" w:rsidR="005A4F99" w:rsidRPr="00B65927" w:rsidRDefault="005A4F99" w:rsidP="005A4F99">
      <w:pPr>
        <w:pStyle w:val="Heading2nonumbering"/>
        <w:rPr>
          <w:szCs w:val="27"/>
        </w:rPr>
      </w:pPr>
      <w:bookmarkStart w:id="2" w:name="_Toc425770468"/>
      <w:bookmarkStart w:id="3" w:name="OLE_LINK2"/>
      <w:bookmarkStart w:id="4" w:name="OLE_LINK3"/>
      <w:r w:rsidRPr="00B65927">
        <w:rPr>
          <w:szCs w:val="27"/>
        </w:rPr>
        <w:t>Changes to military superannuation since the previous report</w:t>
      </w:r>
      <w:bookmarkEnd w:id="2"/>
    </w:p>
    <w:bookmarkEnd w:id="3"/>
    <w:bookmarkEnd w:id="4"/>
    <w:p w14:paraId="28A88C68" w14:textId="3186A7FF" w:rsidR="008D2E94" w:rsidRDefault="00C11AA6" w:rsidP="00B65927">
      <w:r>
        <w:t xml:space="preserve">There has been </w:t>
      </w:r>
      <w:r w:rsidR="005A4F99" w:rsidRPr="00831923">
        <w:t>o</w:t>
      </w:r>
      <w:r>
        <w:t>ne</w:t>
      </w:r>
      <w:r w:rsidR="008D2E94">
        <w:t xml:space="preserve"> major change</w:t>
      </w:r>
      <w:r w:rsidR="005A4F99" w:rsidRPr="00831923">
        <w:t xml:space="preserve"> to military superannua</w:t>
      </w:r>
      <w:r w:rsidR="00561EBC">
        <w:t>tion arrangements since the previous</w:t>
      </w:r>
      <w:r w:rsidR="005A4F99" w:rsidRPr="00831923">
        <w:t xml:space="preserve"> report</w:t>
      </w:r>
      <w:r w:rsidR="008D2E94">
        <w:t>. This</w:t>
      </w:r>
      <w:r w:rsidR="005A4F99" w:rsidRPr="00831923">
        <w:t xml:space="preserve"> was the Government’s decision to improve indexation arrangements for DFRB and D</w:t>
      </w:r>
      <w:r w:rsidR="008D2E94">
        <w:t>FRDB pensioners aged 55 or more</w:t>
      </w:r>
      <w:r w:rsidR="005A4F99" w:rsidRPr="00831923">
        <w:t xml:space="preserve"> from 1 July 2014.</w:t>
      </w:r>
      <w:r>
        <w:t xml:space="preserve"> </w:t>
      </w:r>
      <w:r w:rsidR="005A0AB1" w:rsidRPr="00831923">
        <w:t>This change has led to an increase in cash outlays and unfunded liabilities.</w:t>
      </w:r>
      <w:r w:rsidR="00212C90">
        <w:t xml:space="preserve"> </w:t>
      </w:r>
    </w:p>
    <w:p w14:paraId="651F4540" w14:textId="4CC4D70D" w:rsidR="005A4F99" w:rsidRDefault="005A4F99" w:rsidP="00B65927">
      <w:r w:rsidRPr="00831923">
        <w:t xml:space="preserve">The </w:t>
      </w:r>
      <w:r w:rsidR="008D2E94">
        <w:t>Government has also announced its intention</w:t>
      </w:r>
      <w:r w:rsidRPr="00831923">
        <w:t xml:space="preserve"> to close the MSBS </w:t>
      </w:r>
      <w:r w:rsidR="008D2E94">
        <w:t xml:space="preserve">to new ADF personnel </w:t>
      </w:r>
      <w:r w:rsidRPr="00831923">
        <w:t>from 1 July 2016 and replace it with an accumulation superannuation scheme</w:t>
      </w:r>
      <w:r w:rsidR="00561EBC">
        <w:t xml:space="preserve"> to be</w:t>
      </w:r>
      <w:r w:rsidR="003C50FA">
        <w:t xml:space="preserve"> known as ADF Super</w:t>
      </w:r>
      <w:r w:rsidRPr="00831923">
        <w:t xml:space="preserve">. </w:t>
      </w:r>
      <w:r w:rsidR="005A0AB1" w:rsidRPr="00831923">
        <w:t xml:space="preserve">This change will have </w:t>
      </w:r>
      <w:r w:rsidR="00831923" w:rsidRPr="00831923">
        <w:t>the effect of reducing cash</w:t>
      </w:r>
      <w:r w:rsidR="00FB115C">
        <w:t xml:space="preserve"> outlays</w:t>
      </w:r>
      <w:r w:rsidR="00831923" w:rsidRPr="00831923">
        <w:t xml:space="preserve"> and unfunded liabilities </w:t>
      </w:r>
      <w:r w:rsidR="008D2E94">
        <w:t xml:space="preserve">for MSBS </w:t>
      </w:r>
      <w:r w:rsidR="00831923" w:rsidRPr="00831923">
        <w:t>from 1 July 2016 when compared with the projections under the assumption of an open MSBS scheme.</w:t>
      </w:r>
      <w:r w:rsidR="00FB115C">
        <w:t xml:space="preserve"> In this report</w:t>
      </w:r>
      <w:r w:rsidR="008D2E94">
        <w:t>, I have</w:t>
      </w:r>
      <w:r w:rsidR="00FB115C">
        <w:t xml:space="preserve"> present</w:t>
      </w:r>
      <w:r w:rsidR="008D2E94">
        <w:t>ed</w:t>
      </w:r>
      <w:r w:rsidR="00FB115C">
        <w:t xml:space="preserve"> projections </w:t>
      </w:r>
      <w:r w:rsidR="008D2E94">
        <w:t xml:space="preserve">for MSBS </w:t>
      </w:r>
      <w:r w:rsidR="00FB115C">
        <w:t>under two</w:t>
      </w:r>
      <w:r w:rsidR="005C615C">
        <w:t> </w:t>
      </w:r>
      <w:r w:rsidR="00FB115C">
        <w:t xml:space="preserve">scenarios – one based on the MSBS remaining open and the second based on the MSBS being closed to new entrants from 1 July 2016. </w:t>
      </w:r>
      <w:r w:rsidR="00255731">
        <w:t>T</w:t>
      </w:r>
      <w:r w:rsidR="007F104C">
        <w:t xml:space="preserve">he projections for the </w:t>
      </w:r>
      <w:r w:rsidR="00561EBC">
        <w:t>MSBS closure scenario</w:t>
      </w:r>
      <w:r w:rsidR="000F1040">
        <w:t xml:space="preserve"> relate to the MSBS only</w:t>
      </w:r>
      <w:r w:rsidR="007673A3">
        <w:t>. They</w:t>
      </w:r>
      <w:r w:rsidR="000F1040">
        <w:t xml:space="preserve"> do not include cash outlays </w:t>
      </w:r>
      <w:r w:rsidR="007673A3">
        <w:t>for employer superannuation contributions</w:t>
      </w:r>
      <w:r w:rsidR="000F1040">
        <w:t xml:space="preserve"> to the </w:t>
      </w:r>
      <w:r w:rsidR="008D2E94">
        <w:t xml:space="preserve">proposed </w:t>
      </w:r>
      <w:r w:rsidR="000F1040">
        <w:t xml:space="preserve">new </w:t>
      </w:r>
      <w:r w:rsidR="007673A3">
        <w:t>ADF Super or</w:t>
      </w:r>
      <w:r w:rsidR="008D2E94">
        <w:t xml:space="preserve"> </w:t>
      </w:r>
      <w:r w:rsidR="007673A3">
        <w:t xml:space="preserve">the cash outlays for benefits from </w:t>
      </w:r>
      <w:r w:rsidR="008D2E94">
        <w:t>the associated ADF Cover</w:t>
      </w:r>
      <w:r w:rsidR="00337E40">
        <w:t xml:space="preserve"> which would provide</w:t>
      </w:r>
      <w:r w:rsidR="008D2E94">
        <w:t xml:space="preserve"> death and invalidity insurance cover</w:t>
      </w:r>
      <w:r w:rsidR="000F1040">
        <w:t>.</w:t>
      </w:r>
      <w:r w:rsidR="00FB115C">
        <w:t xml:space="preserve"> </w:t>
      </w:r>
      <w:r w:rsidR="00255731">
        <w:t>Finally, t</w:t>
      </w:r>
      <w:r w:rsidR="007673A3">
        <w:t>hey do not include the unfunded liabilities of ADF Cover.</w:t>
      </w:r>
      <w:r w:rsidR="00212C90">
        <w:t xml:space="preserve"> </w:t>
      </w:r>
    </w:p>
    <w:p w14:paraId="16231EA9" w14:textId="77777777" w:rsidR="006217C8" w:rsidRDefault="00255731" w:rsidP="00B65927">
      <w:r>
        <w:t>T</w:t>
      </w:r>
      <w:r w:rsidR="005A4F99" w:rsidRPr="005E598D">
        <w:t>he</w:t>
      </w:r>
      <w:r w:rsidR="008D2E94">
        <w:t>se</w:t>
      </w:r>
      <w:r w:rsidR="005A4F99" w:rsidRPr="005E598D">
        <w:t xml:space="preserve"> changes to scheme arrangements </w:t>
      </w:r>
      <w:r>
        <w:t>are discussed</w:t>
      </w:r>
      <w:r w:rsidR="005A4F99" w:rsidRPr="005E598D">
        <w:t xml:space="preserve"> in Chapter 2.</w:t>
      </w:r>
    </w:p>
    <w:p w14:paraId="3F7B2702" w14:textId="52967FB6" w:rsidR="00943323" w:rsidRPr="00857BB6" w:rsidRDefault="00943323" w:rsidP="00943323">
      <w:pPr>
        <w:pStyle w:val="Heading2nonumbering"/>
      </w:pPr>
      <w:bookmarkStart w:id="5" w:name="_Toc425770469"/>
      <w:r w:rsidRPr="00857BB6">
        <w:lastRenderedPageBreak/>
        <w:t xml:space="preserve">Notional </w:t>
      </w:r>
      <w:r>
        <w:t>e</w:t>
      </w:r>
      <w:r w:rsidRPr="00857BB6">
        <w:t xml:space="preserve">mployer </w:t>
      </w:r>
      <w:r>
        <w:t>c</w:t>
      </w:r>
      <w:r w:rsidRPr="00857BB6">
        <w:t xml:space="preserve">ontribution </w:t>
      </w:r>
      <w:r>
        <w:t>r</w:t>
      </w:r>
      <w:r w:rsidRPr="00857BB6">
        <w:t>ates</w:t>
      </w:r>
      <w:bookmarkEnd w:id="5"/>
    </w:p>
    <w:p w14:paraId="1A04F6A3" w14:textId="07D9CC54" w:rsidR="00993F18" w:rsidRDefault="00943323" w:rsidP="00004D12">
      <w:pPr>
        <w:rPr>
          <w:szCs w:val="16"/>
        </w:rPr>
      </w:pPr>
      <w:r w:rsidRPr="00857BB6">
        <w:rPr>
          <w:rFonts w:cs="Arial"/>
        </w:rPr>
        <w:t xml:space="preserve">The notional employer contribution rate is the </w:t>
      </w:r>
      <w:r w:rsidR="00D336A5">
        <w:rPr>
          <w:rFonts w:cs="Arial"/>
        </w:rPr>
        <w:t xml:space="preserve">estimated employer </w:t>
      </w:r>
      <w:r w:rsidRPr="00857BB6">
        <w:rPr>
          <w:rFonts w:cs="Arial"/>
        </w:rPr>
        <w:t xml:space="preserve">contribution rate that would be </w:t>
      </w:r>
      <w:r>
        <w:rPr>
          <w:rFonts w:cs="Arial"/>
        </w:rPr>
        <w:t xml:space="preserve">required to fund </w:t>
      </w:r>
      <w:r w:rsidRPr="000E153B">
        <w:rPr>
          <w:rFonts w:cs="Arial"/>
        </w:rPr>
        <w:t>the defined benefits</w:t>
      </w:r>
      <w:r>
        <w:rPr>
          <w:rFonts w:cs="Arial"/>
        </w:rPr>
        <w:t xml:space="preserve"> accruing to serving </w:t>
      </w:r>
      <w:r w:rsidR="00561EBC">
        <w:rPr>
          <w:rFonts w:cs="Arial"/>
        </w:rPr>
        <w:t xml:space="preserve">ADF </w:t>
      </w:r>
      <w:r>
        <w:rPr>
          <w:rFonts w:cs="Arial"/>
        </w:rPr>
        <w:t>members</w:t>
      </w:r>
      <w:r w:rsidR="00D336A5">
        <w:rPr>
          <w:rFonts w:cs="Arial"/>
        </w:rPr>
        <w:t xml:space="preserve"> </w:t>
      </w:r>
      <w:r>
        <w:rPr>
          <w:rFonts w:cs="Arial"/>
        </w:rPr>
        <w:t>over the next three</w:t>
      </w:r>
      <w:r w:rsidR="005C615C">
        <w:rPr>
          <w:rFonts w:cs="Arial"/>
        </w:rPr>
        <w:t> </w:t>
      </w:r>
      <w:r>
        <w:rPr>
          <w:rFonts w:cs="Arial"/>
        </w:rPr>
        <w:t>years</w:t>
      </w:r>
      <w:r w:rsidR="00255731">
        <w:rPr>
          <w:rFonts w:cs="Arial"/>
        </w:rPr>
        <w:t>, expressed as a percentage of superannuation salary</w:t>
      </w:r>
      <w:r w:rsidR="009F106E">
        <w:rPr>
          <w:rFonts w:cs="Arial"/>
        </w:rPr>
        <w:t xml:space="preserve">. The contribution rate is sensitive to the economic assumptions adopted. For the purposes of this calculation, </w:t>
      </w:r>
      <w:r>
        <w:rPr>
          <w:rFonts w:cs="Arial"/>
        </w:rPr>
        <w:t xml:space="preserve">superannuation benefits are </w:t>
      </w:r>
      <w:r w:rsidR="00255731">
        <w:rPr>
          <w:rFonts w:cs="Arial"/>
        </w:rPr>
        <w:t xml:space="preserve">assumed to </w:t>
      </w:r>
      <w:r>
        <w:rPr>
          <w:rFonts w:cs="Arial"/>
        </w:rPr>
        <w:t>accrue uniformly over the period until a member exits from the scheme or reaches his or her maximum benefit limit, whichever occurs first</w:t>
      </w:r>
      <w:r w:rsidRPr="00F46978">
        <w:rPr>
          <w:rFonts w:cs="Arial"/>
        </w:rPr>
        <w:t>.</w:t>
      </w:r>
      <w:r>
        <w:rPr>
          <w:rFonts w:cs="Arial"/>
        </w:rPr>
        <w:t xml:space="preserve"> </w:t>
      </w:r>
      <w:r w:rsidRPr="00857BB6">
        <w:rPr>
          <w:rFonts w:cs="Arial"/>
        </w:rPr>
        <w:t xml:space="preserve">The following </w:t>
      </w:r>
      <w:r>
        <w:rPr>
          <w:rFonts w:cs="Arial"/>
        </w:rPr>
        <w:t>t</w:t>
      </w:r>
      <w:r w:rsidRPr="00857BB6">
        <w:rPr>
          <w:rFonts w:cs="Arial"/>
        </w:rPr>
        <w:t xml:space="preserve">able shows the </w:t>
      </w:r>
      <w:r w:rsidR="00255731">
        <w:rPr>
          <w:rFonts w:cs="Arial"/>
        </w:rPr>
        <w:t xml:space="preserve">notional employer </w:t>
      </w:r>
      <w:r w:rsidRPr="00857BB6">
        <w:rPr>
          <w:rFonts w:cs="Arial"/>
        </w:rPr>
        <w:t xml:space="preserve">contribution rates for </w:t>
      </w:r>
      <w:r w:rsidR="00F5344C">
        <w:rPr>
          <w:rFonts w:cs="Arial"/>
        </w:rPr>
        <w:t>the MSBS and the DFRDB</w:t>
      </w:r>
      <w:r w:rsidRPr="00857BB6">
        <w:rPr>
          <w:rFonts w:cs="Arial"/>
        </w:rPr>
        <w:t xml:space="preserve"> as calculated for</w:t>
      </w:r>
      <w:r>
        <w:rPr>
          <w:rFonts w:cs="Arial"/>
        </w:rPr>
        <w:t xml:space="preserve"> this report and the previous report as at 30 June 20</w:t>
      </w:r>
      <w:r w:rsidR="00DC4264">
        <w:rPr>
          <w:rFonts w:cs="Arial"/>
        </w:rPr>
        <w:t>11</w:t>
      </w:r>
      <w:r>
        <w:rPr>
          <w:rFonts w:cs="Arial"/>
        </w:rPr>
        <w:t>.</w:t>
      </w:r>
      <w:r w:rsidR="00F5344C">
        <w:rPr>
          <w:rFonts w:cs="Arial"/>
        </w:rPr>
        <w:t xml:space="preserve"> </w:t>
      </w:r>
      <w:r w:rsidR="001212F4">
        <w:rPr>
          <w:szCs w:val="16"/>
        </w:rPr>
        <w:t xml:space="preserve">There is no contribution rate for the DFRB as it comprises only pensioner members. </w:t>
      </w:r>
      <w:r w:rsidR="001212F4">
        <w:rPr>
          <w:rFonts w:cs="Arial"/>
        </w:rPr>
        <w:t xml:space="preserve">These rates </w:t>
      </w:r>
      <w:r w:rsidR="001212F4" w:rsidRPr="003662AE">
        <w:rPr>
          <w:szCs w:val="16"/>
        </w:rPr>
        <w:t>include the</w:t>
      </w:r>
      <w:r w:rsidR="005C615C">
        <w:rPr>
          <w:szCs w:val="16"/>
        </w:rPr>
        <w:t xml:space="preserve"> </w:t>
      </w:r>
      <w:r w:rsidR="001212F4" w:rsidRPr="003662AE">
        <w:rPr>
          <w:szCs w:val="16"/>
        </w:rPr>
        <w:t>3 per cent productivity contributions</w:t>
      </w:r>
      <w:r w:rsidR="001212F4">
        <w:rPr>
          <w:szCs w:val="16"/>
        </w:rPr>
        <w:t xml:space="preserve"> but </w:t>
      </w:r>
      <w:r w:rsidR="001212F4" w:rsidRPr="003662AE">
        <w:rPr>
          <w:szCs w:val="16"/>
        </w:rPr>
        <w:t xml:space="preserve">do not include the additional employer contributions paid as a result of the application of the </w:t>
      </w:r>
      <w:r w:rsidR="00642B91">
        <w:rPr>
          <w:szCs w:val="16"/>
        </w:rPr>
        <w:t>ordinary time earnings (</w:t>
      </w:r>
      <w:r w:rsidR="001212F4" w:rsidRPr="003662AE">
        <w:rPr>
          <w:szCs w:val="16"/>
        </w:rPr>
        <w:t>OTE</w:t>
      </w:r>
      <w:r w:rsidR="00642B91">
        <w:rPr>
          <w:szCs w:val="16"/>
        </w:rPr>
        <w:t>)</w:t>
      </w:r>
      <w:r w:rsidR="001212F4" w:rsidRPr="003662AE">
        <w:rPr>
          <w:szCs w:val="16"/>
        </w:rPr>
        <w:t xml:space="preserve"> earnings base in calculating </w:t>
      </w:r>
      <w:r w:rsidR="00D336A5">
        <w:rPr>
          <w:szCs w:val="16"/>
        </w:rPr>
        <w:t xml:space="preserve">an employer’s </w:t>
      </w:r>
      <w:r w:rsidR="001212F4" w:rsidRPr="003662AE">
        <w:rPr>
          <w:szCs w:val="16"/>
        </w:rPr>
        <w:t xml:space="preserve">Superannuation Guarantee </w:t>
      </w:r>
      <w:r w:rsidR="00421CEC">
        <w:rPr>
          <w:szCs w:val="16"/>
        </w:rPr>
        <w:t xml:space="preserve">(SG) </w:t>
      </w:r>
      <w:r w:rsidR="001212F4" w:rsidRPr="003662AE">
        <w:rPr>
          <w:szCs w:val="16"/>
        </w:rPr>
        <w:t xml:space="preserve">obligations from 1 July 2008. </w:t>
      </w:r>
      <w:r w:rsidR="00421CEC">
        <w:rPr>
          <w:szCs w:val="16"/>
        </w:rPr>
        <w:t>The additional employer SG</w:t>
      </w:r>
      <w:r w:rsidR="001212F4">
        <w:rPr>
          <w:szCs w:val="16"/>
        </w:rPr>
        <w:t xml:space="preserve"> c</w:t>
      </w:r>
      <w:r w:rsidR="001212F4" w:rsidRPr="003662AE">
        <w:rPr>
          <w:szCs w:val="16"/>
        </w:rPr>
        <w:t xml:space="preserve">ontributions </w:t>
      </w:r>
      <w:r w:rsidR="009F106E">
        <w:rPr>
          <w:szCs w:val="16"/>
        </w:rPr>
        <w:t xml:space="preserve">currently </w:t>
      </w:r>
      <w:r w:rsidR="001212F4" w:rsidRPr="003662AE">
        <w:rPr>
          <w:szCs w:val="16"/>
        </w:rPr>
        <w:t xml:space="preserve">amount to </w:t>
      </w:r>
      <w:r w:rsidR="00421CEC">
        <w:rPr>
          <w:szCs w:val="16"/>
        </w:rPr>
        <w:t>around 0.6</w:t>
      </w:r>
      <w:r w:rsidR="001212F4" w:rsidRPr="003662AE">
        <w:rPr>
          <w:szCs w:val="16"/>
        </w:rPr>
        <w:t xml:space="preserve"> per cent of superannuation salary </w:t>
      </w:r>
      <w:r w:rsidR="00607BF7">
        <w:rPr>
          <w:szCs w:val="16"/>
        </w:rPr>
        <w:t xml:space="preserve">across the membership of both schemes </w:t>
      </w:r>
      <w:r w:rsidR="001212F4">
        <w:rPr>
          <w:szCs w:val="16"/>
        </w:rPr>
        <w:t>and</w:t>
      </w:r>
      <w:r w:rsidR="001212F4" w:rsidRPr="003662AE">
        <w:rPr>
          <w:szCs w:val="16"/>
        </w:rPr>
        <w:t xml:space="preserve"> are paid to the anci</w:t>
      </w:r>
      <w:r w:rsidR="00993F18">
        <w:rPr>
          <w:szCs w:val="16"/>
        </w:rPr>
        <w:t>llary section of the MSBS Fund.</w:t>
      </w:r>
    </w:p>
    <w:p w14:paraId="3E468224" w14:textId="77777777" w:rsidR="00943323" w:rsidRPr="00213A8B" w:rsidRDefault="00943323" w:rsidP="009616A2">
      <w:pPr>
        <w:pStyle w:val="TableMainHeading"/>
        <w:ind w:left="0"/>
      </w:pPr>
      <w:r w:rsidRPr="00213A8B">
        <w:t xml:space="preserve">Notional </w:t>
      </w:r>
      <w:r>
        <w:t>e</w:t>
      </w:r>
      <w:r w:rsidRPr="00213A8B">
        <w:t xml:space="preserve">mployer </w:t>
      </w:r>
      <w:r>
        <w:t>c</w:t>
      </w:r>
      <w:r w:rsidRPr="00213A8B">
        <w:t xml:space="preserve">ontribution </w:t>
      </w:r>
      <w:r>
        <w:t>r</w:t>
      </w:r>
      <w:r w:rsidRPr="00213A8B">
        <w:t xml:space="preserve">ate as a </w:t>
      </w:r>
      <w:r>
        <w:t>p</w:t>
      </w:r>
      <w:r w:rsidRPr="00213A8B">
        <w:t xml:space="preserve">ercentage of </w:t>
      </w:r>
      <w:r>
        <w:t>s</w:t>
      </w:r>
      <w:r w:rsidRPr="00213A8B">
        <w:t xml:space="preserve">uperannuation </w:t>
      </w:r>
      <w:r>
        <w:t>s</w:t>
      </w:r>
      <w:r w:rsidRPr="00213A8B">
        <w:t>alary</w:t>
      </w:r>
    </w:p>
    <w:tbl>
      <w:tblPr>
        <w:tblW w:w="0" w:type="auto"/>
        <w:tblInd w:w="107" w:type="dxa"/>
        <w:tblBorders>
          <w:top w:val="single" w:sz="2" w:space="0" w:color="000000"/>
          <w:bottom w:val="single" w:sz="2" w:space="0" w:color="000000"/>
        </w:tblBorders>
        <w:tblLayout w:type="fixed"/>
        <w:tblCellMar>
          <w:left w:w="107" w:type="dxa"/>
          <w:right w:w="107" w:type="dxa"/>
        </w:tblCellMar>
        <w:tblLook w:val="0000" w:firstRow="0" w:lastRow="0" w:firstColumn="0" w:lastColumn="0" w:noHBand="0" w:noVBand="0"/>
      </w:tblPr>
      <w:tblGrid>
        <w:gridCol w:w="2920"/>
        <w:gridCol w:w="1588"/>
        <w:gridCol w:w="1588"/>
        <w:gridCol w:w="1588"/>
      </w:tblGrid>
      <w:tr w:rsidR="00943323" w:rsidRPr="00AA5E37" w14:paraId="1966C4E8" w14:textId="77777777" w:rsidTr="00FB694C">
        <w:tc>
          <w:tcPr>
            <w:tcW w:w="2920" w:type="dxa"/>
            <w:tcBorders>
              <w:top w:val="single" w:sz="2" w:space="0" w:color="000000"/>
              <w:bottom w:val="single" w:sz="2" w:space="0" w:color="000000"/>
            </w:tcBorders>
            <w:shd w:val="clear" w:color="auto" w:fill="E6E6E6"/>
          </w:tcPr>
          <w:p w14:paraId="31FB8428" w14:textId="77777777" w:rsidR="00943323" w:rsidRPr="00AA5E37" w:rsidRDefault="00943323" w:rsidP="00A335D6">
            <w:pPr>
              <w:pStyle w:val="TableColumnHeadingLeft"/>
            </w:pPr>
            <w:r w:rsidRPr="00AA5E37">
              <w:t>Report as at</w:t>
            </w:r>
          </w:p>
        </w:tc>
        <w:tc>
          <w:tcPr>
            <w:tcW w:w="1588" w:type="dxa"/>
            <w:tcBorders>
              <w:top w:val="single" w:sz="2" w:space="0" w:color="000000"/>
              <w:bottom w:val="single" w:sz="2" w:space="0" w:color="000000"/>
            </w:tcBorders>
            <w:shd w:val="clear" w:color="auto" w:fill="E6E6E6"/>
          </w:tcPr>
          <w:p w14:paraId="1909CDA6" w14:textId="77777777" w:rsidR="00943323" w:rsidRPr="00AA5E37" w:rsidRDefault="00943323" w:rsidP="00A335D6">
            <w:pPr>
              <w:pStyle w:val="TableColumnHeadingRight"/>
            </w:pPr>
            <w:r w:rsidRPr="00AA5E37">
              <w:t>MSBS</w:t>
            </w:r>
            <w:r w:rsidR="001212F4">
              <w:rPr>
                <w:rFonts w:cs="Arial"/>
              </w:rPr>
              <w:t>¹</w:t>
            </w:r>
            <w:r>
              <w:t xml:space="preserve"> (%)</w:t>
            </w:r>
          </w:p>
        </w:tc>
        <w:tc>
          <w:tcPr>
            <w:tcW w:w="1588" w:type="dxa"/>
            <w:tcBorders>
              <w:top w:val="single" w:sz="2" w:space="0" w:color="000000"/>
              <w:bottom w:val="single" w:sz="2" w:space="0" w:color="000000"/>
            </w:tcBorders>
            <w:shd w:val="clear" w:color="auto" w:fill="E6E6E6"/>
          </w:tcPr>
          <w:p w14:paraId="282307FD" w14:textId="77777777" w:rsidR="00943323" w:rsidRPr="00AA5E37" w:rsidRDefault="00943323" w:rsidP="00A335D6">
            <w:pPr>
              <w:pStyle w:val="TableColumnHeadingRight"/>
            </w:pPr>
            <w:r w:rsidRPr="00AA5E37">
              <w:t>DFRDB</w:t>
            </w:r>
            <w:r>
              <w:t xml:space="preserve"> (%)</w:t>
            </w:r>
          </w:p>
        </w:tc>
        <w:tc>
          <w:tcPr>
            <w:tcW w:w="1588" w:type="dxa"/>
            <w:tcBorders>
              <w:top w:val="single" w:sz="2" w:space="0" w:color="000000"/>
              <w:bottom w:val="single" w:sz="2" w:space="0" w:color="000000"/>
            </w:tcBorders>
            <w:shd w:val="clear" w:color="auto" w:fill="E6E6E6"/>
          </w:tcPr>
          <w:p w14:paraId="62F62E9A" w14:textId="77777777" w:rsidR="00943323" w:rsidRPr="00AA5E37" w:rsidRDefault="00943323" w:rsidP="00A335D6">
            <w:pPr>
              <w:pStyle w:val="TableColumnHeadingRight"/>
            </w:pPr>
            <w:r w:rsidRPr="00AA5E37">
              <w:t>Combined</w:t>
            </w:r>
            <w:r w:rsidR="001212F4">
              <w:rPr>
                <w:rFonts w:cs="Arial"/>
              </w:rPr>
              <w:t>²</w:t>
            </w:r>
            <w:r>
              <w:t xml:space="preserve"> (%)</w:t>
            </w:r>
          </w:p>
        </w:tc>
      </w:tr>
      <w:tr w:rsidR="00A568FC" w:rsidRPr="00AA5E37" w14:paraId="1DD6B6BC" w14:textId="77777777" w:rsidTr="00FB694C">
        <w:tc>
          <w:tcPr>
            <w:tcW w:w="2920" w:type="dxa"/>
            <w:tcBorders>
              <w:top w:val="single" w:sz="2" w:space="0" w:color="000000"/>
            </w:tcBorders>
          </w:tcPr>
          <w:p w14:paraId="169CAE88" w14:textId="77777777" w:rsidR="00A568FC" w:rsidRPr="00660890" w:rsidRDefault="00A568FC" w:rsidP="00025F58">
            <w:pPr>
              <w:pStyle w:val="TableTextLeft"/>
            </w:pPr>
            <w:r w:rsidRPr="00660890">
              <w:t>20</w:t>
            </w:r>
            <w:r w:rsidR="00025F58">
              <w:t>11</w:t>
            </w:r>
            <w:r w:rsidRPr="00660890">
              <w:t xml:space="preserve"> Report</w:t>
            </w:r>
          </w:p>
        </w:tc>
        <w:tc>
          <w:tcPr>
            <w:tcW w:w="1588" w:type="dxa"/>
            <w:tcBorders>
              <w:top w:val="single" w:sz="2" w:space="0" w:color="000000"/>
            </w:tcBorders>
          </w:tcPr>
          <w:p w14:paraId="13E05E5E" w14:textId="77777777" w:rsidR="00A568FC" w:rsidRPr="00660890" w:rsidRDefault="00025F58" w:rsidP="00025F58">
            <w:pPr>
              <w:pStyle w:val="TableTextRight"/>
            </w:pPr>
            <w:r>
              <w:t>30.4</w:t>
            </w:r>
          </w:p>
        </w:tc>
        <w:tc>
          <w:tcPr>
            <w:tcW w:w="1588" w:type="dxa"/>
            <w:tcBorders>
              <w:top w:val="single" w:sz="2" w:space="0" w:color="000000"/>
            </w:tcBorders>
          </w:tcPr>
          <w:p w14:paraId="2190F027" w14:textId="77777777" w:rsidR="00A568FC" w:rsidRPr="00660890" w:rsidRDefault="00025F58" w:rsidP="00025F58">
            <w:pPr>
              <w:pStyle w:val="TableTextRight"/>
            </w:pPr>
            <w:r>
              <w:t>29</w:t>
            </w:r>
            <w:r w:rsidR="00A568FC" w:rsidRPr="00660890">
              <w:t>.</w:t>
            </w:r>
            <w:r>
              <w:t>7</w:t>
            </w:r>
          </w:p>
        </w:tc>
        <w:tc>
          <w:tcPr>
            <w:tcW w:w="1588" w:type="dxa"/>
            <w:tcBorders>
              <w:top w:val="single" w:sz="2" w:space="0" w:color="000000"/>
            </w:tcBorders>
          </w:tcPr>
          <w:p w14:paraId="5059BDE4" w14:textId="77777777" w:rsidR="00A568FC" w:rsidRPr="00660890" w:rsidRDefault="00025F58" w:rsidP="00A568FC">
            <w:pPr>
              <w:pStyle w:val="TableTextRight"/>
            </w:pPr>
            <w:r>
              <w:t>30</w:t>
            </w:r>
            <w:r w:rsidR="00A568FC">
              <w:t>.</w:t>
            </w:r>
            <w:r>
              <w:t>4</w:t>
            </w:r>
          </w:p>
        </w:tc>
      </w:tr>
      <w:tr w:rsidR="00A568FC" w:rsidRPr="00AA5E37" w14:paraId="5233EFFE" w14:textId="77777777" w:rsidTr="00FB694C">
        <w:tc>
          <w:tcPr>
            <w:tcW w:w="2920" w:type="dxa"/>
            <w:shd w:val="clear" w:color="auto" w:fill="F2F2F2" w:themeFill="background1" w:themeFillShade="F2"/>
          </w:tcPr>
          <w:p w14:paraId="512D1B25" w14:textId="77777777" w:rsidR="00A568FC" w:rsidRPr="00660890" w:rsidRDefault="00A568FC" w:rsidP="00831923">
            <w:pPr>
              <w:pStyle w:val="TableTextLeft"/>
            </w:pPr>
            <w:r w:rsidRPr="00660890">
              <w:t>Current Report</w:t>
            </w:r>
            <w:r w:rsidR="00831923">
              <w:t xml:space="preserve"> (MSBS open)</w:t>
            </w:r>
          </w:p>
        </w:tc>
        <w:tc>
          <w:tcPr>
            <w:tcW w:w="1588" w:type="dxa"/>
            <w:shd w:val="clear" w:color="auto" w:fill="F2F2F2" w:themeFill="background1" w:themeFillShade="F2"/>
          </w:tcPr>
          <w:p w14:paraId="4A7733E8" w14:textId="77777777" w:rsidR="00A568FC" w:rsidRPr="00660890" w:rsidRDefault="00A568FC" w:rsidP="00F43481">
            <w:pPr>
              <w:pStyle w:val="TableTextRight"/>
            </w:pPr>
            <w:r>
              <w:t>3</w:t>
            </w:r>
            <w:r w:rsidR="00F43481">
              <w:t>3</w:t>
            </w:r>
            <w:r>
              <w:t>.</w:t>
            </w:r>
            <w:r w:rsidR="00F43481">
              <w:t>2</w:t>
            </w:r>
          </w:p>
        </w:tc>
        <w:tc>
          <w:tcPr>
            <w:tcW w:w="1588" w:type="dxa"/>
            <w:shd w:val="clear" w:color="auto" w:fill="F2F2F2" w:themeFill="background1" w:themeFillShade="F2"/>
          </w:tcPr>
          <w:p w14:paraId="5A0F2079" w14:textId="77777777" w:rsidR="00A568FC" w:rsidRPr="00660890" w:rsidRDefault="00F43481" w:rsidP="00F43481">
            <w:pPr>
              <w:pStyle w:val="TableTextRight"/>
            </w:pPr>
            <w:r>
              <w:t>35.9</w:t>
            </w:r>
          </w:p>
        </w:tc>
        <w:tc>
          <w:tcPr>
            <w:tcW w:w="1588" w:type="dxa"/>
            <w:shd w:val="clear" w:color="auto" w:fill="F2F2F2" w:themeFill="background1" w:themeFillShade="F2"/>
          </w:tcPr>
          <w:p w14:paraId="115DAFF4" w14:textId="77777777" w:rsidR="00A568FC" w:rsidRPr="00660890" w:rsidRDefault="00A568FC" w:rsidP="00F43481">
            <w:pPr>
              <w:pStyle w:val="TableTextRight"/>
            </w:pPr>
            <w:r>
              <w:t>3</w:t>
            </w:r>
            <w:r w:rsidR="00F43481">
              <w:t>3</w:t>
            </w:r>
            <w:r>
              <w:t>.</w:t>
            </w:r>
            <w:r w:rsidR="00F43481">
              <w:t>3</w:t>
            </w:r>
          </w:p>
        </w:tc>
      </w:tr>
      <w:tr w:rsidR="00831923" w:rsidRPr="00AA5E37" w14:paraId="4256E8CB" w14:textId="77777777" w:rsidTr="00FB694C">
        <w:tc>
          <w:tcPr>
            <w:tcW w:w="2920" w:type="dxa"/>
          </w:tcPr>
          <w:p w14:paraId="2D8AC0A3" w14:textId="4A0C0567" w:rsidR="00831923" w:rsidRPr="00660890" w:rsidRDefault="00831923" w:rsidP="00FB694C">
            <w:pPr>
              <w:pStyle w:val="TableTextLeft"/>
            </w:pPr>
            <w:r w:rsidRPr="00660890">
              <w:t>Current Report</w:t>
            </w:r>
            <w:r>
              <w:t xml:space="preserve"> (MSBS closed)</w:t>
            </w:r>
            <w:r w:rsidRPr="00831923">
              <w:rPr>
                <w:rFonts w:cs="Arial"/>
                <w:vertAlign w:val="superscript"/>
              </w:rPr>
              <w:t>3</w:t>
            </w:r>
          </w:p>
        </w:tc>
        <w:tc>
          <w:tcPr>
            <w:tcW w:w="1588" w:type="dxa"/>
          </w:tcPr>
          <w:p w14:paraId="3F0CED21" w14:textId="77777777" w:rsidR="00831923" w:rsidRDefault="001009E0" w:rsidP="00F43481">
            <w:pPr>
              <w:pStyle w:val="TableTextRight"/>
            </w:pPr>
            <w:r>
              <w:t>33.2</w:t>
            </w:r>
          </w:p>
        </w:tc>
        <w:tc>
          <w:tcPr>
            <w:tcW w:w="1588" w:type="dxa"/>
          </w:tcPr>
          <w:p w14:paraId="6DF1E281" w14:textId="77777777" w:rsidR="00831923" w:rsidRDefault="00132A1F" w:rsidP="00F43481">
            <w:pPr>
              <w:pStyle w:val="TableTextRight"/>
            </w:pPr>
            <w:r>
              <w:t>35.9</w:t>
            </w:r>
          </w:p>
        </w:tc>
        <w:tc>
          <w:tcPr>
            <w:tcW w:w="1588" w:type="dxa"/>
          </w:tcPr>
          <w:p w14:paraId="738B4EB2" w14:textId="77777777" w:rsidR="00831923" w:rsidRDefault="001009E0" w:rsidP="00F43481">
            <w:pPr>
              <w:pStyle w:val="TableTextRight"/>
            </w:pPr>
            <w:r>
              <w:t>33.3</w:t>
            </w:r>
          </w:p>
        </w:tc>
      </w:tr>
    </w:tbl>
    <w:p w14:paraId="1B2D7D67" w14:textId="77777777" w:rsidR="00943323" w:rsidRPr="003662AE" w:rsidRDefault="00943323" w:rsidP="00943323">
      <w:pPr>
        <w:pStyle w:val="Note"/>
        <w:spacing w:before="60"/>
        <w:rPr>
          <w:szCs w:val="16"/>
        </w:rPr>
      </w:pPr>
      <w:r w:rsidRPr="003662AE">
        <w:rPr>
          <w:szCs w:val="16"/>
        </w:rPr>
        <w:t>The MSBS rates exclude the cost of the retention benefit.</w:t>
      </w:r>
    </w:p>
    <w:p w14:paraId="3B30A119" w14:textId="63BD950D" w:rsidR="00831923" w:rsidRDefault="00943323" w:rsidP="00943323">
      <w:pPr>
        <w:pStyle w:val="Note"/>
        <w:rPr>
          <w:szCs w:val="16"/>
        </w:rPr>
      </w:pPr>
      <w:r w:rsidRPr="003662AE">
        <w:rPr>
          <w:szCs w:val="16"/>
        </w:rPr>
        <w:t>The 20</w:t>
      </w:r>
      <w:r w:rsidR="00F43481">
        <w:rPr>
          <w:szCs w:val="16"/>
        </w:rPr>
        <w:t>11</w:t>
      </w:r>
      <w:r w:rsidRPr="003662AE">
        <w:rPr>
          <w:szCs w:val="16"/>
        </w:rPr>
        <w:t xml:space="preserve"> and 20</w:t>
      </w:r>
      <w:r w:rsidR="00F5344C">
        <w:rPr>
          <w:szCs w:val="16"/>
        </w:rPr>
        <w:t>1</w:t>
      </w:r>
      <w:r w:rsidR="00F43481">
        <w:rPr>
          <w:szCs w:val="16"/>
        </w:rPr>
        <w:t>4</w:t>
      </w:r>
      <w:r w:rsidRPr="003662AE">
        <w:rPr>
          <w:szCs w:val="16"/>
        </w:rPr>
        <w:t xml:space="preserve"> combined rates are weighted average rates based on salaries of the members of the two</w:t>
      </w:r>
      <w:r w:rsidR="00D7285D">
        <w:rPr>
          <w:szCs w:val="16"/>
        </w:rPr>
        <w:t> </w:t>
      </w:r>
      <w:r w:rsidRPr="003662AE">
        <w:rPr>
          <w:szCs w:val="16"/>
        </w:rPr>
        <w:t>schemes projected over the three years following the review date.</w:t>
      </w:r>
    </w:p>
    <w:p w14:paraId="53A11D43" w14:textId="01340C8C" w:rsidR="00943323" w:rsidRPr="003662AE" w:rsidRDefault="00831923" w:rsidP="00943323">
      <w:pPr>
        <w:pStyle w:val="Note"/>
        <w:rPr>
          <w:szCs w:val="16"/>
        </w:rPr>
      </w:pPr>
      <w:r>
        <w:rPr>
          <w:szCs w:val="16"/>
        </w:rPr>
        <w:t xml:space="preserve">Based on no new entrants to </w:t>
      </w:r>
      <w:r w:rsidR="001009E0">
        <w:rPr>
          <w:szCs w:val="16"/>
        </w:rPr>
        <w:t xml:space="preserve">the </w:t>
      </w:r>
      <w:r>
        <w:rPr>
          <w:szCs w:val="16"/>
        </w:rPr>
        <w:t>MSBS from 1 July 2016</w:t>
      </w:r>
      <w:r w:rsidR="003C50FA">
        <w:rPr>
          <w:szCs w:val="16"/>
        </w:rPr>
        <w:t xml:space="preserve"> and no transfers from the MSBS to ADF Super.</w:t>
      </w:r>
      <w:r w:rsidR="00212C90">
        <w:rPr>
          <w:szCs w:val="16"/>
        </w:rPr>
        <w:t xml:space="preserve"> </w:t>
      </w:r>
    </w:p>
    <w:p w14:paraId="3C740A23" w14:textId="77777777" w:rsidR="00FD46CC" w:rsidRDefault="00FD46CC" w:rsidP="00FD46CC">
      <w:pPr>
        <w:pStyle w:val="SingleParagraph"/>
      </w:pPr>
    </w:p>
    <w:p w14:paraId="66EC83BB" w14:textId="77777777" w:rsidR="00421CEC" w:rsidRDefault="00421CEC" w:rsidP="00421CEC">
      <w:r>
        <w:t xml:space="preserve">The increase in the notional employer contribution rate for DFRDB is due to the additional cost associated with the improved pension indexation </w:t>
      </w:r>
      <w:r w:rsidR="00255731">
        <w:t>arrangements</w:t>
      </w:r>
      <w:r>
        <w:t xml:space="preserve"> for those pensioners aged 55 or more.</w:t>
      </w:r>
    </w:p>
    <w:p w14:paraId="1A868875" w14:textId="77777777" w:rsidR="00421CEC" w:rsidRDefault="006E35FA" w:rsidP="00421CEC">
      <w:r>
        <w:t xml:space="preserve">The </w:t>
      </w:r>
      <w:r w:rsidR="00421CEC">
        <w:t>increase in the notional employer contribution rate for MSBS is due to assuming higher rates of invalidity A and B</w:t>
      </w:r>
      <w:r w:rsidR="00255731">
        <w:t xml:space="preserve"> retirement</w:t>
      </w:r>
      <w:r w:rsidR="00421CEC">
        <w:t xml:space="preserve">. The last three years have </w:t>
      </w:r>
      <w:r>
        <w:t>seen a dramatic increase in the</w:t>
      </w:r>
      <w:r w:rsidR="00421CEC">
        <w:t xml:space="preserve"> numbers of </w:t>
      </w:r>
      <w:r w:rsidR="00FA7942">
        <w:t xml:space="preserve">new </w:t>
      </w:r>
      <w:r>
        <w:t>invalidity pensions</w:t>
      </w:r>
      <w:r w:rsidR="00421CEC">
        <w:t>. Further details regarding this are given in Chapter 4.</w:t>
      </w:r>
    </w:p>
    <w:p w14:paraId="5D19DCF4" w14:textId="77777777" w:rsidR="008D506E" w:rsidRDefault="008D506E">
      <w:pPr>
        <w:spacing w:before="0" w:after="0" w:line="240" w:lineRule="auto"/>
        <w:jc w:val="left"/>
        <w:rPr>
          <w:rFonts w:ascii="Arial Bold" w:hAnsi="Arial Bold" w:cs="Arial"/>
          <w:b/>
          <w:bCs/>
          <w:iCs/>
          <w:color w:val="9B0014"/>
          <w:spacing w:val="-4"/>
          <w:sz w:val="27"/>
          <w:szCs w:val="22"/>
          <w:lang w:eastAsia="en-AU"/>
        </w:rPr>
      </w:pPr>
      <w:r>
        <w:br w:type="page"/>
      </w:r>
    </w:p>
    <w:p w14:paraId="13BB9A89" w14:textId="562B7AFB" w:rsidR="00943323" w:rsidRPr="00857BB6" w:rsidRDefault="00943323" w:rsidP="00943323">
      <w:pPr>
        <w:pStyle w:val="Heading2nonumbering"/>
      </w:pPr>
      <w:bookmarkStart w:id="6" w:name="_Toc425770470"/>
      <w:r w:rsidRPr="00857BB6">
        <w:lastRenderedPageBreak/>
        <w:t xml:space="preserve">Projection of </w:t>
      </w:r>
      <w:r>
        <w:t>e</w:t>
      </w:r>
      <w:r w:rsidRPr="00857BB6">
        <w:t xml:space="preserve">mployer </w:t>
      </w:r>
      <w:r w:rsidR="00A47395">
        <w:t xml:space="preserve">cash </w:t>
      </w:r>
      <w:r>
        <w:t>c</w:t>
      </w:r>
      <w:r w:rsidRPr="00857BB6">
        <w:t>osts</w:t>
      </w:r>
      <w:bookmarkEnd w:id="6"/>
    </w:p>
    <w:p w14:paraId="1F242D53" w14:textId="188497B6" w:rsidR="00943323" w:rsidRDefault="00943323" w:rsidP="00943323">
      <w:pPr>
        <w:rPr>
          <w:rFonts w:cs="Arial"/>
        </w:rPr>
      </w:pPr>
      <w:r w:rsidRPr="003B40B9">
        <w:rPr>
          <w:rFonts w:cs="Arial"/>
        </w:rPr>
        <w:t>Direct Commonwealth outlays that will be required under the current method of funding benefits have been projected for the next 4</w:t>
      </w:r>
      <w:r w:rsidR="00FA7942">
        <w:rPr>
          <w:rFonts w:cs="Arial"/>
        </w:rPr>
        <w:t>1</w:t>
      </w:r>
      <w:r w:rsidRPr="003B40B9">
        <w:rPr>
          <w:rFonts w:cs="Arial"/>
        </w:rPr>
        <w:t xml:space="preserve"> years and expressed as a percentage of </w:t>
      </w:r>
      <w:r w:rsidR="00642B91">
        <w:rPr>
          <w:rFonts w:cs="Arial"/>
        </w:rPr>
        <w:t>g</w:t>
      </w:r>
      <w:r w:rsidRPr="003B40B9">
        <w:rPr>
          <w:rFonts w:cs="Arial"/>
        </w:rPr>
        <w:t xml:space="preserve">ross </w:t>
      </w:r>
      <w:r w:rsidR="00642B91">
        <w:rPr>
          <w:rFonts w:cs="Arial"/>
        </w:rPr>
        <w:t>d</w:t>
      </w:r>
      <w:r w:rsidRPr="003B40B9">
        <w:rPr>
          <w:rFonts w:cs="Arial"/>
        </w:rPr>
        <w:t xml:space="preserve">omestic </w:t>
      </w:r>
      <w:proofErr w:type="gramStart"/>
      <w:r w:rsidR="00642B91">
        <w:rPr>
          <w:rFonts w:cs="Arial"/>
        </w:rPr>
        <w:t>p</w:t>
      </w:r>
      <w:r w:rsidRPr="003B40B9">
        <w:rPr>
          <w:rFonts w:cs="Arial"/>
        </w:rPr>
        <w:t>roduct</w:t>
      </w:r>
      <w:proofErr w:type="gramEnd"/>
      <w:r w:rsidRPr="003B40B9">
        <w:rPr>
          <w:rFonts w:cs="Arial"/>
        </w:rPr>
        <w:t xml:space="preserve"> (GDP) so that the </w:t>
      </w:r>
      <w:r w:rsidR="00255731">
        <w:rPr>
          <w:rFonts w:cs="Arial"/>
        </w:rPr>
        <w:t xml:space="preserve">amounts of the </w:t>
      </w:r>
      <w:r w:rsidRPr="003B40B9">
        <w:rPr>
          <w:rFonts w:cs="Arial"/>
        </w:rPr>
        <w:t xml:space="preserve">cash outlays can be matched against a relevant base. The following chart shows actual </w:t>
      </w:r>
      <w:r w:rsidR="00A47395" w:rsidRPr="003B40B9">
        <w:rPr>
          <w:rFonts w:cs="Arial"/>
        </w:rPr>
        <w:t xml:space="preserve">cash </w:t>
      </w:r>
      <w:r w:rsidRPr="003B40B9">
        <w:rPr>
          <w:rFonts w:cs="Arial"/>
        </w:rPr>
        <w:t>costs since 199</w:t>
      </w:r>
      <w:r w:rsidR="00E128EC" w:rsidRPr="003B40B9">
        <w:rPr>
          <w:rFonts w:cs="Arial"/>
        </w:rPr>
        <w:t>9</w:t>
      </w:r>
      <w:r w:rsidRPr="003B40B9">
        <w:rPr>
          <w:rFonts w:cs="Arial"/>
        </w:rPr>
        <w:t xml:space="preserve"> and projected costs for the next 4</w:t>
      </w:r>
      <w:r w:rsidR="00DC3F30">
        <w:rPr>
          <w:rFonts w:cs="Arial"/>
        </w:rPr>
        <w:t>1</w:t>
      </w:r>
      <w:r w:rsidRPr="003B40B9">
        <w:rPr>
          <w:rFonts w:cs="Arial"/>
        </w:rPr>
        <w:t xml:space="preserve"> years, together with the </w:t>
      </w:r>
      <w:r w:rsidR="00A47395" w:rsidRPr="003B40B9">
        <w:rPr>
          <w:rFonts w:cs="Arial"/>
        </w:rPr>
        <w:t xml:space="preserve">cash </w:t>
      </w:r>
      <w:r w:rsidRPr="003B40B9">
        <w:rPr>
          <w:rFonts w:cs="Arial"/>
        </w:rPr>
        <w:t xml:space="preserve">costs that were projected in the </w:t>
      </w:r>
      <w:r w:rsidR="00C661D4">
        <w:rPr>
          <w:rFonts w:cs="Arial"/>
        </w:rPr>
        <w:t>Long-</w:t>
      </w:r>
      <w:r w:rsidR="00607BF7" w:rsidRPr="003B40B9">
        <w:rPr>
          <w:rFonts w:cs="Arial"/>
        </w:rPr>
        <w:t>Term Cost Report as at 30 June 20</w:t>
      </w:r>
      <w:r w:rsidR="001E7B1D" w:rsidRPr="003B40B9">
        <w:rPr>
          <w:rFonts w:cs="Arial"/>
        </w:rPr>
        <w:t>11</w:t>
      </w:r>
      <w:r w:rsidR="00607BF7" w:rsidRPr="003B40B9">
        <w:rPr>
          <w:rFonts w:cs="Arial"/>
        </w:rPr>
        <w:t xml:space="preserve"> (the ‘</w:t>
      </w:r>
      <w:r w:rsidRPr="003B40B9">
        <w:rPr>
          <w:rFonts w:cs="Arial"/>
        </w:rPr>
        <w:t>20</w:t>
      </w:r>
      <w:r w:rsidR="001E7B1D" w:rsidRPr="003B40B9">
        <w:rPr>
          <w:rFonts w:cs="Arial"/>
        </w:rPr>
        <w:t>11</w:t>
      </w:r>
      <w:r w:rsidRPr="003B40B9">
        <w:rPr>
          <w:rFonts w:cs="Arial"/>
        </w:rPr>
        <w:t xml:space="preserve"> Report</w:t>
      </w:r>
      <w:r w:rsidR="00607BF7" w:rsidRPr="003B40B9">
        <w:rPr>
          <w:rFonts w:cs="Arial"/>
        </w:rPr>
        <w:t>’)</w:t>
      </w:r>
      <w:r w:rsidR="00FD46CC">
        <w:rPr>
          <w:rFonts w:cs="Arial"/>
        </w:rPr>
        <w:t>.</w:t>
      </w:r>
    </w:p>
    <w:p w14:paraId="49EB7B6E" w14:textId="3FD217C5" w:rsidR="00943323" w:rsidRPr="00FD46CC" w:rsidRDefault="00943323" w:rsidP="00FD46CC">
      <w:pPr>
        <w:pStyle w:val="ChartMainHeading"/>
      </w:pPr>
      <w:r w:rsidRPr="00FD46CC">
        <w:t xml:space="preserve">Actual and projected </w:t>
      </w:r>
      <w:r w:rsidR="00A47395" w:rsidRPr="00FD46CC">
        <w:t>Commonwealth outlays</w:t>
      </w:r>
      <w:r w:rsidRPr="00FD46CC">
        <w:t xml:space="preserve"> as a percentage of GDP</w:t>
      </w:r>
    </w:p>
    <w:p w14:paraId="69EB003A" w14:textId="77777777" w:rsidR="00B75925" w:rsidRDefault="00D22A16" w:rsidP="00FD46CC">
      <w:pPr>
        <w:pStyle w:val="ChartGraphic"/>
        <w:rPr>
          <w:highlight w:val="yellow"/>
        </w:rPr>
      </w:pPr>
      <w:r w:rsidRPr="00D22A16">
        <w:rPr>
          <w:noProof/>
          <w:lang w:val="en-US" w:eastAsia="en-US"/>
        </w:rPr>
        <w:drawing>
          <wp:inline distT="0" distB="0" distL="0" distR="0" wp14:anchorId="634967F5" wp14:editId="2A2F1297">
            <wp:extent cx="4896000" cy="3242220"/>
            <wp:effectExtent l="0" t="0" r="0" b="0"/>
            <wp:docPr id="4" name="Picture 4" descr="This chart shows actual and projected cash costs of the military superannuation schemes as a percentage of GDP from 1999 to 2055.  Actual costs decreased from 0.18 per cent at 30 June 1999 to 0.13 per cent at 30 June 2014.  Costs are projected to decrease to around 0.07 per cent of GDP by 30 June 2055 under MSBS closure from 1 July 2016 (compared with 0.10 per cent of GDP assuming MSBS remains open)." title="Actual and projected Commonwealth outlays as a percentage of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684" t="2855" r="6064" b="3395"/>
                    <a:stretch/>
                  </pic:blipFill>
                  <pic:spPr bwMode="auto">
                    <a:xfrm>
                      <a:off x="0" y="0"/>
                      <a:ext cx="4896000" cy="3242220"/>
                    </a:xfrm>
                    <a:prstGeom prst="rect">
                      <a:avLst/>
                    </a:prstGeom>
                    <a:noFill/>
                    <a:ln>
                      <a:noFill/>
                    </a:ln>
                    <a:extLst>
                      <a:ext uri="{53640926-AAD7-44D8-BBD7-CCE9431645EC}">
                        <a14:shadowObscured xmlns:a14="http://schemas.microsoft.com/office/drawing/2010/main"/>
                      </a:ext>
                    </a:extLst>
                  </pic:spPr>
                </pic:pic>
              </a:graphicData>
            </a:graphic>
          </wp:inline>
        </w:drawing>
      </w:r>
    </w:p>
    <w:p w14:paraId="42243827" w14:textId="77777777" w:rsidR="00FD46CC" w:rsidRDefault="00FD46CC" w:rsidP="00FD46CC">
      <w:pPr>
        <w:pStyle w:val="SingleParagraph"/>
      </w:pPr>
    </w:p>
    <w:p w14:paraId="7774A608" w14:textId="77777777" w:rsidR="00943323" w:rsidRDefault="00943323" w:rsidP="009616A2">
      <w:pPr>
        <w:spacing w:before="0"/>
      </w:pPr>
      <w:r w:rsidRPr="003B40B9">
        <w:t xml:space="preserve">Annual </w:t>
      </w:r>
      <w:r w:rsidR="008A589C" w:rsidRPr="003B40B9">
        <w:t xml:space="preserve">cash </w:t>
      </w:r>
      <w:r w:rsidRPr="003B40B9">
        <w:t>costs represent approximately 0.1</w:t>
      </w:r>
      <w:r w:rsidR="00E128EC" w:rsidRPr="003B40B9">
        <w:t>3</w:t>
      </w:r>
      <w:r w:rsidRPr="003B40B9">
        <w:t xml:space="preserve"> per cent of GDP at present, falling to around 0.1</w:t>
      </w:r>
      <w:r w:rsidR="0097778E">
        <w:t>0</w:t>
      </w:r>
      <w:r w:rsidRPr="003B40B9">
        <w:t xml:space="preserve"> per cent of GDP in the lo</w:t>
      </w:r>
      <w:r w:rsidR="00A568FC" w:rsidRPr="003B40B9">
        <w:t>ng term</w:t>
      </w:r>
      <w:r w:rsidR="00D0671E">
        <w:t xml:space="preserve"> (and around 0.07 per cent with a closed MSBS)</w:t>
      </w:r>
      <w:r w:rsidR="00A568FC" w:rsidRPr="003B40B9">
        <w:t>.</w:t>
      </w:r>
      <w:r w:rsidR="00910FCC">
        <w:t xml:space="preserve"> T</w:t>
      </w:r>
      <w:r w:rsidR="0081174C" w:rsidRPr="003B40B9">
        <w:t xml:space="preserve">he current projections are </w:t>
      </w:r>
      <w:r w:rsidR="00D0671E">
        <w:t>higher</w:t>
      </w:r>
      <w:r w:rsidR="0081174C" w:rsidRPr="003B40B9">
        <w:t xml:space="preserve"> than the </w:t>
      </w:r>
      <w:r w:rsidR="0081174C" w:rsidRPr="00862B3A">
        <w:t xml:space="preserve">projections </w:t>
      </w:r>
      <w:r w:rsidR="00910FCC">
        <w:t>i</w:t>
      </w:r>
      <w:r w:rsidR="0081174C" w:rsidRPr="00862B3A">
        <w:t>n the 20</w:t>
      </w:r>
      <w:r w:rsidR="003B40B9" w:rsidRPr="00862B3A">
        <w:t>11</w:t>
      </w:r>
      <w:r w:rsidR="0081174C" w:rsidRPr="00862B3A">
        <w:t xml:space="preserve"> Report</w:t>
      </w:r>
      <w:r w:rsidR="0081174C" w:rsidRPr="0076057A">
        <w:t xml:space="preserve">. </w:t>
      </w:r>
      <w:r w:rsidR="00910FCC">
        <w:t xml:space="preserve">In the </w:t>
      </w:r>
      <w:r w:rsidR="00910FCC" w:rsidRPr="003B40B9">
        <w:t>medium term</w:t>
      </w:r>
      <w:r w:rsidR="00910FCC">
        <w:t>, t</w:t>
      </w:r>
      <w:r w:rsidR="00337E40" w:rsidRPr="0076057A">
        <w:t>his is primarily due to the improved pension indexation arrangements for DFRB and DFRDB.</w:t>
      </w:r>
      <w:r w:rsidR="00337E40">
        <w:t xml:space="preserve"> </w:t>
      </w:r>
      <w:r w:rsidR="00A568FC" w:rsidRPr="00862B3A">
        <w:t>In the long term, t</w:t>
      </w:r>
      <w:r w:rsidRPr="00862B3A">
        <w:t xml:space="preserve">he current projections are slightly </w:t>
      </w:r>
      <w:r w:rsidR="003B40B9" w:rsidRPr="00862B3A">
        <w:t>lower</w:t>
      </w:r>
      <w:r w:rsidRPr="00862B3A">
        <w:t xml:space="preserve"> than the </w:t>
      </w:r>
      <w:r w:rsidR="0081174C" w:rsidRPr="00862B3A">
        <w:t xml:space="preserve">previous </w:t>
      </w:r>
      <w:r w:rsidRPr="00862B3A">
        <w:t>projectio</w:t>
      </w:r>
      <w:r w:rsidR="0081174C" w:rsidRPr="00862B3A">
        <w:t>ns</w:t>
      </w:r>
      <w:r w:rsidRPr="00862B3A">
        <w:t>.</w:t>
      </w:r>
      <w:r w:rsidR="00607BF7" w:rsidRPr="00862B3A">
        <w:t xml:space="preserve"> The factors leading to this result are discussed in </w:t>
      </w:r>
      <w:r w:rsidR="00FA7942">
        <w:t>Chapter 6.</w:t>
      </w:r>
    </w:p>
    <w:p w14:paraId="000116B4" w14:textId="77777777" w:rsidR="001F546B" w:rsidRDefault="001F546B">
      <w:pPr>
        <w:spacing w:before="0" w:after="0" w:line="240" w:lineRule="auto"/>
        <w:jc w:val="left"/>
        <w:rPr>
          <w:rFonts w:ascii="Arial Bold" w:hAnsi="Arial Bold" w:cs="Arial"/>
          <w:b/>
          <w:bCs/>
          <w:iCs/>
          <w:caps/>
          <w:color w:val="9B0014"/>
          <w:sz w:val="28"/>
          <w:szCs w:val="22"/>
          <w:lang w:eastAsia="en-AU"/>
        </w:rPr>
      </w:pPr>
      <w:r>
        <w:br w:type="page"/>
      </w:r>
    </w:p>
    <w:p w14:paraId="4B4C5F3C" w14:textId="56D33766" w:rsidR="00943323" w:rsidRPr="00857BB6" w:rsidRDefault="00943323" w:rsidP="00943323">
      <w:pPr>
        <w:pStyle w:val="Heading2nonumbering"/>
      </w:pPr>
      <w:bookmarkStart w:id="7" w:name="_Toc425770471"/>
      <w:r w:rsidRPr="00857BB6">
        <w:lastRenderedPageBreak/>
        <w:t xml:space="preserve">Present </w:t>
      </w:r>
      <w:r>
        <w:t>v</w:t>
      </w:r>
      <w:r w:rsidRPr="00857BB6">
        <w:t xml:space="preserve">alue of </w:t>
      </w:r>
      <w:r>
        <w:t>u</w:t>
      </w:r>
      <w:r w:rsidRPr="00857BB6">
        <w:t xml:space="preserve">nfunded </w:t>
      </w:r>
      <w:r>
        <w:t>l</w:t>
      </w:r>
      <w:r w:rsidRPr="00857BB6">
        <w:t>iabilities</w:t>
      </w:r>
      <w:bookmarkEnd w:id="7"/>
    </w:p>
    <w:p w14:paraId="4BEE638D" w14:textId="312D9F55" w:rsidR="00943323" w:rsidRPr="00857BB6" w:rsidRDefault="00943323" w:rsidP="00943323">
      <w:pPr>
        <w:rPr>
          <w:rFonts w:cs="Arial"/>
        </w:rPr>
      </w:pPr>
      <w:r w:rsidRPr="00857BB6">
        <w:rPr>
          <w:rFonts w:cs="Arial"/>
        </w:rPr>
        <w:t xml:space="preserve">The unfunded liability in respect of benefits that have already accrued for current employees, former </w:t>
      </w:r>
      <w:r w:rsidRPr="004A43F1">
        <w:rPr>
          <w:rFonts w:cs="Arial"/>
        </w:rPr>
        <w:t>employees and pensioners has been estimated as $</w:t>
      </w:r>
      <w:r w:rsidR="00654A62">
        <w:rPr>
          <w:rFonts w:cs="Arial"/>
        </w:rPr>
        <w:t>57</w:t>
      </w:r>
      <w:r w:rsidR="000035B2" w:rsidRPr="004A43F1">
        <w:rPr>
          <w:rFonts w:cs="Arial"/>
        </w:rPr>
        <w:t>.</w:t>
      </w:r>
      <w:r w:rsidR="00D0671E">
        <w:rPr>
          <w:rFonts w:cs="Arial"/>
        </w:rPr>
        <w:t>5</w:t>
      </w:r>
      <w:r w:rsidRPr="004A43F1">
        <w:rPr>
          <w:rFonts w:cs="Arial"/>
        </w:rPr>
        <w:t xml:space="preserve"> billion as at 30 June 20</w:t>
      </w:r>
      <w:r w:rsidR="000035B2" w:rsidRPr="004A43F1">
        <w:rPr>
          <w:rFonts w:cs="Arial"/>
        </w:rPr>
        <w:t>1</w:t>
      </w:r>
      <w:r w:rsidR="00654A62">
        <w:rPr>
          <w:rFonts w:cs="Arial"/>
        </w:rPr>
        <w:t>4</w:t>
      </w:r>
      <w:r w:rsidRPr="004A43F1">
        <w:rPr>
          <w:rFonts w:cs="Arial"/>
        </w:rPr>
        <w:t xml:space="preserve"> of which </w:t>
      </w:r>
      <w:r w:rsidR="000035B2" w:rsidRPr="004A43F1">
        <w:rPr>
          <w:rFonts w:cs="Arial"/>
        </w:rPr>
        <w:t>$</w:t>
      </w:r>
      <w:r w:rsidR="004A43F1" w:rsidRPr="004A43F1">
        <w:rPr>
          <w:rFonts w:cs="Arial"/>
        </w:rPr>
        <w:t>0</w:t>
      </w:r>
      <w:r w:rsidR="000035B2" w:rsidRPr="004A43F1">
        <w:rPr>
          <w:rFonts w:cs="Arial"/>
        </w:rPr>
        <w:t>.</w:t>
      </w:r>
      <w:r w:rsidR="004A43F1" w:rsidRPr="004A43F1">
        <w:rPr>
          <w:rFonts w:cs="Arial"/>
        </w:rPr>
        <w:t>5</w:t>
      </w:r>
      <w:r w:rsidR="000035B2" w:rsidRPr="004A43F1">
        <w:rPr>
          <w:rFonts w:cs="Arial"/>
        </w:rPr>
        <w:t xml:space="preserve"> billion relates to the DFRB, </w:t>
      </w:r>
      <w:r w:rsidRPr="004A43F1">
        <w:rPr>
          <w:rFonts w:cs="Arial"/>
        </w:rPr>
        <w:t>$</w:t>
      </w:r>
      <w:r w:rsidR="00654A62">
        <w:rPr>
          <w:rFonts w:cs="Arial"/>
        </w:rPr>
        <w:t>30</w:t>
      </w:r>
      <w:r w:rsidR="004A43F1" w:rsidRPr="004A43F1">
        <w:rPr>
          <w:rFonts w:cs="Arial"/>
        </w:rPr>
        <w:t>.</w:t>
      </w:r>
      <w:r w:rsidR="001C6647">
        <w:rPr>
          <w:rFonts w:cs="Arial"/>
        </w:rPr>
        <w:t>3</w:t>
      </w:r>
      <w:r w:rsidRPr="004A43F1">
        <w:rPr>
          <w:rFonts w:cs="Arial"/>
        </w:rPr>
        <w:t xml:space="preserve"> billion to the DFRDB and $</w:t>
      </w:r>
      <w:r w:rsidR="00654A62">
        <w:rPr>
          <w:rFonts w:cs="Arial"/>
        </w:rPr>
        <w:t>26</w:t>
      </w:r>
      <w:r w:rsidR="004A43F1" w:rsidRPr="004A43F1">
        <w:rPr>
          <w:rFonts w:cs="Arial"/>
        </w:rPr>
        <w:t>.</w:t>
      </w:r>
      <w:r w:rsidR="00654A62">
        <w:rPr>
          <w:rFonts w:cs="Arial"/>
        </w:rPr>
        <w:t>7</w:t>
      </w:r>
      <w:r w:rsidRPr="004A43F1">
        <w:rPr>
          <w:rFonts w:cs="Arial"/>
        </w:rPr>
        <w:t xml:space="preserve"> billion to the MSBS. This is </w:t>
      </w:r>
      <w:r w:rsidRPr="00654A62">
        <w:rPr>
          <w:rFonts w:cs="Arial"/>
        </w:rPr>
        <w:t>3.</w:t>
      </w:r>
      <w:r w:rsidR="00654A62" w:rsidRPr="00654A62">
        <w:rPr>
          <w:rFonts w:cs="Arial"/>
        </w:rPr>
        <w:t>6</w:t>
      </w:r>
      <w:r w:rsidRPr="004A43F1">
        <w:rPr>
          <w:rFonts w:cs="Arial"/>
        </w:rPr>
        <w:t xml:space="preserve"> per</w:t>
      </w:r>
      <w:r>
        <w:rPr>
          <w:rFonts w:cs="Arial"/>
        </w:rPr>
        <w:t xml:space="preserve"> cent</w:t>
      </w:r>
      <w:r w:rsidRPr="00857BB6">
        <w:rPr>
          <w:rFonts w:cs="Arial"/>
        </w:rPr>
        <w:t xml:space="preserve"> of GDP</w:t>
      </w:r>
      <w:r>
        <w:rPr>
          <w:rFonts w:cs="Arial"/>
        </w:rPr>
        <w:t xml:space="preserve">. </w:t>
      </w:r>
      <w:r w:rsidRPr="00857BB6">
        <w:rPr>
          <w:rFonts w:cs="Arial"/>
        </w:rPr>
        <w:t>This compares with the figure app</w:t>
      </w:r>
      <w:r>
        <w:rPr>
          <w:rFonts w:cs="Arial"/>
        </w:rPr>
        <w:t xml:space="preserve">earing in the </w:t>
      </w:r>
      <w:r w:rsidR="00607BF7">
        <w:rPr>
          <w:rFonts w:cs="Arial"/>
        </w:rPr>
        <w:t>20</w:t>
      </w:r>
      <w:r w:rsidR="00654A62">
        <w:rPr>
          <w:rFonts w:cs="Arial"/>
        </w:rPr>
        <w:t>11</w:t>
      </w:r>
      <w:r w:rsidR="005C615C">
        <w:rPr>
          <w:rFonts w:cs="Arial"/>
        </w:rPr>
        <w:t> </w:t>
      </w:r>
      <w:r w:rsidR="00607BF7">
        <w:rPr>
          <w:rFonts w:cs="Arial"/>
        </w:rPr>
        <w:t>Report</w:t>
      </w:r>
      <w:r>
        <w:rPr>
          <w:rFonts w:cs="Arial"/>
        </w:rPr>
        <w:t xml:space="preserve"> of $</w:t>
      </w:r>
      <w:r w:rsidR="00654A62">
        <w:rPr>
          <w:rFonts w:cs="Arial"/>
        </w:rPr>
        <w:t>45</w:t>
      </w:r>
      <w:r>
        <w:rPr>
          <w:rFonts w:cs="Arial"/>
        </w:rPr>
        <w:t>.</w:t>
      </w:r>
      <w:r w:rsidR="00654A62">
        <w:rPr>
          <w:rFonts w:cs="Arial"/>
        </w:rPr>
        <w:t>2</w:t>
      </w:r>
      <w:r w:rsidRPr="00857BB6">
        <w:rPr>
          <w:rFonts w:cs="Arial"/>
        </w:rPr>
        <w:t xml:space="preserve"> billion or 3.</w:t>
      </w:r>
      <w:r w:rsidR="00654A62">
        <w:rPr>
          <w:rFonts w:cs="Arial"/>
        </w:rPr>
        <w:t>3</w:t>
      </w:r>
      <w:r>
        <w:rPr>
          <w:rFonts w:cs="Arial"/>
        </w:rPr>
        <w:t xml:space="preserve"> per cent</w:t>
      </w:r>
      <w:r w:rsidRPr="00857BB6">
        <w:rPr>
          <w:rFonts w:cs="Arial"/>
        </w:rPr>
        <w:t xml:space="preserve"> of GDP as at 30</w:t>
      </w:r>
      <w:r w:rsidR="00A7117E">
        <w:rPr>
          <w:rFonts w:cs="Arial"/>
        </w:rPr>
        <w:t> </w:t>
      </w:r>
      <w:r w:rsidRPr="00857BB6">
        <w:rPr>
          <w:rFonts w:cs="Arial"/>
        </w:rPr>
        <w:t>June 20</w:t>
      </w:r>
      <w:r w:rsidR="00654A62">
        <w:rPr>
          <w:rFonts w:cs="Arial"/>
        </w:rPr>
        <w:t>11</w:t>
      </w:r>
      <w:r w:rsidRPr="00857BB6">
        <w:rPr>
          <w:rFonts w:cs="Arial"/>
        </w:rPr>
        <w:t>.</w:t>
      </w:r>
    </w:p>
    <w:p w14:paraId="136E0180" w14:textId="77777777" w:rsidR="00943323" w:rsidRDefault="00BB6BDD" w:rsidP="00943323">
      <w:pPr>
        <w:rPr>
          <w:rFonts w:cs="Arial"/>
        </w:rPr>
      </w:pPr>
      <w:r>
        <w:rPr>
          <w:rFonts w:cs="Arial"/>
        </w:rPr>
        <w:t>The following chart</w:t>
      </w:r>
      <w:r w:rsidR="00943323" w:rsidRPr="00FB1911">
        <w:rPr>
          <w:rFonts w:cs="Arial"/>
        </w:rPr>
        <w:t xml:space="preserve"> illustrates the projected fall off in the total unfunded liabilities as a percentage of GDP</w:t>
      </w:r>
      <w:r w:rsidR="0097778E">
        <w:rPr>
          <w:rFonts w:cs="Arial"/>
        </w:rPr>
        <w:t xml:space="preserve"> if MSBS were to remain open to new members</w:t>
      </w:r>
      <w:r w:rsidR="00943323" w:rsidRPr="00FB1911">
        <w:rPr>
          <w:rFonts w:cs="Arial"/>
        </w:rPr>
        <w:t xml:space="preserve">. The trend is </w:t>
      </w:r>
      <w:r w:rsidR="00025348" w:rsidRPr="00FB1911">
        <w:rPr>
          <w:rFonts w:cs="Arial"/>
        </w:rPr>
        <w:t>clearly</w:t>
      </w:r>
      <w:r w:rsidR="00943323" w:rsidRPr="00FB1911">
        <w:rPr>
          <w:rFonts w:cs="Arial"/>
        </w:rPr>
        <w:t xml:space="preserve"> favourable with this measure of liabilities falling by around </w:t>
      </w:r>
      <w:r w:rsidR="00645F6D">
        <w:rPr>
          <w:rFonts w:cs="Arial"/>
        </w:rPr>
        <w:t>35</w:t>
      </w:r>
      <w:r w:rsidR="00943323" w:rsidRPr="00FB1911">
        <w:rPr>
          <w:rFonts w:cs="Arial"/>
        </w:rPr>
        <w:t xml:space="preserve"> per</w:t>
      </w:r>
      <w:r w:rsidR="00D35F37">
        <w:rPr>
          <w:rFonts w:cs="Arial"/>
        </w:rPr>
        <w:t xml:space="preserve"> </w:t>
      </w:r>
      <w:r w:rsidR="00943323" w:rsidRPr="00FB1911">
        <w:rPr>
          <w:rFonts w:cs="Arial"/>
        </w:rPr>
        <w:t>cent over the 4</w:t>
      </w:r>
      <w:r w:rsidR="00DC3F30">
        <w:rPr>
          <w:rFonts w:cs="Arial"/>
        </w:rPr>
        <w:t>1</w:t>
      </w:r>
      <w:r w:rsidR="00B82349">
        <w:rPr>
          <w:rFonts w:cs="Arial"/>
        </w:rPr>
        <w:t xml:space="preserve"> </w:t>
      </w:r>
      <w:r w:rsidR="00943323" w:rsidRPr="00FB1911">
        <w:rPr>
          <w:rFonts w:cs="Arial"/>
        </w:rPr>
        <w:t>year projection period.</w:t>
      </w:r>
      <w:r>
        <w:rPr>
          <w:rFonts w:cs="Arial"/>
        </w:rPr>
        <w:t xml:space="preserve"> The chart also gives the projection from the 20</w:t>
      </w:r>
      <w:r w:rsidR="00645F6D">
        <w:rPr>
          <w:rFonts w:cs="Arial"/>
        </w:rPr>
        <w:t>11</w:t>
      </w:r>
      <w:r>
        <w:rPr>
          <w:rFonts w:cs="Arial"/>
        </w:rPr>
        <w:t xml:space="preserve"> Report. </w:t>
      </w:r>
      <w:r w:rsidR="00C211BF">
        <w:rPr>
          <w:rFonts w:cs="Arial"/>
        </w:rPr>
        <w:t>Under the open MSBS scenario, t</w:t>
      </w:r>
      <w:r>
        <w:rPr>
          <w:rFonts w:cs="Arial"/>
        </w:rPr>
        <w:t xml:space="preserve">he </w:t>
      </w:r>
      <w:r w:rsidR="00C211BF">
        <w:rPr>
          <w:rFonts w:cs="Arial"/>
        </w:rPr>
        <w:t xml:space="preserve">short to medium term </w:t>
      </w:r>
      <w:r>
        <w:rPr>
          <w:rFonts w:cs="Arial"/>
        </w:rPr>
        <w:t>projected liabilities as a percentage of GDP are higher than those from the 20</w:t>
      </w:r>
      <w:r w:rsidR="00645F6D">
        <w:rPr>
          <w:rFonts w:cs="Arial"/>
        </w:rPr>
        <w:t>11</w:t>
      </w:r>
      <w:r>
        <w:rPr>
          <w:rFonts w:cs="Arial"/>
        </w:rPr>
        <w:t xml:space="preserve"> Report</w:t>
      </w:r>
      <w:r w:rsidR="00385F4E">
        <w:rPr>
          <w:rFonts w:cs="Arial"/>
        </w:rPr>
        <w:t>, while i</w:t>
      </w:r>
      <w:r w:rsidR="002E06EC">
        <w:rPr>
          <w:rFonts w:cs="Arial"/>
        </w:rPr>
        <w:t xml:space="preserve">n the long term, </w:t>
      </w:r>
      <w:r w:rsidR="002E06EC" w:rsidRPr="003B40B9">
        <w:rPr>
          <w:rFonts w:cs="Arial"/>
        </w:rPr>
        <w:t xml:space="preserve">the current projections are slightly </w:t>
      </w:r>
      <w:r w:rsidR="002E06EC" w:rsidRPr="00862B3A">
        <w:rPr>
          <w:rFonts w:cs="Arial"/>
        </w:rPr>
        <w:t xml:space="preserve">lower than the previous projections. </w:t>
      </w:r>
      <w:r w:rsidR="00605BD7">
        <w:rPr>
          <w:rFonts w:cs="Arial"/>
        </w:rPr>
        <w:t xml:space="preserve">Under a closed MSBS from 1 July 2016, projections of unfunded liabilities as a percentage of GDP are expected to decrease </w:t>
      </w:r>
      <w:r w:rsidR="00C21838">
        <w:rPr>
          <w:rFonts w:cs="Arial"/>
        </w:rPr>
        <w:t xml:space="preserve">more </w:t>
      </w:r>
      <w:r w:rsidR="00605BD7">
        <w:rPr>
          <w:rFonts w:cs="Arial"/>
        </w:rPr>
        <w:t xml:space="preserve">rapidly from </w:t>
      </w:r>
      <w:r w:rsidR="00910FCC">
        <w:rPr>
          <w:rFonts w:cs="Arial"/>
        </w:rPr>
        <w:t>3.6 per cent to 0.9</w:t>
      </w:r>
      <w:r w:rsidR="00605BD7">
        <w:rPr>
          <w:rFonts w:cs="Arial"/>
        </w:rPr>
        <w:t xml:space="preserve"> per cent. </w:t>
      </w:r>
      <w:r w:rsidR="0098752F">
        <w:rPr>
          <w:rFonts w:cs="Arial"/>
        </w:rPr>
        <w:t xml:space="preserve">The primary reason for the increase in unfunded liability in 2014 compared to the 2011 projections is the cost associated with the improved indexation arrangements for DFRB and DFRDB. </w:t>
      </w:r>
      <w:r w:rsidR="002E06EC" w:rsidRPr="00862B3A">
        <w:rPr>
          <w:rFonts w:cs="Arial"/>
        </w:rPr>
        <w:t>T</w:t>
      </w:r>
      <w:r w:rsidRPr="00862B3A">
        <w:rPr>
          <w:rFonts w:cs="Arial"/>
        </w:rPr>
        <w:t>he factors l</w:t>
      </w:r>
      <w:r w:rsidR="0098752F">
        <w:rPr>
          <w:rFonts w:cs="Arial"/>
        </w:rPr>
        <w:t>eading to these</w:t>
      </w:r>
      <w:r w:rsidRPr="00862B3A">
        <w:rPr>
          <w:rFonts w:cs="Arial"/>
        </w:rPr>
        <w:t xml:space="preserve"> result</w:t>
      </w:r>
      <w:r w:rsidR="0098752F">
        <w:rPr>
          <w:rFonts w:cs="Arial"/>
        </w:rPr>
        <w:t>s</w:t>
      </w:r>
      <w:r w:rsidRPr="00862B3A">
        <w:rPr>
          <w:rFonts w:cs="Arial"/>
        </w:rPr>
        <w:t xml:space="preserve"> are discussed </w:t>
      </w:r>
      <w:r w:rsidR="0098752F">
        <w:rPr>
          <w:rFonts w:cs="Arial"/>
        </w:rPr>
        <w:t xml:space="preserve">further </w:t>
      </w:r>
      <w:r w:rsidRPr="00862B3A">
        <w:rPr>
          <w:rFonts w:cs="Arial"/>
        </w:rPr>
        <w:t>in Chapter 7.</w:t>
      </w:r>
    </w:p>
    <w:p w14:paraId="7E3C46D7" w14:textId="10E19D82" w:rsidR="00943323" w:rsidRPr="009616A2" w:rsidRDefault="00943323" w:rsidP="009616A2">
      <w:pPr>
        <w:pStyle w:val="ChartMainHeading"/>
      </w:pPr>
      <w:r w:rsidRPr="009616A2">
        <w:t>Projected unfunded liabilities as a percentage of GDP</w:t>
      </w:r>
    </w:p>
    <w:p w14:paraId="5030CE27" w14:textId="7F871707" w:rsidR="001F546B" w:rsidRPr="001F546B" w:rsidRDefault="00D22A16" w:rsidP="001F546B">
      <w:pPr>
        <w:pStyle w:val="ChartGraphic"/>
      </w:pPr>
      <w:r w:rsidRPr="001F546B">
        <w:rPr>
          <w:noProof/>
          <w:lang w:val="en-US" w:eastAsia="en-US"/>
        </w:rPr>
        <w:drawing>
          <wp:inline distT="0" distB="0" distL="0" distR="0" wp14:anchorId="5B740301" wp14:editId="2CD82B07">
            <wp:extent cx="4896000" cy="3313279"/>
            <wp:effectExtent l="0" t="0" r="0" b="1905"/>
            <wp:docPr id="6" name="Picture 6" descr="This chart shows the projected unfunded liabilities of the military superannuation schemes as a percentage of GDP from 2011 to 2055.  Under the 2011 Long-term Cost Report, projections were estimated to decrease from just over 3 per cent to around 2.7 per cent.  Under a closed MSBS from 1 July 2016, unfunded liabilities are projected to decrease from around 3.6 per cent to 0.8 per cent.  Under an open MSBS, unfunded liabilities are projected to decrease from around 3.6 per cent to 2.4 per cent." title="Projected unfunded liabilities as a percentage of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721" t="2080" r="7818" b="5012"/>
                    <a:stretch/>
                  </pic:blipFill>
                  <pic:spPr bwMode="auto">
                    <a:xfrm>
                      <a:off x="0" y="0"/>
                      <a:ext cx="4896000" cy="3313279"/>
                    </a:xfrm>
                    <a:prstGeom prst="rect">
                      <a:avLst/>
                    </a:prstGeom>
                    <a:noFill/>
                    <a:ln>
                      <a:noFill/>
                    </a:ln>
                    <a:extLst>
                      <a:ext uri="{53640926-AAD7-44D8-BBD7-CCE9431645EC}">
                        <a14:shadowObscured xmlns:a14="http://schemas.microsoft.com/office/drawing/2010/main"/>
                      </a:ext>
                    </a:extLst>
                  </pic:spPr>
                </pic:pic>
              </a:graphicData>
            </a:graphic>
          </wp:inline>
        </w:drawing>
      </w:r>
      <w:r w:rsidR="001F546B" w:rsidRPr="001F546B">
        <w:br w:type="page"/>
      </w:r>
    </w:p>
    <w:p w14:paraId="0707FFC3" w14:textId="77AD58B3" w:rsidR="00943323" w:rsidRPr="00857BB6" w:rsidRDefault="00943323" w:rsidP="00943323">
      <w:pPr>
        <w:pStyle w:val="Heading2nonumbering"/>
      </w:pPr>
      <w:bookmarkStart w:id="8" w:name="_Toc425770472"/>
      <w:r w:rsidRPr="00857BB6">
        <w:lastRenderedPageBreak/>
        <w:t xml:space="preserve">Scheme </w:t>
      </w:r>
      <w:r>
        <w:t>m</w:t>
      </w:r>
      <w:r w:rsidRPr="00857BB6">
        <w:t>embership</w:t>
      </w:r>
      <w:bookmarkEnd w:id="8"/>
    </w:p>
    <w:p w14:paraId="58EB8BA5" w14:textId="77777777" w:rsidR="007B055E" w:rsidRPr="007B055E" w:rsidRDefault="00943323" w:rsidP="00943323">
      <w:r>
        <w:t>Over the three years to 30 June 20</w:t>
      </w:r>
      <w:r w:rsidR="007E6898">
        <w:t>1</w:t>
      </w:r>
      <w:r w:rsidR="002E06EC">
        <w:t>4</w:t>
      </w:r>
      <w:r>
        <w:t xml:space="preserve">, total contributory membership </w:t>
      </w:r>
      <w:r w:rsidR="000B3A11">
        <w:t>decreased slightly</w:t>
      </w:r>
      <w:r w:rsidR="007E6898">
        <w:t xml:space="preserve">, </w:t>
      </w:r>
      <w:r w:rsidR="00DA6425">
        <w:t>to around 57,7</w:t>
      </w:r>
      <w:r w:rsidR="000B3A11">
        <w:t>00</w:t>
      </w:r>
      <w:r w:rsidR="00283B06">
        <w:t xml:space="preserve"> members</w:t>
      </w:r>
      <w:r w:rsidR="007E6898" w:rsidRPr="00FB1911">
        <w:t>,</w:t>
      </w:r>
      <w:r w:rsidRPr="00FB1911">
        <w:t xml:space="preserve"> a</w:t>
      </w:r>
      <w:r w:rsidR="000B3A11">
        <w:t>pproximately</w:t>
      </w:r>
      <w:r w:rsidRPr="00FB1911">
        <w:t xml:space="preserve"> </w:t>
      </w:r>
      <w:r w:rsidR="00DA6425">
        <w:t>1,8</w:t>
      </w:r>
      <w:r w:rsidR="004A43F1" w:rsidRPr="00FB1911">
        <w:t>0</w:t>
      </w:r>
      <w:r w:rsidR="000B3A11">
        <w:t>0 less</w:t>
      </w:r>
      <w:r w:rsidR="007E6898">
        <w:t xml:space="preserve"> than the </w:t>
      </w:r>
      <w:r w:rsidR="00DA6425">
        <w:t xml:space="preserve">contributory </w:t>
      </w:r>
      <w:r w:rsidR="007E6898">
        <w:t>membership in 20</w:t>
      </w:r>
      <w:r w:rsidR="000B3A11">
        <w:t>11</w:t>
      </w:r>
      <w:r>
        <w:t xml:space="preserve">. The </w:t>
      </w:r>
      <w:r w:rsidR="00736B6A">
        <w:t xml:space="preserve">total </w:t>
      </w:r>
      <w:r>
        <w:t>num</w:t>
      </w:r>
      <w:r w:rsidR="00283B06">
        <w:t xml:space="preserve">ber of pensioner members </w:t>
      </w:r>
      <w:r w:rsidR="00736B6A">
        <w:t>across</w:t>
      </w:r>
      <w:r w:rsidR="00283B06">
        <w:t xml:space="preserve"> all</w:t>
      </w:r>
      <w:r>
        <w:t xml:space="preserve"> schemes has </w:t>
      </w:r>
      <w:r w:rsidR="0081174C">
        <w:t>increased</w:t>
      </w:r>
      <w:r w:rsidR="00DA6425">
        <w:t xml:space="preserve"> by around 2,000</w:t>
      </w:r>
      <w:r w:rsidR="0081174C">
        <w:t>, with</w:t>
      </w:r>
      <w:r w:rsidRPr="00283B06">
        <w:t xml:space="preserve"> </w:t>
      </w:r>
      <w:r w:rsidR="004A43F1" w:rsidRPr="00283B06">
        <w:t>almost 6</w:t>
      </w:r>
      <w:r w:rsidR="00261024">
        <w:t>7</w:t>
      </w:r>
      <w:r w:rsidRPr="00283B06">
        <w:t>,000</w:t>
      </w:r>
      <w:r>
        <w:t xml:space="preserve"> pensioners being valued for the current review. The </w:t>
      </w:r>
      <w:r w:rsidRPr="00283B06">
        <w:t>number of MSBS members with a preserved benefit increased by approximately 13,000 over the three years from 20</w:t>
      </w:r>
      <w:r w:rsidR="00261024">
        <w:t>11</w:t>
      </w:r>
      <w:r w:rsidRPr="00283B06">
        <w:t xml:space="preserve"> to 20</w:t>
      </w:r>
      <w:r w:rsidR="007E6898" w:rsidRPr="00283B06">
        <w:t>1</w:t>
      </w:r>
      <w:r w:rsidR="00261024">
        <w:t>4</w:t>
      </w:r>
      <w:r w:rsidRPr="00283B06">
        <w:t xml:space="preserve">, </w:t>
      </w:r>
      <w:r w:rsidR="00283B06" w:rsidRPr="00283B06">
        <w:t xml:space="preserve">to over </w:t>
      </w:r>
      <w:r w:rsidR="00261024">
        <w:t>97</w:t>
      </w:r>
      <w:r w:rsidRPr="00283B06">
        <w:t>,000.</w:t>
      </w:r>
      <w:r w:rsidR="00736B6A">
        <w:t xml:space="preserve"> More details on the scheme membership are provided in </w:t>
      </w:r>
      <w:r w:rsidR="007B055E">
        <w:t>Chapter 3.</w:t>
      </w:r>
    </w:p>
    <w:p w14:paraId="5F590E6F" w14:textId="77777777" w:rsidR="00943323" w:rsidRPr="00857BB6" w:rsidRDefault="00943323" w:rsidP="00943323">
      <w:pPr>
        <w:pStyle w:val="Heading2nonumbering"/>
      </w:pPr>
      <w:bookmarkStart w:id="9" w:name="_Toc425770473"/>
      <w:r w:rsidRPr="00857BB6">
        <w:t xml:space="preserve">Changes in </w:t>
      </w:r>
      <w:r>
        <w:t>a</w:t>
      </w:r>
      <w:r w:rsidRPr="00857BB6">
        <w:t xml:space="preserve">ssumptions since the </w:t>
      </w:r>
      <w:r>
        <w:t>p</w:t>
      </w:r>
      <w:r w:rsidRPr="00857BB6">
        <w:t xml:space="preserve">revious </w:t>
      </w:r>
      <w:r>
        <w:t>r</w:t>
      </w:r>
      <w:r w:rsidRPr="00857BB6">
        <w:t>eport</w:t>
      </w:r>
      <w:bookmarkEnd w:id="9"/>
    </w:p>
    <w:p w14:paraId="768B9BD3" w14:textId="77777777" w:rsidR="00512614" w:rsidRDefault="00943323" w:rsidP="001C502B">
      <w:pPr>
        <w:spacing w:after="0"/>
        <w:rPr>
          <w:rFonts w:cs="Arial"/>
        </w:rPr>
      </w:pPr>
      <w:r w:rsidRPr="00283B06">
        <w:rPr>
          <w:rFonts w:cs="Arial"/>
        </w:rPr>
        <w:t xml:space="preserve">The assumptions adopted and changes since the previous report are discussed in Chapter 4. </w:t>
      </w:r>
      <w:r w:rsidR="00283B06" w:rsidRPr="00283B06">
        <w:rPr>
          <w:rFonts w:cs="Arial"/>
        </w:rPr>
        <w:t>The most significant change from a</w:t>
      </w:r>
      <w:r w:rsidR="0081174C">
        <w:rPr>
          <w:rFonts w:cs="Arial"/>
        </w:rPr>
        <w:t xml:space="preserve"> cost perspective was to assume</w:t>
      </w:r>
      <w:r w:rsidR="00283B06" w:rsidRPr="00283B06">
        <w:rPr>
          <w:rFonts w:cs="Arial"/>
        </w:rPr>
        <w:t xml:space="preserve"> increased </w:t>
      </w:r>
      <w:r w:rsidR="009D3021">
        <w:rPr>
          <w:rFonts w:cs="Arial"/>
        </w:rPr>
        <w:t xml:space="preserve">invalidity </w:t>
      </w:r>
      <w:r w:rsidR="00DA6425">
        <w:rPr>
          <w:rFonts w:cs="Arial"/>
        </w:rPr>
        <w:t xml:space="preserve">exit </w:t>
      </w:r>
      <w:r w:rsidR="009D3021">
        <w:rPr>
          <w:rFonts w:cs="Arial"/>
        </w:rPr>
        <w:t>rates for MSBS contributors</w:t>
      </w:r>
      <w:r w:rsidR="00283B06" w:rsidRPr="00283B06">
        <w:rPr>
          <w:rFonts w:cs="Arial"/>
        </w:rPr>
        <w:t xml:space="preserve">. </w:t>
      </w:r>
      <w:r w:rsidRPr="00283B06">
        <w:rPr>
          <w:rFonts w:cs="Arial"/>
        </w:rPr>
        <w:t xml:space="preserve">There have been a number of other </w:t>
      </w:r>
      <w:r w:rsidR="00283B06" w:rsidRPr="00283B06">
        <w:rPr>
          <w:rFonts w:cs="Arial"/>
        </w:rPr>
        <w:t xml:space="preserve">minor </w:t>
      </w:r>
      <w:r w:rsidRPr="00283B06">
        <w:rPr>
          <w:rFonts w:cs="Arial"/>
        </w:rPr>
        <w:t xml:space="preserve">changes to assumptions which have had a much smaller impact on </w:t>
      </w:r>
      <w:r w:rsidR="0081174C">
        <w:rPr>
          <w:rFonts w:cs="Arial"/>
        </w:rPr>
        <w:t xml:space="preserve">reported </w:t>
      </w:r>
      <w:r w:rsidRPr="00283B06">
        <w:rPr>
          <w:rFonts w:cs="Arial"/>
        </w:rPr>
        <w:t>scheme costs.</w:t>
      </w:r>
    </w:p>
    <w:p w14:paraId="64E5F63F" w14:textId="77777777" w:rsidR="001C502B" w:rsidRDefault="001C502B" w:rsidP="001C502B">
      <w:pPr>
        <w:spacing w:after="0"/>
        <w:rPr>
          <w:rFonts w:cs="Arial"/>
        </w:rPr>
      </w:pPr>
    </w:p>
    <w:p w14:paraId="6524ADD2" w14:textId="77777777" w:rsidR="00617E85" w:rsidRDefault="00617E85" w:rsidP="001F546B">
      <w:pPr>
        <w:pStyle w:val="Heading1"/>
        <w:sectPr w:rsidR="00617E85" w:rsidSect="006217C8">
          <w:headerReference w:type="even" r:id="rId34"/>
          <w:headerReference w:type="default" r:id="rId35"/>
          <w:footerReference w:type="default" r:id="rId36"/>
          <w:footerReference w:type="first" r:id="rId37"/>
          <w:type w:val="oddPage"/>
          <w:pgSz w:w="11906" w:h="16838" w:code="9"/>
          <w:pgMar w:top="2466" w:right="2098" w:bottom="2466" w:left="2098" w:header="1899" w:footer="1899" w:gutter="0"/>
          <w:pgNumType w:start="1"/>
          <w:cols w:space="708"/>
          <w:titlePg/>
          <w:docGrid w:linePitch="360"/>
        </w:sectPr>
      </w:pPr>
      <w:bookmarkStart w:id="10" w:name="_Toc135119205"/>
      <w:bookmarkStart w:id="11" w:name="_Toc136856493"/>
      <w:bookmarkStart w:id="12" w:name="_Toc233610046"/>
      <w:bookmarkStart w:id="13" w:name="_Ref308442768"/>
      <w:bookmarkStart w:id="14" w:name="_Ref308442783"/>
      <w:bookmarkStart w:id="15" w:name="_Ref308527750"/>
      <w:bookmarkStart w:id="16" w:name="_Ref308527758"/>
      <w:bookmarkStart w:id="17" w:name="_Ref308527804"/>
      <w:bookmarkStart w:id="18" w:name="_Ref308527817"/>
      <w:bookmarkStart w:id="19" w:name="_Ref324519352"/>
    </w:p>
    <w:p w14:paraId="4B2D3073" w14:textId="77777777" w:rsidR="00943323" w:rsidRPr="001F546B" w:rsidRDefault="00A335D6" w:rsidP="001F546B">
      <w:pPr>
        <w:pStyle w:val="Heading1"/>
        <w:numPr>
          <w:ilvl w:val="0"/>
          <w:numId w:val="39"/>
        </w:numPr>
      </w:pPr>
      <w:bookmarkStart w:id="20" w:name="_Ref421614430"/>
      <w:bookmarkStart w:id="21" w:name="_Ref421614436"/>
      <w:bookmarkStart w:id="22" w:name="_Toc425770474"/>
      <w:r w:rsidRPr="001F546B">
        <w:lastRenderedPageBreak/>
        <w:t>In</w:t>
      </w:r>
      <w:r w:rsidR="00943323" w:rsidRPr="001F546B">
        <w:t>troduction</w:t>
      </w:r>
      <w:bookmarkEnd w:id="10"/>
      <w:bookmarkEnd w:id="11"/>
      <w:bookmarkEnd w:id="12"/>
      <w:bookmarkEnd w:id="13"/>
      <w:bookmarkEnd w:id="14"/>
      <w:bookmarkEnd w:id="15"/>
      <w:bookmarkEnd w:id="16"/>
      <w:bookmarkEnd w:id="17"/>
      <w:bookmarkEnd w:id="18"/>
      <w:bookmarkEnd w:id="19"/>
      <w:bookmarkEnd w:id="20"/>
      <w:bookmarkEnd w:id="21"/>
      <w:bookmarkEnd w:id="22"/>
    </w:p>
    <w:p w14:paraId="1FA8797B" w14:textId="580CE78D" w:rsidR="00943323" w:rsidRDefault="00943323" w:rsidP="00943323">
      <w:pPr>
        <w:pStyle w:val="BodyText"/>
      </w:pPr>
      <w:r w:rsidRPr="00857BB6">
        <w:t xml:space="preserve">This report has been prepared </w:t>
      </w:r>
      <w:r>
        <w:t>by</w:t>
      </w:r>
      <w:r w:rsidRPr="00857BB6">
        <w:t xml:space="preserve"> the Australian Government Actuary</w:t>
      </w:r>
      <w:proofErr w:type="gramStart"/>
      <w:r>
        <w:t>,</w:t>
      </w:r>
      <w:proofErr w:type="gramEnd"/>
      <w:r w:rsidR="00A7117E">
        <w:br/>
      </w:r>
      <w:r>
        <w:t>Mr</w:t>
      </w:r>
      <w:r w:rsidR="00B82349">
        <w:t> </w:t>
      </w:r>
      <w:r>
        <w:t xml:space="preserve">Peter Martin, FIAA, and members of his office at the request of </w:t>
      </w:r>
      <w:r w:rsidRPr="00857BB6">
        <w:t>the Department of Defence</w:t>
      </w:r>
      <w:r>
        <w:t xml:space="preserve">. </w:t>
      </w:r>
      <w:r w:rsidRPr="00857BB6">
        <w:t>It</w:t>
      </w:r>
      <w:r w:rsidR="00C661D4">
        <w:t xml:space="preserve"> sets out estimates of the long-</w:t>
      </w:r>
      <w:r w:rsidRPr="00857BB6">
        <w:t xml:space="preserve">term </w:t>
      </w:r>
      <w:r>
        <w:t xml:space="preserve">superannuation </w:t>
      </w:r>
      <w:r w:rsidRPr="00857BB6">
        <w:t>cost</w:t>
      </w:r>
      <w:r>
        <w:t>s</w:t>
      </w:r>
      <w:r w:rsidRPr="00857BB6">
        <w:t xml:space="preserve"> of the Military Superannuation and Benefits Scheme (MSBS)</w:t>
      </w:r>
      <w:r w:rsidR="009C69FD">
        <w:t>,</w:t>
      </w:r>
      <w:r w:rsidRPr="00857BB6">
        <w:t xml:space="preserve"> the Defence Force Retirement and Death Benefits Scheme (DFRDB) </w:t>
      </w:r>
      <w:r w:rsidR="00A335D6" w:rsidRPr="00857BB6">
        <w:t xml:space="preserve">and </w:t>
      </w:r>
      <w:r w:rsidR="00A335D6">
        <w:t>the Defence Forces Retirement Benefits Scheme (DFRB) that will b</w:t>
      </w:r>
      <w:r w:rsidRPr="00857BB6">
        <w:t>e charged to the Consolidated Revenue Fund (CRF)</w:t>
      </w:r>
      <w:r>
        <w:t xml:space="preserve">. </w:t>
      </w:r>
      <w:r w:rsidRPr="00857BB6">
        <w:t xml:space="preserve">The estimates are based on scheme data supplied by </w:t>
      </w:r>
      <w:proofErr w:type="spellStart"/>
      <w:r w:rsidRPr="00857BB6">
        <w:t>ComSuper</w:t>
      </w:r>
      <w:proofErr w:type="spellEnd"/>
      <w:r w:rsidRPr="00857BB6">
        <w:t xml:space="preserve"> </w:t>
      </w:r>
      <w:r>
        <w:t>(the schemes’ administrator) as at</w:t>
      </w:r>
      <w:r w:rsidRPr="00857BB6">
        <w:t xml:space="preserve"> 30 June 20</w:t>
      </w:r>
      <w:r w:rsidR="00A335D6">
        <w:t>1</w:t>
      </w:r>
      <w:r w:rsidR="00DC4264">
        <w:t>4</w:t>
      </w:r>
      <w:r>
        <w:t>.</w:t>
      </w:r>
    </w:p>
    <w:p w14:paraId="1D492506" w14:textId="77777777" w:rsidR="00943323" w:rsidRDefault="00C661D4" w:rsidP="00943323">
      <w:pPr>
        <w:pStyle w:val="BodyText"/>
      </w:pPr>
      <w:r>
        <w:t>Estimates of the long-</w:t>
      </w:r>
      <w:r w:rsidR="00943323" w:rsidRPr="00857BB6">
        <w:t xml:space="preserve">term costs of </w:t>
      </w:r>
      <w:r w:rsidR="00943323">
        <w:t>military</w:t>
      </w:r>
      <w:r w:rsidR="00943323" w:rsidRPr="00857BB6">
        <w:t xml:space="preserve"> superannuation have been provided by </w:t>
      </w:r>
      <w:r w:rsidR="00943323">
        <w:t xml:space="preserve">the </w:t>
      </w:r>
      <w:r w:rsidR="00943323" w:rsidRPr="00857BB6">
        <w:t>Australian Government Actuar</w:t>
      </w:r>
      <w:r w:rsidR="00943323">
        <w:t>y</w:t>
      </w:r>
      <w:r w:rsidR="00943323" w:rsidRPr="00857BB6">
        <w:t xml:space="preserve"> in a series of reports since the commencement of the DFRDB on 1 October 1972</w:t>
      </w:r>
      <w:r w:rsidR="00943323">
        <w:t xml:space="preserve">. </w:t>
      </w:r>
      <w:r w:rsidR="00943323" w:rsidRPr="00857BB6">
        <w:t>The m</w:t>
      </w:r>
      <w:r>
        <w:t>ost recent estimate of the long-</w:t>
      </w:r>
      <w:r w:rsidR="00943323" w:rsidRPr="00857BB6">
        <w:t>term cost</w:t>
      </w:r>
      <w:r w:rsidR="00943323">
        <w:t>s</w:t>
      </w:r>
      <w:r w:rsidR="00943323" w:rsidRPr="00857BB6">
        <w:t xml:space="preserve"> of the DFRDB and MSBS was carried out using data as at 30 June 20</w:t>
      </w:r>
      <w:r w:rsidR="009D3021">
        <w:t>11</w:t>
      </w:r>
      <w:r w:rsidR="00943323" w:rsidRPr="00857BB6">
        <w:t xml:space="preserve"> and was presented in </w:t>
      </w:r>
      <w:r w:rsidR="00943323">
        <w:t>my</w:t>
      </w:r>
      <w:r w:rsidR="00943323" w:rsidRPr="00857BB6">
        <w:t xml:space="preserve"> report dated June 20</w:t>
      </w:r>
      <w:r w:rsidR="009D3021">
        <w:t>12</w:t>
      </w:r>
      <w:r w:rsidR="00943323">
        <w:t xml:space="preserve">. </w:t>
      </w:r>
    </w:p>
    <w:p w14:paraId="1A1E19A5" w14:textId="77777777" w:rsidR="00943323" w:rsidRPr="00857BB6" w:rsidRDefault="00943323" w:rsidP="00A335D6">
      <w:pPr>
        <w:pStyle w:val="BodyText"/>
      </w:pPr>
      <w:r w:rsidRPr="00857BB6">
        <w:t xml:space="preserve">This report has been completed in accordance with the principles recommended in the separate actuarial paper </w:t>
      </w:r>
      <w:r>
        <w:t>‘</w:t>
      </w:r>
      <w:r w:rsidRPr="00857BB6">
        <w:t>The Financing and Costing of Government Superannuation Schemes</w:t>
      </w:r>
      <w:r>
        <w:t xml:space="preserve">’. </w:t>
      </w:r>
      <w:r w:rsidRPr="00857BB6">
        <w:t>That paper provides a full explanation of the methods used and the reasons for their adoption.</w:t>
      </w:r>
    </w:p>
    <w:p w14:paraId="0FCA86D7" w14:textId="77777777" w:rsidR="00943323" w:rsidRPr="00857BB6" w:rsidRDefault="00943323" w:rsidP="00943323">
      <w:pPr>
        <w:pStyle w:val="BodyText"/>
      </w:pPr>
      <w:r w:rsidRPr="00857BB6">
        <w:t xml:space="preserve">Three </w:t>
      </w:r>
      <w:r>
        <w:t>measures</w:t>
      </w:r>
      <w:r w:rsidRPr="00857BB6">
        <w:t xml:space="preserve"> of long</w:t>
      </w:r>
      <w:r w:rsidR="00C661D4">
        <w:t>-</w:t>
      </w:r>
      <w:r w:rsidRPr="00857BB6">
        <w:t>term costs are provided:</w:t>
      </w:r>
    </w:p>
    <w:p w14:paraId="67A3ACE9" w14:textId="77777777" w:rsidR="00943323" w:rsidRPr="00293C7E" w:rsidRDefault="00943323" w:rsidP="00943323">
      <w:pPr>
        <w:pStyle w:val="Bulletindent"/>
      </w:pPr>
      <w:r>
        <w:t>N</w:t>
      </w:r>
      <w:r w:rsidRPr="00857BB6">
        <w:t>otional employer contribution rate</w:t>
      </w:r>
    </w:p>
    <w:p w14:paraId="0D2D5970" w14:textId="77777777" w:rsidR="00943323" w:rsidRPr="00A7117E" w:rsidRDefault="00943323" w:rsidP="00A7117E">
      <w:pPr>
        <w:pStyle w:val="NormalIndent2"/>
      </w:pPr>
      <w:r w:rsidRPr="00A7117E">
        <w:t xml:space="preserve">This is the employer contribution rate that would be required to fund the defined benefits accruing over the next three years, on the basis that superannuation benefits are accrued uniformly over the period until a member exits from the scheme or reaches his or her maximum benefit limit, whichever occurs first. It represents the </w:t>
      </w:r>
      <w:r w:rsidR="007E2E9B" w:rsidRPr="00A7117E">
        <w:t xml:space="preserve">estimated </w:t>
      </w:r>
      <w:r w:rsidRPr="00A7117E">
        <w:t>employment cost</w:t>
      </w:r>
      <w:r w:rsidR="00B711E8" w:rsidRPr="00A7117E">
        <w:t>,</w:t>
      </w:r>
      <w:r w:rsidRPr="00A7117E">
        <w:t xml:space="preserve"> </w:t>
      </w:r>
      <w:r w:rsidR="007E2E9B" w:rsidRPr="00A7117E">
        <w:t>based on the assumptions made</w:t>
      </w:r>
      <w:r w:rsidR="00B711E8" w:rsidRPr="00A7117E">
        <w:t>,</w:t>
      </w:r>
      <w:r w:rsidR="007E2E9B" w:rsidRPr="00A7117E">
        <w:t xml:space="preserve"> </w:t>
      </w:r>
      <w:r w:rsidRPr="00A7117E">
        <w:t>that arises from the superannuation schemes, and has been expressed as a percentage of the defined benefit superannuation salaries.</w:t>
      </w:r>
    </w:p>
    <w:p w14:paraId="50D20037" w14:textId="77777777" w:rsidR="00642B91" w:rsidRDefault="00642B91">
      <w:pPr>
        <w:spacing w:before="0" w:after="0" w:line="240" w:lineRule="auto"/>
        <w:jc w:val="left"/>
        <w:rPr>
          <w:color w:val="000000"/>
          <w:lang w:eastAsia="en-AU"/>
        </w:rPr>
      </w:pPr>
      <w:r>
        <w:br w:type="page"/>
      </w:r>
    </w:p>
    <w:p w14:paraId="1FCCDBA8" w14:textId="2C659A02" w:rsidR="00943323" w:rsidRPr="00293C7E" w:rsidRDefault="00943323" w:rsidP="00943323">
      <w:pPr>
        <w:pStyle w:val="Bulletindent"/>
      </w:pPr>
      <w:r>
        <w:lastRenderedPageBreak/>
        <w:t>P</w:t>
      </w:r>
      <w:r w:rsidRPr="0091444E">
        <w:t xml:space="preserve">rojection of actual employer </w:t>
      </w:r>
      <w:r w:rsidR="00D35F37">
        <w:t xml:space="preserve">cash </w:t>
      </w:r>
      <w:r w:rsidRPr="0091444E">
        <w:t>costs</w:t>
      </w:r>
    </w:p>
    <w:p w14:paraId="111377D4" w14:textId="633CBE83" w:rsidR="003F7F02" w:rsidRDefault="00943323" w:rsidP="003F7F02">
      <w:pPr>
        <w:pStyle w:val="NormalIndent2"/>
      </w:pPr>
      <w:r w:rsidRPr="00293C7E">
        <w:t xml:space="preserve">This is a projection of the actual </w:t>
      </w:r>
      <w:r>
        <w:t>cash outlays</w:t>
      </w:r>
      <w:r w:rsidRPr="00293C7E">
        <w:t xml:space="preserve"> payable annually by the Commonwealth in respect of superannuation benefits for </w:t>
      </w:r>
      <w:r w:rsidR="00642B91">
        <w:t>Australian Defence Force (</w:t>
      </w:r>
      <w:r>
        <w:t>ADF</w:t>
      </w:r>
      <w:r w:rsidR="00642B91">
        <w:t>)</w:t>
      </w:r>
      <w:r w:rsidRPr="00293C7E">
        <w:t xml:space="preserve"> personnel</w:t>
      </w:r>
      <w:r>
        <w:t xml:space="preserve">. </w:t>
      </w:r>
      <w:r w:rsidR="005C1A45">
        <w:t xml:space="preserve">The items included are set out in </w:t>
      </w:r>
      <w:r w:rsidR="005C1A45" w:rsidRPr="00293C7E">
        <w:t>paragraph</w:t>
      </w:r>
      <w:r w:rsidR="00642B91">
        <w:t> </w:t>
      </w:r>
      <w:r w:rsidR="00B46CB9">
        <w:fldChar w:fldCharType="begin"/>
      </w:r>
      <w:r w:rsidR="00B46CB9">
        <w:instrText xml:space="preserve"> REF _Ref231634025 \r \h </w:instrText>
      </w:r>
      <w:r w:rsidR="00B46CB9">
        <w:fldChar w:fldCharType="separate"/>
      </w:r>
      <w:r w:rsidR="00B82BC4">
        <w:t>2.25</w:t>
      </w:r>
      <w:r w:rsidR="00B46CB9">
        <w:fldChar w:fldCharType="end"/>
      </w:r>
      <w:r w:rsidR="005C1A45">
        <w:t xml:space="preserve">. </w:t>
      </w:r>
      <w:r w:rsidRPr="00293C7E">
        <w:t>The cost</w:t>
      </w:r>
      <w:r w:rsidR="005C1A45">
        <w:t xml:space="preserve"> </w:t>
      </w:r>
      <w:r w:rsidRPr="00293C7E">
        <w:t>has been projected over the next 4</w:t>
      </w:r>
      <w:r w:rsidR="00B711E8">
        <w:t>1</w:t>
      </w:r>
      <w:r w:rsidRPr="00293C7E">
        <w:t xml:space="preserve"> years </w:t>
      </w:r>
      <w:r w:rsidR="00B711E8">
        <w:t xml:space="preserve">in nominal dollars </w:t>
      </w:r>
      <w:r w:rsidRPr="00293C7E">
        <w:t xml:space="preserve">and expressed as a percentage of </w:t>
      </w:r>
      <w:r>
        <w:t>g</w:t>
      </w:r>
      <w:r w:rsidRPr="00293C7E">
        <w:t xml:space="preserve">ross </w:t>
      </w:r>
      <w:r>
        <w:t>d</w:t>
      </w:r>
      <w:r w:rsidRPr="00293C7E">
        <w:t xml:space="preserve">omestic </w:t>
      </w:r>
      <w:r w:rsidR="00642B91">
        <w:t>product</w:t>
      </w:r>
      <w:r w:rsidR="007E2E9B">
        <w:t xml:space="preserve"> (GDP)</w:t>
      </w:r>
      <w:r w:rsidRPr="00293C7E">
        <w:t>.</w:t>
      </w:r>
    </w:p>
    <w:p w14:paraId="32E8B18B" w14:textId="77777777" w:rsidR="00943323" w:rsidRPr="00293C7E" w:rsidRDefault="00943323" w:rsidP="007E2E9B">
      <w:pPr>
        <w:pStyle w:val="Bulletindent"/>
        <w:keepNext/>
      </w:pPr>
      <w:r>
        <w:t>N</w:t>
      </w:r>
      <w:r w:rsidRPr="0091444E">
        <w:t>et present value of unfunded liabilities</w:t>
      </w:r>
    </w:p>
    <w:p w14:paraId="23EFFDCF" w14:textId="77777777" w:rsidR="00943323" w:rsidRPr="00293C7E" w:rsidRDefault="00943323" w:rsidP="00943323">
      <w:pPr>
        <w:pStyle w:val="NormalIndent2"/>
      </w:pPr>
      <w:r w:rsidRPr="00293C7E">
        <w:t xml:space="preserve">This </w:t>
      </w:r>
      <w:r w:rsidR="005C1A45">
        <w:t>is</w:t>
      </w:r>
      <w:r w:rsidRPr="00293C7E">
        <w:t xml:space="preserve"> the </w:t>
      </w:r>
      <w:r w:rsidR="005C1A45">
        <w:t>excess</w:t>
      </w:r>
      <w:r w:rsidRPr="00293C7E">
        <w:t xml:space="preserve"> of the accrued Commonwealth liability for superannuation benefits in respect </w:t>
      </w:r>
      <w:r w:rsidR="00036101">
        <w:t>of service up to 30 June 20</w:t>
      </w:r>
      <w:r w:rsidR="003F7F02">
        <w:t>1</w:t>
      </w:r>
      <w:r w:rsidR="002B0133">
        <w:t>4</w:t>
      </w:r>
      <w:r w:rsidR="003F7F02">
        <w:t xml:space="preserve"> </w:t>
      </w:r>
      <w:r w:rsidR="005C1A45">
        <w:t>over</w:t>
      </w:r>
      <w:r>
        <w:t xml:space="preserve"> the value of</w:t>
      </w:r>
      <w:r w:rsidRPr="00293C7E">
        <w:t xml:space="preserve"> assets held</w:t>
      </w:r>
      <w:r>
        <w:t xml:space="preserve"> by the schemes</w:t>
      </w:r>
      <w:r w:rsidRPr="00293C7E">
        <w:t>.</w:t>
      </w:r>
    </w:p>
    <w:p w14:paraId="48E8BFA5" w14:textId="77777777" w:rsidR="00606E56" w:rsidRDefault="00606E56" w:rsidP="00606E56">
      <w:pPr>
        <w:pStyle w:val="BodyText"/>
      </w:pPr>
      <w:r w:rsidRPr="00606E56">
        <w:t xml:space="preserve">The </w:t>
      </w:r>
      <w:r>
        <w:t xml:space="preserve">measures </w:t>
      </w:r>
      <w:r w:rsidR="00B15A8E">
        <w:t xml:space="preserve">of </w:t>
      </w:r>
      <w:r w:rsidRPr="00606E56">
        <w:t>costs above represen</w:t>
      </w:r>
      <w:r>
        <w:t xml:space="preserve">t the Commonwealth’s </w:t>
      </w:r>
      <w:r w:rsidR="005C1A45">
        <w:t xml:space="preserve">direct </w:t>
      </w:r>
      <w:r>
        <w:t>costs</w:t>
      </w:r>
      <w:r w:rsidR="005C1A45">
        <w:t xml:space="preserve"> for superannuation</w:t>
      </w:r>
      <w:r>
        <w:t>.</w:t>
      </w:r>
      <w:r w:rsidRPr="00606E56">
        <w:t xml:space="preserve"> If these costs are incurred b</w:t>
      </w:r>
      <w:r>
        <w:t>y the Commonwealth</w:t>
      </w:r>
      <w:r w:rsidRPr="00606E56">
        <w:t xml:space="preserve">, there should be some consequential reduction in the Commonwealth’s Age </w:t>
      </w:r>
      <w:r w:rsidR="002615B9">
        <w:t xml:space="preserve">and Service </w:t>
      </w:r>
      <w:r w:rsidRPr="00606E56">
        <w:t>Pension outlays and incre</w:t>
      </w:r>
      <w:r w:rsidR="00B15A8E">
        <w:t xml:space="preserve">ase in taxation receipts. </w:t>
      </w:r>
      <w:r w:rsidR="00757432">
        <w:t xml:space="preserve">I </w:t>
      </w:r>
      <w:r w:rsidR="005C1A45">
        <w:t xml:space="preserve">have not provided </w:t>
      </w:r>
      <w:r w:rsidR="00FB1825">
        <w:t xml:space="preserve">estimates of these items </w:t>
      </w:r>
      <w:r w:rsidR="00DA35E1">
        <w:t>in this r</w:t>
      </w:r>
      <w:r w:rsidR="005C1A45">
        <w:t>eport</w:t>
      </w:r>
      <w:r w:rsidR="00D71A30">
        <w:t>. Such estimates would be</w:t>
      </w:r>
      <w:r w:rsidR="005C1A45">
        <w:t xml:space="preserve"> highly uncertain, involving </w:t>
      </w:r>
      <w:r w:rsidRPr="00606E56">
        <w:t xml:space="preserve">assumptions about future Age Pension </w:t>
      </w:r>
      <w:r w:rsidR="005C1A45">
        <w:t xml:space="preserve">and taxation parameters as well as the </w:t>
      </w:r>
      <w:r w:rsidRPr="00606E56">
        <w:t>private savings and spending</w:t>
      </w:r>
      <w:r w:rsidR="00B15A8E">
        <w:t xml:space="preserve"> behaviour of scheme members.</w:t>
      </w:r>
      <w:r w:rsidRPr="00606E56">
        <w:t xml:space="preserve"> </w:t>
      </w:r>
    </w:p>
    <w:p w14:paraId="240D07CB" w14:textId="77777777" w:rsidR="009D5532" w:rsidRDefault="009D5532" w:rsidP="00606E56">
      <w:pPr>
        <w:pStyle w:val="BodyText"/>
      </w:pPr>
      <w:r>
        <w:t>The purpose of the triennial reviews is to assess the financial position of the schemes over the long term.</w:t>
      </w:r>
      <w:r w:rsidRPr="00857BB6">
        <w:t xml:space="preserve"> </w:t>
      </w:r>
      <w:r>
        <w:t>E</w:t>
      </w:r>
      <w:r w:rsidRPr="00857BB6">
        <w:t xml:space="preserve">stimates of the net present value of the unfunded liabilities have </w:t>
      </w:r>
      <w:r>
        <w:t xml:space="preserve">also </w:t>
      </w:r>
      <w:r w:rsidRPr="00857BB6">
        <w:t>been pro</w:t>
      </w:r>
      <w:r>
        <w:t>duced</w:t>
      </w:r>
      <w:r w:rsidRPr="00857BB6">
        <w:t xml:space="preserve"> on an annual basis</w:t>
      </w:r>
      <w:r>
        <w:t xml:space="preserve"> for inclusion</w:t>
      </w:r>
      <w:r w:rsidRPr="00857BB6">
        <w:t xml:space="preserve"> in the Department of Defence Financial Statements</w:t>
      </w:r>
      <w:r>
        <w:t xml:space="preserve">. </w:t>
      </w:r>
      <w:r w:rsidRPr="00857BB6">
        <w:t>The</w:t>
      </w:r>
      <w:r>
        <w:t>se</w:t>
      </w:r>
      <w:r w:rsidRPr="00857BB6">
        <w:t xml:space="preserve"> </w:t>
      </w:r>
      <w:r>
        <w:t xml:space="preserve">annual </w:t>
      </w:r>
      <w:r w:rsidRPr="00857BB6">
        <w:t xml:space="preserve">estimates </w:t>
      </w:r>
      <w:r>
        <w:t>are calculated in accordance with Australian Accounting Standard AASB 119 and are not directly comparable to the estimates provided here</w:t>
      </w:r>
      <w:r w:rsidR="00A55BAD">
        <w:t>.</w:t>
      </w:r>
    </w:p>
    <w:p w14:paraId="22F0AAF9" w14:textId="3148643E" w:rsidR="007E2E9B" w:rsidRDefault="007E2E9B" w:rsidP="00606E56">
      <w:pPr>
        <w:pStyle w:val="BodyText"/>
      </w:pPr>
      <w:r>
        <w:t xml:space="preserve">In the May 2014 Budget, the Government announced its intention to close </w:t>
      </w:r>
      <w:r w:rsidRPr="00C829B7">
        <w:t xml:space="preserve">the MSBS </w:t>
      </w:r>
      <w:r>
        <w:t xml:space="preserve">to new ADF personnel from 1 July 2016. For new ADF personnel, MSBS would be </w:t>
      </w:r>
      <w:r w:rsidRPr="00C829B7">
        <w:t>replaced by a new accumulation scheme to be known as ADF Super</w:t>
      </w:r>
      <w:r>
        <w:t>. Legislation giving effect to these changes is yet to be introduced to Parliament.</w:t>
      </w:r>
      <w:r w:rsidRPr="007E2E9B">
        <w:t xml:space="preserve"> </w:t>
      </w:r>
      <w:r>
        <w:t xml:space="preserve">MSBS projections have been </w:t>
      </w:r>
      <w:r w:rsidR="009C69A4">
        <w:t>made</w:t>
      </w:r>
      <w:r>
        <w:t xml:space="preserve"> on two scenarios. T</w:t>
      </w:r>
      <w:r w:rsidRPr="00C829B7">
        <w:t>he first scenario assumes t</w:t>
      </w:r>
      <w:r>
        <w:t>he MSBS remains open to new ADF personnel</w:t>
      </w:r>
      <w:r w:rsidRPr="00C829B7">
        <w:t xml:space="preserve"> and </w:t>
      </w:r>
      <w:r w:rsidR="00D71A30">
        <w:t>allows comparison with the projections in the 2011 report. T</w:t>
      </w:r>
      <w:r w:rsidRPr="00C829B7">
        <w:t xml:space="preserve">he second </w:t>
      </w:r>
      <w:r w:rsidR="00D71A30">
        <w:t xml:space="preserve">scenario </w:t>
      </w:r>
      <w:r w:rsidRPr="00C829B7">
        <w:t>assumes cl</w:t>
      </w:r>
      <w:r>
        <w:t>osure of the MSBS to new ADF personnel</w:t>
      </w:r>
      <w:r w:rsidRPr="00C829B7">
        <w:t xml:space="preserve"> from</w:t>
      </w:r>
      <w:r w:rsidR="005C615C">
        <w:br/>
      </w:r>
      <w:r w:rsidRPr="00C829B7">
        <w:t>1 July 2016</w:t>
      </w:r>
      <w:r w:rsidR="00D71A30">
        <w:t xml:space="preserve"> in line with the Government’s announcement</w:t>
      </w:r>
      <w:r w:rsidRPr="00C829B7">
        <w:t>.</w:t>
      </w:r>
      <w:r>
        <w:t xml:space="preserve"> </w:t>
      </w:r>
    </w:p>
    <w:p w14:paraId="1F2D4857" w14:textId="77777777" w:rsidR="008D506E" w:rsidRDefault="008D506E">
      <w:pPr>
        <w:spacing w:before="0" w:after="0" w:line="240" w:lineRule="auto"/>
        <w:jc w:val="left"/>
        <w:rPr>
          <w:rFonts w:ascii="Arial Bold" w:hAnsi="Arial Bold" w:cs="Arial"/>
          <w:b/>
          <w:bCs/>
          <w:iCs/>
          <w:color w:val="9B0014"/>
          <w:spacing w:val="-4"/>
          <w:sz w:val="27"/>
          <w:szCs w:val="22"/>
          <w:lang w:eastAsia="en-AU"/>
        </w:rPr>
      </w:pPr>
      <w:r>
        <w:br w:type="page"/>
      </w:r>
    </w:p>
    <w:p w14:paraId="05DBDD17" w14:textId="74E8B9D0" w:rsidR="000612D1" w:rsidRPr="007E6898" w:rsidRDefault="004C0DA4" w:rsidP="00DA2ED0">
      <w:pPr>
        <w:pStyle w:val="Heading2nonumbering"/>
      </w:pPr>
      <w:bookmarkStart w:id="23" w:name="_Toc425770475"/>
      <w:r>
        <w:lastRenderedPageBreak/>
        <w:t>Change</w:t>
      </w:r>
      <w:r w:rsidR="00646A9B">
        <w:t>s</w:t>
      </w:r>
      <w:r>
        <w:t xml:space="preserve"> </w:t>
      </w:r>
      <w:r w:rsidR="009C00F3">
        <w:t>to</w:t>
      </w:r>
      <w:r w:rsidR="00646A9B">
        <w:t xml:space="preserve"> future</w:t>
      </w:r>
      <w:r>
        <w:t xml:space="preserve"> </w:t>
      </w:r>
      <w:r w:rsidR="000612D1" w:rsidRPr="007E6898">
        <w:t xml:space="preserve">Superannuation Guarantee </w:t>
      </w:r>
      <w:r w:rsidR="00557FDC">
        <w:t>c</w:t>
      </w:r>
      <w:r w:rsidR="000612D1" w:rsidRPr="007E6898">
        <w:t xml:space="preserve">ontribution </w:t>
      </w:r>
      <w:r w:rsidR="00557FDC">
        <w:t>r</w:t>
      </w:r>
      <w:r w:rsidR="000612D1" w:rsidRPr="007E6898">
        <w:t>ate</w:t>
      </w:r>
      <w:r w:rsidR="00646A9B">
        <w:t>s</w:t>
      </w:r>
      <w:bookmarkEnd w:id="23"/>
    </w:p>
    <w:p w14:paraId="5EBD6B88" w14:textId="483DB313" w:rsidR="000612D1" w:rsidRDefault="0071376B" w:rsidP="000612D1">
      <w:pPr>
        <w:pStyle w:val="BodyText"/>
      </w:pPr>
      <w:r>
        <w:t>T</w:t>
      </w:r>
      <w:r w:rsidR="004C0DA4">
        <w:t>he Government</w:t>
      </w:r>
      <w:r w:rsidR="000612D1">
        <w:t xml:space="preserve"> </w:t>
      </w:r>
      <w:r>
        <w:t xml:space="preserve">has made </w:t>
      </w:r>
      <w:r w:rsidR="009C00F3">
        <w:t>change</w:t>
      </w:r>
      <w:r>
        <w:t>s</w:t>
      </w:r>
      <w:r w:rsidR="009C00F3">
        <w:t xml:space="preserve"> to </w:t>
      </w:r>
      <w:r w:rsidR="004C0DA4">
        <w:t xml:space="preserve">the timeframe for increasing the </w:t>
      </w:r>
      <w:r w:rsidR="000612D1">
        <w:t>mini</w:t>
      </w:r>
      <w:r w:rsidR="000612D1" w:rsidRPr="00437CFD">
        <w:t>mum level of employer support under the Superannuation Gua</w:t>
      </w:r>
      <w:r w:rsidR="002615B9" w:rsidRPr="00437CFD">
        <w:t>rantee (SG) arrangements from 9</w:t>
      </w:r>
      <w:r w:rsidR="005C615C">
        <w:t> </w:t>
      </w:r>
      <w:r w:rsidR="002615B9" w:rsidRPr="00437CFD">
        <w:t>per cent</w:t>
      </w:r>
      <w:r w:rsidR="000612D1" w:rsidRPr="00437CFD">
        <w:t xml:space="preserve"> </w:t>
      </w:r>
      <w:r w:rsidR="002615B9" w:rsidRPr="00437CFD">
        <w:t xml:space="preserve">of </w:t>
      </w:r>
      <w:r w:rsidR="00642B91">
        <w:t>o</w:t>
      </w:r>
      <w:r w:rsidR="002615B9" w:rsidRPr="00437CFD">
        <w:t xml:space="preserve">rdinary </w:t>
      </w:r>
      <w:r w:rsidR="00642B91">
        <w:t>t</w:t>
      </w:r>
      <w:r w:rsidR="002615B9" w:rsidRPr="00437CFD">
        <w:t xml:space="preserve">ime </w:t>
      </w:r>
      <w:r w:rsidR="00642B91">
        <w:t>e</w:t>
      </w:r>
      <w:r w:rsidR="002615B9" w:rsidRPr="00437CFD">
        <w:t>arnings to 12 per cent</w:t>
      </w:r>
      <w:r w:rsidR="000612D1" w:rsidRPr="00437CFD">
        <w:t xml:space="preserve"> of </w:t>
      </w:r>
      <w:r w:rsidR="00642B91">
        <w:t>o</w:t>
      </w:r>
      <w:r w:rsidR="00036101" w:rsidRPr="00437CFD">
        <w:t xml:space="preserve">rdinary </w:t>
      </w:r>
      <w:r w:rsidR="00642B91">
        <w:t>t</w:t>
      </w:r>
      <w:r w:rsidR="00036101" w:rsidRPr="00437CFD">
        <w:t xml:space="preserve">ime </w:t>
      </w:r>
      <w:r w:rsidR="00642B91">
        <w:t>e</w:t>
      </w:r>
      <w:r w:rsidR="00036101" w:rsidRPr="00437CFD">
        <w:t xml:space="preserve">arnings. </w:t>
      </w:r>
      <w:r w:rsidR="009C00F3" w:rsidRPr="00437CFD">
        <w:t>From 1</w:t>
      </w:r>
      <w:r w:rsidR="005C615C">
        <w:t> </w:t>
      </w:r>
      <w:r w:rsidR="009C00F3" w:rsidRPr="00437CFD">
        <w:t>July 2014 to 30 June 20</w:t>
      </w:r>
      <w:r w:rsidRPr="00437CFD">
        <w:t>21</w:t>
      </w:r>
      <w:r w:rsidR="00D35F37" w:rsidRPr="00437CFD">
        <w:t xml:space="preserve">, </w:t>
      </w:r>
      <w:r w:rsidR="009C00F3" w:rsidRPr="00437CFD">
        <w:t>th</w:t>
      </w:r>
      <w:r w:rsidR="002615B9" w:rsidRPr="00437CFD">
        <w:t>e SG rate will be paused at 9.5 per cent</w:t>
      </w:r>
      <w:r w:rsidRPr="00437CFD">
        <w:t>, and will i</w:t>
      </w:r>
      <w:r w:rsidR="002615B9" w:rsidRPr="00437CFD">
        <w:t>ncrease to 12 per cent</w:t>
      </w:r>
      <w:r w:rsidR="00646A9B" w:rsidRPr="00437CFD">
        <w:t xml:space="preserve"> by 1</w:t>
      </w:r>
      <w:r w:rsidR="00B82349">
        <w:t> </w:t>
      </w:r>
      <w:r w:rsidR="00646A9B" w:rsidRPr="00437CFD">
        <w:t>July</w:t>
      </w:r>
      <w:r w:rsidR="00B82349">
        <w:t> </w:t>
      </w:r>
      <w:r w:rsidR="00646A9B" w:rsidRPr="00437CFD">
        <w:t>2025.</w:t>
      </w:r>
      <w:r w:rsidR="00646A9B">
        <w:t xml:space="preserve"> </w:t>
      </w:r>
      <w:r w:rsidR="007A61FF">
        <w:t xml:space="preserve">The </w:t>
      </w:r>
      <w:proofErr w:type="spellStart"/>
      <w:r w:rsidR="007A61FF">
        <w:t>cashflow</w:t>
      </w:r>
      <w:proofErr w:type="spellEnd"/>
      <w:r w:rsidR="007A61FF">
        <w:t xml:space="preserve"> projections in the current report have taken this into account. Beyond </w:t>
      </w:r>
      <w:r w:rsidR="007A61FF" w:rsidRPr="007A61FF">
        <w:t>this, t</w:t>
      </w:r>
      <w:r w:rsidR="00646A9B" w:rsidRPr="007A61FF">
        <w:t>he current report has</w:t>
      </w:r>
      <w:r w:rsidR="000612D1" w:rsidRPr="007A61FF">
        <w:t xml:space="preserve"> </w:t>
      </w:r>
      <w:r w:rsidR="007A61FF" w:rsidRPr="007A61FF">
        <w:t xml:space="preserve">not </w:t>
      </w:r>
      <w:r w:rsidR="000612D1" w:rsidRPr="007A61FF">
        <w:t xml:space="preserve">factored in any </w:t>
      </w:r>
      <w:r w:rsidR="007A61FF" w:rsidRPr="007A61FF">
        <w:t xml:space="preserve">potential </w:t>
      </w:r>
      <w:r w:rsidR="000612D1" w:rsidRPr="007A61FF">
        <w:t xml:space="preserve">changes to </w:t>
      </w:r>
      <w:r w:rsidR="00646A9B" w:rsidRPr="007A61FF">
        <w:t xml:space="preserve">MSBS and DFRDB benefits that </w:t>
      </w:r>
      <w:r w:rsidR="007A61FF" w:rsidRPr="007A61FF">
        <w:t>might</w:t>
      </w:r>
      <w:r w:rsidR="00D35F37" w:rsidRPr="007A61FF">
        <w:t xml:space="preserve"> occur as a result of th</w:t>
      </w:r>
      <w:r w:rsidRPr="007A61FF">
        <w:t>ese</w:t>
      </w:r>
      <w:r w:rsidR="00D35F37" w:rsidRPr="007A61FF">
        <w:t xml:space="preserve"> </w:t>
      </w:r>
      <w:r w:rsidR="007A61FF" w:rsidRPr="007A61FF">
        <w:t>scheduled</w:t>
      </w:r>
      <w:r w:rsidRPr="007A61FF">
        <w:t xml:space="preserve"> </w:t>
      </w:r>
      <w:r w:rsidR="00D35F37" w:rsidRPr="007A61FF">
        <w:t>increase</w:t>
      </w:r>
      <w:r w:rsidRPr="007A61FF">
        <w:t>s</w:t>
      </w:r>
      <w:r w:rsidR="000612D1" w:rsidRPr="007A61FF">
        <w:t>.</w:t>
      </w:r>
      <w:r w:rsidR="00646A9B">
        <w:t xml:space="preserve"> </w:t>
      </w:r>
    </w:p>
    <w:p w14:paraId="23D338BE" w14:textId="46C1CA97" w:rsidR="00943323" w:rsidRDefault="00943323" w:rsidP="00943323">
      <w:pPr>
        <w:pStyle w:val="Heading2nonumbering"/>
      </w:pPr>
      <w:bookmarkStart w:id="24" w:name="_Toc425770476"/>
      <w:r>
        <w:t>Future Fund</w:t>
      </w:r>
      <w:bookmarkEnd w:id="24"/>
    </w:p>
    <w:p w14:paraId="79349FEB" w14:textId="77777777" w:rsidR="00943323" w:rsidRDefault="00943323" w:rsidP="00943323">
      <w:pPr>
        <w:pStyle w:val="BodyText"/>
      </w:pPr>
      <w:bookmarkStart w:id="25" w:name="_Ref324516707"/>
      <w:r>
        <w:t xml:space="preserve">In 2006, the Government established a Future Fund to </w:t>
      </w:r>
      <w:r w:rsidR="00D71A30">
        <w:t>offset</w:t>
      </w:r>
      <w:r>
        <w:t xml:space="preserve"> unfunded superannuation liabilities, contribute to national savings and increase net worth. </w:t>
      </w:r>
      <w:r w:rsidR="00EA3A9B" w:rsidRPr="002215BC">
        <w:t xml:space="preserve">The assets of the Future Fund are intended to </w:t>
      </w:r>
      <w:r w:rsidR="009D4A72" w:rsidRPr="002215BC">
        <w:t>reduce calls on the budget</w:t>
      </w:r>
      <w:r w:rsidR="00EA3A9B" w:rsidRPr="002215BC">
        <w:t xml:space="preserve"> to meet the liabilities of the Commonwealth’s superannuation schemes when spending pressures associated with an ageing population are projected to </w:t>
      </w:r>
      <w:r w:rsidR="009D4A72" w:rsidRPr="002215BC">
        <w:t>emerge</w:t>
      </w:r>
      <w:r w:rsidR="00EA3A9B" w:rsidRPr="002215BC">
        <w:t>.</w:t>
      </w:r>
      <w:r w:rsidRPr="002215BC">
        <w:t xml:space="preserve"> However</w:t>
      </w:r>
      <w:r>
        <w:t>, since the assets of the Future Fund are not held by the schemes, the unfunded liabilities projected in this report have not been reduced to take account of the assets held by the Future Fund. Similarly, the projected outlays have not been reduced to take account of any drawdowns from the Future Fund.</w:t>
      </w:r>
      <w:bookmarkEnd w:id="25"/>
    </w:p>
    <w:p w14:paraId="72E804D6" w14:textId="77777777" w:rsidR="00943323" w:rsidRPr="008A60EC" w:rsidRDefault="00943323" w:rsidP="00943323">
      <w:pPr>
        <w:pStyle w:val="Heading2nonumbering"/>
      </w:pPr>
      <w:bookmarkStart w:id="26" w:name="_Toc425770477"/>
      <w:r>
        <w:t>Compliance with professional standards</w:t>
      </w:r>
      <w:bookmarkEnd w:id="26"/>
    </w:p>
    <w:p w14:paraId="4A0E795B" w14:textId="77777777" w:rsidR="00402C6D" w:rsidRDefault="00943323" w:rsidP="00943323">
      <w:pPr>
        <w:pStyle w:val="BodyText"/>
      </w:pPr>
      <w:r w:rsidRPr="00857BB6">
        <w:t>The report has had regard to the Institute of Actuaries of Australia Professional Standard 400 (Investigations of Defined Benefit Superannuation Funds)</w:t>
      </w:r>
      <w:r>
        <w:t xml:space="preserve"> and complies with the Standard insofar as it deals with unfunded superannuation schemes</w:t>
      </w:r>
      <w:r w:rsidR="008A589C">
        <w:t xml:space="preserve">. </w:t>
      </w:r>
      <w:r w:rsidRPr="00857BB6">
        <w:t>Professional Standard 400 is designed to primarily apply in the context of funded private sector defined benefit superannuation funds</w:t>
      </w:r>
      <w:r>
        <w:t xml:space="preserve">. </w:t>
      </w:r>
      <w:r w:rsidRPr="00857BB6">
        <w:t>The schemes under review in this report operate on an unfunded or substantially unfunded basis with a</w:t>
      </w:r>
      <w:r>
        <w:t>n implicit</w:t>
      </w:r>
      <w:r w:rsidRPr="00857BB6">
        <w:t xml:space="preserve"> Government guarantee</w:t>
      </w:r>
      <w:r>
        <w:t>.</w:t>
      </w:r>
    </w:p>
    <w:p w14:paraId="28527C64" w14:textId="77777777" w:rsidR="00130C7C" w:rsidRPr="001C502B" w:rsidRDefault="00130C7C" w:rsidP="001C502B"/>
    <w:p w14:paraId="7F7AC41E" w14:textId="77777777" w:rsidR="001C502B" w:rsidRPr="001C502B" w:rsidRDefault="001C502B" w:rsidP="001C502B"/>
    <w:p w14:paraId="23C2B128" w14:textId="77777777" w:rsidR="001C502B" w:rsidRPr="001C502B" w:rsidRDefault="001C502B" w:rsidP="001C502B">
      <w:pPr>
        <w:sectPr w:rsidR="001C502B" w:rsidRPr="001C502B" w:rsidSect="000E6C41">
          <w:headerReference w:type="default" r:id="rId38"/>
          <w:footerReference w:type="first" r:id="rId39"/>
          <w:type w:val="oddPage"/>
          <w:pgSz w:w="11906" w:h="16838" w:code="9"/>
          <w:pgMar w:top="2466" w:right="2098" w:bottom="2466" w:left="2098" w:header="1899" w:footer="1899" w:gutter="0"/>
          <w:cols w:space="708"/>
          <w:titlePg/>
          <w:docGrid w:linePitch="360"/>
        </w:sectPr>
      </w:pPr>
    </w:p>
    <w:p w14:paraId="7F13018D" w14:textId="77777777" w:rsidR="00532B49" w:rsidRPr="00DA1A26" w:rsidRDefault="00532B49" w:rsidP="001F546B">
      <w:pPr>
        <w:pStyle w:val="Heading1"/>
      </w:pPr>
      <w:bookmarkStart w:id="27" w:name="_Toc136856494"/>
      <w:bookmarkStart w:id="28" w:name="_Toc233610047"/>
      <w:bookmarkStart w:id="29" w:name="_Ref308527882"/>
      <w:bookmarkStart w:id="30" w:name="_Ref324519302"/>
      <w:bookmarkStart w:id="31" w:name="_Toc425770478"/>
      <w:r w:rsidRPr="00DA1A26">
        <w:lastRenderedPageBreak/>
        <w:t xml:space="preserve">The </w:t>
      </w:r>
      <w:bookmarkEnd w:id="27"/>
      <w:bookmarkEnd w:id="28"/>
      <w:r w:rsidR="00E763E4">
        <w:t>Military Superannuation Schemes</w:t>
      </w:r>
      <w:bookmarkEnd w:id="29"/>
      <w:bookmarkEnd w:id="30"/>
      <w:bookmarkEnd w:id="31"/>
    </w:p>
    <w:p w14:paraId="172F7D01" w14:textId="1D5D43C7" w:rsidR="00512614" w:rsidRPr="00857BB6" w:rsidRDefault="00512614" w:rsidP="00512614">
      <w:pPr>
        <w:pStyle w:val="BodyText"/>
      </w:pPr>
      <w:r>
        <w:t>Current and former Australian Defence Force</w:t>
      </w:r>
      <w:r w:rsidR="00642B91">
        <w:t xml:space="preserve"> (ADF)</w:t>
      </w:r>
      <w:r>
        <w:t xml:space="preserve"> personnel</w:t>
      </w:r>
      <w:r w:rsidR="00366BB3">
        <w:t xml:space="preserve"> (other than Reservists who are not rendering continuous full-time service)</w:t>
      </w:r>
      <w:r>
        <w:t xml:space="preserve"> are covered </w:t>
      </w:r>
      <w:proofErr w:type="gramStart"/>
      <w:r>
        <w:t>under</w:t>
      </w:r>
      <w:proofErr w:type="gramEnd"/>
      <w:r>
        <w:t xml:space="preserve"> one of three superannuation schemes: the </w:t>
      </w:r>
      <w:r w:rsidRPr="00857BB6">
        <w:t>Defence Forces Retirement Benefits Scheme (DFRB)</w:t>
      </w:r>
      <w:r>
        <w:t xml:space="preserve">; the </w:t>
      </w:r>
      <w:r w:rsidRPr="00857BB6">
        <w:t xml:space="preserve">Defence Force Retirement and Death Benefits Scheme </w:t>
      </w:r>
      <w:r>
        <w:t>(DFRDB) and the Military Superannuat</w:t>
      </w:r>
      <w:r w:rsidR="00036101">
        <w:t>ion and Benefits Scheme (MSBS).</w:t>
      </w:r>
      <w:r>
        <w:t xml:space="preserve"> It is possible for members to have benefits in both the DFRDB and the MSBS.</w:t>
      </w:r>
    </w:p>
    <w:p w14:paraId="13DB4FBB" w14:textId="48E8D77B" w:rsidR="00512614" w:rsidRPr="00857BB6" w:rsidRDefault="00512614" w:rsidP="00512614">
      <w:pPr>
        <w:pStyle w:val="Heading2nonumbering"/>
      </w:pPr>
      <w:bookmarkStart w:id="32" w:name="_Toc425770479"/>
      <w:r w:rsidRPr="00857BB6">
        <w:t xml:space="preserve">The </w:t>
      </w:r>
      <w:r w:rsidR="00721718" w:rsidRPr="00721718">
        <w:t>Defence Forces Retirement Benefits Scheme</w:t>
      </w:r>
      <w:bookmarkEnd w:id="32"/>
      <w:r w:rsidR="00642B91">
        <w:t xml:space="preserve"> (DFRB)</w:t>
      </w:r>
    </w:p>
    <w:p w14:paraId="5F8E6D88" w14:textId="3D488AD7" w:rsidR="00512614" w:rsidRDefault="00512614" w:rsidP="00512614">
      <w:pPr>
        <w:pStyle w:val="BodyText"/>
      </w:pPr>
      <w:r w:rsidRPr="00857BB6">
        <w:t>The</w:t>
      </w:r>
      <w:r w:rsidR="00721718">
        <w:t xml:space="preserve"> </w:t>
      </w:r>
      <w:r w:rsidR="00721718" w:rsidRPr="00857BB6">
        <w:t>Defence Forces Retirement Benefits Scheme</w:t>
      </w:r>
      <w:r w:rsidRPr="00857BB6">
        <w:t xml:space="preserve"> </w:t>
      </w:r>
      <w:r w:rsidR="00721718">
        <w:t>(</w:t>
      </w:r>
      <w:r w:rsidRPr="00857BB6">
        <w:t>DFRB</w:t>
      </w:r>
      <w:r w:rsidR="00721718">
        <w:t>)</w:t>
      </w:r>
      <w:r>
        <w:t xml:space="preserve"> was established under the </w:t>
      </w:r>
      <w:r w:rsidRPr="00512614">
        <w:rPr>
          <w:i/>
        </w:rPr>
        <w:t>Defence Forces Retirement Benefits Act 1948</w:t>
      </w:r>
      <w:r w:rsidR="00036101">
        <w:t>.</w:t>
      </w:r>
      <w:r>
        <w:t xml:space="preserve"> It was closed on 1 October 1972 when the DFRDB was </w:t>
      </w:r>
      <w:r w:rsidRPr="00857BB6">
        <w:t>introduced</w:t>
      </w:r>
      <w:r>
        <w:t>. At that time, all contributory members were transferred to the DFRDB. Existing</w:t>
      </w:r>
      <w:r w:rsidRPr="00857BB6">
        <w:t xml:space="preserve"> pensioners </w:t>
      </w:r>
      <w:r w:rsidR="00036101">
        <w:t xml:space="preserve">and </w:t>
      </w:r>
      <w:r>
        <w:t>their reversionary beneficiar</w:t>
      </w:r>
      <w:r w:rsidR="00036101">
        <w:t>i</w:t>
      </w:r>
      <w:r>
        <w:t xml:space="preserve">es </w:t>
      </w:r>
      <w:r w:rsidRPr="00857BB6">
        <w:t xml:space="preserve">continue to receive </w:t>
      </w:r>
      <w:proofErr w:type="gramStart"/>
      <w:r w:rsidRPr="00857BB6">
        <w:t>pensions</w:t>
      </w:r>
      <w:proofErr w:type="gramEnd"/>
      <w:r w:rsidRPr="00857BB6">
        <w:t xml:space="preserve"> payable under the DFRB legislation</w:t>
      </w:r>
      <w:r w:rsidR="00036101">
        <w:t xml:space="preserve">. </w:t>
      </w:r>
      <w:r>
        <w:t>This scheme represents a very small proportion of the total liability.</w:t>
      </w:r>
    </w:p>
    <w:p w14:paraId="760CE7E0" w14:textId="77777777" w:rsidR="00983C54" w:rsidRPr="00857BB6" w:rsidRDefault="00983C54" w:rsidP="00512614">
      <w:pPr>
        <w:pStyle w:val="BodyText"/>
      </w:pPr>
      <w:r>
        <w:t>The DFRB is a defined</w:t>
      </w:r>
      <w:r w:rsidR="00F32D79">
        <w:t xml:space="preserve"> benefit scheme. It is unfunded </w:t>
      </w:r>
      <w:r w:rsidR="00945A6E">
        <w:t xml:space="preserve">since it </w:t>
      </w:r>
      <w:r>
        <w:t xml:space="preserve">does not hold any assets. The Scheme has no external insurance arrangements. Benefits are financed from Consolidated Revenue as they become due for payment. The Scheme is untaxed and no tax is levied on employer contributions. The Scheme is an exempt public sector superannuation scheme under the </w:t>
      </w:r>
      <w:r w:rsidR="00552CB1">
        <w:rPr>
          <w:i/>
        </w:rPr>
        <w:t>Superannuation Industry (Supervision) Act 1993</w:t>
      </w:r>
      <w:r w:rsidR="009A2400">
        <w:rPr>
          <w:i/>
        </w:rPr>
        <w:t>.</w:t>
      </w:r>
    </w:p>
    <w:p w14:paraId="682864AC" w14:textId="71F1DC76" w:rsidR="00512614" w:rsidRPr="00721718" w:rsidRDefault="00512614" w:rsidP="00512614">
      <w:pPr>
        <w:pStyle w:val="Heading2nonumbering"/>
        <w:rPr>
          <w:spacing w:val="-2"/>
        </w:rPr>
      </w:pPr>
      <w:bookmarkStart w:id="33" w:name="_Toc425770480"/>
      <w:r w:rsidRPr="00721718">
        <w:rPr>
          <w:spacing w:val="-2"/>
        </w:rPr>
        <w:t xml:space="preserve">The </w:t>
      </w:r>
      <w:r w:rsidR="00721718" w:rsidRPr="00721718">
        <w:rPr>
          <w:spacing w:val="-2"/>
        </w:rPr>
        <w:t>Defence Force Retirement and Death Benefits Scheme</w:t>
      </w:r>
      <w:bookmarkEnd w:id="33"/>
      <w:r w:rsidR="00642B91">
        <w:rPr>
          <w:spacing w:val="-2"/>
        </w:rPr>
        <w:t xml:space="preserve"> (DFRDB)</w:t>
      </w:r>
    </w:p>
    <w:p w14:paraId="70AB14B1" w14:textId="3106EDD2" w:rsidR="00512614" w:rsidRDefault="00512614" w:rsidP="00512614">
      <w:pPr>
        <w:pStyle w:val="BodyText"/>
      </w:pPr>
      <w:r>
        <w:t xml:space="preserve">Under the </w:t>
      </w:r>
      <w:r>
        <w:rPr>
          <w:i/>
        </w:rPr>
        <w:t xml:space="preserve">Defence Force Retirement and Death Benefits Act </w:t>
      </w:r>
      <w:r w:rsidRPr="00945A6E">
        <w:rPr>
          <w:i/>
        </w:rPr>
        <w:t>1973</w:t>
      </w:r>
      <w:r>
        <w:t>, t</w:t>
      </w:r>
      <w:r w:rsidRPr="00512614">
        <w:t>he</w:t>
      </w:r>
      <w:r w:rsidRPr="00857BB6">
        <w:t xml:space="preserve"> </w:t>
      </w:r>
      <w:r w:rsidR="00721718" w:rsidRPr="00857BB6">
        <w:t xml:space="preserve">Defence Force Retirement and Death Benefits Scheme </w:t>
      </w:r>
      <w:r w:rsidR="00721718">
        <w:t>(</w:t>
      </w:r>
      <w:r>
        <w:t>DFRDB</w:t>
      </w:r>
      <w:r w:rsidR="00721718">
        <w:t>)</w:t>
      </w:r>
      <w:r>
        <w:t xml:space="preserve"> </w:t>
      </w:r>
      <w:proofErr w:type="gramStart"/>
      <w:r>
        <w:t>was</w:t>
      </w:r>
      <w:proofErr w:type="gramEnd"/>
      <w:r>
        <w:t xml:space="preserve"> deemed to have come</w:t>
      </w:r>
      <w:r w:rsidRPr="00857BB6">
        <w:t xml:space="preserve"> into existence on 1 October 1972</w:t>
      </w:r>
      <w:r>
        <w:t xml:space="preserve">. </w:t>
      </w:r>
      <w:r w:rsidRPr="00857BB6">
        <w:t>The documents setting out the provisions of the DFRDB are the</w:t>
      </w:r>
      <w:r>
        <w:t xml:space="preserve"> Act itself,</w:t>
      </w:r>
      <w:r w:rsidRPr="00857BB6">
        <w:t xml:space="preserve"> as amended, together with the associated Regulations and the Defence Force (Superannuation) (Productivity Benefit) Determination</w:t>
      </w:r>
      <w:r w:rsidR="00366BB3">
        <w:t>s</w:t>
      </w:r>
      <w:r w:rsidRPr="00857BB6">
        <w:t xml:space="preserve"> made under the </w:t>
      </w:r>
      <w:r w:rsidRPr="00182E4C">
        <w:rPr>
          <w:i/>
        </w:rPr>
        <w:t>Defence Act 1903</w:t>
      </w:r>
      <w:r>
        <w:t xml:space="preserve">. The DFRDB was closed to new members on </w:t>
      </w:r>
      <w:r w:rsidRPr="00B82349">
        <w:t>30</w:t>
      </w:r>
      <w:r w:rsidR="00B82349">
        <w:t> </w:t>
      </w:r>
      <w:r w:rsidRPr="00B82349">
        <w:t>September</w:t>
      </w:r>
      <w:r>
        <w:t xml:space="preserve"> 1991. Contributory </w:t>
      </w:r>
      <w:r w:rsidRPr="00E52F60">
        <w:t>members at that time were given the option of transferring to the MSBS under</w:t>
      </w:r>
      <w:r>
        <w:t xml:space="preserve"> the transitional arrangements associated with the introduction of the new scheme</w:t>
      </w:r>
      <w:r w:rsidRPr="00857BB6">
        <w:t>.</w:t>
      </w:r>
    </w:p>
    <w:p w14:paraId="6E45ADF4" w14:textId="12D46525" w:rsidR="00552CB1" w:rsidRPr="00857BB6" w:rsidRDefault="00552CB1" w:rsidP="00552CB1">
      <w:pPr>
        <w:pStyle w:val="BodyText"/>
      </w:pPr>
      <w:r>
        <w:lastRenderedPageBreak/>
        <w:t xml:space="preserve">The DFRDB is a defined benefit scheme. It is unfunded </w:t>
      </w:r>
      <w:r w:rsidR="00D71A30">
        <w:t>since it</w:t>
      </w:r>
      <w:r>
        <w:t xml:space="preserve"> does not hold any assets. The Scheme has no external insurance arrangements. Benefits are financed from Consolidated Revenue as they become due for payment. The Scheme is untaxed and no tax is levied on employer contributions. The Scheme is an exempt public sector superannuation scheme under the </w:t>
      </w:r>
      <w:r>
        <w:rPr>
          <w:i/>
        </w:rPr>
        <w:t>Superannuation Industry (Supervision) Act 1993</w:t>
      </w:r>
      <w:r>
        <w:t>.</w:t>
      </w:r>
    </w:p>
    <w:p w14:paraId="022F59D0" w14:textId="4899170F" w:rsidR="00532B49" w:rsidRPr="00857BB6" w:rsidRDefault="00532B49" w:rsidP="00532B49">
      <w:pPr>
        <w:pStyle w:val="Heading2nonumbering"/>
      </w:pPr>
      <w:bookmarkStart w:id="34" w:name="_Toc425770481"/>
      <w:r w:rsidRPr="00857BB6">
        <w:t xml:space="preserve">The </w:t>
      </w:r>
      <w:r w:rsidR="005E504B" w:rsidRPr="005E504B">
        <w:t>Military Superannuation and Benefits Scheme</w:t>
      </w:r>
      <w:bookmarkEnd w:id="34"/>
      <w:r w:rsidR="00642B91">
        <w:t xml:space="preserve"> (MSBS)</w:t>
      </w:r>
    </w:p>
    <w:p w14:paraId="6D9530E4" w14:textId="0E997AD3" w:rsidR="00B666F0" w:rsidRDefault="00532B49" w:rsidP="009D730D">
      <w:pPr>
        <w:pStyle w:val="BodyText"/>
      </w:pPr>
      <w:r w:rsidRPr="00230733">
        <w:t>The Military Superannuation and Benefits Scheme</w:t>
      </w:r>
      <w:r w:rsidR="005E504B">
        <w:t xml:space="preserve"> (MSBS)</w:t>
      </w:r>
      <w:r w:rsidRPr="00230733">
        <w:t xml:space="preserve"> </w:t>
      </w:r>
      <w:proofErr w:type="gramStart"/>
      <w:r w:rsidRPr="00230733">
        <w:t>was</w:t>
      </w:r>
      <w:proofErr w:type="gramEnd"/>
      <w:r w:rsidRPr="00230733">
        <w:t xml:space="preserve"> introduced on 1 October 1991. The documents setting out the provisions of the MSBS are the </w:t>
      </w:r>
      <w:r w:rsidRPr="00230733">
        <w:rPr>
          <w:i/>
        </w:rPr>
        <w:t>Military Superannuation and Benefits Act 1991</w:t>
      </w:r>
      <w:r w:rsidRPr="00230733">
        <w:t xml:space="preserve"> and the Trust Deed and Rules of the Scheme. Membership is compulsory for those joining </w:t>
      </w:r>
      <w:r w:rsidR="00F46A63">
        <w:t>as permanent members of</w:t>
      </w:r>
      <w:r w:rsidR="00F46A63" w:rsidRPr="00F46A63">
        <w:t xml:space="preserve"> </w:t>
      </w:r>
      <w:r w:rsidR="00F46A63" w:rsidRPr="00230733">
        <w:t>the ADF</w:t>
      </w:r>
      <w:r w:rsidRPr="00230733">
        <w:t>.</w:t>
      </w:r>
      <w:r w:rsidR="00036101" w:rsidRPr="00230733">
        <w:t xml:space="preserve"> </w:t>
      </w:r>
      <w:r w:rsidR="00512614" w:rsidRPr="00230733">
        <w:t>MSBS members now make up over 9</w:t>
      </w:r>
      <w:r w:rsidR="003F3038">
        <w:t>5</w:t>
      </w:r>
      <w:r w:rsidR="00512614" w:rsidRPr="00230733">
        <w:t xml:space="preserve"> per cent of serving personnel and it will be expected to overtake the DFRDB as </w:t>
      </w:r>
      <w:r w:rsidR="00036101" w:rsidRPr="00230733">
        <w:t xml:space="preserve">the scheme </w:t>
      </w:r>
      <w:r w:rsidR="00512614" w:rsidRPr="00230733">
        <w:t xml:space="preserve">accounting for the largest </w:t>
      </w:r>
      <w:r w:rsidR="00036101" w:rsidRPr="00230733">
        <w:t xml:space="preserve">unfunded </w:t>
      </w:r>
      <w:r w:rsidR="00512614" w:rsidRPr="00230733">
        <w:t>liability within the next few years</w:t>
      </w:r>
      <w:r w:rsidR="00036101" w:rsidRPr="00230733">
        <w:t xml:space="preserve"> although it is likely to be around 15 years before cash outlays for MSBS exceed those of DFRDB</w:t>
      </w:r>
      <w:r w:rsidR="00512614" w:rsidRPr="00230733">
        <w:t xml:space="preserve">. </w:t>
      </w:r>
    </w:p>
    <w:p w14:paraId="0F817ABE" w14:textId="77777777" w:rsidR="00097BBB" w:rsidRDefault="00B666F0" w:rsidP="00B666F0">
      <w:pPr>
        <w:pStyle w:val="BodyText"/>
      </w:pPr>
      <w:r>
        <w:t>The MSBS is a defined benefit scheme. The Scheme has no external insurance arrangement</w:t>
      </w:r>
      <w:r w:rsidR="00420784">
        <w:t>s. The Scheme is a complying superannuation fund</w:t>
      </w:r>
      <w:r>
        <w:t xml:space="preserve"> under the </w:t>
      </w:r>
      <w:r>
        <w:rPr>
          <w:i/>
        </w:rPr>
        <w:t>Superannuation Industry (Supervision) Act 1993</w:t>
      </w:r>
      <w:r>
        <w:t>.</w:t>
      </w:r>
      <w:r w:rsidR="00FB7D1A">
        <w:t xml:space="preserve"> </w:t>
      </w:r>
    </w:p>
    <w:p w14:paraId="754E823E" w14:textId="77777777" w:rsidR="00B666F0" w:rsidRPr="00857BB6" w:rsidRDefault="00FB7D1A" w:rsidP="00B666F0">
      <w:pPr>
        <w:pStyle w:val="BodyText"/>
      </w:pPr>
      <w:r>
        <w:t>The MSBS has an ancillary section which provides fully funded accumulation benefits</w:t>
      </w:r>
      <w:r w:rsidR="00097BBB">
        <w:t xml:space="preserve"> which arise from a number of sources</w:t>
      </w:r>
      <w:r>
        <w:t>.</w:t>
      </w:r>
      <w:r w:rsidR="00097BBB">
        <w:t xml:space="preserve"> Contributions to the ancillary section include employer salary sacrifice contributions and employer Superannuation Guarantee contributions in respect of Ordinary Time Earnings (OTE) items that are not included in superannuation salary.</w:t>
      </w:r>
    </w:p>
    <w:p w14:paraId="5FE77FB4" w14:textId="77777777" w:rsidR="00532B49" w:rsidRPr="00857BB6" w:rsidRDefault="009940C0" w:rsidP="00532B49">
      <w:pPr>
        <w:pStyle w:val="BodyText"/>
      </w:pPr>
      <w:r>
        <w:t>The employer provided defined benefit component of MSBS is largely unfunded, apart from the 3</w:t>
      </w:r>
      <w:r w:rsidR="00B82349">
        <w:t xml:space="preserve"> per cent</w:t>
      </w:r>
      <w:r>
        <w:t xml:space="preserve"> Productivity Benefit compon</w:t>
      </w:r>
      <w:r w:rsidR="00DC142A">
        <w:t>ent which is funded</w:t>
      </w:r>
      <w:r>
        <w:t xml:space="preserve">. </w:t>
      </w:r>
      <w:r w:rsidR="00DC142A">
        <w:t xml:space="preserve">Generally, member financed accounts in MSBS are fully funded. </w:t>
      </w:r>
      <w:r w:rsidR="00B666F0">
        <w:t xml:space="preserve">Ancillary benefits in MSBS are fully funded. </w:t>
      </w:r>
      <w:r w:rsidR="00DC142A">
        <w:t>Any b</w:t>
      </w:r>
      <w:r w:rsidR="00B666F0">
        <w:t xml:space="preserve">enefits </w:t>
      </w:r>
      <w:r w:rsidR="00023903">
        <w:t xml:space="preserve">that are not paid from MSBS Fund assets </w:t>
      </w:r>
      <w:r w:rsidR="00B666F0">
        <w:t xml:space="preserve">are financed from Consolidated Revenue </w:t>
      </w:r>
      <w:r w:rsidR="00023903">
        <w:t>as they become due for payment.</w:t>
      </w:r>
    </w:p>
    <w:p w14:paraId="46A1CB01" w14:textId="77777777" w:rsidR="00AB6383" w:rsidRDefault="00AB6383">
      <w:pPr>
        <w:spacing w:before="0" w:after="0" w:line="240" w:lineRule="auto"/>
        <w:jc w:val="left"/>
      </w:pPr>
      <w:r>
        <w:br w:type="page"/>
      </w:r>
    </w:p>
    <w:p w14:paraId="4F1B0DE8" w14:textId="17522D55" w:rsidR="00532B49" w:rsidRPr="00857BB6" w:rsidRDefault="00532B49" w:rsidP="00532B49">
      <w:pPr>
        <w:pStyle w:val="BodyText"/>
      </w:pPr>
      <w:r>
        <w:lastRenderedPageBreak/>
        <w:t>Summaries</w:t>
      </w:r>
      <w:r w:rsidRPr="00857BB6">
        <w:t xml:space="preserve"> of </w:t>
      </w:r>
      <w:r>
        <w:t xml:space="preserve">the </w:t>
      </w:r>
      <w:r w:rsidRPr="00857BB6">
        <w:t>benefits payable under the MSBS and the DFRDB are set out in Appendices A and B respectively</w:t>
      </w:r>
      <w:r>
        <w:t xml:space="preserve">. </w:t>
      </w:r>
      <w:r w:rsidRPr="00857BB6">
        <w:t>They can be described briefly as follows:</w:t>
      </w:r>
    </w:p>
    <w:p w14:paraId="5BF15E3D" w14:textId="77777777" w:rsidR="00532B49" w:rsidRDefault="00532B49" w:rsidP="009616A2">
      <w:pPr>
        <w:pStyle w:val="StyleNormalIndentLeft1cmHanging2cm"/>
      </w:pPr>
      <w:r w:rsidRPr="00B02A94">
        <w:rPr>
          <w:b/>
        </w:rPr>
        <w:t>MSBS</w:t>
      </w:r>
      <w:r>
        <w:tab/>
        <w:t xml:space="preserve">A </w:t>
      </w:r>
      <w:r w:rsidRPr="00857BB6">
        <w:t>member financed benefit equal to member contributions accumulated with fund earnings plus an employer financed lump sum benefit based on a multiple of final average salary and total service</w:t>
      </w:r>
      <w:r>
        <w:t xml:space="preserve">. </w:t>
      </w:r>
      <w:r w:rsidRPr="00857BB6">
        <w:t>On age retirement, the employer financed lump sum may be wholly or partially converted to an indexed pension.</w:t>
      </w:r>
    </w:p>
    <w:p w14:paraId="55B925A6" w14:textId="77777777" w:rsidR="00532B49" w:rsidRDefault="00532B49" w:rsidP="009616A2">
      <w:pPr>
        <w:pStyle w:val="StyleNormalIndentLeft1cmHanging2cm"/>
      </w:pPr>
      <w:r w:rsidRPr="00B02A94">
        <w:rPr>
          <w:b/>
        </w:rPr>
        <w:t>DFRDB</w:t>
      </w:r>
      <w:r w:rsidRPr="00857BB6">
        <w:tab/>
        <w:t>An indexed pension benefit based on a multiple of final salary and total service</w:t>
      </w:r>
      <w:r>
        <w:t xml:space="preserve">. </w:t>
      </w:r>
      <w:r w:rsidRPr="00857BB6">
        <w:t>Part commutation of the pension to a lump sum is permitted on age retirement.</w:t>
      </w:r>
    </w:p>
    <w:p w14:paraId="3AE622D4" w14:textId="1EE8C5C1" w:rsidR="00532B49" w:rsidRDefault="00532B49" w:rsidP="00762972">
      <w:pPr>
        <w:pStyle w:val="Heading2nonumbering"/>
        <w:keepLines/>
      </w:pPr>
      <w:bookmarkStart w:id="35" w:name="_Toc425770482"/>
      <w:r>
        <w:t>Changes to military superannuation over the review period</w:t>
      </w:r>
      <w:bookmarkEnd w:id="35"/>
    </w:p>
    <w:p w14:paraId="29D2EA78" w14:textId="12AD9A9D" w:rsidR="00C829B7" w:rsidRPr="00C829B7" w:rsidRDefault="00C829B7" w:rsidP="00A73EE1">
      <w:pPr>
        <w:pStyle w:val="Heading3nonumbering"/>
      </w:pPr>
      <w:r w:rsidRPr="00C829B7">
        <w:t xml:space="preserve">Indexation arrangements for </w:t>
      </w:r>
      <w:r w:rsidR="00465ECE">
        <w:t>DFRB</w:t>
      </w:r>
      <w:r w:rsidRPr="00C829B7">
        <w:t xml:space="preserve"> and </w:t>
      </w:r>
      <w:r w:rsidR="00465ECE">
        <w:t>DFR</w:t>
      </w:r>
      <w:r w:rsidR="007F3E0B">
        <w:t>DB</w:t>
      </w:r>
      <w:r w:rsidR="00465ECE">
        <w:t xml:space="preserve"> </w:t>
      </w:r>
      <w:r w:rsidRPr="00C829B7">
        <w:t>pensions from</w:t>
      </w:r>
      <w:r w:rsidR="00465ECE">
        <w:br/>
      </w:r>
      <w:r w:rsidRPr="00C829B7">
        <w:t>1 July 2014</w:t>
      </w:r>
    </w:p>
    <w:p w14:paraId="1B79D410" w14:textId="4FE12B91" w:rsidR="001575FF" w:rsidRDefault="00F01842" w:rsidP="00C829B7">
      <w:pPr>
        <w:pStyle w:val="BodyText"/>
      </w:pPr>
      <w:r>
        <w:t>Until 30 June</w:t>
      </w:r>
      <w:r w:rsidR="00C829B7" w:rsidRPr="00C829B7">
        <w:t xml:space="preserve"> 2014, all DFRB and DFRDB pensioners had their pensions indexed in lin</w:t>
      </w:r>
      <w:r w:rsidR="00EF0EE5">
        <w:t xml:space="preserve">e with movements </w:t>
      </w:r>
      <w:r w:rsidR="00857E90">
        <w:t xml:space="preserve">in </w:t>
      </w:r>
      <w:r w:rsidR="00642B91">
        <w:t>the consumer price index (</w:t>
      </w:r>
      <w:r w:rsidR="00857E90">
        <w:t>CPI</w:t>
      </w:r>
      <w:r w:rsidR="00642B91">
        <w:t>)</w:t>
      </w:r>
      <w:r w:rsidR="00857E90">
        <w:t>.</w:t>
      </w:r>
      <w:r>
        <w:t xml:space="preserve"> With effect from</w:t>
      </w:r>
      <w:r w:rsidR="00DC142A">
        <w:t xml:space="preserve"> the </w:t>
      </w:r>
      <w:r w:rsidR="00C829B7" w:rsidRPr="00C829B7">
        <w:t>1 July 2014</w:t>
      </w:r>
      <w:r w:rsidR="00DC142A">
        <w:t xml:space="preserve"> indexation date</w:t>
      </w:r>
      <w:r w:rsidR="00C829B7" w:rsidRPr="00C829B7">
        <w:t xml:space="preserve">, the indexation </w:t>
      </w:r>
      <w:r>
        <w:t>methodology applying to DFRB and DFRDB pension</w:t>
      </w:r>
      <w:r w:rsidR="00C829B7" w:rsidRPr="00C829B7">
        <w:t xml:space="preserve">s </w:t>
      </w:r>
      <w:r>
        <w:t>paid to those aged 55 or more</w:t>
      </w:r>
      <w:r w:rsidR="00C829B7" w:rsidRPr="00C829B7">
        <w:t xml:space="preserve"> changed </w:t>
      </w:r>
      <w:r>
        <w:t xml:space="preserve">to effectively replicate </w:t>
      </w:r>
      <w:r w:rsidR="00DC142A">
        <w:t xml:space="preserve">the current </w:t>
      </w:r>
      <w:r w:rsidR="00C829B7" w:rsidRPr="00C829B7">
        <w:t>Age Pension indexation</w:t>
      </w:r>
      <w:r w:rsidR="00DC142A">
        <w:t xml:space="preserve"> </w:t>
      </w:r>
      <w:r>
        <w:t>arrangements (noting that t</w:t>
      </w:r>
      <w:r w:rsidR="00DC142A">
        <w:t xml:space="preserve">he Age Pension is indexed in March and September whereas DFRB and DFRDB pensions </w:t>
      </w:r>
      <w:r>
        <w:t>are indexed in January and July</w:t>
      </w:r>
      <w:r w:rsidR="00DC142A">
        <w:t>)</w:t>
      </w:r>
      <w:r>
        <w:t>.</w:t>
      </w:r>
      <w:r w:rsidR="001575FF">
        <w:t xml:space="preserve"> </w:t>
      </w:r>
    </w:p>
    <w:p w14:paraId="2BC934D1" w14:textId="0B2086D8" w:rsidR="00C829B7" w:rsidRDefault="001575FF" w:rsidP="00C829B7">
      <w:pPr>
        <w:pStyle w:val="BodyText"/>
      </w:pPr>
      <w:r>
        <w:rPr>
          <w:rFonts w:cs="Arial"/>
        </w:rPr>
        <w:t xml:space="preserve">Each six months, the previous index value is </w:t>
      </w:r>
      <w:r w:rsidR="00FD2A41">
        <w:rPr>
          <w:rFonts w:cs="Arial"/>
        </w:rPr>
        <w:t xml:space="preserve">first </w:t>
      </w:r>
      <w:r>
        <w:rPr>
          <w:rFonts w:cs="Arial"/>
        </w:rPr>
        <w:t xml:space="preserve">increased </w:t>
      </w:r>
      <w:r w:rsidR="00C829B7" w:rsidRPr="00C829B7">
        <w:rPr>
          <w:rFonts w:cs="Arial"/>
        </w:rPr>
        <w:t>by the greater of the CPI and the Pensioner and Beneficiary Livin</w:t>
      </w:r>
      <w:r w:rsidR="003A1C0E">
        <w:rPr>
          <w:rFonts w:cs="Arial"/>
        </w:rPr>
        <w:t>g Cost Index (PBLCI). This increased index value</w:t>
      </w:r>
      <w:r w:rsidR="00C829B7" w:rsidRPr="00C829B7">
        <w:rPr>
          <w:rFonts w:cs="Arial"/>
        </w:rPr>
        <w:t xml:space="preserve"> </w:t>
      </w:r>
      <w:r>
        <w:rPr>
          <w:rFonts w:cs="Arial"/>
        </w:rPr>
        <w:t xml:space="preserve">is then </w:t>
      </w:r>
      <w:r w:rsidR="00C829B7" w:rsidRPr="00C829B7">
        <w:rPr>
          <w:rFonts w:cs="Arial"/>
        </w:rPr>
        <w:t xml:space="preserve">benchmarked against a percentage of Male Total Average Weekly Earnings (MTAWE). </w:t>
      </w:r>
      <w:r w:rsidR="003A1C0E">
        <w:rPr>
          <w:rFonts w:cs="Arial"/>
        </w:rPr>
        <w:t xml:space="preserve">If the increased index value is higher than the benchmark, </w:t>
      </w:r>
      <w:r w:rsidR="00FD2A41">
        <w:rPr>
          <w:rFonts w:cs="Arial"/>
        </w:rPr>
        <w:t>then the increased index value is used to determine the six</w:t>
      </w:r>
      <w:r w:rsidR="009616A2">
        <w:rPr>
          <w:rFonts w:cs="Arial"/>
        </w:rPr>
        <w:t> </w:t>
      </w:r>
      <w:r w:rsidR="00FD2A41">
        <w:rPr>
          <w:rFonts w:cs="Arial"/>
        </w:rPr>
        <w:t xml:space="preserve">monthly pension increase rate. </w:t>
      </w:r>
      <w:r>
        <w:rPr>
          <w:rFonts w:cs="Arial"/>
        </w:rPr>
        <w:t>If the benchmark value is higher, that higher value</w:t>
      </w:r>
      <w:r w:rsidR="00C829B7" w:rsidRPr="00C829B7">
        <w:rPr>
          <w:rFonts w:cs="Arial"/>
        </w:rPr>
        <w:t xml:space="preserve"> </w:t>
      </w:r>
      <w:r>
        <w:rPr>
          <w:rFonts w:cs="Arial"/>
        </w:rPr>
        <w:t>becomes the new index value for determining the six monthly pension increase</w:t>
      </w:r>
      <w:r w:rsidR="00114918">
        <w:rPr>
          <w:rFonts w:cs="Arial"/>
        </w:rPr>
        <w:t xml:space="preserve"> rate</w:t>
      </w:r>
      <w:r>
        <w:rPr>
          <w:rFonts w:cs="Arial"/>
        </w:rPr>
        <w:t xml:space="preserve">. The initial index value was set at 27.7 per cent of MTAWE and the benchmark value is also determined as 27.7 per cent of MTAWE. DFRB and DFRDB </w:t>
      </w:r>
      <w:r>
        <w:t>p</w:t>
      </w:r>
      <w:r w:rsidR="00C829B7" w:rsidRPr="00C829B7">
        <w:t>ensioners under age 55 at an indexation date continue to have their pension</w:t>
      </w:r>
      <w:r>
        <w:t>s</w:t>
      </w:r>
      <w:r w:rsidR="00C829B7" w:rsidRPr="00C829B7">
        <w:t xml:space="preserve"> indexed in line with CPI movements.</w:t>
      </w:r>
      <w:r w:rsidR="00212C90">
        <w:t xml:space="preserve"> </w:t>
      </w:r>
    </w:p>
    <w:p w14:paraId="3DB84092" w14:textId="77777777" w:rsidR="00AB6383" w:rsidRDefault="00AB6383">
      <w:pPr>
        <w:spacing w:before="0" w:after="0" w:line="240" w:lineRule="auto"/>
        <w:jc w:val="left"/>
        <w:rPr>
          <w:rFonts w:ascii="Arial Bold" w:hAnsi="Arial Bold"/>
          <w:b/>
          <w:color w:val="9B0014"/>
          <w:sz w:val="26"/>
          <w:szCs w:val="24"/>
          <w:lang w:eastAsia="en-AU"/>
        </w:rPr>
      </w:pPr>
      <w:r>
        <w:br w:type="page"/>
      </w:r>
    </w:p>
    <w:p w14:paraId="60FC08F2" w14:textId="3AE811BC" w:rsidR="00532B49" w:rsidRPr="00C829B7" w:rsidRDefault="007C386F" w:rsidP="00A73EE1">
      <w:pPr>
        <w:pStyle w:val="Heading3nonumbering"/>
      </w:pPr>
      <w:r>
        <w:lastRenderedPageBreak/>
        <w:t>C</w:t>
      </w:r>
      <w:r w:rsidR="00447649" w:rsidRPr="00C829B7">
        <w:t xml:space="preserve">losure of </w:t>
      </w:r>
      <w:r w:rsidR="00465ECE">
        <w:t>the MSBS</w:t>
      </w:r>
      <w:r w:rsidR="00C829B7" w:rsidRPr="00C829B7">
        <w:t xml:space="preserve"> </w:t>
      </w:r>
      <w:r w:rsidR="00914FEB">
        <w:t xml:space="preserve">to new </w:t>
      </w:r>
      <w:r w:rsidR="00FB7FD4" w:rsidRPr="00FB7FD4">
        <w:t>Australian Defence Force</w:t>
      </w:r>
      <w:r w:rsidR="00914FEB">
        <w:t xml:space="preserve"> </w:t>
      </w:r>
      <w:r w:rsidR="00465ECE">
        <w:t xml:space="preserve">(ADF) </w:t>
      </w:r>
      <w:r w:rsidR="00914FEB">
        <w:t>personnel</w:t>
      </w:r>
      <w:r w:rsidR="00DC142A">
        <w:t xml:space="preserve"> </w:t>
      </w:r>
      <w:r w:rsidR="00C829B7" w:rsidRPr="00C829B7">
        <w:t>from 1 July 2016</w:t>
      </w:r>
    </w:p>
    <w:p w14:paraId="3FF00FA5" w14:textId="77777777" w:rsidR="006A47E8" w:rsidRDefault="00857E90" w:rsidP="00532B49">
      <w:pPr>
        <w:pStyle w:val="BodyText"/>
      </w:pPr>
      <w:r>
        <w:t>In the May 2014 Budget</w:t>
      </w:r>
      <w:r w:rsidR="00114918">
        <w:t>,</w:t>
      </w:r>
      <w:r>
        <w:t xml:space="preserve"> the Government announced its intention to close </w:t>
      </w:r>
      <w:r w:rsidR="00447649" w:rsidRPr="00C829B7">
        <w:t>the MSBS</w:t>
      </w:r>
      <w:r w:rsidR="007879EC" w:rsidRPr="00C829B7">
        <w:t xml:space="preserve"> </w:t>
      </w:r>
      <w:r>
        <w:t xml:space="preserve">to new ADF personnel from 1 July 2016. For new ADF personnel, MSBS would be </w:t>
      </w:r>
      <w:r w:rsidR="007879EC" w:rsidRPr="00C829B7">
        <w:t>replaced by a new accumulation scheme</w:t>
      </w:r>
      <w:r w:rsidR="00322A71" w:rsidRPr="00C829B7">
        <w:t xml:space="preserve"> to be known as ADF Super</w:t>
      </w:r>
      <w:r w:rsidR="006A47E8">
        <w:t xml:space="preserve">. </w:t>
      </w:r>
      <w:r>
        <w:t>Legislation giving effect to these changes is yet to be introduced to Parliament.</w:t>
      </w:r>
      <w:r w:rsidR="007B66F9" w:rsidRPr="00C829B7">
        <w:t xml:space="preserve"> </w:t>
      </w:r>
    </w:p>
    <w:p w14:paraId="7794FDB6" w14:textId="77777777" w:rsidR="006A47E8" w:rsidRDefault="00914FEB" w:rsidP="00532B49">
      <w:pPr>
        <w:pStyle w:val="BodyText"/>
      </w:pPr>
      <w:r>
        <w:t xml:space="preserve">A separate </w:t>
      </w:r>
      <w:r w:rsidR="00FD2A41">
        <w:t xml:space="preserve">unfunded defined benefit </w:t>
      </w:r>
      <w:r>
        <w:t>arrangement</w:t>
      </w:r>
      <w:r w:rsidR="00FD2A41">
        <w:t>,</w:t>
      </w:r>
      <w:r>
        <w:t xml:space="preserve"> to be known as </w:t>
      </w:r>
      <w:r w:rsidR="00236FAD" w:rsidRPr="00C829B7">
        <w:t xml:space="preserve">ADF </w:t>
      </w:r>
      <w:r>
        <w:t>Cover</w:t>
      </w:r>
      <w:r w:rsidR="00FD2A41">
        <w:t>,</w:t>
      </w:r>
      <w:r>
        <w:t xml:space="preserve"> would</w:t>
      </w:r>
      <w:r w:rsidR="00236FAD" w:rsidRPr="00C829B7">
        <w:t xml:space="preserve"> provide death and invalidity cover benefits</w:t>
      </w:r>
      <w:r w:rsidR="002215BC">
        <w:t xml:space="preserve"> for members of the new accumulation scheme</w:t>
      </w:r>
      <w:r w:rsidR="00236FAD" w:rsidRPr="00C829B7">
        <w:t xml:space="preserve">. </w:t>
      </w:r>
    </w:p>
    <w:p w14:paraId="29D627FA" w14:textId="131C1CD2" w:rsidR="00532B49" w:rsidRPr="00C829B7" w:rsidRDefault="007879EC" w:rsidP="00532B49">
      <w:pPr>
        <w:pStyle w:val="BodyText"/>
      </w:pPr>
      <w:bookmarkStart w:id="36" w:name="_Ref421719065"/>
      <w:r w:rsidRPr="00C829B7">
        <w:t>As part of the c</w:t>
      </w:r>
      <w:r w:rsidR="00C661D4">
        <w:t>urrent Long-</w:t>
      </w:r>
      <w:r w:rsidR="00114918">
        <w:t>Term Cost Report, I have</w:t>
      </w:r>
      <w:r w:rsidRPr="00C829B7">
        <w:t xml:space="preserve"> present</w:t>
      </w:r>
      <w:r w:rsidR="00114918">
        <w:t>ed</w:t>
      </w:r>
      <w:r w:rsidRPr="00C829B7">
        <w:t xml:space="preserve"> the</w:t>
      </w:r>
      <w:r w:rsidR="006402A1" w:rsidRPr="00C829B7">
        <w:t xml:space="preserve"> figures relating to </w:t>
      </w:r>
      <w:r w:rsidR="001221EF" w:rsidRPr="00C829B7">
        <w:t>two scenarios</w:t>
      </w:r>
      <w:r w:rsidR="00F32D79">
        <w:t>.</w:t>
      </w:r>
      <w:r w:rsidR="001221EF" w:rsidRPr="00C829B7">
        <w:t xml:space="preserve"> The first scenario assumes t</w:t>
      </w:r>
      <w:r w:rsidR="006A47E8">
        <w:t>he MSBS remains open to new ADF personnel</w:t>
      </w:r>
      <w:r w:rsidR="001221EF" w:rsidRPr="00C829B7">
        <w:t xml:space="preserve"> and the second assumes cl</w:t>
      </w:r>
      <w:r w:rsidR="006A47E8">
        <w:t>osure of the MSBS to new ADF personnel</w:t>
      </w:r>
      <w:r w:rsidR="001221EF" w:rsidRPr="00C829B7">
        <w:t xml:space="preserve"> from 1</w:t>
      </w:r>
      <w:r w:rsidR="00420B66">
        <w:t> </w:t>
      </w:r>
      <w:r w:rsidR="001221EF" w:rsidRPr="00C829B7">
        <w:t>July 2016.</w:t>
      </w:r>
      <w:r w:rsidR="00F32D79">
        <w:t xml:space="preserve"> </w:t>
      </w:r>
      <w:r w:rsidR="00F62DE5">
        <w:t xml:space="preserve">The </w:t>
      </w:r>
      <w:r w:rsidR="002F7A40" w:rsidRPr="00C829B7">
        <w:t xml:space="preserve">figures presented </w:t>
      </w:r>
      <w:r w:rsidR="00F62DE5">
        <w:t>for the second scenario</w:t>
      </w:r>
      <w:r w:rsidR="002F7A40" w:rsidRPr="00C829B7">
        <w:t xml:space="preserve"> do not include the cash outlays or liabilities relating to the new superannuation arrangements </w:t>
      </w:r>
      <w:r w:rsidR="006A47E8">
        <w:t xml:space="preserve">(ADF Super and ADF Cover) </w:t>
      </w:r>
      <w:r w:rsidR="002F7A40" w:rsidRPr="00C829B7">
        <w:t>from 1</w:t>
      </w:r>
      <w:r w:rsidR="00323D85">
        <w:t> </w:t>
      </w:r>
      <w:r w:rsidR="002F7A40" w:rsidRPr="00C829B7">
        <w:t>July 2016</w:t>
      </w:r>
      <w:r w:rsidR="000C14AE">
        <w:t xml:space="preserve"> and assume that there would be no transfers from MSBS to ADF Super</w:t>
      </w:r>
      <w:r w:rsidR="002F7A40" w:rsidRPr="00C829B7">
        <w:t>.</w:t>
      </w:r>
      <w:bookmarkEnd w:id="36"/>
      <w:r w:rsidR="00212C90">
        <w:t xml:space="preserve"> </w:t>
      </w:r>
    </w:p>
    <w:p w14:paraId="17C87B36" w14:textId="77777777" w:rsidR="00532B49" w:rsidRPr="00857BB6" w:rsidRDefault="00532B49" w:rsidP="00532B49">
      <w:pPr>
        <w:pStyle w:val="Heading2nonumbering"/>
      </w:pPr>
      <w:bookmarkStart w:id="37" w:name="_Toc425770483"/>
      <w:r w:rsidRPr="00857BB6">
        <w:t xml:space="preserve">Funding and </w:t>
      </w:r>
      <w:r>
        <w:t>p</w:t>
      </w:r>
      <w:r w:rsidRPr="00857BB6">
        <w:t xml:space="preserve">ayment of </w:t>
      </w:r>
      <w:r>
        <w:t>b</w:t>
      </w:r>
      <w:r w:rsidRPr="00857BB6">
        <w:t>enefits</w:t>
      </w:r>
      <w:bookmarkEnd w:id="37"/>
    </w:p>
    <w:p w14:paraId="012B94D9" w14:textId="47689670" w:rsidR="00532B49" w:rsidRDefault="00A917FA" w:rsidP="00A61D5D">
      <w:pPr>
        <w:pStyle w:val="BodyText"/>
      </w:pPr>
      <w:r>
        <w:t xml:space="preserve">In respect of the employer provided </w:t>
      </w:r>
      <w:r w:rsidR="006023A0">
        <w:t xml:space="preserve">component of the </w:t>
      </w:r>
      <w:r>
        <w:t xml:space="preserve">MSBS defined benefit arrangements, </w:t>
      </w:r>
      <w:r w:rsidR="00C93FE7">
        <w:t xml:space="preserve">after-tax </w:t>
      </w:r>
      <w:r w:rsidR="00532B49" w:rsidRPr="00857BB6">
        <w:t>productivity superannuati</w:t>
      </w:r>
      <w:r w:rsidR="00D51A58">
        <w:t xml:space="preserve">on contributions </w:t>
      </w:r>
      <w:r w:rsidR="00532B49" w:rsidRPr="00857BB6">
        <w:t>are accumulated with interest at the actual investment earnings rate</w:t>
      </w:r>
      <w:r w:rsidR="00532B49">
        <w:t>s</w:t>
      </w:r>
      <w:r w:rsidR="00532B49" w:rsidRPr="00857BB6">
        <w:t xml:space="preserve"> of the MSBS Fund</w:t>
      </w:r>
      <w:r w:rsidR="00532B49">
        <w:t xml:space="preserve">. When </w:t>
      </w:r>
      <w:r>
        <w:t xml:space="preserve">employer provided defined </w:t>
      </w:r>
      <w:r w:rsidR="00532B49">
        <w:t xml:space="preserve">benefits </w:t>
      </w:r>
      <w:r w:rsidR="00CF5248">
        <w:t>are first</w:t>
      </w:r>
      <w:r w:rsidR="00532B49">
        <w:t xml:space="preserve"> paid to a member, the accumulated productivity contributions are transferred to the </w:t>
      </w:r>
      <w:r w:rsidR="006023A0">
        <w:t>Consolidated Revenue Fund (</w:t>
      </w:r>
      <w:r w:rsidR="00532B49">
        <w:t>CRF</w:t>
      </w:r>
      <w:r w:rsidR="006023A0">
        <w:t>)</w:t>
      </w:r>
      <w:r w:rsidR="00532B49">
        <w:t xml:space="preserve"> and the employer</w:t>
      </w:r>
      <w:r w:rsidR="00532B49" w:rsidRPr="00857BB6">
        <w:t xml:space="preserve"> </w:t>
      </w:r>
      <w:r w:rsidR="00532B49">
        <w:t xml:space="preserve">benefit is financed </w:t>
      </w:r>
      <w:r w:rsidR="00532B49" w:rsidRPr="00857BB6">
        <w:t>from the CRF on an unfunded basis</w:t>
      </w:r>
      <w:r w:rsidR="00532B49">
        <w:t xml:space="preserve">. In any given year, the unfunded benefits paid from </w:t>
      </w:r>
      <w:r w:rsidR="002F60E9">
        <w:t xml:space="preserve">the </w:t>
      </w:r>
      <w:r w:rsidR="00532B49">
        <w:t>CRF will be the total amount of benefits paid less the transfers from the MSBS Fund relating to members who have exited in that year</w:t>
      </w:r>
      <w:r w:rsidR="00532B49" w:rsidRPr="00857BB6">
        <w:t>.</w:t>
      </w:r>
    </w:p>
    <w:p w14:paraId="7FF9EE38" w14:textId="77777777" w:rsidR="00651942" w:rsidRDefault="00651942" w:rsidP="00651942">
      <w:pPr>
        <w:pStyle w:val="BodyText"/>
      </w:pPr>
      <w:r>
        <w:t>The unfunded component of employer financed benefits from the MSBS is untaxed and no tax is levied on employer contributions for this component of benefits. Employer contributions for the 3</w:t>
      </w:r>
      <w:r w:rsidR="00F62DE5">
        <w:t xml:space="preserve"> per cent</w:t>
      </w:r>
      <w:r>
        <w:t xml:space="preserve"> Productivity Benefit are taxed at</w:t>
      </w:r>
      <w:r w:rsidR="00BB6BDD">
        <w:t xml:space="preserve"> 15</w:t>
      </w:r>
      <w:r w:rsidR="00F62DE5">
        <w:t xml:space="preserve"> per cent</w:t>
      </w:r>
      <w:r w:rsidR="00BB6BDD">
        <w:t xml:space="preserve"> when received by the MSBS F</w:t>
      </w:r>
      <w:r>
        <w:t>und.</w:t>
      </w:r>
    </w:p>
    <w:p w14:paraId="668C37B5" w14:textId="77777777" w:rsidR="00AB6383" w:rsidRDefault="00AB6383">
      <w:pPr>
        <w:spacing w:before="0" w:after="0" w:line="240" w:lineRule="auto"/>
        <w:jc w:val="left"/>
      </w:pPr>
      <w:r>
        <w:br w:type="page"/>
      </w:r>
    </w:p>
    <w:p w14:paraId="3234CCB0" w14:textId="2D530FA7" w:rsidR="00A917FA" w:rsidRPr="00857BB6" w:rsidRDefault="00A917FA" w:rsidP="00651942">
      <w:pPr>
        <w:pStyle w:val="BodyText"/>
      </w:pPr>
      <w:r>
        <w:lastRenderedPageBreak/>
        <w:t xml:space="preserve">In respect of the standard member account (non-ancillary account) in MSBS, member contributions </w:t>
      </w:r>
      <w:r w:rsidRPr="00857BB6">
        <w:t>are accumulated with interest at the actual investment earnings rate</w:t>
      </w:r>
      <w:r>
        <w:t>s</w:t>
      </w:r>
      <w:r w:rsidRPr="00857BB6">
        <w:t xml:space="preserve"> of the MSBS Fund</w:t>
      </w:r>
      <w:r>
        <w:t>. When a benefit from the member account is paid, the payment is made directly to the individual, or the individual’s nominated fund in the case of a roll over payment</w:t>
      </w:r>
      <w:r w:rsidR="006023A0">
        <w:t xml:space="preserve">. Where </w:t>
      </w:r>
      <w:r w:rsidR="00C7105C">
        <w:t>an MSBS member has an unfunded component of his or her</w:t>
      </w:r>
      <w:r w:rsidR="006023A0">
        <w:t xml:space="preserve"> member account </w:t>
      </w:r>
      <w:r w:rsidR="00C7105C">
        <w:t>as a result of earlier membership of</w:t>
      </w:r>
      <w:r w:rsidR="006023A0">
        <w:t xml:space="preserve"> DFRDB, payment of that component of the benefit is made from CRF.</w:t>
      </w:r>
    </w:p>
    <w:p w14:paraId="2E9D41FF" w14:textId="77777777" w:rsidR="00532B49" w:rsidRDefault="00532B49" w:rsidP="00A61D5D">
      <w:pPr>
        <w:pStyle w:val="BodyText"/>
      </w:pPr>
      <w:r w:rsidRPr="00857BB6">
        <w:t>Member contributions to the DFRDB are paid direct to the CRF and not accumulated in a fund</w:t>
      </w:r>
      <w:r>
        <w:t xml:space="preserve">. </w:t>
      </w:r>
      <w:r w:rsidRPr="00857BB6">
        <w:t>All benefits from the DFRDB (and DFRB pensions) are provided from the CRF on an unfunded basis.</w:t>
      </w:r>
    </w:p>
    <w:p w14:paraId="61F9A71B" w14:textId="77777777" w:rsidR="006023A0" w:rsidRDefault="006D0760" w:rsidP="00E70926">
      <w:pPr>
        <w:pStyle w:val="BodyText"/>
      </w:pPr>
      <w:r w:rsidRPr="00C829B7">
        <w:t xml:space="preserve">Since 1 July 2008, </w:t>
      </w:r>
      <w:r w:rsidR="006023A0">
        <w:t xml:space="preserve">employers with personnel in </w:t>
      </w:r>
      <w:r w:rsidRPr="00C829B7">
        <w:t xml:space="preserve">defined benefit schemes have been required to assess their </w:t>
      </w:r>
      <w:r w:rsidR="006023A0">
        <w:t xml:space="preserve">Superannuation Guarantee (SG) </w:t>
      </w:r>
      <w:r w:rsidRPr="00C829B7">
        <w:t>obligations against ordinary time earnings (OTE). OTE for ADF personnel includes allowances which are not included in the schemes’ defini</w:t>
      </w:r>
      <w:r w:rsidR="006023A0">
        <w:t>tions of superannuation salary.</w:t>
      </w:r>
      <w:r w:rsidRPr="00C829B7">
        <w:t xml:space="preserve"> </w:t>
      </w:r>
    </w:p>
    <w:p w14:paraId="418C9DFC" w14:textId="61DD5CDC" w:rsidR="00B639CD" w:rsidRDefault="009338B4" w:rsidP="00E70926">
      <w:pPr>
        <w:pStyle w:val="BodyText"/>
      </w:pPr>
      <w:r>
        <w:t>I</w:t>
      </w:r>
      <w:r w:rsidR="006D0760" w:rsidRPr="00C829B7">
        <w:t>n order to ensure compliance with SG obligations, employer contributions of up to</w:t>
      </w:r>
      <w:r w:rsidR="001F546B">
        <w:t xml:space="preserve"> </w:t>
      </w:r>
      <w:r w:rsidR="006D0760" w:rsidRPr="00C829B7">
        <w:t xml:space="preserve">9.5 per cent of certain allowances which do not form part of superannuation salary are </w:t>
      </w:r>
      <w:r>
        <w:t xml:space="preserve">currently being </w:t>
      </w:r>
      <w:r w:rsidR="006D0760" w:rsidRPr="00C829B7">
        <w:t xml:space="preserve">paid into the </w:t>
      </w:r>
      <w:r w:rsidR="006023A0">
        <w:t xml:space="preserve">ancillary section of the MSBS. </w:t>
      </w:r>
      <w:r w:rsidR="006D0760" w:rsidRPr="00C829B7">
        <w:t xml:space="preserve">In determining the amount of employer superannuation contributions for an individual, the maximum earnings base for SG purposes is taken into account. </w:t>
      </w:r>
      <w:r w:rsidR="00E70926" w:rsidRPr="00C829B7">
        <w:t>The additional employer contributions apply for both DFRDB and MSBS members and amounted to approxi</w:t>
      </w:r>
      <w:r w:rsidR="006023A0">
        <w:t>mately $28</w:t>
      </w:r>
      <w:r w:rsidR="00323D85">
        <w:t> </w:t>
      </w:r>
      <w:r w:rsidR="006023A0">
        <w:t>million in 2013-14</w:t>
      </w:r>
      <w:r w:rsidR="001B26C9">
        <w:t xml:space="preserve"> based on </w:t>
      </w:r>
      <w:r w:rsidR="00B639CD">
        <w:t xml:space="preserve">the </w:t>
      </w:r>
      <w:r>
        <w:t xml:space="preserve">then </w:t>
      </w:r>
      <w:r w:rsidR="00B639CD">
        <w:t>applicable SG rate of 9.25 per cent</w:t>
      </w:r>
      <w:r w:rsidR="006023A0">
        <w:t xml:space="preserve">. </w:t>
      </w:r>
      <w:r w:rsidR="00E70926" w:rsidRPr="00C829B7">
        <w:t xml:space="preserve">Total </w:t>
      </w:r>
      <w:r w:rsidR="00F25B73">
        <w:t>SG top up</w:t>
      </w:r>
      <w:r w:rsidR="00E70926" w:rsidRPr="00C829B7">
        <w:t xml:space="preserve"> contributions </w:t>
      </w:r>
      <w:r w:rsidR="00F25B73">
        <w:t xml:space="preserve">due to the OTE assessment requirement </w:t>
      </w:r>
      <w:r w:rsidR="00E70926" w:rsidRPr="00C829B7">
        <w:t xml:space="preserve">have declined </w:t>
      </w:r>
      <w:r w:rsidR="00B639CD">
        <w:t>in recent ye</w:t>
      </w:r>
      <w:r w:rsidR="00B639CD" w:rsidRPr="002215BC">
        <w:t>ars</w:t>
      </w:r>
      <w:r w:rsidR="00CF5248" w:rsidRPr="002215BC">
        <w:t xml:space="preserve"> </w:t>
      </w:r>
      <w:r w:rsidR="002215BC" w:rsidRPr="002215BC">
        <w:t>as the number of ADF personnel</w:t>
      </w:r>
      <w:r w:rsidR="00CF5248" w:rsidRPr="002215BC">
        <w:t xml:space="preserve"> on overseas deployment has reduced</w:t>
      </w:r>
      <w:r w:rsidR="00B639CD" w:rsidRPr="002215BC">
        <w:t>.</w:t>
      </w:r>
      <w:r w:rsidR="00B639CD">
        <w:t xml:space="preserve"> The figure for</w:t>
      </w:r>
      <w:r w:rsidR="0098782E">
        <w:br/>
      </w:r>
      <w:r w:rsidR="00B639CD">
        <w:t>2012-13 was $40</w:t>
      </w:r>
      <w:r w:rsidR="00323D85">
        <w:t> </w:t>
      </w:r>
      <w:r w:rsidR="00B639CD">
        <w:t>million based on the applicable S</w:t>
      </w:r>
      <w:r>
        <w:t>G rate of 9 per cent.</w:t>
      </w:r>
      <w:r w:rsidR="00E70926" w:rsidRPr="00C829B7">
        <w:t xml:space="preserve"> </w:t>
      </w:r>
    </w:p>
    <w:p w14:paraId="4A95AAF5" w14:textId="77777777" w:rsidR="00E70926" w:rsidRPr="00C829B7" w:rsidRDefault="00B639CD" w:rsidP="00E70926">
      <w:pPr>
        <w:pStyle w:val="BodyText"/>
      </w:pPr>
      <w:r>
        <w:t>For the purposes of the projections</w:t>
      </w:r>
      <w:r w:rsidR="00CF5248">
        <w:t xml:space="preserve"> in this report</w:t>
      </w:r>
      <w:r>
        <w:t xml:space="preserve">, it has been assumed that the </w:t>
      </w:r>
      <w:r w:rsidR="00CF5248">
        <w:t>OTE base for</w:t>
      </w:r>
      <w:r>
        <w:t xml:space="preserve"> </w:t>
      </w:r>
      <w:r w:rsidR="00F25B73">
        <w:t>SG</w:t>
      </w:r>
      <w:r>
        <w:t xml:space="preserve"> employer contributions</w:t>
      </w:r>
      <w:r w:rsidR="00CF5248">
        <w:t xml:space="preserve"> will </w:t>
      </w:r>
      <w:r w:rsidR="00144256" w:rsidRPr="002215BC">
        <w:t>represent</w:t>
      </w:r>
      <w:r w:rsidR="00CF5248" w:rsidRPr="002215BC">
        <w:t xml:space="preserve"> a steady proportion of ADF salaries</w:t>
      </w:r>
      <w:r w:rsidRPr="002215BC">
        <w:t>.</w:t>
      </w:r>
      <w:r>
        <w:t xml:space="preserve"> </w:t>
      </w:r>
      <w:r w:rsidR="00E70926" w:rsidRPr="00C829B7">
        <w:t>A starting point of $30 million</w:t>
      </w:r>
      <w:r>
        <w:t xml:space="preserve"> for 2014-15</w:t>
      </w:r>
      <w:r w:rsidR="00E70926" w:rsidRPr="00C829B7">
        <w:t xml:space="preserve"> has </w:t>
      </w:r>
      <w:r w:rsidR="00F25B73">
        <w:t>been used for projections of SG</w:t>
      </w:r>
      <w:r w:rsidR="00E70926" w:rsidRPr="00C829B7">
        <w:t xml:space="preserve"> contributions going forward.</w:t>
      </w:r>
      <w:r>
        <w:t xml:space="preserve"> The projections allow for </w:t>
      </w:r>
      <w:r w:rsidR="002A66B8">
        <w:t xml:space="preserve">the </w:t>
      </w:r>
      <w:r>
        <w:t>scheduled increa</w:t>
      </w:r>
      <w:r w:rsidR="00F25B73">
        <w:t>ses in the SG contribution rate</w:t>
      </w:r>
      <w:r>
        <w:t xml:space="preserve"> </w:t>
      </w:r>
      <w:r w:rsidR="002A66B8">
        <w:t>from its current level to an eventual 12 per cent over the period from 1</w:t>
      </w:r>
      <w:r w:rsidR="00323D85">
        <w:t> </w:t>
      </w:r>
      <w:r w:rsidR="002A66B8">
        <w:t>July</w:t>
      </w:r>
      <w:r w:rsidR="00323D85">
        <w:t> </w:t>
      </w:r>
      <w:r w:rsidR="002A66B8">
        <w:t xml:space="preserve">2021 </w:t>
      </w:r>
      <w:r>
        <w:t>from 1 July 2025.</w:t>
      </w:r>
    </w:p>
    <w:p w14:paraId="6ACC4DBF" w14:textId="77777777" w:rsidR="00532B49" w:rsidRPr="00C829B7" w:rsidRDefault="00F25B73" w:rsidP="00A61D5D">
      <w:pPr>
        <w:pStyle w:val="BodyText"/>
      </w:pPr>
      <w:r>
        <w:t>Employer SG</w:t>
      </w:r>
      <w:r w:rsidR="00651942" w:rsidRPr="00C829B7">
        <w:t xml:space="preserve"> contributions </w:t>
      </w:r>
      <w:r w:rsidR="00B96613">
        <w:t xml:space="preserve">in respect of </w:t>
      </w:r>
      <w:r w:rsidR="00B96613" w:rsidRPr="00C829B7">
        <w:t xml:space="preserve">certain allowances which do not form part of superannuation salary </w:t>
      </w:r>
      <w:r w:rsidR="00651942" w:rsidRPr="00C829B7">
        <w:t>are taxed at</w:t>
      </w:r>
      <w:r w:rsidR="00BB6BDD" w:rsidRPr="00C829B7">
        <w:t xml:space="preserve"> 15</w:t>
      </w:r>
      <w:r w:rsidR="00BF5A97">
        <w:t xml:space="preserve"> per cent</w:t>
      </w:r>
      <w:r w:rsidR="00BB6BDD" w:rsidRPr="00C829B7">
        <w:t xml:space="preserve"> when received by the MSBS F</w:t>
      </w:r>
      <w:r w:rsidR="00651942" w:rsidRPr="00C829B7">
        <w:t>und.</w:t>
      </w:r>
      <w:r w:rsidR="006D0760" w:rsidRPr="00C829B7">
        <w:t xml:space="preserve"> </w:t>
      </w:r>
    </w:p>
    <w:p w14:paraId="3ACF82EF" w14:textId="5D06B06A" w:rsidR="00532B49" w:rsidRPr="00857BB6" w:rsidRDefault="00B96613" w:rsidP="00ED5CBE">
      <w:pPr>
        <w:pStyle w:val="BodyText"/>
      </w:pPr>
      <w:r>
        <w:lastRenderedPageBreak/>
        <w:t>There are a number of o</w:t>
      </w:r>
      <w:r w:rsidR="00532B49" w:rsidRPr="00C829B7">
        <w:t xml:space="preserve">ther contributions </w:t>
      </w:r>
      <w:r>
        <w:t xml:space="preserve">made </w:t>
      </w:r>
      <w:r w:rsidR="00532B49" w:rsidRPr="00C829B7">
        <w:t>to the MSBS ancillary benefits section. Government co</w:t>
      </w:r>
      <w:r w:rsidR="00532B49" w:rsidRPr="00C829B7">
        <w:noBreakHyphen/>
        <w:t>contributions for all superannuation schemes are made via the Australian Taxation Office (ATO) and accounted for via that program. Accordingly, no allowance has been made in the projections for the Commonwealth cash expenditure associated with government co</w:t>
      </w:r>
      <w:r w:rsidR="00532B49" w:rsidRPr="00C829B7">
        <w:noBreakHyphen/>
        <w:t>contributions (for reference, these co</w:t>
      </w:r>
      <w:r w:rsidR="00532B49" w:rsidRPr="00C829B7">
        <w:noBreakHyphen/>
        <w:t>contributions amounted to $</w:t>
      </w:r>
      <w:r w:rsidR="001C5C43" w:rsidRPr="00C829B7">
        <w:t>3.4</w:t>
      </w:r>
      <w:r w:rsidR="00532B49" w:rsidRPr="00C829B7">
        <w:t xml:space="preserve"> million in 20</w:t>
      </w:r>
      <w:r w:rsidR="00A61D5D" w:rsidRPr="00C829B7">
        <w:t>1</w:t>
      </w:r>
      <w:r w:rsidR="001C5C43" w:rsidRPr="00C829B7">
        <w:t>3</w:t>
      </w:r>
      <w:r w:rsidR="00532B49" w:rsidRPr="00C829B7">
        <w:noBreakHyphen/>
      </w:r>
      <w:r w:rsidR="00A61D5D" w:rsidRPr="00C829B7">
        <w:t>1</w:t>
      </w:r>
      <w:r w:rsidR="001C5C43" w:rsidRPr="00C829B7">
        <w:t>4</w:t>
      </w:r>
      <w:r w:rsidR="00532B49" w:rsidRPr="00C829B7">
        <w:t>). Transfer</w:t>
      </w:r>
      <w:r w:rsidR="00532B49">
        <w:t xml:space="preserve"> amounts, personal, spouse and salary sacrifice contributions paid to the ancillary benefits section are made at an individual’s discretion, rather than determined under scheme rules. They have not been included in the projections.</w:t>
      </w:r>
      <w:r w:rsidR="00651942" w:rsidRPr="00651942">
        <w:t xml:space="preserve"> </w:t>
      </w:r>
      <w:r w:rsidR="00651942">
        <w:t xml:space="preserve">Any employer </w:t>
      </w:r>
      <w:r w:rsidR="003948D9">
        <w:t xml:space="preserve">contributions </w:t>
      </w:r>
      <w:r>
        <w:t>to</w:t>
      </w:r>
      <w:r w:rsidR="00651942">
        <w:t xml:space="preserve"> </w:t>
      </w:r>
      <w:r w:rsidR="00BF5A97">
        <w:t xml:space="preserve">the </w:t>
      </w:r>
      <w:r w:rsidR="00651942">
        <w:t xml:space="preserve">ancillary benefits </w:t>
      </w:r>
      <w:r>
        <w:t xml:space="preserve">section </w:t>
      </w:r>
      <w:r w:rsidR="00651942">
        <w:t>are taxed at</w:t>
      </w:r>
      <w:r w:rsidR="009616A2">
        <w:br/>
      </w:r>
      <w:r w:rsidR="00BB6BDD">
        <w:t>15</w:t>
      </w:r>
      <w:r w:rsidR="00BF5A97">
        <w:t xml:space="preserve"> per cent</w:t>
      </w:r>
      <w:r w:rsidR="00BB6BDD">
        <w:t xml:space="preserve"> when received by the MSBS F</w:t>
      </w:r>
      <w:r w:rsidR="00651942">
        <w:t>und.</w:t>
      </w:r>
    </w:p>
    <w:p w14:paraId="45DEEFE7" w14:textId="77777777" w:rsidR="00532B49" w:rsidRDefault="00532B49" w:rsidP="00A61D5D">
      <w:pPr>
        <w:pStyle w:val="BodyText"/>
      </w:pPr>
      <w:bookmarkStart w:id="38" w:name="_Ref231634025"/>
      <w:r w:rsidRPr="00857BB6">
        <w:t>The estimates in Chapter 6 of this repor</w:t>
      </w:r>
      <w:r w:rsidR="00D51A58">
        <w:t>t relate to the actual employer cash cost</w:t>
      </w:r>
      <w:r w:rsidRPr="00857BB6">
        <w:t xml:space="preserve"> payabl</w:t>
      </w:r>
      <w:r w:rsidR="00D51A58">
        <w:t xml:space="preserve">e by the Commonwealth, with the </w:t>
      </w:r>
      <w:r w:rsidRPr="00857BB6">
        <w:t>cost in each year being calculated as follows</w:t>
      </w:r>
      <w:r>
        <w:t>:</w:t>
      </w:r>
      <w:bookmarkEnd w:id="38"/>
    </w:p>
    <w:p w14:paraId="14A64C09" w14:textId="77777777" w:rsidR="00532B49" w:rsidRPr="00A73EE1" w:rsidRDefault="00532B49" w:rsidP="001F546B">
      <w:pPr>
        <w:pStyle w:val="StylenumberingindentedBold"/>
        <w:spacing w:before="120" w:after="120"/>
      </w:pPr>
      <w:r w:rsidRPr="00A73EE1">
        <w:t>MSBS</w:t>
      </w:r>
    </w:p>
    <w:p w14:paraId="4ABFA3F3" w14:textId="77777777" w:rsidR="00532B49" w:rsidRPr="00A73EE1" w:rsidRDefault="00532B49" w:rsidP="001F546B">
      <w:pPr>
        <w:pStyle w:val="StyleNoNumberLeft1cmFirstline075cm"/>
        <w:spacing w:before="120" w:after="120"/>
      </w:pPr>
      <w:r w:rsidRPr="00A73EE1">
        <w:t>Funded productivity superannuation contributions paid to the MSBS Fund</w:t>
      </w:r>
    </w:p>
    <w:p w14:paraId="35018156" w14:textId="77777777" w:rsidR="00532B49" w:rsidRPr="00A73EE1" w:rsidRDefault="00532B49" w:rsidP="001F546B">
      <w:pPr>
        <w:pStyle w:val="StyleNoNumberItalicLeft0cm"/>
        <w:spacing w:before="120" w:after="120"/>
      </w:pPr>
      <w:proofErr w:type="gramStart"/>
      <w:r w:rsidRPr="00A73EE1">
        <w:t>plus</w:t>
      </w:r>
      <w:proofErr w:type="gramEnd"/>
    </w:p>
    <w:p w14:paraId="15CB94D7" w14:textId="77777777" w:rsidR="00532B49" w:rsidRDefault="00532B49" w:rsidP="001F546B">
      <w:pPr>
        <w:pStyle w:val="StyleNoNumberLeft1cmFirstline075cm"/>
        <w:spacing w:before="120" w:after="120"/>
      </w:pPr>
      <w:r w:rsidRPr="00857BB6">
        <w:t xml:space="preserve">Unfunded </w:t>
      </w:r>
      <w:r>
        <w:t>benefits paid from the CRF</w:t>
      </w:r>
      <w:r w:rsidR="00B96613">
        <w:t xml:space="preserve"> (after netting off transfers from the MSBS Fund</w:t>
      </w:r>
      <w:r w:rsidR="000D4C93">
        <w:t>)</w:t>
      </w:r>
    </w:p>
    <w:p w14:paraId="3E19B25B" w14:textId="77777777" w:rsidR="00532B49" w:rsidRPr="00A73EE1" w:rsidRDefault="00532B49" w:rsidP="001F546B">
      <w:pPr>
        <w:pStyle w:val="StylenumberingindentedBold"/>
        <w:spacing w:before="120" w:after="120"/>
      </w:pPr>
      <w:r w:rsidRPr="00A73EE1">
        <w:t>DFRDB</w:t>
      </w:r>
    </w:p>
    <w:p w14:paraId="7ADC1403" w14:textId="77777777" w:rsidR="00532B49" w:rsidRDefault="00532B49" w:rsidP="001F546B">
      <w:pPr>
        <w:pStyle w:val="StyleNoNumberLeft1cmFirstline075cm"/>
        <w:spacing w:before="120" w:after="120"/>
      </w:pPr>
      <w:r w:rsidRPr="00857BB6">
        <w:t>Benefits (</w:t>
      </w:r>
      <w:r>
        <w:t xml:space="preserve">entirely </w:t>
      </w:r>
      <w:r w:rsidRPr="00857BB6">
        <w:t>unfunded) paid from the CRF</w:t>
      </w:r>
    </w:p>
    <w:p w14:paraId="67F8B7D1" w14:textId="77777777" w:rsidR="00532B49" w:rsidRPr="00A73EE1" w:rsidRDefault="00532B49" w:rsidP="001F546B">
      <w:pPr>
        <w:pStyle w:val="StyleNoNumberItalicLeft0cm"/>
        <w:spacing w:before="120" w:after="120"/>
      </w:pPr>
      <w:proofErr w:type="gramStart"/>
      <w:r w:rsidRPr="00A73EE1">
        <w:t>less</w:t>
      </w:r>
      <w:proofErr w:type="gramEnd"/>
    </w:p>
    <w:p w14:paraId="4BB0A903" w14:textId="77777777" w:rsidR="00532B49" w:rsidRPr="00857BB6" w:rsidRDefault="00532B49" w:rsidP="001F546B">
      <w:pPr>
        <w:pStyle w:val="StyleNoNumberLeft1cmFirstline075cm"/>
        <w:spacing w:before="120" w:after="120"/>
      </w:pPr>
      <w:r w:rsidRPr="00857BB6">
        <w:t>Membe</w:t>
      </w:r>
      <w:r>
        <w:t>r contributions paid to the CRF</w:t>
      </w:r>
    </w:p>
    <w:p w14:paraId="5350BAFF" w14:textId="77777777" w:rsidR="00532B49" w:rsidRPr="00A73EE1" w:rsidRDefault="00532B49" w:rsidP="001F546B">
      <w:pPr>
        <w:pStyle w:val="StylenumberingindentedBold"/>
        <w:spacing w:before="120" w:after="120"/>
      </w:pPr>
      <w:r w:rsidRPr="00A73EE1">
        <w:t>DFRB</w:t>
      </w:r>
    </w:p>
    <w:p w14:paraId="5B22997C" w14:textId="77777777" w:rsidR="00532B49" w:rsidRPr="00857BB6" w:rsidRDefault="00532B49" w:rsidP="001F546B">
      <w:pPr>
        <w:pStyle w:val="StyleNoNumberLeft1cmFirstline075cm"/>
        <w:spacing w:before="120" w:after="120"/>
      </w:pPr>
      <w:r>
        <w:t xml:space="preserve">Pensions paid from </w:t>
      </w:r>
      <w:r w:rsidR="00064EB6">
        <w:t xml:space="preserve">the </w:t>
      </w:r>
      <w:r>
        <w:t>CRF</w:t>
      </w:r>
    </w:p>
    <w:p w14:paraId="59670383" w14:textId="77777777" w:rsidR="00532B49" w:rsidRPr="00A73EE1" w:rsidRDefault="00532B49" w:rsidP="001F546B">
      <w:pPr>
        <w:pStyle w:val="StylenumberingindentedBold"/>
        <w:spacing w:before="120" w:after="120"/>
      </w:pPr>
      <w:r w:rsidRPr="00A73EE1">
        <w:t>Superannuation Guarantee Contributions</w:t>
      </w:r>
      <w:r w:rsidR="00F25B73" w:rsidRPr="00A73EE1">
        <w:t xml:space="preserve"> (OTE assessment)</w:t>
      </w:r>
    </w:p>
    <w:p w14:paraId="5FFE8DC8" w14:textId="77777777" w:rsidR="00532B49" w:rsidRPr="00857BB6" w:rsidRDefault="00532B49" w:rsidP="001F546B">
      <w:pPr>
        <w:pStyle w:val="StyleNoNumberLeft1cmFirstline075cm"/>
        <w:spacing w:before="120" w:after="120"/>
      </w:pPr>
      <w:r>
        <w:t>Funded contributions paid to the ancillary section of the MSBS Fund</w:t>
      </w:r>
      <w:r w:rsidR="009A2400">
        <w:t>.</w:t>
      </w:r>
    </w:p>
    <w:p w14:paraId="14A5AC03" w14:textId="77777777" w:rsidR="00AB6383" w:rsidRDefault="00AB6383">
      <w:pPr>
        <w:spacing w:before="0" w:after="0" w:line="240" w:lineRule="auto"/>
        <w:jc w:val="left"/>
        <w:rPr>
          <w:rFonts w:ascii="Arial Bold" w:hAnsi="Arial Bold" w:cs="Arial"/>
          <w:b/>
          <w:bCs/>
          <w:iCs/>
          <w:caps/>
          <w:color w:val="9B0014"/>
          <w:sz w:val="28"/>
          <w:szCs w:val="22"/>
          <w:lang w:eastAsia="en-AU"/>
        </w:rPr>
      </w:pPr>
      <w:r>
        <w:br w:type="page"/>
      </w:r>
    </w:p>
    <w:p w14:paraId="43921FA7" w14:textId="1CB631EA" w:rsidR="00532B49" w:rsidRPr="00857BB6" w:rsidRDefault="00532B49" w:rsidP="00532B49">
      <w:pPr>
        <w:pStyle w:val="Heading2nonumbering"/>
      </w:pPr>
      <w:bookmarkStart w:id="39" w:name="_Toc425770484"/>
      <w:r w:rsidRPr="00857BB6">
        <w:lastRenderedPageBreak/>
        <w:t xml:space="preserve">Retention </w:t>
      </w:r>
      <w:r>
        <w:t>b</w:t>
      </w:r>
      <w:r w:rsidRPr="00857BB6">
        <w:t>enefit</w:t>
      </w:r>
      <w:bookmarkEnd w:id="39"/>
    </w:p>
    <w:p w14:paraId="57D51605" w14:textId="77777777" w:rsidR="00532B49" w:rsidRDefault="00532B49" w:rsidP="00A61D5D">
      <w:pPr>
        <w:pStyle w:val="BodyText"/>
      </w:pPr>
      <w:r w:rsidRPr="00857BB6">
        <w:t xml:space="preserve">The </w:t>
      </w:r>
      <w:r w:rsidRPr="00182E4C">
        <w:rPr>
          <w:i/>
        </w:rPr>
        <w:t>Military Superannuation and Benefits Act 1991</w:t>
      </w:r>
      <w:r w:rsidRPr="00857BB6">
        <w:t xml:space="preserve"> also </w:t>
      </w:r>
      <w:r>
        <w:t>provides for</w:t>
      </w:r>
      <w:r w:rsidRPr="00857BB6">
        <w:t xml:space="preserve"> a retention benefit which is payable to eligible personnel who, on completion of 15</w:t>
      </w:r>
      <w:r>
        <w:t xml:space="preserve"> </w:t>
      </w:r>
      <w:r w:rsidR="00EA4791" w:rsidRPr="00857BB6">
        <w:t>years’ service</w:t>
      </w:r>
      <w:r w:rsidRPr="00857BB6">
        <w:t xml:space="preserve">, undertake to complete a further </w:t>
      </w:r>
      <w:r>
        <w:t>five</w:t>
      </w:r>
      <w:r w:rsidRPr="00857BB6">
        <w:t xml:space="preserve"> </w:t>
      </w:r>
      <w:r w:rsidR="00EA4791" w:rsidRPr="00857BB6">
        <w:t>years’ service</w:t>
      </w:r>
      <w:r>
        <w:t xml:space="preserve">. </w:t>
      </w:r>
      <w:r w:rsidRPr="00857BB6">
        <w:t>The benefi</w:t>
      </w:r>
      <w:r w:rsidR="009A2400">
        <w:t>t is a lump sum of one year’</w:t>
      </w:r>
      <w:r w:rsidRPr="00857BB6">
        <w:t xml:space="preserve">s salary which is paid directly to the individual </w:t>
      </w:r>
      <w:r>
        <w:t xml:space="preserve">at the time he or she commits to the additional service </w:t>
      </w:r>
      <w:r w:rsidRPr="00857BB6">
        <w:t>and is taxed as assessable income in the hands of the individual</w:t>
      </w:r>
      <w:r>
        <w:t xml:space="preserve">. </w:t>
      </w:r>
      <w:r w:rsidRPr="00857BB6">
        <w:t>As the retention benefit is not a superannuation benefit</w:t>
      </w:r>
      <w:r>
        <w:t xml:space="preserve"> (being payable prior to exit from service)</w:t>
      </w:r>
      <w:r w:rsidRPr="00857BB6">
        <w:t>, the benefit outgo and associated employer costs have not been included in this report.</w:t>
      </w:r>
    </w:p>
    <w:p w14:paraId="24BA9B2E" w14:textId="5F7A6616" w:rsidR="00FA769D" w:rsidRDefault="00532B49" w:rsidP="00A61D5D">
      <w:pPr>
        <w:pStyle w:val="BodyText"/>
      </w:pPr>
      <w:r>
        <w:t xml:space="preserve">Access to the retention benefit ceased </w:t>
      </w:r>
      <w:r w:rsidR="00AE2ACF">
        <w:t>for new members entering the ADF on 5</w:t>
      </w:r>
      <w:r w:rsidR="00460C0E">
        <w:t> </w:t>
      </w:r>
      <w:r w:rsidR="00AE2ACF">
        <w:t>October 2005.</w:t>
      </w:r>
      <w:r w:rsidR="00D851F3">
        <w:t xml:space="preserve"> Retention benefit provisions have been retained for </w:t>
      </w:r>
      <w:r w:rsidR="00FA769D">
        <w:t xml:space="preserve">those who were </w:t>
      </w:r>
      <w:r w:rsidR="00D851F3">
        <w:t xml:space="preserve">members </w:t>
      </w:r>
      <w:r w:rsidR="00FA769D">
        <w:t>of the</w:t>
      </w:r>
      <w:r w:rsidR="00D851F3">
        <w:t xml:space="preserve"> MSBS prior to that date. The last retention benefit payments can </w:t>
      </w:r>
      <w:r w:rsidR="00FA769D">
        <w:t xml:space="preserve">therefore </w:t>
      </w:r>
      <w:r w:rsidR="00D851F3">
        <w:t xml:space="preserve">be expected to </w:t>
      </w:r>
      <w:r w:rsidR="00FA769D">
        <w:t>occur</w:t>
      </w:r>
      <w:r w:rsidR="00D851F3">
        <w:t xml:space="preserve"> </w:t>
      </w:r>
      <w:r w:rsidR="00FA769D">
        <w:t>in 2020</w:t>
      </w:r>
      <w:r w:rsidR="00D851F3">
        <w:t>.</w:t>
      </w:r>
      <w:r>
        <w:t xml:space="preserve"> </w:t>
      </w:r>
    </w:p>
    <w:p w14:paraId="25DFF3A0" w14:textId="77777777" w:rsidR="00532B49" w:rsidRDefault="00532B49" w:rsidP="00A61D5D">
      <w:pPr>
        <w:pStyle w:val="BodyText"/>
      </w:pPr>
      <w:r>
        <w:t xml:space="preserve">Since 2005, there have been a number of retention initiatives introduced, including more targeted completion bonus payments. As with the </w:t>
      </w:r>
      <w:r w:rsidR="00FA769D">
        <w:t xml:space="preserve">MSBS </w:t>
      </w:r>
      <w:r>
        <w:t xml:space="preserve">retention benefit, these payments </w:t>
      </w:r>
      <w:r w:rsidR="00FA769D">
        <w:t xml:space="preserve">are not superannuation benefits, nor </w:t>
      </w:r>
      <w:r>
        <w:t xml:space="preserve">do </w:t>
      </w:r>
      <w:r w:rsidR="00FA769D">
        <w:t>they</w:t>
      </w:r>
      <w:r>
        <w:t xml:space="preserve"> form part of superannuation salary for the purposes of the defined benefits payable under the MSBS or the DFRDB. They do, however, form part of OTE and, as such, give rise to Superannuation Guarantee contributions which have been included in the </w:t>
      </w:r>
      <w:proofErr w:type="spellStart"/>
      <w:r>
        <w:t>cashflows</w:t>
      </w:r>
      <w:proofErr w:type="spellEnd"/>
      <w:r>
        <w:t xml:space="preserve"> reported in Chapter 6.</w:t>
      </w:r>
    </w:p>
    <w:p w14:paraId="1B9218A5" w14:textId="77777777" w:rsidR="007C3F28" w:rsidRPr="001C502B" w:rsidRDefault="007C3F28" w:rsidP="001C502B"/>
    <w:p w14:paraId="4EC82B69" w14:textId="77777777" w:rsidR="001C502B" w:rsidRPr="001C502B" w:rsidRDefault="001C502B" w:rsidP="001C502B"/>
    <w:p w14:paraId="70364132" w14:textId="77777777" w:rsidR="001C502B" w:rsidRPr="001C502B" w:rsidRDefault="001C502B" w:rsidP="001C502B">
      <w:pPr>
        <w:sectPr w:rsidR="001C502B" w:rsidRPr="001C502B" w:rsidSect="000E6C41">
          <w:headerReference w:type="default" r:id="rId40"/>
          <w:type w:val="oddPage"/>
          <w:pgSz w:w="11906" w:h="16838" w:code="9"/>
          <w:pgMar w:top="2466" w:right="2098" w:bottom="2466" w:left="2098" w:header="1899" w:footer="1899" w:gutter="0"/>
          <w:cols w:space="708"/>
          <w:titlePg/>
          <w:docGrid w:linePitch="360"/>
        </w:sectPr>
      </w:pPr>
    </w:p>
    <w:p w14:paraId="6C700423" w14:textId="77777777" w:rsidR="00B874DF" w:rsidRPr="00002FD3" w:rsidRDefault="00B874DF" w:rsidP="001F546B">
      <w:pPr>
        <w:pStyle w:val="Heading1"/>
      </w:pPr>
      <w:bookmarkStart w:id="40" w:name="_Toc233610048"/>
      <w:bookmarkStart w:id="41" w:name="_Ref308527997"/>
      <w:bookmarkStart w:id="42" w:name="_Ref308528011"/>
      <w:bookmarkStart w:id="43" w:name="_Ref308528120"/>
      <w:bookmarkStart w:id="44" w:name="_Ref308528128"/>
      <w:bookmarkStart w:id="45" w:name="_Ref324492950"/>
      <w:bookmarkStart w:id="46" w:name="_Ref413074437"/>
      <w:bookmarkStart w:id="47" w:name="_Ref413074505"/>
      <w:bookmarkStart w:id="48" w:name="_Ref413074668"/>
      <w:bookmarkStart w:id="49" w:name="_Ref413074684"/>
      <w:bookmarkStart w:id="50" w:name="_Ref421614133"/>
      <w:bookmarkStart w:id="51" w:name="_Ref421614158"/>
      <w:bookmarkStart w:id="52" w:name="_Ref421614244"/>
      <w:bookmarkStart w:id="53" w:name="_Toc425770485"/>
      <w:r w:rsidRPr="00002FD3">
        <w:lastRenderedPageBreak/>
        <w:t>Membership, data and assets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05B9EFD" w14:textId="77777777" w:rsidR="00B874DF" w:rsidRPr="00857BB6" w:rsidRDefault="00B874DF" w:rsidP="00B874DF">
      <w:pPr>
        <w:pStyle w:val="Heading2nonumbering"/>
      </w:pPr>
      <w:bookmarkStart w:id="54" w:name="_Toc425770486"/>
      <w:r w:rsidRPr="00857BB6">
        <w:t>Data</w:t>
      </w:r>
      <w:bookmarkEnd w:id="54"/>
    </w:p>
    <w:p w14:paraId="75EF1584" w14:textId="77777777" w:rsidR="00B874DF" w:rsidRPr="007C2618" w:rsidRDefault="00B874DF" w:rsidP="00B874DF">
      <w:pPr>
        <w:pStyle w:val="BodyText"/>
      </w:pPr>
      <w:r w:rsidRPr="007C2618">
        <w:t xml:space="preserve">This report has been based </w:t>
      </w:r>
      <w:r w:rsidR="00144256">
        <w:t xml:space="preserve">on data supplied by </w:t>
      </w:r>
      <w:proofErr w:type="spellStart"/>
      <w:r w:rsidR="00144256">
        <w:t>ComSuper</w:t>
      </w:r>
      <w:proofErr w:type="spellEnd"/>
      <w:r w:rsidR="00144256">
        <w:t xml:space="preserve"> which</w:t>
      </w:r>
      <w:r w:rsidRPr="007C2618">
        <w:t xml:space="preserve"> </w:t>
      </w:r>
      <w:r w:rsidR="00144256">
        <w:t>administers</w:t>
      </w:r>
      <w:r w:rsidRPr="007C2618">
        <w:t xml:space="preserve"> the schemes</w:t>
      </w:r>
      <w:r>
        <w:t xml:space="preserve">. </w:t>
      </w:r>
      <w:proofErr w:type="spellStart"/>
      <w:r w:rsidRPr="007C2618">
        <w:t>ComSuper</w:t>
      </w:r>
      <w:proofErr w:type="spellEnd"/>
      <w:r w:rsidRPr="007C2618">
        <w:t xml:space="preserve"> put a considerable effort into supplying data in a form suitable f</w:t>
      </w:r>
      <w:r>
        <w:t xml:space="preserve">or actuarial analysis. </w:t>
      </w:r>
      <w:r w:rsidR="00366BB3">
        <w:t>A</w:t>
      </w:r>
      <w:r>
        <w:t xml:space="preserve"> number of checks </w:t>
      </w:r>
      <w:r w:rsidR="00366BB3">
        <w:t xml:space="preserve">were carried out </w:t>
      </w:r>
      <w:r>
        <w:t>to ensure that the data wa</w:t>
      </w:r>
      <w:r w:rsidRPr="007C2618">
        <w:t>s sufficiently accurate for the purpose of the report.</w:t>
      </w:r>
    </w:p>
    <w:p w14:paraId="70195F56" w14:textId="77777777" w:rsidR="00B874DF" w:rsidRDefault="00B874DF" w:rsidP="00B874DF">
      <w:pPr>
        <w:pStyle w:val="BodyText"/>
      </w:pPr>
      <w:bookmarkStart w:id="55" w:name="_Ref233606324"/>
      <w:bookmarkStart w:id="56" w:name="_Ref233608649"/>
      <w:r w:rsidRPr="00857BB6">
        <w:t xml:space="preserve">Details of the </w:t>
      </w:r>
      <w:r>
        <w:t xml:space="preserve">main data </w:t>
      </w:r>
      <w:r w:rsidRPr="00857BB6">
        <w:t>checks are included below</w:t>
      </w:r>
      <w:r>
        <w:t xml:space="preserve">. </w:t>
      </w:r>
      <w:r w:rsidRPr="00857BB6">
        <w:t xml:space="preserve">These checks indicate that the data is substantially complete and hence </w:t>
      </w:r>
      <w:r w:rsidR="00366BB3">
        <w:t>I am</w:t>
      </w:r>
      <w:r w:rsidRPr="00857BB6">
        <w:t xml:space="preserve"> satisfied that the data is sufficiently accurate for the purposes of this report.</w:t>
      </w:r>
      <w:r>
        <w:t xml:space="preserve"> </w:t>
      </w:r>
      <w:bookmarkEnd w:id="55"/>
      <w:bookmarkEnd w:id="56"/>
    </w:p>
    <w:p w14:paraId="186B6626" w14:textId="77777777" w:rsidR="00B874DF" w:rsidRPr="00857BB6" w:rsidRDefault="00B874DF" w:rsidP="00B874DF">
      <w:pPr>
        <w:pStyle w:val="BodyText"/>
      </w:pPr>
      <w:r>
        <w:t xml:space="preserve">Checks were also done on the internal consistency of individual records and, where necessary, queries were followed up with </w:t>
      </w:r>
      <w:proofErr w:type="spellStart"/>
      <w:r>
        <w:t>ComSuper</w:t>
      </w:r>
      <w:proofErr w:type="spellEnd"/>
      <w:r>
        <w:t>. Where it could be established that the information on the data supplied was inaccurate, records were amended to enable a more accurate valuation.</w:t>
      </w:r>
    </w:p>
    <w:p w14:paraId="6B3A75AD" w14:textId="77777777" w:rsidR="00B874DF" w:rsidRPr="00857BB6" w:rsidRDefault="00B874DF" w:rsidP="00B874DF">
      <w:pPr>
        <w:pStyle w:val="Heading2nonumbering"/>
      </w:pPr>
      <w:bookmarkStart w:id="57" w:name="_Toc425770487"/>
      <w:r w:rsidRPr="00857BB6">
        <w:t>Membership</w:t>
      </w:r>
      <w:bookmarkEnd w:id="57"/>
    </w:p>
    <w:p w14:paraId="3CC15EB1" w14:textId="77777777" w:rsidR="00B874DF" w:rsidRDefault="00B874DF" w:rsidP="00B874DF">
      <w:pPr>
        <w:pStyle w:val="BodyText"/>
      </w:pPr>
      <w:r w:rsidRPr="00857BB6">
        <w:t>A summary of the contributory membership valued is set out below.</w:t>
      </w:r>
    </w:p>
    <w:p w14:paraId="615A74E8" w14:textId="77777777" w:rsidR="00B874DF" w:rsidRPr="00857BB6" w:rsidRDefault="00B874DF" w:rsidP="00B874DF">
      <w:pPr>
        <w:pStyle w:val="TableMainHeading"/>
      </w:pPr>
      <w:r w:rsidRPr="00857BB6">
        <w:t>C</w:t>
      </w:r>
      <w:r>
        <w:t>ontributors</w:t>
      </w:r>
      <w:r w:rsidRPr="00857BB6">
        <w:t xml:space="preserve"> (as at 30 June 20</w:t>
      </w:r>
      <w:r w:rsidR="00512614">
        <w:t>1</w:t>
      </w:r>
      <w:r w:rsidR="00EE424B">
        <w:t>4</w:t>
      </w:r>
      <w:r w:rsidRPr="00857BB6">
        <w:t>)</w:t>
      </w:r>
    </w:p>
    <w:tbl>
      <w:tblPr>
        <w:tblW w:w="7146" w:type="dxa"/>
        <w:tblInd w:w="675" w:type="dxa"/>
        <w:tblBorders>
          <w:top w:val="single" w:sz="2" w:space="0" w:color="000000"/>
          <w:bottom w:val="single" w:sz="2" w:space="0" w:color="000000"/>
        </w:tblBorders>
        <w:tblLayout w:type="fixed"/>
        <w:tblLook w:val="0000" w:firstRow="0" w:lastRow="0" w:firstColumn="0" w:lastColumn="0" w:noHBand="0" w:noVBand="0"/>
      </w:tblPr>
      <w:tblGrid>
        <w:gridCol w:w="1985"/>
        <w:gridCol w:w="1200"/>
        <w:gridCol w:w="1204"/>
        <w:gridCol w:w="350"/>
        <w:gridCol w:w="1203"/>
        <w:gridCol w:w="1204"/>
      </w:tblGrid>
      <w:tr w:rsidR="00B874DF" w:rsidRPr="005611C6" w14:paraId="3D4477DA" w14:textId="77777777" w:rsidTr="0048020A">
        <w:tc>
          <w:tcPr>
            <w:tcW w:w="1985" w:type="dxa"/>
            <w:tcBorders>
              <w:top w:val="single" w:sz="2" w:space="0" w:color="000000"/>
              <w:bottom w:val="nil"/>
            </w:tcBorders>
            <w:shd w:val="clear" w:color="auto" w:fill="E6E6E6"/>
          </w:tcPr>
          <w:p w14:paraId="6643C27E" w14:textId="77777777" w:rsidR="00B874DF" w:rsidRPr="005611C6" w:rsidRDefault="00B874DF" w:rsidP="00F5344C">
            <w:pPr>
              <w:pStyle w:val="TableColumnHeadingCentred"/>
            </w:pPr>
          </w:p>
        </w:tc>
        <w:tc>
          <w:tcPr>
            <w:tcW w:w="2404" w:type="dxa"/>
            <w:gridSpan w:val="2"/>
            <w:tcBorders>
              <w:top w:val="single" w:sz="2" w:space="0" w:color="000000"/>
              <w:bottom w:val="single" w:sz="2" w:space="0" w:color="000000"/>
            </w:tcBorders>
            <w:shd w:val="clear" w:color="auto" w:fill="E6E6E6"/>
          </w:tcPr>
          <w:p w14:paraId="50895049" w14:textId="77777777" w:rsidR="00B874DF" w:rsidRPr="005611C6" w:rsidRDefault="00B874DF" w:rsidP="00F5344C">
            <w:pPr>
              <w:pStyle w:val="TableColumnHeadingCentred"/>
            </w:pPr>
            <w:r w:rsidRPr="005611C6">
              <w:t>MSBS</w:t>
            </w:r>
          </w:p>
        </w:tc>
        <w:tc>
          <w:tcPr>
            <w:tcW w:w="350" w:type="dxa"/>
            <w:tcBorders>
              <w:top w:val="single" w:sz="2" w:space="0" w:color="000000"/>
              <w:bottom w:val="nil"/>
            </w:tcBorders>
            <w:shd w:val="clear" w:color="auto" w:fill="E6E6E6"/>
          </w:tcPr>
          <w:p w14:paraId="3ED9EBAB" w14:textId="77777777" w:rsidR="00B874DF" w:rsidRPr="005611C6" w:rsidRDefault="00B874DF" w:rsidP="00F5344C">
            <w:pPr>
              <w:pStyle w:val="TableColumnHeadingCentred"/>
            </w:pPr>
          </w:p>
        </w:tc>
        <w:tc>
          <w:tcPr>
            <w:tcW w:w="2407" w:type="dxa"/>
            <w:gridSpan w:val="2"/>
            <w:tcBorders>
              <w:top w:val="single" w:sz="2" w:space="0" w:color="000000"/>
              <w:bottom w:val="single" w:sz="2" w:space="0" w:color="000000"/>
            </w:tcBorders>
            <w:shd w:val="clear" w:color="auto" w:fill="E6E6E6"/>
          </w:tcPr>
          <w:p w14:paraId="4932CF38" w14:textId="77777777" w:rsidR="00B874DF" w:rsidRPr="005611C6" w:rsidRDefault="00B874DF" w:rsidP="00F5344C">
            <w:pPr>
              <w:pStyle w:val="TableColumnHeadingCentred"/>
            </w:pPr>
            <w:r w:rsidRPr="005611C6">
              <w:t>DFRDB</w:t>
            </w:r>
          </w:p>
        </w:tc>
      </w:tr>
      <w:tr w:rsidR="00450E21" w:rsidRPr="005611C6" w14:paraId="366E156B" w14:textId="77777777" w:rsidTr="0048020A">
        <w:tc>
          <w:tcPr>
            <w:tcW w:w="1985" w:type="dxa"/>
            <w:tcBorders>
              <w:top w:val="nil"/>
              <w:bottom w:val="single" w:sz="2" w:space="0" w:color="000000"/>
            </w:tcBorders>
            <w:shd w:val="clear" w:color="auto" w:fill="E6E6E6"/>
          </w:tcPr>
          <w:p w14:paraId="06B6BE3D" w14:textId="77777777" w:rsidR="00B874DF" w:rsidRPr="005611C6" w:rsidRDefault="00B874DF" w:rsidP="00F5344C">
            <w:pPr>
              <w:pStyle w:val="TableColumnHeadingRight"/>
            </w:pPr>
          </w:p>
        </w:tc>
        <w:tc>
          <w:tcPr>
            <w:tcW w:w="1200" w:type="dxa"/>
            <w:tcBorders>
              <w:top w:val="single" w:sz="2" w:space="0" w:color="000000"/>
              <w:bottom w:val="single" w:sz="2" w:space="0" w:color="000000"/>
            </w:tcBorders>
            <w:shd w:val="clear" w:color="auto" w:fill="E6E6E6"/>
          </w:tcPr>
          <w:p w14:paraId="2BACEE0C" w14:textId="77777777" w:rsidR="00B874DF" w:rsidRPr="005611C6" w:rsidRDefault="00B874DF" w:rsidP="00F5344C">
            <w:pPr>
              <w:pStyle w:val="TableColumnHeadingRight"/>
            </w:pPr>
            <w:r w:rsidRPr="005611C6">
              <w:t>Number</w:t>
            </w:r>
          </w:p>
        </w:tc>
        <w:tc>
          <w:tcPr>
            <w:tcW w:w="1204" w:type="dxa"/>
            <w:tcBorders>
              <w:top w:val="single" w:sz="2" w:space="0" w:color="000000"/>
              <w:bottom w:val="single" w:sz="2" w:space="0" w:color="000000"/>
            </w:tcBorders>
            <w:shd w:val="clear" w:color="auto" w:fill="E6E6E6"/>
          </w:tcPr>
          <w:p w14:paraId="24350B91" w14:textId="77777777" w:rsidR="00B874DF" w:rsidRPr="005611C6" w:rsidRDefault="00B874DF" w:rsidP="00F5344C">
            <w:pPr>
              <w:pStyle w:val="TableColumnHeadingRight"/>
            </w:pPr>
            <w:r w:rsidRPr="005611C6">
              <w:t>Salaries</w:t>
            </w:r>
            <w:r w:rsidRPr="005611C6">
              <w:br/>
              <w:t>($m)</w:t>
            </w:r>
          </w:p>
        </w:tc>
        <w:tc>
          <w:tcPr>
            <w:tcW w:w="350" w:type="dxa"/>
            <w:tcBorders>
              <w:top w:val="nil"/>
              <w:bottom w:val="single" w:sz="2" w:space="0" w:color="000000"/>
            </w:tcBorders>
            <w:shd w:val="clear" w:color="auto" w:fill="E6E6E6"/>
          </w:tcPr>
          <w:p w14:paraId="22097EE9" w14:textId="77777777" w:rsidR="00B874DF" w:rsidRPr="005611C6" w:rsidRDefault="00B874DF" w:rsidP="00F5344C">
            <w:pPr>
              <w:pStyle w:val="TableColumnHeadingRight"/>
            </w:pPr>
          </w:p>
        </w:tc>
        <w:tc>
          <w:tcPr>
            <w:tcW w:w="1203" w:type="dxa"/>
            <w:tcBorders>
              <w:top w:val="single" w:sz="2" w:space="0" w:color="000000"/>
              <w:bottom w:val="single" w:sz="2" w:space="0" w:color="000000"/>
            </w:tcBorders>
            <w:shd w:val="clear" w:color="auto" w:fill="E6E6E6"/>
          </w:tcPr>
          <w:p w14:paraId="61568430" w14:textId="77777777" w:rsidR="00B874DF" w:rsidRPr="005611C6" w:rsidRDefault="00B874DF" w:rsidP="00F5344C">
            <w:pPr>
              <w:pStyle w:val="TableColumnHeadingRight"/>
            </w:pPr>
            <w:r w:rsidRPr="005611C6">
              <w:t>Number</w:t>
            </w:r>
          </w:p>
        </w:tc>
        <w:tc>
          <w:tcPr>
            <w:tcW w:w="1204" w:type="dxa"/>
            <w:tcBorders>
              <w:top w:val="single" w:sz="2" w:space="0" w:color="000000"/>
              <w:bottom w:val="single" w:sz="2" w:space="0" w:color="000000"/>
            </w:tcBorders>
            <w:shd w:val="clear" w:color="auto" w:fill="E6E6E6"/>
          </w:tcPr>
          <w:p w14:paraId="4F1A1395" w14:textId="77777777" w:rsidR="00B874DF" w:rsidRPr="005611C6" w:rsidRDefault="00B874DF" w:rsidP="00F5344C">
            <w:pPr>
              <w:pStyle w:val="TableColumnHeadingRight"/>
            </w:pPr>
            <w:r w:rsidRPr="005611C6">
              <w:t>Salaries</w:t>
            </w:r>
            <w:r w:rsidRPr="005611C6">
              <w:br/>
              <w:t>($m)</w:t>
            </w:r>
          </w:p>
        </w:tc>
      </w:tr>
      <w:tr w:rsidR="00450E21" w:rsidRPr="00E23BAE" w14:paraId="3FCE7B4A" w14:textId="77777777" w:rsidTr="0048020A">
        <w:tc>
          <w:tcPr>
            <w:tcW w:w="1985" w:type="dxa"/>
            <w:tcBorders>
              <w:top w:val="single" w:sz="2" w:space="0" w:color="000000"/>
            </w:tcBorders>
          </w:tcPr>
          <w:p w14:paraId="38387EFE" w14:textId="77777777" w:rsidR="00B874DF" w:rsidRPr="009F09E2" w:rsidRDefault="00BC51FA" w:rsidP="009616A2">
            <w:pPr>
              <w:pStyle w:val="TableTextLeft"/>
            </w:pPr>
            <w:r w:rsidRPr="009F09E2">
              <w:t>Male officers</w:t>
            </w:r>
          </w:p>
        </w:tc>
        <w:tc>
          <w:tcPr>
            <w:tcW w:w="1200" w:type="dxa"/>
            <w:tcBorders>
              <w:top w:val="single" w:sz="2" w:space="0" w:color="000000"/>
            </w:tcBorders>
          </w:tcPr>
          <w:p w14:paraId="6A6C96EF" w14:textId="77777777" w:rsidR="00B874DF" w:rsidRPr="009F09E2" w:rsidRDefault="009F09E2" w:rsidP="007B2A34">
            <w:pPr>
              <w:pStyle w:val="TableTextRight"/>
            </w:pPr>
            <w:r w:rsidRPr="009F09E2">
              <w:t>9,</w:t>
            </w:r>
            <w:r w:rsidR="007B2A34">
              <w:t>693</w:t>
            </w:r>
          </w:p>
        </w:tc>
        <w:tc>
          <w:tcPr>
            <w:tcW w:w="1204" w:type="dxa"/>
            <w:tcBorders>
              <w:top w:val="single" w:sz="2" w:space="0" w:color="000000"/>
            </w:tcBorders>
          </w:tcPr>
          <w:p w14:paraId="62E745A9" w14:textId="77777777" w:rsidR="00B874DF" w:rsidRPr="00DC5CAB" w:rsidRDefault="007B2A34" w:rsidP="007B2A34">
            <w:pPr>
              <w:pStyle w:val="TableTextRight"/>
            </w:pPr>
            <w:r>
              <w:t>1,089</w:t>
            </w:r>
          </w:p>
        </w:tc>
        <w:tc>
          <w:tcPr>
            <w:tcW w:w="350" w:type="dxa"/>
            <w:tcBorders>
              <w:top w:val="single" w:sz="2" w:space="0" w:color="000000"/>
              <w:bottom w:val="nil"/>
            </w:tcBorders>
          </w:tcPr>
          <w:p w14:paraId="5D684161" w14:textId="77777777" w:rsidR="00B874DF" w:rsidRPr="00512614" w:rsidRDefault="00B874DF" w:rsidP="00F5344C">
            <w:pPr>
              <w:pStyle w:val="TableTextRight"/>
              <w:rPr>
                <w:highlight w:val="yellow"/>
              </w:rPr>
            </w:pPr>
          </w:p>
        </w:tc>
        <w:tc>
          <w:tcPr>
            <w:tcW w:w="1203" w:type="dxa"/>
            <w:tcBorders>
              <w:top w:val="single" w:sz="2" w:space="0" w:color="000000"/>
            </w:tcBorders>
          </w:tcPr>
          <w:p w14:paraId="03A1100B" w14:textId="77777777" w:rsidR="00B874DF" w:rsidRPr="00E23BAE" w:rsidRDefault="00D32608" w:rsidP="007B2A34">
            <w:pPr>
              <w:pStyle w:val="TableTextRight"/>
            </w:pPr>
            <w:r>
              <w:t>1,040</w:t>
            </w:r>
          </w:p>
        </w:tc>
        <w:tc>
          <w:tcPr>
            <w:tcW w:w="1204" w:type="dxa"/>
            <w:tcBorders>
              <w:top w:val="single" w:sz="2" w:space="0" w:color="000000"/>
            </w:tcBorders>
          </w:tcPr>
          <w:p w14:paraId="54F11564" w14:textId="77777777" w:rsidR="00B874DF" w:rsidRPr="00E23BAE" w:rsidRDefault="00E23BAE" w:rsidP="007B2A34">
            <w:pPr>
              <w:pStyle w:val="TableTextRight"/>
            </w:pPr>
            <w:r w:rsidRPr="00E23BAE">
              <w:t>1</w:t>
            </w:r>
            <w:r w:rsidR="007B2A34">
              <w:t>45</w:t>
            </w:r>
          </w:p>
        </w:tc>
      </w:tr>
      <w:tr w:rsidR="00450E21" w:rsidRPr="00E23BAE" w14:paraId="65845FB4" w14:textId="77777777" w:rsidTr="0048020A">
        <w:tc>
          <w:tcPr>
            <w:tcW w:w="1985" w:type="dxa"/>
            <w:shd w:val="clear" w:color="auto" w:fill="F2F2F2" w:themeFill="background1" w:themeFillShade="F2"/>
          </w:tcPr>
          <w:p w14:paraId="6F5C972D" w14:textId="77777777" w:rsidR="00BC51FA" w:rsidRPr="009F09E2" w:rsidRDefault="00BC51FA" w:rsidP="009616A2">
            <w:pPr>
              <w:pStyle w:val="TableTextLeft"/>
            </w:pPr>
            <w:r w:rsidRPr="009F09E2">
              <w:t>Female officers</w:t>
            </w:r>
          </w:p>
        </w:tc>
        <w:tc>
          <w:tcPr>
            <w:tcW w:w="1200" w:type="dxa"/>
            <w:shd w:val="clear" w:color="auto" w:fill="F2F2F2" w:themeFill="background1" w:themeFillShade="F2"/>
          </w:tcPr>
          <w:p w14:paraId="4E209C9F" w14:textId="77777777" w:rsidR="00BC51FA" w:rsidRPr="009F09E2" w:rsidRDefault="009F09E2" w:rsidP="007B2A34">
            <w:pPr>
              <w:pStyle w:val="TableTextRight"/>
            </w:pPr>
            <w:r w:rsidRPr="009F09E2">
              <w:t>2,</w:t>
            </w:r>
            <w:r w:rsidR="007B2A34">
              <w:t>322</w:t>
            </w:r>
          </w:p>
        </w:tc>
        <w:tc>
          <w:tcPr>
            <w:tcW w:w="1204" w:type="dxa"/>
            <w:shd w:val="clear" w:color="auto" w:fill="F2F2F2" w:themeFill="background1" w:themeFillShade="F2"/>
          </w:tcPr>
          <w:p w14:paraId="54256297" w14:textId="77777777" w:rsidR="00BC51FA" w:rsidRPr="00DC5CAB" w:rsidRDefault="007B2A34" w:rsidP="00F5344C">
            <w:pPr>
              <w:pStyle w:val="TableTextRight"/>
            </w:pPr>
            <w:r>
              <w:t>243</w:t>
            </w:r>
          </w:p>
        </w:tc>
        <w:tc>
          <w:tcPr>
            <w:tcW w:w="350" w:type="dxa"/>
            <w:tcBorders>
              <w:top w:val="nil"/>
              <w:bottom w:val="nil"/>
            </w:tcBorders>
            <w:shd w:val="clear" w:color="auto" w:fill="F2F2F2" w:themeFill="background1" w:themeFillShade="F2"/>
          </w:tcPr>
          <w:p w14:paraId="39442B19" w14:textId="77777777" w:rsidR="00BC51FA" w:rsidRPr="00512614" w:rsidRDefault="00BC51FA" w:rsidP="00F5344C">
            <w:pPr>
              <w:pStyle w:val="TableTextRight"/>
              <w:rPr>
                <w:highlight w:val="yellow"/>
              </w:rPr>
            </w:pPr>
          </w:p>
        </w:tc>
        <w:tc>
          <w:tcPr>
            <w:tcW w:w="1203" w:type="dxa"/>
            <w:shd w:val="clear" w:color="auto" w:fill="F2F2F2" w:themeFill="background1" w:themeFillShade="F2"/>
          </w:tcPr>
          <w:p w14:paraId="07363BAC" w14:textId="77777777" w:rsidR="00BC51FA" w:rsidRPr="00E23BAE" w:rsidRDefault="007B2A34" w:rsidP="00F5344C">
            <w:pPr>
              <w:pStyle w:val="TableTextRight"/>
            </w:pPr>
            <w:r>
              <w:t>50</w:t>
            </w:r>
          </w:p>
        </w:tc>
        <w:tc>
          <w:tcPr>
            <w:tcW w:w="1204" w:type="dxa"/>
            <w:shd w:val="clear" w:color="auto" w:fill="F2F2F2" w:themeFill="background1" w:themeFillShade="F2"/>
          </w:tcPr>
          <w:p w14:paraId="469BE3F1" w14:textId="77777777" w:rsidR="00BC51FA" w:rsidRPr="00E23BAE" w:rsidRDefault="007B2A34" w:rsidP="00F5344C">
            <w:pPr>
              <w:pStyle w:val="TableTextRight"/>
            </w:pPr>
            <w:r>
              <w:t>7</w:t>
            </w:r>
          </w:p>
        </w:tc>
      </w:tr>
      <w:tr w:rsidR="00450E21" w:rsidRPr="00E23BAE" w14:paraId="38241C92" w14:textId="77777777" w:rsidTr="0048020A">
        <w:tc>
          <w:tcPr>
            <w:tcW w:w="1985" w:type="dxa"/>
          </w:tcPr>
          <w:p w14:paraId="22585D5A" w14:textId="77777777" w:rsidR="00BC51FA" w:rsidRPr="009F09E2" w:rsidRDefault="00BC51FA" w:rsidP="009616A2">
            <w:pPr>
              <w:pStyle w:val="TableTextLeft"/>
            </w:pPr>
            <w:r w:rsidRPr="009F09E2">
              <w:t>Male other ranks</w:t>
            </w:r>
          </w:p>
        </w:tc>
        <w:tc>
          <w:tcPr>
            <w:tcW w:w="1200" w:type="dxa"/>
          </w:tcPr>
          <w:p w14:paraId="3301FAD2" w14:textId="77777777" w:rsidR="00BC51FA" w:rsidRPr="009F09E2" w:rsidRDefault="009F09E2" w:rsidP="007B2A34">
            <w:pPr>
              <w:pStyle w:val="TableTextRight"/>
            </w:pPr>
            <w:r w:rsidRPr="009F09E2">
              <w:t>3</w:t>
            </w:r>
            <w:r w:rsidR="007B2A34">
              <w:t>5</w:t>
            </w:r>
            <w:r w:rsidRPr="009F09E2">
              <w:t>,</w:t>
            </w:r>
            <w:r w:rsidR="007B2A34">
              <w:t>565</w:t>
            </w:r>
          </w:p>
        </w:tc>
        <w:tc>
          <w:tcPr>
            <w:tcW w:w="1204" w:type="dxa"/>
          </w:tcPr>
          <w:p w14:paraId="6E001BCF" w14:textId="77777777" w:rsidR="00BC51FA" w:rsidRPr="00DC5CAB" w:rsidRDefault="00DC5CAB" w:rsidP="007B2A34">
            <w:pPr>
              <w:pStyle w:val="TableTextRight"/>
            </w:pPr>
            <w:r w:rsidRPr="00DC5CAB">
              <w:t>2</w:t>
            </w:r>
            <w:r w:rsidR="00E23BAE">
              <w:t>,</w:t>
            </w:r>
            <w:r w:rsidR="007B2A34">
              <w:t>555</w:t>
            </w:r>
          </w:p>
        </w:tc>
        <w:tc>
          <w:tcPr>
            <w:tcW w:w="350" w:type="dxa"/>
            <w:tcBorders>
              <w:top w:val="nil"/>
              <w:bottom w:val="nil"/>
            </w:tcBorders>
          </w:tcPr>
          <w:p w14:paraId="1537C605" w14:textId="77777777" w:rsidR="00BC51FA" w:rsidRPr="00512614" w:rsidRDefault="00BC51FA" w:rsidP="00F5344C">
            <w:pPr>
              <w:pStyle w:val="TableTextRight"/>
              <w:rPr>
                <w:highlight w:val="yellow"/>
              </w:rPr>
            </w:pPr>
          </w:p>
        </w:tc>
        <w:tc>
          <w:tcPr>
            <w:tcW w:w="1203" w:type="dxa"/>
          </w:tcPr>
          <w:p w14:paraId="17B45E00" w14:textId="77777777" w:rsidR="00BC51FA" w:rsidRPr="00E23BAE" w:rsidRDefault="007B2A34" w:rsidP="00D32608">
            <w:pPr>
              <w:pStyle w:val="TableTextRight"/>
            </w:pPr>
            <w:r>
              <w:t>1</w:t>
            </w:r>
            <w:r w:rsidR="00E23BAE" w:rsidRPr="00E23BAE">
              <w:t>,</w:t>
            </w:r>
            <w:r>
              <w:t>5</w:t>
            </w:r>
            <w:r w:rsidR="00984214">
              <w:t>4</w:t>
            </w:r>
            <w:r w:rsidR="00D32608">
              <w:t>0</w:t>
            </w:r>
          </w:p>
        </w:tc>
        <w:tc>
          <w:tcPr>
            <w:tcW w:w="1204" w:type="dxa"/>
          </w:tcPr>
          <w:p w14:paraId="7D86D19B" w14:textId="77777777" w:rsidR="00BC51FA" w:rsidRPr="00E23BAE" w:rsidRDefault="00E23BAE" w:rsidP="00BE6B0B">
            <w:pPr>
              <w:pStyle w:val="TableTextRight"/>
            </w:pPr>
            <w:r w:rsidRPr="00E23BAE">
              <w:t>1</w:t>
            </w:r>
            <w:r w:rsidR="007B2A34">
              <w:t>4</w:t>
            </w:r>
            <w:r w:rsidR="00BE6B0B">
              <w:t>9</w:t>
            </w:r>
          </w:p>
        </w:tc>
      </w:tr>
      <w:tr w:rsidR="00450E21" w:rsidRPr="00E23BAE" w14:paraId="05BCF98A" w14:textId="77777777" w:rsidTr="0048020A">
        <w:tc>
          <w:tcPr>
            <w:tcW w:w="1985" w:type="dxa"/>
            <w:shd w:val="clear" w:color="auto" w:fill="F2F2F2" w:themeFill="background1" w:themeFillShade="F2"/>
          </w:tcPr>
          <w:p w14:paraId="5C68F137" w14:textId="77777777" w:rsidR="00B874DF" w:rsidRPr="009F09E2" w:rsidRDefault="00BC51FA" w:rsidP="009616A2">
            <w:pPr>
              <w:pStyle w:val="TableTextLeft"/>
            </w:pPr>
            <w:r w:rsidRPr="009F09E2">
              <w:t>Female o</w:t>
            </w:r>
            <w:r w:rsidR="00B874DF" w:rsidRPr="009F09E2">
              <w:t>ther ranks</w:t>
            </w:r>
          </w:p>
        </w:tc>
        <w:tc>
          <w:tcPr>
            <w:tcW w:w="1200" w:type="dxa"/>
            <w:shd w:val="clear" w:color="auto" w:fill="F2F2F2" w:themeFill="background1" w:themeFillShade="F2"/>
          </w:tcPr>
          <w:p w14:paraId="40FAC590" w14:textId="77777777" w:rsidR="00B874DF" w:rsidRPr="009F09E2" w:rsidRDefault="009F09E2" w:rsidP="007B2A34">
            <w:pPr>
              <w:pStyle w:val="TableTextRight"/>
            </w:pPr>
            <w:r w:rsidRPr="009F09E2">
              <w:t>5,</w:t>
            </w:r>
            <w:r w:rsidR="007B2A34">
              <w:t>909</w:t>
            </w:r>
          </w:p>
        </w:tc>
        <w:tc>
          <w:tcPr>
            <w:tcW w:w="1204" w:type="dxa"/>
            <w:shd w:val="clear" w:color="auto" w:fill="F2F2F2" w:themeFill="background1" w:themeFillShade="F2"/>
          </w:tcPr>
          <w:p w14:paraId="6F7A0571" w14:textId="77777777" w:rsidR="00B874DF" w:rsidRPr="00DC5CAB" w:rsidRDefault="007B2A34" w:rsidP="00F5344C">
            <w:pPr>
              <w:pStyle w:val="TableTextRight"/>
            </w:pPr>
            <w:r>
              <w:t>407</w:t>
            </w:r>
          </w:p>
        </w:tc>
        <w:tc>
          <w:tcPr>
            <w:tcW w:w="350" w:type="dxa"/>
            <w:tcBorders>
              <w:top w:val="nil"/>
              <w:bottom w:val="nil"/>
            </w:tcBorders>
            <w:shd w:val="clear" w:color="auto" w:fill="F2F2F2" w:themeFill="background1" w:themeFillShade="F2"/>
          </w:tcPr>
          <w:p w14:paraId="372FC1FA" w14:textId="77777777" w:rsidR="00B874DF" w:rsidRPr="00512614" w:rsidRDefault="00B874DF" w:rsidP="00F5344C">
            <w:pPr>
              <w:pStyle w:val="TableTextRight"/>
              <w:rPr>
                <w:highlight w:val="yellow"/>
              </w:rPr>
            </w:pPr>
          </w:p>
        </w:tc>
        <w:tc>
          <w:tcPr>
            <w:tcW w:w="1203" w:type="dxa"/>
            <w:shd w:val="clear" w:color="auto" w:fill="F2F2F2" w:themeFill="background1" w:themeFillShade="F2"/>
          </w:tcPr>
          <w:p w14:paraId="3E316C50" w14:textId="77777777" w:rsidR="00B874DF" w:rsidRPr="00E23BAE" w:rsidRDefault="007B2A34" w:rsidP="00D32608">
            <w:pPr>
              <w:pStyle w:val="TableTextRight"/>
            </w:pPr>
            <w:r>
              <w:t>5</w:t>
            </w:r>
            <w:r w:rsidR="00D32608">
              <w:t>6</w:t>
            </w:r>
          </w:p>
        </w:tc>
        <w:tc>
          <w:tcPr>
            <w:tcW w:w="1204" w:type="dxa"/>
            <w:shd w:val="clear" w:color="auto" w:fill="F2F2F2" w:themeFill="background1" w:themeFillShade="F2"/>
          </w:tcPr>
          <w:p w14:paraId="09150066" w14:textId="77777777" w:rsidR="00B874DF" w:rsidRPr="00E23BAE" w:rsidRDefault="007B2A34" w:rsidP="00F5344C">
            <w:pPr>
              <w:pStyle w:val="TableTextRight"/>
            </w:pPr>
            <w:r>
              <w:t>5</w:t>
            </w:r>
          </w:p>
        </w:tc>
      </w:tr>
      <w:tr w:rsidR="00450E21" w:rsidRPr="00E23BAE" w14:paraId="75EBD7A3" w14:textId="77777777" w:rsidTr="0048020A">
        <w:tc>
          <w:tcPr>
            <w:tcW w:w="1985" w:type="dxa"/>
            <w:tcBorders>
              <w:bottom w:val="single" w:sz="2" w:space="0" w:color="000000"/>
            </w:tcBorders>
          </w:tcPr>
          <w:p w14:paraId="3DBDC440" w14:textId="77777777" w:rsidR="00B874DF" w:rsidRPr="009F09E2" w:rsidRDefault="00B874DF" w:rsidP="009616A2">
            <w:pPr>
              <w:pStyle w:val="TableTextLeft"/>
            </w:pPr>
            <w:r w:rsidRPr="009F09E2">
              <w:t>Cadets</w:t>
            </w:r>
          </w:p>
        </w:tc>
        <w:tc>
          <w:tcPr>
            <w:tcW w:w="1200" w:type="dxa"/>
            <w:tcBorders>
              <w:bottom w:val="single" w:sz="2" w:space="0" w:color="000000"/>
            </w:tcBorders>
          </w:tcPr>
          <w:p w14:paraId="341EB008" w14:textId="77777777" w:rsidR="00B874DF" w:rsidRPr="009F09E2" w:rsidRDefault="009F09E2" w:rsidP="006D0760">
            <w:pPr>
              <w:pStyle w:val="TableTextRight"/>
            </w:pPr>
            <w:r w:rsidRPr="009F09E2">
              <w:t>1,</w:t>
            </w:r>
            <w:r w:rsidR="006D0760">
              <w:t>485</w:t>
            </w:r>
          </w:p>
        </w:tc>
        <w:tc>
          <w:tcPr>
            <w:tcW w:w="1204" w:type="dxa"/>
            <w:tcBorders>
              <w:bottom w:val="single" w:sz="2" w:space="0" w:color="000000"/>
            </w:tcBorders>
          </w:tcPr>
          <w:p w14:paraId="1853E226" w14:textId="77777777" w:rsidR="00B874DF" w:rsidRPr="00DC5CAB" w:rsidRDefault="00BE6B0B" w:rsidP="00F5344C">
            <w:pPr>
              <w:pStyle w:val="TableTextRight"/>
            </w:pPr>
            <w:r>
              <w:t>70</w:t>
            </w:r>
          </w:p>
        </w:tc>
        <w:tc>
          <w:tcPr>
            <w:tcW w:w="350" w:type="dxa"/>
            <w:tcBorders>
              <w:top w:val="nil"/>
              <w:bottom w:val="single" w:sz="2" w:space="0" w:color="000000"/>
            </w:tcBorders>
          </w:tcPr>
          <w:p w14:paraId="65178AF8" w14:textId="77777777" w:rsidR="00B874DF" w:rsidRPr="00512614" w:rsidRDefault="00B874DF" w:rsidP="00F5344C">
            <w:pPr>
              <w:pStyle w:val="TableTextRight"/>
              <w:rPr>
                <w:highlight w:val="yellow"/>
              </w:rPr>
            </w:pPr>
          </w:p>
        </w:tc>
        <w:tc>
          <w:tcPr>
            <w:tcW w:w="1203" w:type="dxa"/>
            <w:tcBorders>
              <w:bottom w:val="single" w:sz="2" w:space="0" w:color="000000"/>
            </w:tcBorders>
          </w:tcPr>
          <w:p w14:paraId="533B2AA7" w14:textId="77777777" w:rsidR="00B874DF" w:rsidRPr="00E23BAE" w:rsidRDefault="00B874DF" w:rsidP="00F5344C">
            <w:pPr>
              <w:pStyle w:val="TableTextRight"/>
            </w:pPr>
            <w:r w:rsidRPr="00E23BAE">
              <w:noBreakHyphen/>
            </w:r>
          </w:p>
        </w:tc>
        <w:tc>
          <w:tcPr>
            <w:tcW w:w="1204" w:type="dxa"/>
            <w:tcBorders>
              <w:bottom w:val="single" w:sz="2" w:space="0" w:color="000000"/>
            </w:tcBorders>
          </w:tcPr>
          <w:p w14:paraId="1FE02B5A" w14:textId="77777777" w:rsidR="00B874DF" w:rsidRPr="00E23BAE" w:rsidRDefault="00B874DF" w:rsidP="00F5344C">
            <w:pPr>
              <w:pStyle w:val="TableTextRight"/>
            </w:pPr>
            <w:r w:rsidRPr="00E23BAE">
              <w:noBreakHyphen/>
            </w:r>
          </w:p>
        </w:tc>
      </w:tr>
      <w:tr w:rsidR="00450E21" w:rsidRPr="00E23BAE" w14:paraId="5E292E9A" w14:textId="77777777" w:rsidTr="0048020A">
        <w:tc>
          <w:tcPr>
            <w:tcW w:w="1985" w:type="dxa"/>
            <w:tcBorders>
              <w:top w:val="single" w:sz="2" w:space="0" w:color="000000"/>
              <w:bottom w:val="single" w:sz="2" w:space="0" w:color="000000"/>
            </w:tcBorders>
          </w:tcPr>
          <w:p w14:paraId="73BC6E0A" w14:textId="77777777" w:rsidR="00B874DF" w:rsidRPr="009F09E2" w:rsidRDefault="00B874DF" w:rsidP="009616A2">
            <w:pPr>
              <w:pStyle w:val="TableColumnHeadingLeft"/>
            </w:pPr>
            <w:r w:rsidRPr="009F09E2">
              <w:t>Total</w:t>
            </w:r>
          </w:p>
        </w:tc>
        <w:tc>
          <w:tcPr>
            <w:tcW w:w="1200" w:type="dxa"/>
            <w:tcBorders>
              <w:top w:val="single" w:sz="2" w:space="0" w:color="000000"/>
              <w:bottom w:val="single" w:sz="2" w:space="0" w:color="000000"/>
            </w:tcBorders>
          </w:tcPr>
          <w:p w14:paraId="1ED67025" w14:textId="77777777" w:rsidR="00B874DF" w:rsidRPr="00512614" w:rsidRDefault="00085DB4" w:rsidP="007B2A34">
            <w:pPr>
              <w:pStyle w:val="TableColumnHeadingRight"/>
              <w:rPr>
                <w:highlight w:val="yellow"/>
              </w:rPr>
            </w:pPr>
            <w:r w:rsidRPr="00085DB4">
              <w:t>5</w:t>
            </w:r>
            <w:r w:rsidR="007B2A34">
              <w:t>4</w:t>
            </w:r>
            <w:r w:rsidR="009F09E2" w:rsidRPr="00085DB4">
              <w:t>,</w:t>
            </w:r>
            <w:r w:rsidR="007B2A34">
              <w:t>974</w:t>
            </w:r>
          </w:p>
        </w:tc>
        <w:tc>
          <w:tcPr>
            <w:tcW w:w="1204" w:type="dxa"/>
            <w:tcBorders>
              <w:top w:val="single" w:sz="2" w:space="0" w:color="000000"/>
              <w:bottom w:val="single" w:sz="2" w:space="0" w:color="000000"/>
            </w:tcBorders>
          </w:tcPr>
          <w:p w14:paraId="2398EE52" w14:textId="77777777" w:rsidR="00B874DF" w:rsidRPr="00DC5CAB" w:rsidRDefault="00BE6B0B" w:rsidP="00BE6B0B">
            <w:pPr>
              <w:pStyle w:val="TableColumnHeadingRight"/>
            </w:pPr>
            <w:r>
              <w:t>4</w:t>
            </w:r>
            <w:r w:rsidR="00DC5CAB" w:rsidRPr="00DC5CAB">
              <w:t>,</w:t>
            </w:r>
            <w:r>
              <w:t>364</w:t>
            </w:r>
          </w:p>
        </w:tc>
        <w:tc>
          <w:tcPr>
            <w:tcW w:w="350" w:type="dxa"/>
            <w:tcBorders>
              <w:top w:val="single" w:sz="2" w:space="0" w:color="000000"/>
              <w:bottom w:val="single" w:sz="2" w:space="0" w:color="000000"/>
            </w:tcBorders>
          </w:tcPr>
          <w:p w14:paraId="3CFB8014" w14:textId="77777777" w:rsidR="00B874DF" w:rsidRPr="00512614" w:rsidRDefault="00B874DF" w:rsidP="00F5344C">
            <w:pPr>
              <w:pStyle w:val="TableColumnHeadingRight"/>
              <w:rPr>
                <w:highlight w:val="yellow"/>
              </w:rPr>
            </w:pPr>
          </w:p>
        </w:tc>
        <w:tc>
          <w:tcPr>
            <w:tcW w:w="1203" w:type="dxa"/>
            <w:tcBorders>
              <w:top w:val="single" w:sz="2" w:space="0" w:color="000000"/>
              <w:bottom w:val="single" w:sz="2" w:space="0" w:color="000000"/>
            </w:tcBorders>
          </w:tcPr>
          <w:p w14:paraId="176D5343" w14:textId="77777777" w:rsidR="00B874DF" w:rsidRPr="00E23BAE" w:rsidRDefault="007B2A34" w:rsidP="00D32608">
            <w:pPr>
              <w:pStyle w:val="TableColumnHeadingRight"/>
            </w:pPr>
            <w:r>
              <w:t>2</w:t>
            </w:r>
            <w:r w:rsidR="00E23BAE" w:rsidRPr="00E23BAE">
              <w:t>,</w:t>
            </w:r>
            <w:r w:rsidR="00984214">
              <w:t>68</w:t>
            </w:r>
            <w:r w:rsidR="00D32608">
              <w:t>6</w:t>
            </w:r>
          </w:p>
        </w:tc>
        <w:tc>
          <w:tcPr>
            <w:tcW w:w="1204" w:type="dxa"/>
            <w:tcBorders>
              <w:top w:val="single" w:sz="2" w:space="0" w:color="000000"/>
              <w:bottom w:val="single" w:sz="2" w:space="0" w:color="000000"/>
            </w:tcBorders>
          </w:tcPr>
          <w:p w14:paraId="581FFC91" w14:textId="77777777" w:rsidR="00B874DF" w:rsidRPr="00E23BAE" w:rsidRDefault="00E23BAE" w:rsidP="007B2A34">
            <w:pPr>
              <w:pStyle w:val="TableColumnHeadingRight"/>
            </w:pPr>
            <w:r w:rsidRPr="00E23BAE">
              <w:t>3</w:t>
            </w:r>
            <w:r w:rsidR="007B2A34">
              <w:t>06</w:t>
            </w:r>
          </w:p>
        </w:tc>
      </w:tr>
    </w:tbl>
    <w:p w14:paraId="6CEDA14F" w14:textId="0746CDA3" w:rsidR="00984214" w:rsidRDefault="00CA513B" w:rsidP="00460C0E">
      <w:pPr>
        <w:pStyle w:val="ChartorTableNote"/>
      </w:pPr>
      <w:r>
        <w:t>Note:</w:t>
      </w:r>
      <w:r w:rsidR="00212C90">
        <w:t xml:space="preserve"> </w:t>
      </w:r>
      <w:r w:rsidR="00984214">
        <w:t>Contributors include MBL members who have ceased paying contributions.</w:t>
      </w:r>
    </w:p>
    <w:p w14:paraId="610BEF5D" w14:textId="77777777" w:rsidR="00460C0E" w:rsidRPr="00460C0E" w:rsidRDefault="00460C0E" w:rsidP="00AB6383">
      <w:pPr>
        <w:pStyle w:val="SingleParagraph"/>
        <w:rPr>
          <w:lang w:eastAsia="en-AU"/>
        </w:rPr>
      </w:pPr>
    </w:p>
    <w:p w14:paraId="6FA9A23B" w14:textId="4F13DF1F" w:rsidR="00460C0E" w:rsidRDefault="00B874DF" w:rsidP="00AB6383">
      <w:pPr>
        <w:pStyle w:val="BodyText"/>
      </w:pPr>
      <w:r w:rsidRPr="004433DC">
        <w:t xml:space="preserve">The number of MSBS contributors valued is </w:t>
      </w:r>
      <w:r w:rsidR="009F42C3" w:rsidRPr="004433DC">
        <w:t>5</w:t>
      </w:r>
      <w:r w:rsidR="007B2A34" w:rsidRPr="004433DC">
        <w:t>4</w:t>
      </w:r>
      <w:r w:rsidR="009F42C3" w:rsidRPr="004433DC">
        <w:t>,</w:t>
      </w:r>
      <w:r w:rsidR="007B2A34" w:rsidRPr="004433DC">
        <w:t>974</w:t>
      </w:r>
      <w:r w:rsidR="00984214">
        <w:t>, a decrease of around 800 compared to the equivalent figure of 55,769 for the 2011 Report</w:t>
      </w:r>
      <w:r w:rsidR="00866F16" w:rsidRPr="004433DC">
        <w:t>.</w:t>
      </w:r>
      <w:r w:rsidR="00B24C6D" w:rsidRPr="004433DC">
        <w:t xml:space="preserve"> </w:t>
      </w:r>
      <w:r w:rsidRPr="004433DC">
        <w:t xml:space="preserve">Data on MSBS contributors provided by the Department of Defence showed </w:t>
      </w:r>
      <w:r w:rsidR="009F42C3" w:rsidRPr="004433DC">
        <w:t>5</w:t>
      </w:r>
      <w:r w:rsidR="007B2A34" w:rsidRPr="004433DC">
        <w:t>3</w:t>
      </w:r>
      <w:r w:rsidR="009F42C3" w:rsidRPr="004433DC">
        <w:t>,</w:t>
      </w:r>
      <w:r w:rsidR="007B2A34" w:rsidRPr="004433DC">
        <w:t>993</w:t>
      </w:r>
      <w:r w:rsidR="00866F16" w:rsidRPr="004433DC">
        <w:t xml:space="preserve"> contributors as at the last</w:t>
      </w:r>
      <w:r w:rsidRPr="004433DC">
        <w:t xml:space="preserve"> payday of </w:t>
      </w:r>
      <w:r w:rsidR="00866F16" w:rsidRPr="004433DC">
        <w:t>201</w:t>
      </w:r>
      <w:r w:rsidR="007B2A34" w:rsidRPr="004433DC">
        <w:t>3</w:t>
      </w:r>
      <w:r w:rsidR="00866F16" w:rsidRPr="004433DC">
        <w:t>-1</w:t>
      </w:r>
      <w:r w:rsidR="007B2A34" w:rsidRPr="004433DC">
        <w:t>4</w:t>
      </w:r>
      <w:r w:rsidR="00B2240A" w:rsidRPr="004433DC">
        <w:t xml:space="preserve"> plus </w:t>
      </w:r>
      <w:r w:rsidR="007B2A34" w:rsidRPr="004433DC">
        <w:t>4</w:t>
      </w:r>
      <w:r w:rsidR="00B2240A" w:rsidRPr="004433DC">
        <w:t>0</w:t>
      </w:r>
      <w:r w:rsidR="007B2A34" w:rsidRPr="004433DC">
        <w:t>7</w:t>
      </w:r>
      <w:r w:rsidR="00FB2363">
        <w:t xml:space="preserve"> non-</w:t>
      </w:r>
      <w:r w:rsidR="00B2240A" w:rsidRPr="004433DC">
        <w:t xml:space="preserve">effective members and </w:t>
      </w:r>
      <w:r w:rsidR="007637AB" w:rsidRPr="004433DC">
        <w:t>476</w:t>
      </w:r>
      <w:r w:rsidR="00460C0E">
        <w:t> </w:t>
      </w:r>
      <w:r w:rsidR="00B2240A" w:rsidRPr="004433DC">
        <w:t>members not contributing</w:t>
      </w:r>
      <w:r w:rsidR="00866F16" w:rsidRPr="004433DC">
        <w:t xml:space="preserve">. Superannuation salary related checks did not reveal any cause for concern. </w:t>
      </w:r>
      <w:r w:rsidRPr="004433DC">
        <w:t>In my opinion, the MSBS contributor data valued was effectively complete</w:t>
      </w:r>
      <w:r w:rsidRPr="00866F16">
        <w:t>.</w:t>
      </w:r>
    </w:p>
    <w:p w14:paraId="3738E460" w14:textId="27C946B0" w:rsidR="00984214" w:rsidRDefault="00B874DF" w:rsidP="00B874DF">
      <w:pPr>
        <w:pStyle w:val="BodyText"/>
      </w:pPr>
      <w:r w:rsidRPr="00DC7CDE">
        <w:lastRenderedPageBreak/>
        <w:t xml:space="preserve">The number of DFRDB </w:t>
      </w:r>
      <w:r w:rsidRPr="00D32608">
        <w:t xml:space="preserve">contributors valued is </w:t>
      </w:r>
      <w:r w:rsidR="004433DC" w:rsidRPr="00D32608">
        <w:t>2</w:t>
      </w:r>
      <w:r w:rsidR="00DC7CDE" w:rsidRPr="00D32608">
        <w:t>,</w:t>
      </w:r>
      <w:r w:rsidR="00984214">
        <w:t>68</w:t>
      </w:r>
      <w:r w:rsidR="002C7D0D" w:rsidRPr="00D32608">
        <w:t>6</w:t>
      </w:r>
      <w:r w:rsidR="00984214">
        <w:t>, a decrease of around 1,000 compared to the equivalent f</w:t>
      </w:r>
      <w:r w:rsidR="00DA35E1">
        <w:t>igure of 3,728 for the 2011 R</w:t>
      </w:r>
      <w:r w:rsidR="00984214">
        <w:t>eport</w:t>
      </w:r>
      <w:r w:rsidRPr="00D32608">
        <w:t xml:space="preserve">. </w:t>
      </w:r>
      <w:r w:rsidR="00984214">
        <w:t>Data on DFRDB</w:t>
      </w:r>
      <w:r w:rsidR="00984214" w:rsidRPr="004433DC">
        <w:t xml:space="preserve"> contributors provided by the Department of Defence showed </w:t>
      </w:r>
      <w:r w:rsidR="00984214">
        <w:t>2,634</w:t>
      </w:r>
      <w:r w:rsidR="00984214" w:rsidRPr="004433DC">
        <w:t xml:space="preserve"> contributors as at the last payday of 2013-14 plus </w:t>
      </w:r>
      <w:r w:rsidR="00984214">
        <w:t>24</w:t>
      </w:r>
      <w:r w:rsidR="00043375">
        <w:t xml:space="preserve"> non-</w:t>
      </w:r>
      <w:r w:rsidR="00984214" w:rsidRPr="004433DC">
        <w:t xml:space="preserve">effective members and </w:t>
      </w:r>
      <w:r w:rsidR="00984214">
        <w:t>135</w:t>
      </w:r>
      <w:r w:rsidR="00460C0E">
        <w:t> </w:t>
      </w:r>
      <w:r w:rsidR="00984214" w:rsidRPr="004433DC">
        <w:t xml:space="preserve">members not contributing. </w:t>
      </w:r>
      <w:r w:rsidR="00984214">
        <w:t xml:space="preserve">The majority of members not contributing relate to re-entered recipients who have returned to service for less than 12 months and receive a small Superannuation Guarantee lump sum. </w:t>
      </w:r>
      <w:r w:rsidR="00984214" w:rsidRPr="004433DC">
        <w:t>Superannuation salary related checks did not reveal any cause for concern</w:t>
      </w:r>
      <w:r w:rsidR="00984214">
        <w:t>.</w:t>
      </w:r>
      <w:r w:rsidR="00984214" w:rsidRPr="00984214">
        <w:t xml:space="preserve"> </w:t>
      </w:r>
      <w:r w:rsidR="00984214">
        <w:t>In my opinion, the DFRDB</w:t>
      </w:r>
      <w:r w:rsidR="00984214" w:rsidRPr="004433DC">
        <w:t xml:space="preserve"> contributor data valued was effectively complete</w:t>
      </w:r>
      <w:r w:rsidR="00984214" w:rsidRPr="00866F16">
        <w:t>.</w:t>
      </w:r>
    </w:p>
    <w:p w14:paraId="1C9DFFC8" w14:textId="77777777" w:rsidR="00B874DF" w:rsidRPr="002B48B1" w:rsidRDefault="00B874DF" w:rsidP="00B874DF">
      <w:pPr>
        <w:pStyle w:val="BodyText"/>
      </w:pPr>
      <w:r w:rsidRPr="002B48B1">
        <w:t>A summary of the pensioners valued is set out below. There are also a number of children’s pensions payable.</w:t>
      </w:r>
    </w:p>
    <w:p w14:paraId="746A6B61" w14:textId="77777777" w:rsidR="00B874DF" w:rsidRPr="00460C0E" w:rsidRDefault="00B874DF" w:rsidP="00460C0E">
      <w:pPr>
        <w:pStyle w:val="TableMainHeading"/>
      </w:pPr>
      <w:r w:rsidRPr="00460C0E">
        <w:t>Pensioners (as at 30 June 20</w:t>
      </w:r>
      <w:r w:rsidR="00512614" w:rsidRPr="00460C0E">
        <w:t>1</w:t>
      </w:r>
      <w:r w:rsidR="00032729" w:rsidRPr="00460C0E">
        <w:t>4</w:t>
      </w:r>
      <w:r w:rsidRPr="00460C0E">
        <w:t>)</w:t>
      </w:r>
    </w:p>
    <w:tbl>
      <w:tblPr>
        <w:tblW w:w="7146" w:type="dxa"/>
        <w:tblInd w:w="675" w:type="dxa"/>
        <w:tblBorders>
          <w:top w:val="single" w:sz="2" w:space="0" w:color="000000"/>
          <w:bottom w:val="single" w:sz="2" w:space="0" w:color="000000"/>
        </w:tblBorders>
        <w:tblLayout w:type="fixed"/>
        <w:tblLook w:val="0000" w:firstRow="0" w:lastRow="0" w:firstColumn="0" w:lastColumn="0" w:noHBand="0" w:noVBand="0"/>
      </w:tblPr>
      <w:tblGrid>
        <w:gridCol w:w="3544"/>
        <w:gridCol w:w="1796"/>
        <w:gridCol w:w="1806"/>
      </w:tblGrid>
      <w:tr w:rsidR="000F4EF5" w:rsidRPr="00F27053" w14:paraId="47592B75" w14:textId="77777777" w:rsidTr="0048020A">
        <w:tc>
          <w:tcPr>
            <w:tcW w:w="3544" w:type="dxa"/>
            <w:tcBorders>
              <w:top w:val="single" w:sz="4" w:space="0" w:color="auto"/>
              <w:bottom w:val="single" w:sz="4" w:space="0" w:color="auto"/>
            </w:tcBorders>
            <w:shd w:val="clear" w:color="auto" w:fill="E6E6E6"/>
          </w:tcPr>
          <w:p w14:paraId="31A64C45" w14:textId="77777777" w:rsidR="000F4EF5" w:rsidRPr="00F27053" w:rsidRDefault="000F4EF5" w:rsidP="00F5344C">
            <w:pPr>
              <w:pStyle w:val="TableColumnHeadingRight"/>
            </w:pPr>
          </w:p>
        </w:tc>
        <w:tc>
          <w:tcPr>
            <w:tcW w:w="1796" w:type="dxa"/>
            <w:tcBorders>
              <w:top w:val="single" w:sz="4" w:space="0" w:color="auto"/>
              <w:bottom w:val="single" w:sz="4" w:space="0" w:color="auto"/>
            </w:tcBorders>
            <w:shd w:val="clear" w:color="auto" w:fill="E6E6E6"/>
          </w:tcPr>
          <w:p w14:paraId="53C8B96C" w14:textId="77777777" w:rsidR="000F4EF5" w:rsidRPr="00F27053" w:rsidRDefault="000F4EF5" w:rsidP="00F5344C">
            <w:pPr>
              <w:pStyle w:val="TableColumnHeadingRight"/>
            </w:pPr>
            <w:r w:rsidRPr="00F27053">
              <w:t>Number</w:t>
            </w:r>
          </w:p>
        </w:tc>
        <w:tc>
          <w:tcPr>
            <w:tcW w:w="1806" w:type="dxa"/>
            <w:tcBorders>
              <w:top w:val="single" w:sz="4" w:space="0" w:color="auto"/>
              <w:bottom w:val="single" w:sz="4" w:space="0" w:color="auto"/>
            </w:tcBorders>
            <w:shd w:val="clear" w:color="auto" w:fill="E6E6E6"/>
          </w:tcPr>
          <w:p w14:paraId="567E5394" w14:textId="77777777" w:rsidR="000F4EF5" w:rsidRPr="00F27053" w:rsidRDefault="000F4EF5" w:rsidP="00F5344C">
            <w:pPr>
              <w:pStyle w:val="TableColumnHeadingRight"/>
            </w:pPr>
            <w:r w:rsidRPr="00F27053">
              <w:t>Pensions</w:t>
            </w:r>
            <w:r w:rsidR="00FA769D">
              <w:rPr>
                <w:rFonts w:cs="Arial"/>
              </w:rPr>
              <w:t>¹</w:t>
            </w:r>
            <w:r w:rsidRPr="00F27053">
              <w:br/>
              <w:t>($m pa)</w:t>
            </w:r>
          </w:p>
        </w:tc>
      </w:tr>
      <w:tr w:rsidR="00B33340" w:rsidRPr="00F27053" w14:paraId="546062BE" w14:textId="77777777" w:rsidTr="0048020A">
        <w:tc>
          <w:tcPr>
            <w:tcW w:w="3544" w:type="dxa"/>
            <w:tcBorders>
              <w:top w:val="single" w:sz="4" w:space="0" w:color="auto"/>
              <w:bottom w:val="nil"/>
            </w:tcBorders>
          </w:tcPr>
          <w:p w14:paraId="42E5076A" w14:textId="77777777" w:rsidR="00B33340" w:rsidRPr="00C07E8C" w:rsidRDefault="00C07E8C" w:rsidP="00460C0E">
            <w:pPr>
              <w:pStyle w:val="TableTextLeft"/>
              <w:ind w:left="-108"/>
              <w:rPr>
                <w:b/>
              </w:rPr>
            </w:pPr>
            <w:r>
              <w:rPr>
                <w:b/>
              </w:rPr>
              <w:t>DFRB</w:t>
            </w:r>
          </w:p>
        </w:tc>
        <w:tc>
          <w:tcPr>
            <w:tcW w:w="1796" w:type="dxa"/>
            <w:tcBorders>
              <w:top w:val="single" w:sz="4" w:space="0" w:color="auto"/>
              <w:bottom w:val="nil"/>
            </w:tcBorders>
          </w:tcPr>
          <w:p w14:paraId="675A342A" w14:textId="77777777" w:rsidR="00B33340" w:rsidRDefault="00B33340" w:rsidP="000F4EF5">
            <w:pPr>
              <w:pStyle w:val="TableTextRight"/>
            </w:pPr>
          </w:p>
        </w:tc>
        <w:tc>
          <w:tcPr>
            <w:tcW w:w="1806" w:type="dxa"/>
            <w:tcBorders>
              <w:top w:val="single" w:sz="4" w:space="0" w:color="auto"/>
              <w:bottom w:val="nil"/>
            </w:tcBorders>
          </w:tcPr>
          <w:p w14:paraId="0A90141D" w14:textId="77777777" w:rsidR="00B33340" w:rsidRDefault="00B33340" w:rsidP="000F4EF5">
            <w:pPr>
              <w:pStyle w:val="TableTextRight"/>
            </w:pPr>
          </w:p>
        </w:tc>
      </w:tr>
      <w:tr w:rsidR="00C07E8C" w:rsidRPr="00F27053" w14:paraId="06192866" w14:textId="77777777" w:rsidTr="0048020A">
        <w:tc>
          <w:tcPr>
            <w:tcW w:w="3544" w:type="dxa"/>
            <w:tcBorders>
              <w:top w:val="nil"/>
            </w:tcBorders>
          </w:tcPr>
          <w:p w14:paraId="10B8F46F" w14:textId="77777777" w:rsidR="00C07E8C" w:rsidRPr="00F27053" w:rsidRDefault="00C07E8C" w:rsidP="00460C0E">
            <w:pPr>
              <w:pStyle w:val="TableTextLeft"/>
              <w:tabs>
                <w:tab w:val="left" w:pos="176"/>
              </w:tabs>
            </w:pPr>
            <w:r>
              <w:tab/>
            </w:r>
            <w:r w:rsidRPr="00F27053">
              <w:t>Age pensioners</w:t>
            </w:r>
          </w:p>
        </w:tc>
        <w:tc>
          <w:tcPr>
            <w:tcW w:w="1796" w:type="dxa"/>
            <w:tcBorders>
              <w:top w:val="nil"/>
            </w:tcBorders>
            <w:vAlign w:val="center"/>
          </w:tcPr>
          <w:p w14:paraId="2285FEE6" w14:textId="77777777" w:rsidR="00C07E8C" w:rsidRPr="00C07E8C" w:rsidRDefault="004D6DCC" w:rsidP="00C07E8C">
            <w:pPr>
              <w:pStyle w:val="TableTextRight"/>
            </w:pPr>
            <w:r>
              <w:t>614</w:t>
            </w:r>
          </w:p>
        </w:tc>
        <w:tc>
          <w:tcPr>
            <w:tcW w:w="1806" w:type="dxa"/>
            <w:tcBorders>
              <w:top w:val="nil"/>
            </w:tcBorders>
            <w:vAlign w:val="center"/>
          </w:tcPr>
          <w:p w14:paraId="0990765B" w14:textId="77777777" w:rsidR="00C07E8C" w:rsidRPr="00C07E8C" w:rsidRDefault="00C07E8C" w:rsidP="008839F1">
            <w:pPr>
              <w:pStyle w:val="TableTextRight"/>
            </w:pPr>
            <w:r w:rsidRPr="00C07E8C">
              <w:t>1</w:t>
            </w:r>
            <w:r w:rsidR="008839F1">
              <w:t>0</w:t>
            </w:r>
          </w:p>
        </w:tc>
      </w:tr>
      <w:tr w:rsidR="00C07E8C" w:rsidRPr="00F27053" w14:paraId="3AE307C5" w14:textId="77777777" w:rsidTr="0048020A">
        <w:tc>
          <w:tcPr>
            <w:tcW w:w="3544" w:type="dxa"/>
          </w:tcPr>
          <w:p w14:paraId="0E2F9265" w14:textId="77777777" w:rsidR="00C07E8C" w:rsidRPr="00F27053" w:rsidRDefault="00C07E8C" w:rsidP="00460C0E">
            <w:pPr>
              <w:pStyle w:val="TableTextLeft"/>
              <w:tabs>
                <w:tab w:val="left" w:pos="176"/>
              </w:tabs>
            </w:pPr>
            <w:r>
              <w:tab/>
            </w:r>
            <w:r w:rsidRPr="00F27053">
              <w:t>Invalid pensioners</w:t>
            </w:r>
          </w:p>
        </w:tc>
        <w:tc>
          <w:tcPr>
            <w:tcW w:w="1796" w:type="dxa"/>
            <w:vAlign w:val="center"/>
          </w:tcPr>
          <w:p w14:paraId="520FEF27" w14:textId="77777777" w:rsidR="00C07E8C" w:rsidRPr="00C07E8C" w:rsidRDefault="004D6DCC" w:rsidP="00C07E8C">
            <w:pPr>
              <w:pStyle w:val="TableTextRight"/>
            </w:pPr>
            <w:r>
              <w:t>589</w:t>
            </w:r>
          </w:p>
        </w:tc>
        <w:tc>
          <w:tcPr>
            <w:tcW w:w="1806" w:type="dxa"/>
            <w:vAlign w:val="center"/>
          </w:tcPr>
          <w:p w14:paraId="4856896D" w14:textId="77777777" w:rsidR="00C07E8C" w:rsidRPr="00C07E8C" w:rsidRDefault="00C07E8C" w:rsidP="008839F1">
            <w:pPr>
              <w:pStyle w:val="TableTextRight"/>
            </w:pPr>
            <w:r w:rsidRPr="00C07E8C">
              <w:t>1</w:t>
            </w:r>
            <w:r w:rsidR="008839F1">
              <w:t>2</w:t>
            </w:r>
          </w:p>
        </w:tc>
      </w:tr>
      <w:tr w:rsidR="00C07E8C" w:rsidRPr="00F27053" w14:paraId="780FFB55" w14:textId="77777777" w:rsidTr="0048020A">
        <w:tc>
          <w:tcPr>
            <w:tcW w:w="3544" w:type="dxa"/>
          </w:tcPr>
          <w:p w14:paraId="32ADDCFF" w14:textId="77777777" w:rsidR="00C07E8C" w:rsidRPr="00F27053" w:rsidRDefault="00C07E8C" w:rsidP="00460C0E">
            <w:pPr>
              <w:pStyle w:val="TableTextLeft"/>
              <w:tabs>
                <w:tab w:val="left" w:pos="176"/>
              </w:tabs>
            </w:pPr>
            <w:r>
              <w:tab/>
            </w:r>
            <w:r w:rsidRPr="00F27053">
              <w:t>Reversionary pensioners</w:t>
            </w:r>
            <w:r w:rsidR="00FA769D">
              <w:rPr>
                <w:rFonts w:cs="Arial"/>
              </w:rPr>
              <w:t>²</w:t>
            </w:r>
          </w:p>
        </w:tc>
        <w:tc>
          <w:tcPr>
            <w:tcW w:w="1796" w:type="dxa"/>
            <w:vAlign w:val="center"/>
          </w:tcPr>
          <w:p w14:paraId="5303E09A" w14:textId="77777777" w:rsidR="00C07E8C" w:rsidRPr="00C07E8C" w:rsidRDefault="004D6DCC" w:rsidP="004D6DCC">
            <w:pPr>
              <w:pStyle w:val="TableTextRight"/>
            </w:pPr>
            <w:r>
              <w:t>1</w:t>
            </w:r>
            <w:r w:rsidR="00C07E8C" w:rsidRPr="00C07E8C">
              <w:t>,</w:t>
            </w:r>
            <w:r>
              <w:t>9</w:t>
            </w:r>
            <w:r w:rsidR="00C07E8C" w:rsidRPr="00C07E8C">
              <w:t>15</w:t>
            </w:r>
          </w:p>
        </w:tc>
        <w:tc>
          <w:tcPr>
            <w:tcW w:w="1806" w:type="dxa"/>
            <w:vAlign w:val="center"/>
          </w:tcPr>
          <w:p w14:paraId="56CC561A" w14:textId="77777777" w:rsidR="00C07E8C" w:rsidRPr="00C07E8C" w:rsidRDefault="00C07E8C" w:rsidP="004D6DCC">
            <w:pPr>
              <w:pStyle w:val="TableTextRight"/>
            </w:pPr>
            <w:r w:rsidRPr="00C07E8C">
              <w:t>3</w:t>
            </w:r>
            <w:r w:rsidR="004D6DCC">
              <w:t>0</w:t>
            </w:r>
          </w:p>
        </w:tc>
      </w:tr>
      <w:tr w:rsidR="00C07E8C" w:rsidRPr="00F27053" w14:paraId="0D9496B4" w14:textId="77777777" w:rsidTr="0048020A">
        <w:tc>
          <w:tcPr>
            <w:tcW w:w="3544" w:type="dxa"/>
            <w:tcBorders>
              <w:bottom w:val="nil"/>
            </w:tcBorders>
          </w:tcPr>
          <w:p w14:paraId="1829EE8E" w14:textId="77777777" w:rsidR="00C07E8C" w:rsidRPr="00F27053" w:rsidRDefault="00C07E8C" w:rsidP="00460C0E">
            <w:pPr>
              <w:pStyle w:val="TableTextLeft"/>
              <w:tabs>
                <w:tab w:val="left" w:pos="176"/>
              </w:tabs>
            </w:pPr>
            <w:r>
              <w:tab/>
            </w:r>
            <w:r w:rsidRPr="00F27053">
              <w:t>Associate pensioners</w:t>
            </w:r>
            <w:r w:rsidR="00FA769D">
              <w:rPr>
                <w:rFonts w:cs="Arial"/>
              </w:rPr>
              <w:t>³</w:t>
            </w:r>
          </w:p>
        </w:tc>
        <w:tc>
          <w:tcPr>
            <w:tcW w:w="1796" w:type="dxa"/>
            <w:tcBorders>
              <w:bottom w:val="nil"/>
            </w:tcBorders>
            <w:vAlign w:val="center"/>
          </w:tcPr>
          <w:p w14:paraId="1BB18F09" w14:textId="77777777" w:rsidR="00C07E8C" w:rsidRPr="00C07E8C" w:rsidRDefault="004D6DCC" w:rsidP="00C07E8C">
            <w:pPr>
              <w:pStyle w:val="TableTextRight"/>
            </w:pPr>
            <w:r>
              <w:t>0</w:t>
            </w:r>
          </w:p>
        </w:tc>
        <w:tc>
          <w:tcPr>
            <w:tcW w:w="1806" w:type="dxa"/>
            <w:tcBorders>
              <w:bottom w:val="nil"/>
            </w:tcBorders>
            <w:vAlign w:val="center"/>
          </w:tcPr>
          <w:p w14:paraId="05C910C2" w14:textId="77777777" w:rsidR="00C07E8C" w:rsidRPr="00C07E8C" w:rsidRDefault="00C07E8C" w:rsidP="00C07E8C">
            <w:pPr>
              <w:pStyle w:val="TableTextRight"/>
            </w:pPr>
            <w:r w:rsidRPr="00C07E8C">
              <w:t>0</w:t>
            </w:r>
          </w:p>
        </w:tc>
      </w:tr>
      <w:tr w:rsidR="00C07E8C" w:rsidRPr="00F27053" w14:paraId="59C05097" w14:textId="77777777" w:rsidTr="0048020A">
        <w:tc>
          <w:tcPr>
            <w:tcW w:w="3544" w:type="dxa"/>
            <w:tcBorders>
              <w:top w:val="nil"/>
              <w:bottom w:val="single" w:sz="4" w:space="0" w:color="auto"/>
            </w:tcBorders>
          </w:tcPr>
          <w:p w14:paraId="18664206" w14:textId="77777777" w:rsidR="00C07E8C" w:rsidRPr="00F27053" w:rsidRDefault="00C07E8C" w:rsidP="00460C0E">
            <w:pPr>
              <w:pStyle w:val="TableColumnHeadingLeft"/>
              <w:tabs>
                <w:tab w:val="left" w:pos="281"/>
              </w:tabs>
              <w:ind w:left="-108"/>
            </w:pPr>
            <w:r w:rsidRPr="00F27053">
              <w:t>Total</w:t>
            </w:r>
            <w:r>
              <w:t xml:space="preserve"> DFRB</w:t>
            </w:r>
          </w:p>
        </w:tc>
        <w:tc>
          <w:tcPr>
            <w:tcW w:w="1796" w:type="dxa"/>
            <w:tcBorders>
              <w:top w:val="nil"/>
              <w:bottom w:val="single" w:sz="4" w:space="0" w:color="auto"/>
            </w:tcBorders>
            <w:vAlign w:val="center"/>
          </w:tcPr>
          <w:p w14:paraId="25FF905C" w14:textId="77777777" w:rsidR="00C07E8C" w:rsidRPr="00C07E8C" w:rsidRDefault="00C07E8C" w:rsidP="004D6DCC">
            <w:pPr>
              <w:pStyle w:val="TableColumnHeadingRight"/>
            </w:pPr>
            <w:r w:rsidRPr="00C07E8C">
              <w:t>3,</w:t>
            </w:r>
            <w:r w:rsidR="004D6DCC">
              <w:t>118</w:t>
            </w:r>
          </w:p>
        </w:tc>
        <w:tc>
          <w:tcPr>
            <w:tcW w:w="1806" w:type="dxa"/>
            <w:tcBorders>
              <w:top w:val="nil"/>
              <w:bottom w:val="single" w:sz="4" w:space="0" w:color="auto"/>
            </w:tcBorders>
            <w:vAlign w:val="center"/>
          </w:tcPr>
          <w:p w14:paraId="5851EB64" w14:textId="77777777" w:rsidR="00C07E8C" w:rsidRPr="00C07E8C" w:rsidRDefault="008839F1" w:rsidP="004D6DCC">
            <w:pPr>
              <w:pStyle w:val="TableColumnHeadingRight"/>
            </w:pPr>
            <w:r>
              <w:t>52</w:t>
            </w:r>
          </w:p>
        </w:tc>
      </w:tr>
      <w:tr w:rsidR="00C07E8C" w:rsidRPr="00C07E8C" w14:paraId="7877ECDA" w14:textId="77777777" w:rsidTr="0048020A">
        <w:tc>
          <w:tcPr>
            <w:tcW w:w="3544" w:type="dxa"/>
            <w:tcBorders>
              <w:top w:val="single" w:sz="4" w:space="0" w:color="auto"/>
              <w:bottom w:val="nil"/>
            </w:tcBorders>
            <w:shd w:val="clear" w:color="auto" w:fill="F2F2F2" w:themeFill="background1" w:themeFillShade="F2"/>
          </w:tcPr>
          <w:p w14:paraId="41E094F6" w14:textId="77777777" w:rsidR="00C07E8C" w:rsidRPr="00C07E8C" w:rsidRDefault="00C07E8C" w:rsidP="00460C0E">
            <w:pPr>
              <w:pStyle w:val="TableTextLeft"/>
              <w:tabs>
                <w:tab w:val="left" w:pos="281"/>
              </w:tabs>
              <w:ind w:left="-108"/>
              <w:rPr>
                <w:b/>
              </w:rPr>
            </w:pPr>
            <w:r w:rsidRPr="00C07E8C">
              <w:rPr>
                <w:b/>
              </w:rPr>
              <w:t>DFR</w:t>
            </w:r>
            <w:r>
              <w:rPr>
                <w:b/>
              </w:rPr>
              <w:t>D</w:t>
            </w:r>
            <w:r w:rsidRPr="00C07E8C">
              <w:rPr>
                <w:b/>
              </w:rPr>
              <w:t>B</w:t>
            </w:r>
          </w:p>
        </w:tc>
        <w:tc>
          <w:tcPr>
            <w:tcW w:w="1796" w:type="dxa"/>
            <w:tcBorders>
              <w:top w:val="single" w:sz="4" w:space="0" w:color="auto"/>
              <w:bottom w:val="nil"/>
            </w:tcBorders>
            <w:shd w:val="clear" w:color="auto" w:fill="F2F2F2" w:themeFill="background1" w:themeFillShade="F2"/>
            <w:vAlign w:val="center"/>
          </w:tcPr>
          <w:p w14:paraId="5FBF6E9E" w14:textId="77777777" w:rsidR="00C07E8C" w:rsidRPr="00C07E8C" w:rsidRDefault="00C07E8C" w:rsidP="00B33340">
            <w:pPr>
              <w:pStyle w:val="TableTextRight"/>
              <w:rPr>
                <w:b/>
              </w:rPr>
            </w:pPr>
          </w:p>
        </w:tc>
        <w:tc>
          <w:tcPr>
            <w:tcW w:w="1806" w:type="dxa"/>
            <w:tcBorders>
              <w:top w:val="single" w:sz="4" w:space="0" w:color="auto"/>
              <w:bottom w:val="nil"/>
            </w:tcBorders>
            <w:shd w:val="clear" w:color="auto" w:fill="F2F2F2" w:themeFill="background1" w:themeFillShade="F2"/>
            <w:vAlign w:val="center"/>
          </w:tcPr>
          <w:p w14:paraId="4E0387A7" w14:textId="77777777" w:rsidR="00C07E8C" w:rsidRPr="00C07E8C" w:rsidRDefault="00C07E8C" w:rsidP="00B33340">
            <w:pPr>
              <w:pStyle w:val="TableTextRight"/>
              <w:rPr>
                <w:b/>
              </w:rPr>
            </w:pPr>
          </w:p>
        </w:tc>
      </w:tr>
      <w:tr w:rsidR="00C07E8C" w:rsidRPr="00F27053" w14:paraId="128C067A" w14:textId="77777777" w:rsidTr="0048020A">
        <w:tc>
          <w:tcPr>
            <w:tcW w:w="3544" w:type="dxa"/>
            <w:tcBorders>
              <w:top w:val="nil"/>
            </w:tcBorders>
            <w:shd w:val="clear" w:color="auto" w:fill="F2F2F2" w:themeFill="background1" w:themeFillShade="F2"/>
          </w:tcPr>
          <w:p w14:paraId="2BC66992" w14:textId="77777777" w:rsidR="00C07E8C" w:rsidRPr="00F27053" w:rsidRDefault="00C07E8C" w:rsidP="00460C0E">
            <w:pPr>
              <w:pStyle w:val="TableTextLeft"/>
              <w:tabs>
                <w:tab w:val="left" w:pos="176"/>
              </w:tabs>
            </w:pPr>
            <w:r>
              <w:tab/>
            </w:r>
            <w:r w:rsidRPr="00F27053">
              <w:t>Age pensioners</w:t>
            </w:r>
          </w:p>
        </w:tc>
        <w:tc>
          <w:tcPr>
            <w:tcW w:w="1796" w:type="dxa"/>
            <w:tcBorders>
              <w:top w:val="nil"/>
            </w:tcBorders>
            <w:shd w:val="clear" w:color="auto" w:fill="F2F2F2" w:themeFill="background1" w:themeFillShade="F2"/>
            <w:vAlign w:val="center"/>
          </w:tcPr>
          <w:p w14:paraId="75CCE1F9" w14:textId="77777777" w:rsidR="00C07E8C" w:rsidRPr="00B33340" w:rsidRDefault="00C07E8C" w:rsidP="004D6DCC">
            <w:pPr>
              <w:pStyle w:val="TableTextRight"/>
            </w:pPr>
            <w:r w:rsidRPr="00B33340">
              <w:t>4</w:t>
            </w:r>
            <w:r w:rsidR="004D6DCC">
              <w:t>3</w:t>
            </w:r>
            <w:r w:rsidRPr="00B33340">
              <w:t>,</w:t>
            </w:r>
            <w:r w:rsidR="004D6DCC">
              <w:t>220</w:t>
            </w:r>
          </w:p>
        </w:tc>
        <w:tc>
          <w:tcPr>
            <w:tcW w:w="1806" w:type="dxa"/>
            <w:tcBorders>
              <w:top w:val="nil"/>
            </w:tcBorders>
            <w:shd w:val="clear" w:color="auto" w:fill="F2F2F2" w:themeFill="background1" w:themeFillShade="F2"/>
            <w:vAlign w:val="center"/>
          </w:tcPr>
          <w:p w14:paraId="500608CA" w14:textId="77777777" w:rsidR="00C07E8C" w:rsidRPr="00B33340" w:rsidRDefault="00C07E8C" w:rsidP="004D6DCC">
            <w:pPr>
              <w:pStyle w:val="TableTextRight"/>
            </w:pPr>
            <w:r w:rsidRPr="00B33340">
              <w:t>1,</w:t>
            </w:r>
            <w:r w:rsidR="004D6DCC">
              <w:t>165</w:t>
            </w:r>
          </w:p>
        </w:tc>
      </w:tr>
      <w:tr w:rsidR="00C07E8C" w:rsidRPr="00F27053" w14:paraId="34E5B98B" w14:textId="77777777" w:rsidTr="0048020A">
        <w:tc>
          <w:tcPr>
            <w:tcW w:w="3544" w:type="dxa"/>
            <w:shd w:val="clear" w:color="auto" w:fill="F2F2F2" w:themeFill="background1" w:themeFillShade="F2"/>
          </w:tcPr>
          <w:p w14:paraId="20E128AD" w14:textId="77777777" w:rsidR="00C07E8C" w:rsidRPr="00F27053" w:rsidRDefault="00C07E8C" w:rsidP="00460C0E">
            <w:pPr>
              <w:pStyle w:val="TableTextLeft"/>
              <w:tabs>
                <w:tab w:val="left" w:pos="176"/>
              </w:tabs>
            </w:pPr>
            <w:r>
              <w:tab/>
            </w:r>
            <w:r w:rsidRPr="00F27053">
              <w:t>Invalid pensioners</w:t>
            </w:r>
          </w:p>
        </w:tc>
        <w:tc>
          <w:tcPr>
            <w:tcW w:w="1796" w:type="dxa"/>
            <w:shd w:val="clear" w:color="auto" w:fill="F2F2F2" w:themeFill="background1" w:themeFillShade="F2"/>
            <w:vAlign w:val="center"/>
          </w:tcPr>
          <w:p w14:paraId="78E22AB8" w14:textId="77777777" w:rsidR="00C07E8C" w:rsidRPr="00B33340" w:rsidRDefault="00C07E8C" w:rsidP="004D6DCC">
            <w:pPr>
              <w:pStyle w:val="TableTextRight"/>
            </w:pPr>
            <w:r w:rsidRPr="00B33340">
              <w:t>1,9</w:t>
            </w:r>
            <w:r w:rsidR="004D6DCC">
              <w:t>82</w:t>
            </w:r>
          </w:p>
        </w:tc>
        <w:tc>
          <w:tcPr>
            <w:tcW w:w="1806" w:type="dxa"/>
            <w:shd w:val="clear" w:color="auto" w:fill="F2F2F2" w:themeFill="background1" w:themeFillShade="F2"/>
            <w:vAlign w:val="center"/>
          </w:tcPr>
          <w:p w14:paraId="178DC5B0" w14:textId="77777777" w:rsidR="00C07E8C" w:rsidRPr="00B33340" w:rsidRDefault="004D6DCC" w:rsidP="00B33340">
            <w:pPr>
              <w:pStyle w:val="TableTextRight"/>
            </w:pPr>
            <w:r>
              <w:t>76</w:t>
            </w:r>
          </w:p>
        </w:tc>
      </w:tr>
      <w:tr w:rsidR="00C07E8C" w:rsidRPr="00F27053" w14:paraId="34664D2A" w14:textId="77777777" w:rsidTr="0048020A">
        <w:tc>
          <w:tcPr>
            <w:tcW w:w="3544" w:type="dxa"/>
            <w:tcBorders>
              <w:bottom w:val="nil"/>
            </w:tcBorders>
            <w:shd w:val="clear" w:color="auto" w:fill="F2F2F2" w:themeFill="background1" w:themeFillShade="F2"/>
          </w:tcPr>
          <w:p w14:paraId="6C0BE3B5" w14:textId="77777777" w:rsidR="00C07E8C" w:rsidRPr="00F27053" w:rsidRDefault="00C07E8C" w:rsidP="00460C0E">
            <w:pPr>
              <w:pStyle w:val="TableTextLeft"/>
              <w:tabs>
                <w:tab w:val="left" w:pos="176"/>
              </w:tabs>
            </w:pPr>
            <w:r>
              <w:tab/>
            </w:r>
            <w:r w:rsidRPr="00F27053">
              <w:t>Reversionary pensioners</w:t>
            </w:r>
            <w:r w:rsidR="00FA769D">
              <w:rPr>
                <w:rFonts w:cs="Arial"/>
              </w:rPr>
              <w:t>²</w:t>
            </w:r>
          </w:p>
        </w:tc>
        <w:tc>
          <w:tcPr>
            <w:tcW w:w="1796" w:type="dxa"/>
            <w:tcBorders>
              <w:bottom w:val="nil"/>
            </w:tcBorders>
            <w:shd w:val="clear" w:color="auto" w:fill="F2F2F2" w:themeFill="background1" w:themeFillShade="F2"/>
            <w:vAlign w:val="center"/>
          </w:tcPr>
          <w:p w14:paraId="1F2B8B45" w14:textId="77777777" w:rsidR="00C07E8C" w:rsidRPr="00B33340" w:rsidRDefault="004D6DCC" w:rsidP="004D6DCC">
            <w:pPr>
              <w:pStyle w:val="TableTextRight"/>
            </w:pPr>
            <w:r>
              <w:t>7</w:t>
            </w:r>
            <w:r w:rsidR="00C07E8C" w:rsidRPr="00B33340">
              <w:t>,</w:t>
            </w:r>
            <w:r>
              <w:t>059</w:t>
            </w:r>
          </w:p>
        </w:tc>
        <w:tc>
          <w:tcPr>
            <w:tcW w:w="1806" w:type="dxa"/>
            <w:tcBorders>
              <w:bottom w:val="nil"/>
            </w:tcBorders>
            <w:shd w:val="clear" w:color="auto" w:fill="F2F2F2" w:themeFill="background1" w:themeFillShade="F2"/>
            <w:vAlign w:val="center"/>
          </w:tcPr>
          <w:p w14:paraId="648A9AEC" w14:textId="77777777" w:rsidR="00C07E8C" w:rsidRPr="00B33340" w:rsidRDefault="00C07E8C" w:rsidP="004D6DCC">
            <w:pPr>
              <w:pStyle w:val="TableTextRight"/>
            </w:pPr>
            <w:r w:rsidRPr="00B33340">
              <w:t>1</w:t>
            </w:r>
            <w:r w:rsidR="004D6DCC">
              <w:t>49</w:t>
            </w:r>
          </w:p>
        </w:tc>
      </w:tr>
      <w:tr w:rsidR="00C07E8C" w:rsidRPr="00F27053" w14:paraId="12C600FC" w14:textId="77777777" w:rsidTr="0048020A">
        <w:tc>
          <w:tcPr>
            <w:tcW w:w="3544" w:type="dxa"/>
            <w:tcBorders>
              <w:top w:val="nil"/>
              <w:bottom w:val="nil"/>
            </w:tcBorders>
            <w:shd w:val="clear" w:color="auto" w:fill="F2F2F2" w:themeFill="background1" w:themeFillShade="F2"/>
          </w:tcPr>
          <w:p w14:paraId="53AB20A5" w14:textId="77777777" w:rsidR="00C07E8C" w:rsidRPr="00F27053" w:rsidRDefault="00C07E8C" w:rsidP="00460C0E">
            <w:pPr>
              <w:pStyle w:val="TableTextLeft"/>
              <w:tabs>
                <w:tab w:val="left" w:pos="176"/>
              </w:tabs>
            </w:pPr>
            <w:r>
              <w:tab/>
            </w:r>
            <w:r w:rsidRPr="00F27053">
              <w:t>Associate pensioners</w:t>
            </w:r>
            <w:r w:rsidR="00FA769D">
              <w:rPr>
                <w:rFonts w:cs="Arial"/>
              </w:rPr>
              <w:t>³</w:t>
            </w:r>
          </w:p>
        </w:tc>
        <w:tc>
          <w:tcPr>
            <w:tcW w:w="1796" w:type="dxa"/>
            <w:tcBorders>
              <w:top w:val="nil"/>
              <w:bottom w:val="nil"/>
            </w:tcBorders>
            <w:shd w:val="clear" w:color="auto" w:fill="F2F2F2" w:themeFill="background1" w:themeFillShade="F2"/>
            <w:vAlign w:val="center"/>
          </w:tcPr>
          <w:p w14:paraId="6710325B" w14:textId="77777777" w:rsidR="00C07E8C" w:rsidRPr="00B33340" w:rsidRDefault="004D6DCC" w:rsidP="00B33340">
            <w:pPr>
              <w:pStyle w:val="TableTextRight"/>
            </w:pPr>
            <w:r>
              <w:t>570</w:t>
            </w:r>
          </w:p>
        </w:tc>
        <w:tc>
          <w:tcPr>
            <w:tcW w:w="1806" w:type="dxa"/>
            <w:tcBorders>
              <w:top w:val="nil"/>
              <w:bottom w:val="nil"/>
            </w:tcBorders>
            <w:shd w:val="clear" w:color="auto" w:fill="F2F2F2" w:themeFill="background1" w:themeFillShade="F2"/>
            <w:vAlign w:val="center"/>
          </w:tcPr>
          <w:p w14:paraId="7368B3C8" w14:textId="77777777" w:rsidR="00C07E8C" w:rsidRPr="00B33340" w:rsidRDefault="004D6DCC" w:rsidP="00B33340">
            <w:pPr>
              <w:pStyle w:val="TableTextRight"/>
            </w:pPr>
            <w:r>
              <w:t>7</w:t>
            </w:r>
          </w:p>
        </w:tc>
      </w:tr>
      <w:tr w:rsidR="00B33340" w:rsidRPr="00F27053" w14:paraId="0AD853D8" w14:textId="77777777" w:rsidTr="0048020A">
        <w:tc>
          <w:tcPr>
            <w:tcW w:w="3544" w:type="dxa"/>
            <w:tcBorders>
              <w:top w:val="nil"/>
              <w:bottom w:val="single" w:sz="2" w:space="0" w:color="000000"/>
            </w:tcBorders>
            <w:shd w:val="clear" w:color="auto" w:fill="F2F2F2" w:themeFill="background1" w:themeFillShade="F2"/>
          </w:tcPr>
          <w:p w14:paraId="51208AA7" w14:textId="77777777" w:rsidR="00B33340" w:rsidRPr="00F27053" w:rsidRDefault="00B33340" w:rsidP="00460C0E">
            <w:pPr>
              <w:pStyle w:val="TableColumnHeadingLeft"/>
              <w:tabs>
                <w:tab w:val="left" w:pos="281"/>
              </w:tabs>
              <w:ind w:left="-108"/>
            </w:pPr>
            <w:r w:rsidRPr="00F27053">
              <w:t>Total</w:t>
            </w:r>
            <w:r>
              <w:t xml:space="preserve"> DFRDB</w:t>
            </w:r>
          </w:p>
        </w:tc>
        <w:tc>
          <w:tcPr>
            <w:tcW w:w="1796" w:type="dxa"/>
            <w:tcBorders>
              <w:top w:val="nil"/>
              <w:bottom w:val="single" w:sz="2" w:space="0" w:color="000000"/>
            </w:tcBorders>
            <w:shd w:val="clear" w:color="auto" w:fill="F2F2F2" w:themeFill="background1" w:themeFillShade="F2"/>
            <w:vAlign w:val="center"/>
          </w:tcPr>
          <w:p w14:paraId="687410F7" w14:textId="77777777" w:rsidR="00B33340" w:rsidRPr="00B33340" w:rsidRDefault="00B33340" w:rsidP="004D6DCC">
            <w:pPr>
              <w:pStyle w:val="TableColumnHeadingRight"/>
            </w:pPr>
            <w:r w:rsidRPr="00B33340">
              <w:t>52,</w:t>
            </w:r>
            <w:r w:rsidR="004D6DCC">
              <w:t>831</w:t>
            </w:r>
          </w:p>
        </w:tc>
        <w:tc>
          <w:tcPr>
            <w:tcW w:w="1806" w:type="dxa"/>
            <w:tcBorders>
              <w:top w:val="nil"/>
              <w:bottom w:val="single" w:sz="2" w:space="0" w:color="000000"/>
            </w:tcBorders>
            <w:shd w:val="clear" w:color="auto" w:fill="F2F2F2" w:themeFill="background1" w:themeFillShade="F2"/>
            <w:vAlign w:val="center"/>
          </w:tcPr>
          <w:p w14:paraId="47BBCDF0" w14:textId="77777777" w:rsidR="00B33340" w:rsidRPr="00B33340" w:rsidRDefault="00B33340" w:rsidP="004D6DCC">
            <w:pPr>
              <w:pStyle w:val="TableColumnHeadingRight"/>
            </w:pPr>
            <w:r w:rsidRPr="00B33340">
              <w:t>1,</w:t>
            </w:r>
            <w:r w:rsidR="004D6DCC">
              <w:t>396</w:t>
            </w:r>
          </w:p>
        </w:tc>
      </w:tr>
      <w:tr w:rsidR="00C07E8C" w:rsidRPr="00C07E8C" w14:paraId="515FC4C0" w14:textId="77777777" w:rsidTr="0048020A">
        <w:tc>
          <w:tcPr>
            <w:tcW w:w="3544" w:type="dxa"/>
            <w:tcBorders>
              <w:top w:val="single" w:sz="4" w:space="0" w:color="auto"/>
              <w:bottom w:val="nil"/>
            </w:tcBorders>
          </w:tcPr>
          <w:p w14:paraId="28154F46" w14:textId="77777777" w:rsidR="00C07E8C" w:rsidRPr="00C07E8C" w:rsidRDefault="00C07E8C" w:rsidP="00460C0E">
            <w:pPr>
              <w:pStyle w:val="TableTextLeft"/>
              <w:tabs>
                <w:tab w:val="left" w:pos="281"/>
              </w:tabs>
              <w:ind w:left="-108"/>
              <w:rPr>
                <w:b/>
              </w:rPr>
            </w:pPr>
            <w:r>
              <w:rPr>
                <w:b/>
              </w:rPr>
              <w:t>MSBS</w:t>
            </w:r>
          </w:p>
        </w:tc>
        <w:tc>
          <w:tcPr>
            <w:tcW w:w="1796" w:type="dxa"/>
            <w:tcBorders>
              <w:top w:val="single" w:sz="4" w:space="0" w:color="auto"/>
              <w:bottom w:val="nil"/>
            </w:tcBorders>
            <w:vAlign w:val="center"/>
          </w:tcPr>
          <w:p w14:paraId="548F070C" w14:textId="77777777" w:rsidR="00C07E8C" w:rsidRPr="00C07E8C" w:rsidRDefault="00C07E8C" w:rsidP="00C07E8C">
            <w:pPr>
              <w:pStyle w:val="TableTextRight"/>
              <w:rPr>
                <w:b/>
              </w:rPr>
            </w:pPr>
          </w:p>
        </w:tc>
        <w:tc>
          <w:tcPr>
            <w:tcW w:w="1806" w:type="dxa"/>
            <w:tcBorders>
              <w:top w:val="single" w:sz="4" w:space="0" w:color="auto"/>
              <w:bottom w:val="nil"/>
            </w:tcBorders>
            <w:vAlign w:val="center"/>
          </w:tcPr>
          <w:p w14:paraId="0E0E304D" w14:textId="77777777" w:rsidR="00C07E8C" w:rsidRPr="00C07E8C" w:rsidRDefault="00C07E8C" w:rsidP="00C07E8C">
            <w:pPr>
              <w:pStyle w:val="TableTextRight"/>
              <w:rPr>
                <w:b/>
              </w:rPr>
            </w:pPr>
          </w:p>
        </w:tc>
      </w:tr>
      <w:tr w:rsidR="00C07E8C" w:rsidRPr="00F27053" w14:paraId="4B7FD26B" w14:textId="77777777" w:rsidTr="0048020A">
        <w:tc>
          <w:tcPr>
            <w:tcW w:w="3544" w:type="dxa"/>
            <w:tcBorders>
              <w:top w:val="nil"/>
              <w:bottom w:val="nil"/>
            </w:tcBorders>
          </w:tcPr>
          <w:p w14:paraId="620BDE3A" w14:textId="77777777" w:rsidR="00C07E8C" w:rsidRPr="00F27053" w:rsidRDefault="00C07E8C" w:rsidP="00460C0E">
            <w:pPr>
              <w:pStyle w:val="TableTextLeft"/>
              <w:tabs>
                <w:tab w:val="left" w:pos="176"/>
              </w:tabs>
            </w:pPr>
            <w:r>
              <w:tab/>
            </w:r>
            <w:r w:rsidRPr="00F27053">
              <w:t>Age pensioners</w:t>
            </w:r>
          </w:p>
        </w:tc>
        <w:tc>
          <w:tcPr>
            <w:tcW w:w="1796" w:type="dxa"/>
            <w:tcBorders>
              <w:top w:val="nil"/>
              <w:bottom w:val="nil"/>
            </w:tcBorders>
            <w:vAlign w:val="center"/>
          </w:tcPr>
          <w:p w14:paraId="7C594729" w14:textId="77777777" w:rsidR="00C07E8C" w:rsidRPr="00B33340" w:rsidRDefault="004D6DCC" w:rsidP="004D6DCC">
            <w:pPr>
              <w:pStyle w:val="TableTextRight"/>
            </w:pPr>
            <w:r>
              <w:t>4</w:t>
            </w:r>
            <w:r w:rsidR="00EC6085">
              <w:t>,</w:t>
            </w:r>
            <w:r>
              <w:t>298</w:t>
            </w:r>
          </w:p>
        </w:tc>
        <w:tc>
          <w:tcPr>
            <w:tcW w:w="1806" w:type="dxa"/>
            <w:tcBorders>
              <w:top w:val="nil"/>
              <w:bottom w:val="nil"/>
            </w:tcBorders>
            <w:vAlign w:val="center"/>
          </w:tcPr>
          <w:p w14:paraId="080BE5E9" w14:textId="77777777" w:rsidR="00C07E8C" w:rsidRPr="00B33340" w:rsidRDefault="004D6DCC" w:rsidP="00B33340">
            <w:pPr>
              <w:pStyle w:val="TableTextRight"/>
            </w:pPr>
            <w:r>
              <w:t>111</w:t>
            </w:r>
          </w:p>
        </w:tc>
      </w:tr>
      <w:tr w:rsidR="00C07E8C" w:rsidRPr="00F27053" w14:paraId="2F06FB3F" w14:textId="77777777" w:rsidTr="0048020A">
        <w:tc>
          <w:tcPr>
            <w:tcW w:w="3544" w:type="dxa"/>
            <w:tcBorders>
              <w:top w:val="nil"/>
            </w:tcBorders>
          </w:tcPr>
          <w:p w14:paraId="01B8243F" w14:textId="77777777" w:rsidR="00C07E8C" w:rsidRPr="00F27053" w:rsidRDefault="00C07E8C" w:rsidP="00460C0E">
            <w:pPr>
              <w:pStyle w:val="TableTextLeft"/>
              <w:tabs>
                <w:tab w:val="left" w:pos="176"/>
              </w:tabs>
            </w:pPr>
            <w:r>
              <w:tab/>
            </w:r>
            <w:r w:rsidRPr="00F27053">
              <w:t>Invalid pensioners</w:t>
            </w:r>
          </w:p>
        </w:tc>
        <w:tc>
          <w:tcPr>
            <w:tcW w:w="1796" w:type="dxa"/>
            <w:tcBorders>
              <w:top w:val="nil"/>
            </w:tcBorders>
            <w:vAlign w:val="center"/>
          </w:tcPr>
          <w:p w14:paraId="10534268" w14:textId="77777777" w:rsidR="00C07E8C" w:rsidRPr="00B33340" w:rsidRDefault="004D6DCC" w:rsidP="004D6DCC">
            <w:pPr>
              <w:pStyle w:val="TableTextRight"/>
            </w:pPr>
            <w:r>
              <w:t>6</w:t>
            </w:r>
            <w:r w:rsidR="00EC6085">
              <w:t>,</w:t>
            </w:r>
            <w:r>
              <w:t>141</w:t>
            </w:r>
          </w:p>
        </w:tc>
        <w:tc>
          <w:tcPr>
            <w:tcW w:w="1806" w:type="dxa"/>
            <w:tcBorders>
              <w:top w:val="nil"/>
            </w:tcBorders>
            <w:vAlign w:val="center"/>
          </w:tcPr>
          <w:p w14:paraId="65274821" w14:textId="77777777" w:rsidR="00C07E8C" w:rsidRPr="00B33340" w:rsidRDefault="004D6DCC" w:rsidP="00B33340">
            <w:pPr>
              <w:pStyle w:val="TableTextRight"/>
            </w:pPr>
            <w:r>
              <w:t>207</w:t>
            </w:r>
          </w:p>
        </w:tc>
      </w:tr>
      <w:tr w:rsidR="00C07E8C" w:rsidRPr="00F27053" w14:paraId="25CEF44F" w14:textId="77777777" w:rsidTr="0048020A">
        <w:tc>
          <w:tcPr>
            <w:tcW w:w="3544" w:type="dxa"/>
            <w:tcBorders>
              <w:bottom w:val="nil"/>
            </w:tcBorders>
          </w:tcPr>
          <w:p w14:paraId="39E170E3" w14:textId="77777777" w:rsidR="00C07E8C" w:rsidRPr="00F27053" w:rsidRDefault="00C07E8C" w:rsidP="00460C0E">
            <w:pPr>
              <w:pStyle w:val="TableTextLeft"/>
              <w:tabs>
                <w:tab w:val="left" w:pos="176"/>
              </w:tabs>
            </w:pPr>
            <w:r>
              <w:tab/>
            </w:r>
            <w:r w:rsidRPr="00F27053">
              <w:t>Reversionary pensioners</w:t>
            </w:r>
            <w:r w:rsidR="00FA769D">
              <w:rPr>
                <w:rFonts w:cs="Arial"/>
              </w:rPr>
              <w:t>²</w:t>
            </w:r>
          </w:p>
        </w:tc>
        <w:tc>
          <w:tcPr>
            <w:tcW w:w="1796" w:type="dxa"/>
            <w:tcBorders>
              <w:bottom w:val="nil"/>
            </w:tcBorders>
            <w:vAlign w:val="center"/>
          </w:tcPr>
          <w:p w14:paraId="18B47581" w14:textId="77777777" w:rsidR="00C07E8C" w:rsidRPr="00B33340" w:rsidRDefault="004D6DCC" w:rsidP="00B33340">
            <w:pPr>
              <w:pStyle w:val="TableTextRight"/>
            </w:pPr>
            <w:r>
              <w:t>340</w:t>
            </w:r>
          </w:p>
        </w:tc>
        <w:tc>
          <w:tcPr>
            <w:tcW w:w="1806" w:type="dxa"/>
            <w:tcBorders>
              <w:bottom w:val="nil"/>
            </w:tcBorders>
            <w:vAlign w:val="center"/>
          </w:tcPr>
          <w:p w14:paraId="5E0CA2D0" w14:textId="77777777" w:rsidR="00C07E8C" w:rsidRPr="00B33340" w:rsidRDefault="004D6DCC" w:rsidP="00B33340">
            <w:pPr>
              <w:pStyle w:val="TableTextRight"/>
            </w:pPr>
            <w:r>
              <w:t>8</w:t>
            </w:r>
          </w:p>
        </w:tc>
      </w:tr>
      <w:tr w:rsidR="00C07E8C" w:rsidRPr="00F27053" w14:paraId="3BC5DABD" w14:textId="77777777" w:rsidTr="0048020A">
        <w:tc>
          <w:tcPr>
            <w:tcW w:w="3544" w:type="dxa"/>
            <w:tcBorders>
              <w:top w:val="nil"/>
              <w:bottom w:val="nil"/>
            </w:tcBorders>
          </w:tcPr>
          <w:p w14:paraId="0F7F4003" w14:textId="77777777" w:rsidR="00C07E8C" w:rsidRPr="00F27053" w:rsidRDefault="00C07E8C" w:rsidP="00460C0E">
            <w:pPr>
              <w:pStyle w:val="TableTextLeft"/>
              <w:tabs>
                <w:tab w:val="left" w:pos="176"/>
              </w:tabs>
            </w:pPr>
            <w:r>
              <w:tab/>
            </w:r>
            <w:r w:rsidRPr="00F27053">
              <w:t>Associate pensioners</w:t>
            </w:r>
            <w:r w:rsidR="00FA769D">
              <w:rPr>
                <w:rFonts w:cs="Arial"/>
              </w:rPr>
              <w:t>³</w:t>
            </w:r>
          </w:p>
        </w:tc>
        <w:tc>
          <w:tcPr>
            <w:tcW w:w="1796" w:type="dxa"/>
            <w:tcBorders>
              <w:top w:val="nil"/>
              <w:bottom w:val="nil"/>
            </w:tcBorders>
            <w:vAlign w:val="center"/>
          </w:tcPr>
          <w:p w14:paraId="1FC7673E" w14:textId="77777777" w:rsidR="00C07E8C" w:rsidRPr="00B33340" w:rsidRDefault="004D6DCC" w:rsidP="00B33340">
            <w:pPr>
              <w:pStyle w:val="TableTextRight"/>
            </w:pPr>
            <w:r>
              <w:t>58</w:t>
            </w:r>
          </w:p>
        </w:tc>
        <w:tc>
          <w:tcPr>
            <w:tcW w:w="1806" w:type="dxa"/>
            <w:tcBorders>
              <w:top w:val="nil"/>
              <w:bottom w:val="nil"/>
            </w:tcBorders>
            <w:vAlign w:val="center"/>
          </w:tcPr>
          <w:p w14:paraId="3FD0792F" w14:textId="77777777" w:rsidR="00C07E8C" w:rsidRPr="00B33340" w:rsidRDefault="004D6DCC" w:rsidP="00B33340">
            <w:pPr>
              <w:pStyle w:val="TableTextRight"/>
            </w:pPr>
            <w:r>
              <w:t>1</w:t>
            </w:r>
          </w:p>
        </w:tc>
      </w:tr>
      <w:tr w:rsidR="00B33340" w:rsidRPr="00F27053" w14:paraId="72B19DCB" w14:textId="77777777" w:rsidTr="0048020A">
        <w:tc>
          <w:tcPr>
            <w:tcW w:w="3544" w:type="dxa"/>
            <w:tcBorders>
              <w:top w:val="nil"/>
              <w:bottom w:val="single" w:sz="2" w:space="0" w:color="000000"/>
            </w:tcBorders>
          </w:tcPr>
          <w:p w14:paraId="30655642" w14:textId="77777777" w:rsidR="00B33340" w:rsidRPr="00F27053" w:rsidRDefault="00B33340" w:rsidP="00460C0E">
            <w:pPr>
              <w:pStyle w:val="TableColumnHeadingLeft"/>
              <w:ind w:left="-108"/>
            </w:pPr>
            <w:r w:rsidRPr="00F27053">
              <w:t>Total</w:t>
            </w:r>
            <w:r>
              <w:t xml:space="preserve"> MSBS</w:t>
            </w:r>
          </w:p>
        </w:tc>
        <w:tc>
          <w:tcPr>
            <w:tcW w:w="1796" w:type="dxa"/>
            <w:tcBorders>
              <w:top w:val="nil"/>
              <w:bottom w:val="single" w:sz="2" w:space="0" w:color="000000"/>
            </w:tcBorders>
            <w:vAlign w:val="center"/>
          </w:tcPr>
          <w:p w14:paraId="3AAAF466" w14:textId="77777777" w:rsidR="00B33340" w:rsidRPr="00B33340" w:rsidRDefault="004D6DCC" w:rsidP="004D6DCC">
            <w:pPr>
              <w:pStyle w:val="TableColumnHeadingRight"/>
            </w:pPr>
            <w:r>
              <w:t>10</w:t>
            </w:r>
            <w:r w:rsidR="00CC3B35">
              <w:t>,</w:t>
            </w:r>
            <w:r>
              <w:t>837</w:t>
            </w:r>
          </w:p>
        </w:tc>
        <w:tc>
          <w:tcPr>
            <w:tcW w:w="1806" w:type="dxa"/>
            <w:tcBorders>
              <w:top w:val="nil"/>
              <w:bottom w:val="single" w:sz="2" w:space="0" w:color="000000"/>
            </w:tcBorders>
            <w:vAlign w:val="center"/>
          </w:tcPr>
          <w:p w14:paraId="4B6EBF67" w14:textId="77777777" w:rsidR="00B33340" w:rsidRPr="00B33340" w:rsidRDefault="004D6DCC" w:rsidP="00B33340">
            <w:pPr>
              <w:pStyle w:val="TableColumnHeadingRight"/>
            </w:pPr>
            <w:r>
              <w:t>326</w:t>
            </w:r>
          </w:p>
        </w:tc>
      </w:tr>
      <w:tr w:rsidR="000F4EF5" w:rsidRPr="00F27053" w14:paraId="07F48A42" w14:textId="77777777" w:rsidTr="0048020A">
        <w:tc>
          <w:tcPr>
            <w:tcW w:w="3544" w:type="dxa"/>
            <w:tcBorders>
              <w:top w:val="single" w:sz="2" w:space="0" w:color="000000"/>
              <w:bottom w:val="single" w:sz="2" w:space="0" w:color="000000"/>
            </w:tcBorders>
          </w:tcPr>
          <w:p w14:paraId="22FF6A9C" w14:textId="77777777" w:rsidR="000F4EF5" w:rsidRPr="00F27053" w:rsidRDefault="000F4EF5" w:rsidP="00460C0E">
            <w:pPr>
              <w:pStyle w:val="TableColumnHeadingLeft"/>
              <w:ind w:left="-108"/>
            </w:pPr>
            <w:r>
              <w:t>Total All Schemes</w:t>
            </w:r>
          </w:p>
        </w:tc>
        <w:tc>
          <w:tcPr>
            <w:tcW w:w="1796" w:type="dxa"/>
            <w:tcBorders>
              <w:top w:val="single" w:sz="2" w:space="0" w:color="000000"/>
              <w:bottom w:val="single" w:sz="2" w:space="0" w:color="000000"/>
            </w:tcBorders>
          </w:tcPr>
          <w:p w14:paraId="3BA9B1DF" w14:textId="77777777" w:rsidR="000F4EF5" w:rsidRDefault="00C07E8C" w:rsidP="004D6DCC">
            <w:pPr>
              <w:pStyle w:val="TableColumnHeadingRight"/>
            </w:pPr>
            <w:r>
              <w:t>6</w:t>
            </w:r>
            <w:r w:rsidR="004D6DCC">
              <w:t>6</w:t>
            </w:r>
            <w:r>
              <w:t>,</w:t>
            </w:r>
            <w:r w:rsidR="004D6DCC">
              <w:t>786</w:t>
            </w:r>
          </w:p>
        </w:tc>
        <w:tc>
          <w:tcPr>
            <w:tcW w:w="1806" w:type="dxa"/>
            <w:tcBorders>
              <w:top w:val="single" w:sz="2" w:space="0" w:color="000000"/>
              <w:bottom w:val="single" w:sz="2" w:space="0" w:color="000000"/>
            </w:tcBorders>
          </w:tcPr>
          <w:p w14:paraId="7819919F" w14:textId="77777777" w:rsidR="000F4EF5" w:rsidRDefault="00C07E8C" w:rsidP="008839F1">
            <w:pPr>
              <w:pStyle w:val="TableColumnHeadingRight"/>
            </w:pPr>
            <w:r>
              <w:t>1,</w:t>
            </w:r>
            <w:r w:rsidR="004D6DCC">
              <w:t>7</w:t>
            </w:r>
            <w:r w:rsidR="008839F1">
              <w:t>74</w:t>
            </w:r>
          </w:p>
        </w:tc>
      </w:tr>
    </w:tbl>
    <w:p w14:paraId="4B68C571" w14:textId="77777777" w:rsidR="00B2240A" w:rsidRDefault="00F32D79" w:rsidP="00460C0E">
      <w:pPr>
        <w:pStyle w:val="ChartorTableNote"/>
      </w:pPr>
      <w:r>
        <w:t>Note: Pension amounts</w:t>
      </w:r>
      <w:r w:rsidR="00B2240A">
        <w:t xml:space="preserve"> may not add up to totals due to rounding.</w:t>
      </w:r>
    </w:p>
    <w:p w14:paraId="0D6B5420" w14:textId="65B0208B" w:rsidR="00B874DF" w:rsidRPr="00746828" w:rsidRDefault="00B874DF" w:rsidP="00411660">
      <w:pPr>
        <w:pStyle w:val="ChartandTableFootnoteNumeral"/>
      </w:pPr>
      <w:r w:rsidRPr="00746828">
        <w:t>The pension amounts include the July 20</w:t>
      </w:r>
      <w:r w:rsidR="000F4EF5">
        <w:t>1</w:t>
      </w:r>
      <w:r w:rsidR="00032729">
        <w:t>4</w:t>
      </w:r>
      <w:r w:rsidRPr="00746828">
        <w:t xml:space="preserve"> pension increase.</w:t>
      </w:r>
    </w:p>
    <w:p w14:paraId="6986FB75" w14:textId="03E42632" w:rsidR="00B874DF" w:rsidRPr="00746828" w:rsidRDefault="00B874DF" w:rsidP="00411660">
      <w:pPr>
        <w:pStyle w:val="ChartandTableFootnoteNumeral"/>
      </w:pPr>
      <w:r w:rsidRPr="00746828">
        <w:t>Reversionary pensions are pensions that are payable to the surviving spouse</w:t>
      </w:r>
      <w:r w:rsidR="0077659B">
        <w:t xml:space="preserve"> and any eligible</w:t>
      </w:r>
      <w:r w:rsidR="00F9678D">
        <w:t xml:space="preserve"> children</w:t>
      </w:r>
      <w:r w:rsidRPr="00746828">
        <w:t xml:space="preserve"> following the death of a pensioner or contributory member.</w:t>
      </w:r>
      <w:r w:rsidR="00F9678D">
        <w:t xml:space="preserve"> The figures in the above table do not, as far as possible, include the </w:t>
      </w:r>
      <w:proofErr w:type="gramStart"/>
      <w:r w:rsidR="00F9678D">
        <w:t>pensions</w:t>
      </w:r>
      <w:proofErr w:type="gramEnd"/>
      <w:r w:rsidR="00F9678D">
        <w:t xml:space="preserve"> payable in respect of children.</w:t>
      </w:r>
    </w:p>
    <w:p w14:paraId="7A699B4E" w14:textId="3FCB65C8" w:rsidR="00B874DF" w:rsidRPr="00746828" w:rsidRDefault="00B874DF" w:rsidP="00411660">
      <w:pPr>
        <w:pStyle w:val="ChartandTableFootnoteNumeral"/>
      </w:pPr>
      <w:r w:rsidRPr="00746828">
        <w:t>Associate pensioners are pensioners who receive a pension as a result of a superannuation split following a Family Law settlement in respect of a pensioner in the MSBS</w:t>
      </w:r>
      <w:r w:rsidR="00EC1FDE">
        <w:t>, the DFRB</w:t>
      </w:r>
      <w:r w:rsidRPr="00746828">
        <w:t xml:space="preserve"> or </w:t>
      </w:r>
      <w:r>
        <w:t xml:space="preserve">the </w:t>
      </w:r>
      <w:r w:rsidRPr="00746828">
        <w:t>DFRDB.</w:t>
      </w:r>
    </w:p>
    <w:p w14:paraId="79204EA6" w14:textId="77777777" w:rsidR="001F546B" w:rsidRDefault="001F546B">
      <w:pPr>
        <w:spacing w:before="0" w:after="0" w:line="240" w:lineRule="auto"/>
        <w:jc w:val="left"/>
      </w:pPr>
      <w:r>
        <w:br w:type="page"/>
      </w:r>
    </w:p>
    <w:p w14:paraId="5642A680" w14:textId="44E0A4D5" w:rsidR="00B874DF" w:rsidRPr="0012169A" w:rsidRDefault="00B874DF" w:rsidP="00B874DF">
      <w:pPr>
        <w:pStyle w:val="BodyText"/>
      </w:pPr>
      <w:r w:rsidRPr="0012169A">
        <w:lastRenderedPageBreak/>
        <w:t>The equivalent figures for pensioners as at 30 June 20</w:t>
      </w:r>
      <w:r w:rsidR="004D6DCC" w:rsidRPr="0012169A">
        <w:t>11</w:t>
      </w:r>
      <w:r w:rsidRPr="0012169A">
        <w:t xml:space="preserve"> were </w:t>
      </w:r>
      <w:r w:rsidR="004D6DCC" w:rsidRPr="0012169A">
        <w:t>8</w:t>
      </w:r>
      <w:r w:rsidR="000F4EF5" w:rsidRPr="0012169A">
        <w:t>,</w:t>
      </w:r>
      <w:r w:rsidR="004D6DCC" w:rsidRPr="0012169A">
        <w:t>177</w:t>
      </w:r>
      <w:r w:rsidRPr="0012169A">
        <w:t xml:space="preserve"> MSBS pensioners with total annual pension</w:t>
      </w:r>
      <w:r w:rsidR="00115369">
        <w:t>s</w:t>
      </w:r>
      <w:r w:rsidRPr="0012169A">
        <w:t xml:space="preserve"> of $</w:t>
      </w:r>
      <w:r w:rsidR="004D6DCC" w:rsidRPr="0012169A">
        <w:t>201</w:t>
      </w:r>
      <w:r w:rsidRPr="0012169A">
        <w:t xml:space="preserve"> million</w:t>
      </w:r>
      <w:r w:rsidR="00B33340" w:rsidRPr="0012169A">
        <w:t>,</w:t>
      </w:r>
      <w:r w:rsidRPr="0012169A">
        <w:t xml:space="preserve"> </w:t>
      </w:r>
      <w:r w:rsidR="00B33340" w:rsidRPr="0012169A">
        <w:t>52,</w:t>
      </w:r>
      <w:r w:rsidR="004D6DCC" w:rsidRPr="0012169A">
        <w:t>970</w:t>
      </w:r>
      <w:r w:rsidRPr="0012169A">
        <w:t xml:space="preserve"> DFRDB pensioners with total annual pension</w:t>
      </w:r>
      <w:r w:rsidR="00115369">
        <w:t>s</w:t>
      </w:r>
      <w:r w:rsidRPr="0012169A">
        <w:t xml:space="preserve"> of $1,</w:t>
      </w:r>
      <w:r w:rsidR="004D6DCC" w:rsidRPr="0012169A">
        <w:t>297</w:t>
      </w:r>
      <w:r w:rsidRPr="0012169A">
        <w:t xml:space="preserve"> million</w:t>
      </w:r>
      <w:r w:rsidR="00B33340" w:rsidRPr="0012169A">
        <w:t xml:space="preserve"> and </w:t>
      </w:r>
      <w:r w:rsidR="004D6DCC" w:rsidRPr="0012169A">
        <w:t>3</w:t>
      </w:r>
      <w:r w:rsidR="00B33340" w:rsidRPr="0012169A">
        <w:t>,</w:t>
      </w:r>
      <w:r w:rsidR="004D6DCC" w:rsidRPr="0012169A">
        <w:t>749</w:t>
      </w:r>
      <w:r w:rsidR="00B33340" w:rsidRPr="0012169A">
        <w:t xml:space="preserve"> DFRB pensioners with total annual pension</w:t>
      </w:r>
      <w:r w:rsidR="00115369">
        <w:t>s</w:t>
      </w:r>
      <w:r w:rsidR="00B33340" w:rsidRPr="0012169A">
        <w:t xml:space="preserve"> of $6</w:t>
      </w:r>
      <w:r w:rsidR="004D6DCC" w:rsidRPr="0012169A">
        <w:t>0</w:t>
      </w:r>
      <w:r w:rsidR="00B33340" w:rsidRPr="0012169A">
        <w:t xml:space="preserve"> million</w:t>
      </w:r>
      <w:r w:rsidRPr="0012169A">
        <w:t>.</w:t>
      </w:r>
    </w:p>
    <w:p w14:paraId="55FA5D28" w14:textId="77777777" w:rsidR="00B874DF" w:rsidRPr="00D32608" w:rsidRDefault="00B874DF" w:rsidP="00B874DF">
      <w:pPr>
        <w:pStyle w:val="BodyText"/>
      </w:pPr>
      <w:r w:rsidRPr="00D32608">
        <w:t xml:space="preserve">The </w:t>
      </w:r>
      <w:r w:rsidR="00C66B9D" w:rsidRPr="00D32608">
        <w:t>2013-</w:t>
      </w:r>
      <w:r w:rsidR="009538D6" w:rsidRPr="00D32608">
        <w:t>201</w:t>
      </w:r>
      <w:r w:rsidR="004D6DCC" w:rsidRPr="00D32608">
        <w:t>4</w:t>
      </w:r>
      <w:r w:rsidRPr="00D32608">
        <w:t xml:space="preserve"> </w:t>
      </w:r>
      <w:r w:rsidR="00C66B9D" w:rsidRPr="00D32608">
        <w:t>CSC</w:t>
      </w:r>
      <w:r w:rsidRPr="00D32608">
        <w:t xml:space="preserve"> Annual Report has the number of </w:t>
      </w:r>
      <w:r w:rsidR="00EC1FDE">
        <w:t xml:space="preserve">MSBS </w:t>
      </w:r>
      <w:r w:rsidRPr="00D32608">
        <w:t xml:space="preserve">pensioners as </w:t>
      </w:r>
      <w:r w:rsidR="00C66B9D" w:rsidRPr="00D32608">
        <w:t>10,975</w:t>
      </w:r>
      <w:r w:rsidR="00473ED7" w:rsidRPr="00D32608">
        <w:t xml:space="preserve"> compared to the </w:t>
      </w:r>
      <w:r w:rsidR="00C66B9D" w:rsidRPr="00D32608">
        <w:t>10</w:t>
      </w:r>
      <w:r w:rsidR="00473ED7" w:rsidRPr="00D32608">
        <w:t>,</w:t>
      </w:r>
      <w:r w:rsidR="00C66B9D" w:rsidRPr="00D32608">
        <w:t>837</w:t>
      </w:r>
      <w:r w:rsidRPr="00D32608">
        <w:t xml:space="preserve"> valued. The corresponding figures for the DFRDB are </w:t>
      </w:r>
      <w:r w:rsidR="00473ED7" w:rsidRPr="00D32608">
        <w:t>5</w:t>
      </w:r>
      <w:r w:rsidR="00C66B9D" w:rsidRPr="00D32608">
        <w:t>3,057</w:t>
      </w:r>
      <w:r w:rsidRPr="00D32608">
        <w:t xml:space="preserve"> </w:t>
      </w:r>
      <w:r w:rsidR="002C7D0D" w:rsidRPr="00D32608">
        <w:t xml:space="preserve">(including children’s pensions) </w:t>
      </w:r>
      <w:r w:rsidRPr="00D32608">
        <w:t xml:space="preserve">and </w:t>
      </w:r>
      <w:r w:rsidR="00473ED7" w:rsidRPr="00D32608">
        <w:t>52,</w:t>
      </w:r>
      <w:r w:rsidR="00C66B9D" w:rsidRPr="00D32608">
        <w:t>831</w:t>
      </w:r>
      <w:r w:rsidRPr="00D32608">
        <w:t xml:space="preserve"> </w:t>
      </w:r>
      <w:r w:rsidR="002C7D0D" w:rsidRPr="00D32608">
        <w:t xml:space="preserve">(excluding children’s pensions) </w:t>
      </w:r>
      <w:r w:rsidRPr="00D32608">
        <w:t>respectively</w:t>
      </w:r>
      <w:r w:rsidR="00473ED7" w:rsidRPr="00D32608">
        <w:t xml:space="preserve"> and for DFRB are 3,</w:t>
      </w:r>
      <w:r w:rsidR="002C7D0D" w:rsidRPr="00D32608">
        <w:t>129</w:t>
      </w:r>
      <w:r w:rsidR="00473ED7" w:rsidRPr="00D32608">
        <w:t xml:space="preserve"> </w:t>
      </w:r>
      <w:r w:rsidR="002C7D0D" w:rsidRPr="00D32608">
        <w:t xml:space="preserve">(including children’s pensions) </w:t>
      </w:r>
      <w:r w:rsidR="00473ED7" w:rsidRPr="00D32608">
        <w:t>and 3,</w:t>
      </w:r>
      <w:r w:rsidR="002C7D0D" w:rsidRPr="00D32608">
        <w:t>118</w:t>
      </w:r>
      <w:r w:rsidR="00B10112" w:rsidRPr="00D32608">
        <w:t xml:space="preserve"> (excluding children’s pensions)</w:t>
      </w:r>
      <w:r w:rsidRPr="00D32608">
        <w:t>.</w:t>
      </w:r>
    </w:p>
    <w:p w14:paraId="00D4AD83" w14:textId="34CD9299" w:rsidR="00D41E1E" w:rsidRDefault="00D25AA3" w:rsidP="00B874DF">
      <w:pPr>
        <w:pStyle w:val="BodyText"/>
      </w:pPr>
      <w:r>
        <w:t>Checks were also done for the DFRB,</w:t>
      </w:r>
      <w:r w:rsidR="00B874DF" w:rsidRPr="007B090E">
        <w:t xml:space="preserve"> the DFRDB and the MSBS by comparing the pensions valued with the </w:t>
      </w:r>
      <w:proofErr w:type="spellStart"/>
      <w:r w:rsidR="00B874DF" w:rsidRPr="007B090E">
        <w:t>ComSuper</w:t>
      </w:r>
      <w:proofErr w:type="spellEnd"/>
      <w:r w:rsidR="00B874DF" w:rsidRPr="007B090E">
        <w:t xml:space="preserve"> pension payroll figures. The payroll figures showed payments being made to </w:t>
      </w:r>
      <w:r w:rsidR="00946F2D">
        <w:t>3,</w:t>
      </w:r>
      <w:r w:rsidR="00EC1FDE">
        <w:t>120</w:t>
      </w:r>
      <w:r w:rsidR="00946F2D">
        <w:t xml:space="preserve"> DFRB pensioners, 53</w:t>
      </w:r>
      <w:r w:rsidR="00946F2D" w:rsidRPr="007B090E">
        <w:t>,</w:t>
      </w:r>
      <w:r w:rsidR="004C09AD">
        <w:t>0</w:t>
      </w:r>
      <w:r w:rsidR="00EC1FDE">
        <w:t>52</w:t>
      </w:r>
      <w:r w:rsidR="00411660">
        <w:t> </w:t>
      </w:r>
      <w:r w:rsidR="00946F2D" w:rsidRPr="007B090E">
        <w:t xml:space="preserve">DFRDB pensioners and </w:t>
      </w:r>
      <w:r w:rsidR="00EC1FDE">
        <w:t>11,006</w:t>
      </w:r>
      <w:r w:rsidR="00B874DF" w:rsidRPr="007B090E">
        <w:t xml:space="preserve"> MSBS pensioners on the first pension payday of the </w:t>
      </w:r>
      <w:r w:rsidR="004B1083" w:rsidRPr="007B090E">
        <w:t>201</w:t>
      </w:r>
      <w:r w:rsidR="00EC1FDE">
        <w:t>4</w:t>
      </w:r>
      <w:r w:rsidR="004B1083" w:rsidRPr="007B090E">
        <w:t>-1</w:t>
      </w:r>
      <w:r w:rsidR="00EC1FDE">
        <w:t>5</w:t>
      </w:r>
      <w:r w:rsidR="00B874DF" w:rsidRPr="007B090E">
        <w:t xml:space="preserve"> financial </w:t>
      </w:r>
      <w:proofErr w:type="gramStart"/>
      <w:r w:rsidR="00B874DF" w:rsidRPr="007B090E">
        <w:t>year</w:t>
      </w:r>
      <w:proofErr w:type="gramEnd"/>
      <w:r w:rsidR="00B874DF" w:rsidRPr="007B090E">
        <w:t>.</w:t>
      </w:r>
      <w:r w:rsidR="00946F2D">
        <w:t xml:space="preserve"> </w:t>
      </w:r>
      <w:r w:rsidR="00B874DF" w:rsidRPr="007B090E">
        <w:t xml:space="preserve">The </w:t>
      </w:r>
      <w:r w:rsidR="00946F2D">
        <w:t xml:space="preserve">equivalent annual pension </w:t>
      </w:r>
      <w:r w:rsidR="00B874DF" w:rsidRPr="007B090E">
        <w:t xml:space="preserve">amounts paid were </w:t>
      </w:r>
      <w:r w:rsidR="00946F2D">
        <w:t>$</w:t>
      </w:r>
      <w:r w:rsidR="008839F1">
        <w:t>52</w:t>
      </w:r>
      <w:r w:rsidR="00946F2D">
        <w:t xml:space="preserve"> million for the DFRB, $1,</w:t>
      </w:r>
      <w:r w:rsidR="00EC1FDE">
        <w:t>398</w:t>
      </w:r>
      <w:r w:rsidR="00DF4AD2">
        <w:t> </w:t>
      </w:r>
      <w:r w:rsidR="00946F2D">
        <w:t xml:space="preserve">million </w:t>
      </w:r>
      <w:r w:rsidR="00946F2D" w:rsidRPr="007B090E">
        <w:t xml:space="preserve">for the DFRDB </w:t>
      </w:r>
      <w:r w:rsidR="00946F2D">
        <w:t xml:space="preserve">and </w:t>
      </w:r>
      <w:r w:rsidR="00B874DF" w:rsidRPr="007B090E">
        <w:t>$</w:t>
      </w:r>
      <w:r w:rsidR="008839F1">
        <w:t>340</w:t>
      </w:r>
      <w:r w:rsidR="00411660">
        <w:t> </w:t>
      </w:r>
      <w:r w:rsidR="00946F2D">
        <w:t>million for the MSBS</w:t>
      </w:r>
      <w:r w:rsidR="00B874DF" w:rsidRPr="007B090E">
        <w:t xml:space="preserve">. </w:t>
      </w:r>
      <w:r w:rsidR="000062B3">
        <w:t xml:space="preserve">These numbers include children’s and orphan’s pensions. </w:t>
      </w:r>
      <w:r w:rsidR="00EC1FDE">
        <w:t>For DFRB and DFRDB, t</w:t>
      </w:r>
      <w:r w:rsidR="00B874DF" w:rsidRPr="007B090E">
        <w:t xml:space="preserve">his suggests that the pension data was essentially complete. </w:t>
      </w:r>
    </w:p>
    <w:p w14:paraId="7A11363B" w14:textId="77777777" w:rsidR="00EC1FDE" w:rsidRDefault="00EC1FDE" w:rsidP="00B874DF">
      <w:pPr>
        <w:pStyle w:val="BodyText"/>
      </w:pPr>
      <w:r>
        <w:t xml:space="preserve">The checks on the pension payroll for MSBS indicated the possibility of missing MSBS pension </w:t>
      </w:r>
      <w:r w:rsidRPr="001F71F0">
        <w:t xml:space="preserve">records in the data supplied. Further enquiries were made of </w:t>
      </w:r>
      <w:proofErr w:type="spellStart"/>
      <w:r w:rsidRPr="001F71F0">
        <w:t>ComSuper</w:t>
      </w:r>
      <w:proofErr w:type="spellEnd"/>
      <w:r w:rsidRPr="001F71F0">
        <w:t xml:space="preserve"> to see if there was </w:t>
      </w:r>
      <w:r w:rsidR="00BF5A97" w:rsidRPr="001F71F0">
        <w:t xml:space="preserve">a </w:t>
      </w:r>
      <w:r w:rsidRPr="001F71F0">
        <w:t xml:space="preserve">logical explanation as to why the pension payroll was noticeably higher than would be expected from the data valued. </w:t>
      </w:r>
      <w:proofErr w:type="spellStart"/>
      <w:r w:rsidR="00984E59" w:rsidRPr="001F71F0">
        <w:t>ComSuper</w:t>
      </w:r>
      <w:proofErr w:type="spellEnd"/>
      <w:r w:rsidRPr="001F71F0">
        <w:t xml:space="preserve"> pointed out that</w:t>
      </w:r>
      <w:r w:rsidR="00984E59" w:rsidRPr="001F71F0">
        <w:t xml:space="preserve"> the difference was </w:t>
      </w:r>
      <w:r w:rsidR="00BF5A97" w:rsidRPr="001F71F0">
        <w:t>almost</w:t>
      </w:r>
      <w:r w:rsidR="00984E59" w:rsidRPr="001F71F0">
        <w:t xml:space="preserve"> certainly due to back payments of pension for new invalidity A and B pensions. Assessment procedures for invalidity exits can</w:t>
      </w:r>
      <w:r w:rsidR="00984E59">
        <w:t xml:space="preserve"> take some time to complete and hence there would be some back payments made on commencement. Rough checks based on the current high commencement rates of invalidity pensions </w:t>
      </w:r>
      <w:r w:rsidR="00BF5A97">
        <w:t>confirmed</w:t>
      </w:r>
      <w:r w:rsidR="00984E59">
        <w:t xml:space="preserve"> that </w:t>
      </w:r>
      <w:proofErr w:type="spellStart"/>
      <w:r w:rsidR="00984E59">
        <w:t>ComSuper’s</w:t>
      </w:r>
      <w:proofErr w:type="spellEnd"/>
      <w:r w:rsidR="00984E59">
        <w:t xml:space="preserve"> explanation was reasonable and I am thus satisfied that the pension data supplied was essentially complete.</w:t>
      </w:r>
    </w:p>
    <w:p w14:paraId="692CCD39" w14:textId="77777777" w:rsidR="00AB6383" w:rsidRDefault="00AB6383">
      <w:pPr>
        <w:spacing w:before="0" w:after="0" w:line="240" w:lineRule="auto"/>
        <w:jc w:val="left"/>
      </w:pPr>
      <w:r>
        <w:br w:type="page"/>
      </w:r>
    </w:p>
    <w:p w14:paraId="015A65C2" w14:textId="51C40CD3" w:rsidR="00984E59" w:rsidRDefault="00EA12FA" w:rsidP="00B874DF">
      <w:pPr>
        <w:pStyle w:val="BodyText"/>
      </w:pPr>
      <w:proofErr w:type="spellStart"/>
      <w:r>
        <w:lastRenderedPageBreak/>
        <w:t>ComSuper’s</w:t>
      </w:r>
      <w:proofErr w:type="spellEnd"/>
      <w:r>
        <w:t xml:space="preserve"> explanation raises</w:t>
      </w:r>
      <w:r w:rsidR="00023F89">
        <w:t xml:space="preserve"> the issue of how to value MSBS contributor exits who may be part way through the invalidity assessment procedu</w:t>
      </w:r>
      <w:r w:rsidR="009B5BAE">
        <w:t>r</w:t>
      </w:r>
      <w:r>
        <w:t>es at</w:t>
      </w:r>
      <w:r w:rsidR="00411660">
        <w:br/>
      </w:r>
      <w:r>
        <w:t>30 June 2014 and who</w:t>
      </w:r>
      <w:r w:rsidR="00023F89">
        <w:t xml:space="preserve"> subsequently become invalidity pensioners with an effective pension commencement date prior to 1 July 2014. While this is not a new issu</w:t>
      </w:r>
      <w:r>
        <w:t>e, in the past it has not been material</w:t>
      </w:r>
      <w:r w:rsidR="00023F89">
        <w:t xml:space="preserve">. </w:t>
      </w:r>
      <w:r w:rsidR="000A0548">
        <w:t xml:space="preserve">There has been a </w:t>
      </w:r>
      <w:r w:rsidR="00023F89">
        <w:t>substantial increase in the number of new invalidity pensions commencing in recent years. Accordingly, I have decided to include an approximate adjustment t</w:t>
      </w:r>
      <w:r>
        <w:t>o the valuation results to allow for</w:t>
      </w:r>
      <w:r w:rsidR="00023F89">
        <w:t xml:space="preserve"> those who were part way through the invalidity assessment procedures at 30 June 2014</w:t>
      </w:r>
      <w:r>
        <w:t xml:space="preserve"> and are ultimately found to have an invalidity pension entitlement pre-dating the valuation date</w:t>
      </w:r>
      <w:r w:rsidR="00023F89">
        <w:t>. Details of th</w:t>
      </w:r>
      <w:r w:rsidR="00516010">
        <w:t>is are set out in Chapter</w:t>
      </w:r>
      <w:r w:rsidR="00023F89">
        <w:t xml:space="preserve"> 4.</w:t>
      </w:r>
    </w:p>
    <w:p w14:paraId="3C2C0AB4" w14:textId="430C4F4E" w:rsidR="00411660" w:rsidRPr="00AD1BAB" w:rsidRDefault="00B874DF" w:rsidP="00AD1BAB">
      <w:pPr>
        <w:pStyle w:val="BodyText"/>
      </w:pPr>
      <w:r w:rsidRPr="00AD1BAB">
        <w:t xml:space="preserve">Preserved benefits from the MSBS are payable on attaining age 55, although in certain limited circumstances they may be payable earlier. There were </w:t>
      </w:r>
      <w:r w:rsidR="008839F1" w:rsidRPr="00AD1BAB">
        <w:t>97,139</w:t>
      </w:r>
      <w:r w:rsidR="009616A2" w:rsidRPr="00AD1BAB">
        <w:t> </w:t>
      </w:r>
      <w:r w:rsidRPr="00AD1BAB">
        <w:t>preserved beneficiaries valued, with total nominal preserved benefits of $</w:t>
      </w:r>
      <w:r w:rsidR="008839F1" w:rsidRPr="00AD1BAB">
        <w:t>8</w:t>
      </w:r>
      <w:r w:rsidR="00CE3DE8" w:rsidRPr="00AD1BAB">
        <w:t>,</w:t>
      </w:r>
      <w:r w:rsidR="008839F1" w:rsidRPr="00AD1BAB">
        <w:t>062</w:t>
      </w:r>
      <w:r w:rsidRPr="00AD1BAB">
        <w:t> million. At</w:t>
      </w:r>
      <w:r w:rsidR="001F546B">
        <w:t xml:space="preserve"> </w:t>
      </w:r>
      <w:r w:rsidRPr="00AD1BAB">
        <w:t>30 June 20</w:t>
      </w:r>
      <w:r w:rsidR="008839F1" w:rsidRPr="00AD1BAB">
        <w:t>11</w:t>
      </w:r>
      <w:r w:rsidRPr="00AD1BAB">
        <w:t xml:space="preserve">, there were </w:t>
      </w:r>
      <w:r w:rsidR="008839F1" w:rsidRPr="00AD1BAB">
        <w:t>84</w:t>
      </w:r>
      <w:r w:rsidR="006217CC" w:rsidRPr="00AD1BAB">
        <w:t>,</w:t>
      </w:r>
      <w:r w:rsidR="008839F1" w:rsidRPr="00AD1BAB">
        <w:t>186</w:t>
      </w:r>
      <w:r w:rsidRPr="00AD1BAB">
        <w:t xml:space="preserve"> preserved beneficiaries with total nominal preserved benefits of $</w:t>
      </w:r>
      <w:r w:rsidR="008839F1" w:rsidRPr="00AD1BAB">
        <w:t>6</w:t>
      </w:r>
      <w:r w:rsidR="006217CC" w:rsidRPr="00AD1BAB">
        <w:t>,</w:t>
      </w:r>
      <w:r w:rsidR="008839F1" w:rsidRPr="00AD1BAB">
        <w:t>001</w:t>
      </w:r>
      <w:r w:rsidR="006217CC" w:rsidRPr="00AD1BAB">
        <w:t> </w:t>
      </w:r>
      <w:r w:rsidRPr="00AD1BAB">
        <w:t>million.</w:t>
      </w:r>
    </w:p>
    <w:p w14:paraId="51B95C3F" w14:textId="05A68C2C" w:rsidR="00B874DF" w:rsidRPr="00AD1BAB" w:rsidRDefault="00B874DF" w:rsidP="00AD1BAB">
      <w:pPr>
        <w:pStyle w:val="BodyText"/>
      </w:pPr>
      <w:r w:rsidRPr="00AD1BAB">
        <w:t xml:space="preserve">There </w:t>
      </w:r>
      <w:r w:rsidR="008B1152" w:rsidRPr="00AD1BAB">
        <w:t xml:space="preserve">have </w:t>
      </w:r>
      <w:r w:rsidR="00511EAA" w:rsidRPr="00AD1BAB">
        <w:t xml:space="preserve">historically </w:t>
      </w:r>
      <w:r w:rsidR="008B1152" w:rsidRPr="00AD1BAB">
        <w:t>been</w:t>
      </w:r>
      <w:r w:rsidRPr="00AD1BAB">
        <w:t xml:space="preserve"> a small number of deferred pensioners in the DFRDB. These individuals are entitled to receive a deferred pension payable from the day that they would have been eligible to receive a pension on exit from the DFRDB had they continued as a serving member. This is normally 20 years after joining the DFRDB. To continue to be eligible for a deferred pension, deferred pensioners must be in public employment. At 30 June 20</w:t>
      </w:r>
      <w:r w:rsidR="008D099A" w:rsidRPr="00AD1BAB">
        <w:t>1</w:t>
      </w:r>
      <w:r w:rsidR="008B1152" w:rsidRPr="00AD1BAB">
        <w:t>4</w:t>
      </w:r>
      <w:r w:rsidRPr="00AD1BAB">
        <w:t>, there w</w:t>
      </w:r>
      <w:r w:rsidR="008B1152" w:rsidRPr="00AD1BAB">
        <w:t>as</w:t>
      </w:r>
      <w:r w:rsidRPr="00AD1BAB">
        <w:t xml:space="preserve"> </w:t>
      </w:r>
      <w:r w:rsidR="008B1152" w:rsidRPr="00AD1BAB">
        <w:t>1</w:t>
      </w:r>
      <w:r w:rsidRPr="00AD1BAB">
        <w:t xml:space="preserve"> deferred pensioner in the DFRDB. Th</w:t>
      </w:r>
      <w:r w:rsidR="008B1152" w:rsidRPr="00AD1BAB">
        <w:t>is pensioner</w:t>
      </w:r>
      <w:r w:rsidRPr="00AD1BAB">
        <w:t xml:space="preserve"> ha</w:t>
      </w:r>
      <w:r w:rsidR="008B1152" w:rsidRPr="00AD1BAB">
        <w:t>s</w:t>
      </w:r>
      <w:r w:rsidRPr="00AD1BAB">
        <w:t xml:space="preserve"> been ignored for valuation purposes.</w:t>
      </w:r>
    </w:p>
    <w:p w14:paraId="4F14C992" w14:textId="3538059B" w:rsidR="00B874DF" w:rsidRPr="00AD1BAB" w:rsidRDefault="00B874DF" w:rsidP="00AD1BAB">
      <w:pPr>
        <w:pStyle w:val="BodyText"/>
      </w:pPr>
      <w:r w:rsidRPr="00AD1BAB">
        <w:t>At 30 June 20</w:t>
      </w:r>
      <w:r w:rsidR="00ED38A1" w:rsidRPr="00AD1BAB">
        <w:t>1</w:t>
      </w:r>
      <w:r w:rsidR="008B1152" w:rsidRPr="00AD1BAB">
        <w:t>4</w:t>
      </w:r>
      <w:r w:rsidRPr="00AD1BAB">
        <w:t xml:space="preserve">, there were </w:t>
      </w:r>
      <w:r w:rsidR="00953737" w:rsidRPr="00AD1BAB">
        <w:t>1,</w:t>
      </w:r>
      <w:r w:rsidR="004474A6" w:rsidRPr="00AD1BAB">
        <w:t>677</w:t>
      </w:r>
      <w:r w:rsidRPr="00AD1BAB">
        <w:t xml:space="preserve"> </w:t>
      </w:r>
      <w:r w:rsidR="00ED38A1" w:rsidRPr="00AD1BAB">
        <w:t xml:space="preserve">non-pensioner </w:t>
      </w:r>
      <w:r w:rsidRPr="00AD1BAB">
        <w:t xml:space="preserve">associate beneficiaries in the MSBS with total associate benefit amounts, both funded and unfunded, of </w:t>
      </w:r>
      <w:r w:rsidR="00953737" w:rsidRPr="00AD1BAB">
        <w:t>$</w:t>
      </w:r>
      <w:r w:rsidR="004474A6" w:rsidRPr="00AD1BAB">
        <w:t>246</w:t>
      </w:r>
      <w:r w:rsidR="00411660" w:rsidRPr="00AD1BAB">
        <w:t> </w:t>
      </w:r>
      <w:r w:rsidRPr="00AD1BAB">
        <w:t xml:space="preserve">million. Associate benefit accounts are set up in the MSBS as a result of superannuation splits following Family Law settlements. </w:t>
      </w:r>
      <w:r w:rsidR="00FA769D" w:rsidRPr="00AD1BAB">
        <w:t>Non-pensioner a</w:t>
      </w:r>
      <w:r w:rsidRPr="00AD1BAB">
        <w:t>ssociate benefits are accumulation style lump sum benefits.</w:t>
      </w:r>
      <w:r w:rsidR="00473ED7" w:rsidRPr="00AD1BAB">
        <w:t xml:space="preserve"> </w:t>
      </w:r>
    </w:p>
    <w:p w14:paraId="1ECE6C16" w14:textId="77777777" w:rsidR="00AB6383" w:rsidRPr="00AB6383" w:rsidRDefault="00AB6383" w:rsidP="00AB6383">
      <w:r w:rsidRPr="00AB6383">
        <w:br w:type="page"/>
      </w:r>
    </w:p>
    <w:p w14:paraId="6B85BEC0" w14:textId="4D21A547" w:rsidR="00B874DF" w:rsidRPr="00857BB6" w:rsidRDefault="00B874DF" w:rsidP="00B874DF">
      <w:pPr>
        <w:pStyle w:val="Heading2nonumbering"/>
      </w:pPr>
      <w:bookmarkStart w:id="58" w:name="_Toc425770488"/>
      <w:r w:rsidRPr="00857BB6">
        <w:lastRenderedPageBreak/>
        <w:t>Assets</w:t>
      </w:r>
      <w:bookmarkEnd w:id="58"/>
    </w:p>
    <w:p w14:paraId="04F3CE5B" w14:textId="34B19451" w:rsidR="00B874DF" w:rsidRPr="002F6A2B" w:rsidRDefault="00B874DF" w:rsidP="00B874DF">
      <w:pPr>
        <w:pStyle w:val="BodyText"/>
      </w:pPr>
      <w:r w:rsidRPr="002F6A2B">
        <w:t xml:space="preserve">The assets of the MSBS are invested in a wide range of investments including the short term money market, Australian and overseas fixed interest, Australian and overseas equities, property trusts, private equity, infrastructure and hedge funds. </w:t>
      </w:r>
      <w:r w:rsidR="00C66B9D" w:rsidRPr="002F6A2B">
        <w:t>Based on the</w:t>
      </w:r>
      <w:r w:rsidR="004474A6" w:rsidRPr="002F6A2B">
        <w:t xml:space="preserve"> </w:t>
      </w:r>
      <w:r w:rsidRPr="002F6A2B">
        <w:t>Financial Statements as at 30</w:t>
      </w:r>
      <w:r w:rsidR="00323D85">
        <w:t> </w:t>
      </w:r>
      <w:r w:rsidRPr="002F6A2B">
        <w:t>June 201</w:t>
      </w:r>
      <w:r w:rsidR="004474A6" w:rsidRPr="002F6A2B">
        <w:t>4</w:t>
      </w:r>
      <w:r w:rsidRPr="002F6A2B">
        <w:t>, the net assets of the MSBS amounted to $</w:t>
      </w:r>
      <w:r w:rsidR="004474A6" w:rsidRPr="002F6A2B">
        <w:t>5</w:t>
      </w:r>
      <w:r w:rsidRPr="002F6A2B">
        <w:t>,7</w:t>
      </w:r>
      <w:r w:rsidR="004474A6" w:rsidRPr="002F6A2B">
        <w:t>65</w:t>
      </w:r>
      <w:r w:rsidR="00511EAA">
        <w:t>.</w:t>
      </w:r>
      <w:r w:rsidR="004474A6" w:rsidRPr="002F6A2B">
        <w:t>203</w:t>
      </w:r>
      <w:r w:rsidR="00511EAA">
        <w:t xml:space="preserve"> million</w:t>
      </w:r>
      <w:r w:rsidRPr="002F6A2B">
        <w:t>.</w:t>
      </w:r>
      <w:r w:rsidR="00F140BF" w:rsidRPr="002F6A2B">
        <w:t xml:space="preserve"> </w:t>
      </w:r>
      <w:r w:rsidR="002949A5">
        <w:t>Of this, $</w:t>
      </w:r>
      <w:r w:rsidR="007F3E0B">
        <w:t>658</w:t>
      </w:r>
      <w:r w:rsidR="002949A5">
        <w:t xml:space="preserve"> million</w:t>
      </w:r>
      <w:r w:rsidR="00A8384B">
        <w:t xml:space="preserve"> relates to ancillary accounts. </w:t>
      </w:r>
      <w:r w:rsidR="00F140BF" w:rsidRPr="002F6A2B">
        <w:t>The equivalent figure as at 30 June 20</w:t>
      </w:r>
      <w:r w:rsidR="004474A6" w:rsidRPr="002F6A2B">
        <w:t>11</w:t>
      </w:r>
      <w:r w:rsidR="00F140BF" w:rsidRPr="002F6A2B">
        <w:t xml:space="preserve"> was $</w:t>
      </w:r>
      <w:r w:rsidR="004474A6" w:rsidRPr="002F6A2B">
        <w:t>3</w:t>
      </w:r>
      <w:r w:rsidR="00F140BF" w:rsidRPr="002F6A2B">
        <w:t>,</w:t>
      </w:r>
      <w:r w:rsidR="004474A6" w:rsidRPr="002F6A2B">
        <w:t>737</w:t>
      </w:r>
      <w:r w:rsidR="00511EAA">
        <w:t>.</w:t>
      </w:r>
      <w:r w:rsidR="004474A6" w:rsidRPr="002F6A2B">
        <w:t>538</w:t>
      </w:r>
      <w:r w:rsidR="009616A2">
        <w:t> </w:t>
      </w:r>
      <w:r w:rsidR="00511EAA">
        <w:t>million</w:t>
      </w:r>
      <w:r w:rsidR="00F140BF" w:rsidRPr="002F6A2B">
        <w:t>.</w:t>
      </w:r>
    </w:p>
    <w:p w14:paraId="18401D40" w14:textId="77777777" w:rsidR="00B874DF" w:rsidRPr="00C93FE7" w:rsidRDefault="00B874DF" w:rsidP="00B874DF">
      <w:pPr>
        <w:pStyle w:val="BodyText"/>
      </w:pPr>
      <w:r w:rsidRPr="00C93FE7">
        <w:t>The MSBS assets are unitised</w:t>
      </w:r>
      <w:r w:rsidR="00C93FE7">
        <w:t>.</w:t>
      </w:r>
      <w:r w:rsidRPr="00C93FE7">
        <w:t xml:space="preserve"> </w:t>
      </w:r>
      <w:r w:rsidR="00C93FE7">
        <w:t>M</w:t>
      </w:r>
      <w:r w:rsidRPr="00C93FE7">
        <w:t>embers have a number of investment options from which to choose. The investment strategy for the MSBS assets is structured to be consistent with the investment options chosen by members.</w:t>
      </w:r>
      <w:r w:rsidR="00C93FE7" w:rsidRPr="00C93FE7">
        <w:t xml:space="preserve"> </w:t>
      </w:r>
      <w:r w:rsidR="00C93FE7">
        <w:t>As such, the investment policies of the MSBS Fund appear suitable.</w:t>
      </w:r>
    </w:p>
    <w:p w14:paraId="6EAEEFD2" w14:textId="77777777" w:rsidR="00B874DF" w:rsidRPr="00857BB6" w:rsidRDefault="00B874DF" w:rsidP="00B874DF">
      <w:pPr>
        <w:pStyle w:val="BodyText"/>
      </w:pPr>
      <w:r>
        <w:t>For the MSBS, the total of the funded components from all individual records valued, plus the amount of ancillary benefits, was compared to the MSBS Fund as recorded in the Financial Statements. This check again suggested that the data was suitable for valuation purposes.</w:t>
      </w:r>
      <w:r w:rsidR="00C93FE7">
        <w:t xml:space="preserve"> It also suggests that the MSBS Fund approach for allocating investment earnings to accounts is suitable.</w:t>
      </w:r>
    </w:p>
    <w:p w14:paraId="483347BF" w14:textId="77777777" w:rsidR="00B874DF" w:rsidRDefault="00B874DF" w:rsidP="00B874DF">
      <w:pPr>
        <w:pStyle w:val="BodyText"/>
      </w:pPr>
      <w:r w:rsidRPr="00857BB6">
        <w:t xml:space="preserve">The DFRDB </w:t>
      </w:r>
      <w:r>
        <w:t>and DFRB are</w:t>
      </w:r>
      <w:r w:rsidRPr="00857BB6">
        <w:t xml:space="preserve"> totally </w:t>
      </w:r>
      <w:proofErr w:type="spellStart"/>
      <w:r w:rsidRPr="00857BB6">
        <w:t>unfunded</w:t>
      </w:r>
      <w:proofErr w:type="spellEnd"/>
      <w:r w:rsidRPr="00857BB6">
        <w:t xml:space="preserve"> and thus do not hold any assets.</w:t>
      </w:r>
    </w:p>
    <w:p w14:paraId="241B0A25" w14:textId="77777777" w:rsidR="001C502B" w:rsidRPr="001C502B" w:rsidRDefault="001C502B" w:rsidP="001C502B"/>
    <w:p w14:paraId="3C60E4D0" w14:textId="77777777" w:rsidR="001C502B" w:rsidRPr="001C502B" w:rsidRDefault="001C502B" w:rsidP="001C502B">
      <w:pPr>
        <w:sectPr w:rsidR="001C502B" w:rsidRPr="001C502B" w:rsidSect="000E6C41">
          <w:headerReference w:type="default" r:id="rId41"/>
          <w:headerReference w:type="first" r:id="rId42"/>
          <w:type w:val="oddPage"/>
          <w:pgSz w:w="11906" w:h="16838" w:code="9"/>
          <w:pgMar w:top="2466" w:right="2098" w:bottom="2466" w:left="2098" w:header="1899" w:footer="1899" w:gutter="0"/>
          <w:cols w:space="708"/>
          <w:titlePg/>
          <w:docGrid w:linePitch="360"/>
        </w:sectPr>
      </w:pPr>
    </w:p>
    <w:p w14:paraId="6C36E251" w14:textId="77777777" w:rsidR="00052A87" w:rsidRPr="00002FD3" w:rsidRDefault="00052A87" w:rsidP="001F546B">
      <w:pPr>
        <w:pStyle w:val="Heading1"/>
      </w:pPr>
      <w:bookmarkStart w:id="59" w:name="_Toc136856496"/>
      <w:bookmarkStart w:id="60" w:name="_Toc232828403"/>
      <w:bookmarkStart w:id="61" w:name="_Ref309312815"/>
      <w:bookmarkStart w:id="62" w:name="_Ref309312833"/>
      <w:bookmarkStart w:id="63" w:name="_Ref421614697"/>
      <w:bookmarkStart w:id="64" w:name="_Ref421614753"/>
      <w:bookmarkStart w:id="65" w:name="_Ref421614759"/>
      <w:bookmarkStart w:id="66" w:name="_Toc425770489"/>
      <w:r w:rsidRPr="00002FD3">
        <w:lastRenderedPageBreak/>
        <w:t>Assumptions</w:t>
      </w:r>
      <w:bookmarkEnd w:id="59"/>
      <w:bookmarkEnd w:id="60"/>
      <w:bookmarkEnd w:id="61"/>
      <w:bookmarkEnd w:id="62"/>
      <w:bookmarkEnd w:id="63"/>
      <w:bookmarkEnd w:id="64"/>
      <w:bookmarkEnd w:id="65"/>
      <w:bookmarkEnd w:id="66"/>
    </w:p>
    <w:p w14:paraId="109526B4" w14:textId="5D0322DF" w:rsidR="00052A87" w:rsidRPr="00857BB6" w:rsidRDefault="00052A87" w:rsidP="00210738">
      <w:pPr>
        <w:pStyle w:val="BodyText"/>
      </w:pPr>
      <w:r w:rsidRPr="00857BB6">
        <w:t>Estimates of superannuation costs over the future are, by necessity, based on assumptions about the future</w:t>
      </w:r>
      <w:r>
        <w:t xml:space="preserve">. </w:t>
      </w:r>
      <w:r w:rsidRPr="00857BB6">
        <w:t>These assumptions can be divided into two</w:t>
      </w:r>
      <w:r w:rsidR="00411660">
        <w:t> </w:t>
      </w:r>
      <w:r w:rsidRPr="00857BB6">
        <w:t>categories:</w:t>
      </w:r>
    </w:p>
    <w:p w14:paraId="44FA82CF" w14:textId="77777777" w:rsidR="00052A87" w:rsidRPr="00797AD3" w:rsidRDefault="00052A87" w:rsidP="00052A87">
      <w:pPr>
        <w:pStyle w:val="Bulletindent"/>
      </w:pPr>
      <w:r w:rsidRPr="00797AD3">
        <w:t>those which are not directly related to the scheme membership (termed General Assumptions)</w:t>
      </w:r>
      <w:r>
        <w:t xml:space="preserve">; </w:t>
      </w:r>
      <w:r w:rsidRPr="00797AD3">
        <w:t xml:space="preserve">and </w:t>
      </w:r>
    </w:p>
    <w:p w14:paraId="59791A9C" w14:textId="77777777" w:rsidR="00052A87" w:rsidRPr="00797AD3" w:rsidRDefault="00052A87" w:rsidP="00052A87">
      <w:pPr>
        <w:pStyle w:val="Bulletindent"/>
      </w:pPr>
      <w:proofErr w:type="gramStart"/>
      <w:r w:rsidRPr="00797AD3">
        <w:t>those</w:t>
      </w:r>
      <w:proofErr w:type="gramEnd"/>
      <w:r w:rsidRPr="00797AD3">
        <w:t xml:space="preserve"> which are based on the experience of the membership of the scheme (termed Experience Assumptions).</w:t>
      </w:r>
    </w:p>
    <w:p w14:paraId="15FEC397" w14:textId="3A231E12" w:rsidR="00052A87" w:rsidRDefault="00052A87" w:rsidP="00210738">
      <w:pPr>
        <w:pStyle w:val="BodyText"/>
      </w:pPr>
      <w:r w:rsidRPr="00857BB6">
        <w:t xml:space="preserve">This Chapter sets out a broad outline of the main assumptions adopted for this report and comments on the changes made from the assumptions used in preparing the </w:t>
      </w:r>
      <w:r>
        <w:t>20</w:t>
      </w:r>
      <w:r w:rsidR="00EB2380">
        <w:t>11</w:t>
      </w:r>
      <w:r w:rsidR="00DF4AD2">
        <w:t> </w:t>
      </w:r>
      <w:r w:rsidRPr="00857BB6">
        <w:t>Report.</w:t>
      </w:r>
    </w:p>
    <w:p w14:paraId="69A2476D" w14:textId="77777777" w:rsidR="007E6AC2" w:rsidRPr="00857BB6" w:rsidRDefault="007E6AC2" w:rsidP="00210738">
      <w:pPr>
        <w:pStyle w:val="BodyText"/>
      </w:pPr>
      <w:r>
        <w:t>Appendix D to this report</w:t>
      </w:r>
      <w:r w:rsidR="00047F3E">
        <w:t xml:space="preserve"> provides a sensitivity analysis of the results to changes in assumptions, mainly relating to changes in economic assumptions.</w:t>
      </w:r>
    </w:p>
    <w:p w14:paraId="119B1D0F" w14:textId="77777777" w:rsidR="00052A87" w:rsidRPr="00857BB6" w:rsidRDefault="00052A87" w:rsidP="00052A87">
      <w:pPr>
        <w:pStyle w:val="Heading2nonumbering"/>
      </w:pPr>
      <w:bookmarkStart w:id="67" w:name="_Toc425770490"/>
      <w:r w:rsidRPr="00857BB6">
        <w:t>General assumptions</w:t>
      </w:r>
      <w:bookmarkEnd w:id="67"/>
    </w:p>
    <w:p w14:paraId="06B6709D" w14:textId="77777777" w:rsidR="00052A87" w:rsidRPr="00857BB6" w:rsidRDefault="00052A87" w:rsidP="00052A87">
      <w:pPr>
        <w:pStyle w:val="Heading3nonumbering"/>
      </w:pPr>
      <w:r w:rsidRPr="00857BB6">
        <w:t>Future</w:t>
      </w:r>
      <w:r>
        <w:t xml:space="preserve"> s</w:t>
      </w:r>
      <w:r w:rsidRPr="00857BB6">
        <w:t xml:space="preserve">ize of the </w:t>
      </w:r>
      <w:r>
        <w:t>s</w:t>
      </w:r>
      <w:r w:rsidRPr="00857BB6">
        <w:t>chemes</w:t>
      </w:r>
    </w:p>
    <w:p w14:paraId="200AF84D" w14:textId="77777777" w:rsidR="00052A87" w:rsidRDefault="00052A87" w:rsidP="00210738">
      <w:pPr>
        <w:pStyle w:val="BodyText"/>
      </w:pPr>
      <w:bookmarkStart w:id="68" w:name="_Ref324507156"/>
      <w:r w:rsidRPr="00857BB6">
        <w:t xml:space="preserve">The following </w:t>
      </w:r>
      <w:r>
        <w:t>t</w:t>
      </w:r>
      <w:r w:rsidRPr="00857BB6">
        <w:t>able shows the contributory membership of the schemes as valued since the 1993 review.</w:t>
      </w:r>
      <w:bookmarkEnd w:id="68"/>
    </w:p>
    <w:p w14:paraId="5FE45D77" w14:textId="77777777" w:rsidR="00052A87" w:rsidRPr="00857BB6" w:rsidRDefault="00052A87" w:rsidP="00052A87">
      <w:pPr>
        <w:pStyle w:val="TableMainHeading"/>
      </w:pPr>
      <w:r w:rsidRPr="00857BB6">
        <w:t>C</w:t>
      </w:r>
      <w:r>
        <w:t>ontributory</w:t>
      </w:r>
      <w:r w:rsidRPr="00857BB6">
        <w:t xml:space="preserve"> </w:t>
      </w:r>
      <w:r>
        <w:t xml:space="preserve">membership at last </w:t>
      </w:r>
      <w:r w:rsidR="00737FAB">
        <w:t>eight</w:t>
      </w:r>
      <w:r>
        <w:t xml:space="preserve"> reviews</w:t>
      </w:r>
    </w:p>
    <w:tbl>
      <w:tblPr>
        <w:tblW w:w="0" w:type="auto"/>
        <w:tblInd w:w="675" w:type="dxa"/>
        <w:tblBorders>
          <w:top w:val="single" w:sz="2" w:space="0" w:color="000000"/>
          <w:bottom w:val="single" w:sz="2" w:space="0" w:color="000000"/>
        </w:tblBorders>
        <w:tblLayout w:type="fixed"/>
        <w:tblLook w:val="0000" w:firstRow="0" w:lastRow="0" w:firstColumn="0" w:lastColumn="0" w:noHBand="0" w:noVBand="0"/>
      </w:tblPr>
      <w:tblGrid>
        <w:gridCol w:w="2041"/>
        <w:gridCol w:w="1701"/>
        <w:gridCol w:w="1701"/>
        <w:gridCol w:w="1701"/>
      </w:tblGrid>
      <w:tr w:rsidR="00052A87" w:rsidRPr="00462BFE" w14:paraId="5C677B75" w14:textId="77777777" w:rsidTr="0048020A">
        <w:tc>
          <w:tcPr>
            <w:tcW w:w="2041" w:type="dxa"/>
            <w:tcBorders>
              <w:top w:val="single" w:sz="2" w:space="0" w:color="000000"/>
              <w:bottom w:val="single" w:sz="2" w:space="0" w:color="000000"/>
            </w:tcBorders>
            <w:shd w:val="clear" w:color="auto" w:fill="E6E6E6"/>
          </w:tcPr>
          <w:p w14:paraId="56E2809C" w14:textId="77777777" w:rsidR="00052A87" w:rsidRPr="00462BFE" w:rsidRDefault="00052A87" w:rsidP="00052A87">
            <w:pPr>
              <w:pStyle w:val="TableColumnHeadingLeft"/>
            </w:pPr>
            <w:r w:rsidRPr="00462BFE">
              <w:t xml:space="preserve">Valuation </w:t>
            </w:r>
            <w:r>
              <w:t>y</w:t>
            </w:r>
            <w:r w:rsidRPr="00462BFE">
              <w:t>ear</w:t>
            </w:r>
          </w:p>
        </w:tc>
        <w:tc>
          <w:tcPr>
            <w:tcW w:w="1701" w:type="dxa"/>
            <w:tcBorders>
              <w:top w:val="single" w:sz="2" w:space="0" w:color="000000"/>
              <w:bottom w:val="single" w:sz="2" w:space="0" w:color="000000"/>
            </w:tcBorders>
            <w:shd w:val="clear" w:color="auto" w:fill="E6E6E6"/>
          </w:tcPr>
          <w:p w14:paraId="4A6CCD78" w14:textId="77777777" w:rsidR="00052A87" w:rsidRPr="00462BFE" w:rsidRDefault="00052A87" w:rsidP="00052A87">
            <w:pPr>
              <w:pStyle w:val="TableColumnHeadingRight"/>
            </w:pPr>
            <w:r w:rsidRPr="00462BFE">
              <w:t>MSBS</w:t>
            </w:r>
          </w:p>
        </w:tc>
        <w:tc>
          <w:tcPr>
            <w:tcW w:w="1701" w:type="dxa"/>
            <w:tcBorders>
              <w:top w:val="single" w:sz="2" w:space="0" w:color="000000"/>
              <w:bottom w:val="single" w:sz="2" w:space="0" w:color="000000"/>
            </w:tcBorders>
            <w:shd w:val="clear" w:color="auto" w:fill="E6E6E6"/>
          </w:tcPr>
          <w:p w14:paraId="4B13448B" w14:textId="77777777" w:rsidR="00052A87" w:rsidRPr="00462BFE" w:rsidRDefault="00052A87" w:rsidP="00052A87">
            <w:pPr>
              <w:pStyle w:val="TableColumnHeadingRight"/>
            </w:pPr>
            <w:r w:rsidRPr="00462BFE">
              <w:t>DFRDB</w:t>
            </w:r>
          </w:p>
        </w:tc>
        <w:tc>
          <w:tcPr>
            <w:tcW w:w="1701" w:type="dxa"/>
            <w:tcBorders>
              <w:top w:val="single" w:sz="2" w:space="0" w:color="000000"/>
              <w:bottom w:val="single" w:sz="2" w:space="0" w:color="000000"/>
            </w:tcBorders>
            <w:shd w:val="clear" w:color="auto" w:fill="E6E6E6"/>
          </w:tcPr>
          <w:p w14:paraId="3D395B11" w14:textId="77777777" w:rsidR="00052A87" w:rsidRPr="00462BFE" w:rsidRDefault="00052A87" w:rsidP="00052A87">
            <w:pPr>
              <w:pStyle w:val="TableColumnHeadingRight"/>
            </w:pPr>
            <w:r w:rsidRPr="00462BFE">
              <w:t>Total</w:t>
            </w:r>
          </w:p>
        </w:tc>
      </w:tr>
      <w:tr w:rsidR="00052A87" w:rsidRPr="00462BFE" w14:paraId="4224B3A9" w14:textId="77777777" w:rsidTr="0048020A">
        <w:tc>
          <w:tcPr>
            <w:tcW w:w="2041" w:type="dxa"/>
            <w:tcBorders>
              <w:top w:val="single" w:sz="2" w:space="0" w:color="000000"/>
            </w:tcBorders>
          </w:tcPr>
          <w:p w14:paraId="08F82102" w14:textId="77777777" w:rsidR="00052A87" w:rsidRPr="00462BFE" w:rsidRDefault="00052A87" w:rsidP="00052A87">
            <w:pPr>
              <w:pStyle w:val="TableTextLeft"/>
            </w:pPr>
            <w:r w:rsidRPr="00462BFE">
              <w:t>1993</w:t>
            </w:r>
          </w:p>
        </w:tc>
        <w:tc>
          <w:tcPr>
            <w:tcW w:w="1701" w:type="dxa"/>
            <w:tcBorders>
              <w:top w:val="single" w:sz="2" w:space="0" w:color="000000"/>
            </w:tcBorders>
          </w:tcPr>
          <w:p w14:paraId="3216F39D" w14:textId="77777777" w:rsidR="00052A87" w:rsidRPr="00462BFE" w:rsidRDefault="00052A87" w:rsidP="00052A87">
            <w:pPr>
              <w:pStyle w:val="TableTextRight"/>
            </w:pPr>
            <w:r w:rsidRPr="00462BFE">
              <w:t>36,933</w:t>
            </w:r>
          </w:p>
        </w:tc>
        <w:tc>
          <w:tcPr>
            <w:tcW w:w="1701" w:type="dxa"/>
            <w:tcBorders>
              <w:top w:val="single" w:sz="2" w:space="0" w:color="000000"/>
            </w:tcBorders>
          </w:tcPr>
          <w:p w14:paraId="358C961E" w14:textId="77777777" w:rsidR="00052A87" w:rsidRPr="00462BFE" w:rsidRDefault="00052A87" w:rsidP="00052A87">
            <w:pPr>
              <w:pStyle w:val="TableTextRight"/>
            </w:pPr>
            <w:r w:rsidRPr="00462BFE">
              <w:t>26,595</w:t>
            </w:r>
          </w:p>
        </w:tc>
        <w:tc>
          <w:tcPr>
            <w:tcW w:w="1701" w:type="dxa"/>
            <w:tcBorders>
              <w:top w:val="single" w:sz="2" w:space="0" w:color="000000"/>
            </w:tcBorders>
          </w:tcPr>
          <w:p w14:paraId="6D67CCB2" w14:textId="77777777" w:rsidR="00052A87" w:rsidRPr="00462BFE" w:rsidRDefault="00052A87" w:rsidP="00052A87">
            <w:pPr>
              <w:pStyle w:val="TableTextRight"/>
            </w:pPr>
            <w:r w:rsidRPr="00462BFE">
              <w:t>63,528</w:t>
            </w:r>
          </w:p>
        </w:tc>
      </w:tr>
      <w:tr w:rsidR="00052A87" w:rsidRPr="00462BFE" w14:paraId="78C4FC01" w14:textId="77777777" w:rsidTr="0048020A">
        <w:tc>
          <w:tcPr>
            <w:tcW w:w="2041" w:type="dxa"/>
            <w:shd w:val="clear" w:color="auto" w:fill="F2F2F2" w:themeFill="background1" w:themeFillShade="F2"/>
          </w:tcPr>
          <w:p w14:paraId="150D42EC" w14:textId="77777777" w:rsidR="00052A87" w:rsidRPr="00462BFE" w:rsidRDefault="00052A87" w:rsidP="00052A87">
            <w:pPr>
              <w:pStyle w:val="TableTextLeft"/>
            </w:pPr>
            <w:r w:rsidRPr="00462BFE">
              <w:t>1996</w:t>
            </w:r>
          </w:p>
        </w:tc>
        <w:tc>
          <w:tcPr>
            <w:tcW w:w="1701" w:type="dxa"/>
            <w:shd w:val="clear" w:color="auto" w:fill="F2F2F2" w:themeFill="background1" w:themeFillShade="F2"/>
          </w:tcPr>
          <w:p w14:paraId="38CD1A1F" w14:textId="77777777" w:rsidR="00052A87" w:rsidRPr="00462BFE" w:rsidRDefault="00052A87" w:rsidP="00052A87">
            <w:pPr>
              <w:pStyle w:val="TableTextRight"/>
            </w:pPr>
            <w:r w:rsidRPr="00462BFE">
              <w:t>38,610</w:t>
            </w:r>
          </w:p>
        </w:tc>
        <w:tc>
          <w:tcPr>
            <w:tcW w:w="1701" w:type="dxa"/>
            <w:shd w:val="clear" w:color="auto" w:fill="F2F2F2" w:themeFill="background1" w:themeFillShade="F2"/>
          </w:tcPr>
          <w:p w14:paraId="2F6FEE8E" w14:textId="77777777" w:rsidR="00052A87" w:rsidRPr="00462BFE" w:rsidRDefault="00052A87" w:rsidP="00052A87">
            <w:pPr>
              <w:pStyle w:val="TableTextRight"/>
            </w:pPr>
            <w:r w:rsidRPr="00462BFE">
              <w:t>20,271</w:t>
            </w:r>
          </w:p>
        </w:tc>
        <w:tc>
          <w:tcPr>
            <w:tcW w:w="1701" w:type="dxa"/>
            <w:shd w:val="clear" w:color="auto" w:fill="F2F2F2" w:themeFill="background1" w:themeFillShade="F2"/>
          </w:tcPr>
          <w:p w14:paraId="741F8883" w14:textId="77777777" w:rsidR="00052A87" w:rsidRPr="00462BFE" w:rsidRDefault="00052A87" w:rsidP="00052A87">
            <w:pPr>
              <w:pStyle w:val="TableTextRight"/>
            </w:pPr>
            <w:r w:rsidRPr="00462BFE">
              <w:t>58,881</w:t>
            </w:r>
          </w:p>
        </w:tc>
      </w:tr>
      <w:tr w:rsidR="00052A87" w:rsidRPr="00462BFE" w14:paraId="125E2ABA" w14:textId="77777777" w:rsidTr="0048020A">
        <w:tc>
          <w:tcPr>
            <w:tcW w:w="2041" w:type="dxa"/>
          </w:tcPr>
          <w:p w14:paraId="38049A4A" w14:textId="77777777" w:rsidR="00052A87" w:rsidRPr="00462BFE" w:rsidRDefault="00052A87" w:rsidP="00052A87">
            <w:pPr>
              <w:pStyle w:val="TableTextLeft"/>
            </w:pPr>
            <w:r w:rsidRPr="00462BFE">
              <w:t>1999</w:t>
            </w:r>
          </w:p>
        </w:tc>
        <w:tc>
          <w:tcPr>
            <w:tcW w:w="1701" w:type="dxa"/>
          </w:tcPr>
          <w:p w14:paraId="239FE054" w14:textId="77777777" w:rsidR="00052A87" w:rsidRPr="00462BFE" w:rsidRDefault="00052A87" w:rsidP="00052A87">
            <w:pPr>
              <w:pStyle w:val="TableTextRight"/>
            </w:pPr>
            <w:r w:rsidRPr="00462BFE">
              <w:t>37,041</w:t>
            </w:r>
          </w:p>
        </w:tc>
        <w:tc>
          <w:tcPr>
            <w:tcW w:w="1701" w:type="dxa"/>
          </w:tcPr>
          <w:p w14:paraId="476DA904" w14:textId="77777777" w:rsidR="00052A87" w:rsidRPr="00462BFE" w:rsidRDefault="00052A87" w:rsidP="00052A87">
            <w:pPr>
              <w:pStyle w:val="TableTextRight"/>
            </w:pPr>
            <w:r w:rsidRPr="00462BFE">
              <w:t>14,511</w:t>
            </w:r>
          </w:p>
        </w:tc>
        <w:tc>
          <w:tcPr>
            <w:tcW w:w="1701" w:type="dxa"/>
          </w:tcPr>
          <w:p w14:paraId="54F9E8A0" w14:textId="77777777" w:rsidR="00052A87" w:rsidRPr="00462BFE" w:rsidRDefault="00052A87" w:rsidP="00052A87">
            <w:pPr>
              <w:pStyle w:val="TableTextRight"/>
            </w:pPr>
            <w:r w:rsidRPr="00462BFE">
              <w:t>51,552</w:t>
            </w:r>
          </w:p>
        </w:tc>
      </w:tr>
      <w:tr w:rsidR="00052A87" w:rsidRPr="00462BFE" w14:paraId="6A98B93D" w14:textId="77777777" w:rsidTr="0048020A">
        <w:tc>
          <w:tcPr>
            <w:tcW w:w="2041" w:type="dxa"/>
            <w:shd w:val="clear" w:color="auto" w:fill="F2F2F2" w:themeFill="background1" w:themeFillShade="F2"/>
          </w:tcPr>
          <w:p w14:paraId="4199EAED" w14:textId="77777777" w:rsidR="00052A87" w:rsidRPr="00462BFE" w:rsidRDefault="00052A87" w:rsidP="00052A87">
            <w:pPr>
              <w:pStyle w:val="TableTextLeft"/>
            </w:pPr>
            <w:r w:rsidRPr="00462BFE">
              <w:t>2002</w:t>
            </w:r>
          </w:p>
        </w:tc>
        <w:tc>
          <w:tcPr>
            <w:tcW w:w="1701" w:type="dxa"/>
            <w:shd w:val="clear" w:color="auto" w:fill="F2F2F2" w:themeFill="background1" w:themeFillShade="F2"/>
          </w:tcPr>
          <w:p w14:paraId="48D65945" w14:textId="77777777" w:rsidR="00052A87" w:rsidRPr="00462BFE" w:rsidRDefault="00052A87" w:rsidP="00052A87">
            <w:pPr>
              <w:pStyle w:val="TableTextRight"/>
            </w:pPr>
            <w:r w:rsidRPr="00462BFE">
              <w:t>42,113</w:t>
            </w:r>
          </w:p>
        </w:tc>
        <w:tc>
          <w:tcPr>
            <w:tcW w:w="1701" w:type="dxa"/>
            <w:shd w:val="clear" w:color="auto" w:fill="F2F2F2" w:themeFill="background1" w:themeFillShade="F2"/>
          </w:tcPr>
          <w:p w14:paraId="622B775E" w14:textId="77777777" w:rsidR="00052A87" w:rsidRPr="00462BFE" w:rsidRDefault="00052A87" w:rsidP="00052A87">
            <w:pPr>
              <w:pStyle w:val="TableTextRight"/>
            </w:pPr>
            <w:r w:rsidRPr="00462BFE">
              <w:t>9,571</w:t>
            </w:r>
          </w:p>
        </w:tc>
        <w:tc>
          <w:tcPr>
            <w:tcW w:w="1701" w:type="dxa"/>
            <w:shd w:val="clear" w:color="auto" w:fill="F2F2F2" w:themeFill="background1" w:themeFillShade="F2"/>
          </w:tcPr>
          <w:p w14:paraId="388F400B" w14:textId="77777777" w:rsidR="00052A87" w:rsidRPr="00462BFE" w:rsidRDefault="00052A87" w:rsidP="00052A87">
            <w:pPr>
              <w:pStyle w:val="TableTextRight"/>
            </w:pPr>
            <w:r w:rsidRPr="00462BFE">
              <w:t>51,684</w:t>
            </w:r>
          </w:p>
        </w:tc>
      </w:tr>
      <w:tr w:rsidR="00052A87" w:rsidRPr="00462BFE" w14:paraId="11FEDED2" w14:textId="77777777" w:rsidTr="0048020A">
        <w:tc>
          <w:tcPr>
            <w:tcW w:w="2041" w:type="dxa"/>
          </w:tcPr>
          <w:p w14:paraId="000751CD" w14:textId="77777777" w:rsidR="00052A87" w:rsidRPr="00462BFE" w:rsidRDefault="00052A87" w:rsidP="00052A87">
            <w:pPr>
              <w:pStyle w:val="TableTextLeft"/>
            </w:pPr>
            <w:r w:rsidRPr="00462BFE">
              <w:t>2005</w:t>
            </w:r>
          </w:p>
        </w:tc>
        <w:tc>
          <w:tcPr>
            <w:tcW w:w="1701" w:type="dxa"/>
          </w:tcPr>
          <w:p w14:paraId="33D9C385" w14:textId="77777777" w:rsidR="00052A87" w:rsidRPr="00462BFE" w:rsidRDefault="00052A87" w:rsidP="00052A87">
            <w:pPr>
              <w:pStyle w:val="TableTextRight"/>
            </w:pPr>
            <w:r w:rsidRPr="00462BFE">
              <w:t>44,491</w:t>
            </w:r>
          </w:p>
        </w:tc>
        <w:tc>
          <w:tcPr>
            <w:tcW w:w="1701" w:type="dxa"/>
          </w:tcPr>
          <w:p w14:paraId="442E98F0" w14:textId="77777777" w:rsidR="00052A87" w:rsidRPr="00462BFE" w:rsidRDefault="00052A87" w:rsidP="00052A87">
            <w:pPr>
              <w:pStyle w:val="TableTextRight"/>
            </w:pPr>
            <w:r w:rsidRPr="00462BFE">
              <w:t>7,072</w:t>
            </w:r>
          </w:p>
        </w:tc>
        <w:tc>
          <w:tcPr>
            <w:tcW w:w="1701" w:type="dxa"/>
          </w:tcPr>
          <w:p w14:paraId="4AAE0B93" w14:textId="77777777" w:rsidR="00052A87" w:rsidRPr="00462BFE" w:rsidRDefault="00052A87" w:rsidP="00052A87">
            <w:pPr>
              <w:pStyle w:val="TableTextRight"/>
            </w:pPr>
            <w:r w:rsidRPr="00462BFE">
              <w:t>51,563</w:t>
            </w:r>
          </w:p>
        </w:tc>
      </w:tr>
      <w:tr w:rsidR="00052A87" w:rsidRPr="00462BFE" w14:paraId="7B8EFF0C" w14:textId="77777777" w:rsidTr="0048020A">
        <w:tc>
          <w:tcPr>
            <w:tcW w:w="2041" w:type="dxa"/>
            <w:shd w:val="clear" w:color="auto" w:fill="F2F2F2" w:themeFill="background1" w:themeFillShade="F2"/>
          </w:tcPr>
          <w:p w14:paraId="79B6DEA6" w14:textId="77777777" w:rsidR="00052A87" w:rsidRPr="00462BFE" w:rsidRDefault="00052A87" w:rsidP="00052A87">
            <w:pPr>
              <w:pStyle w:val="TableTextLeft"/>
            </w:pPr>
            <w:r>
              <w:t>2008</w:t>
            </w:r>
          </w:p>
        </w:tc>
        <w:tc>
          <w:tcPr>
            <w:tcW w:w="1701" w:type="dxa"/>
            <w:shd w:val="clear" w:color="auto" w:fill="F2F2F2" w:themeFill="background1" w:themeFillShade="F2"/>
          </w:tcPr>
          <w:p w14:paraId="778887A1" w14:textId="77777777" w:rsidR="00052A87" w:rsidRPr="00462BFE" w:rsidRDefault="00052A87" w:rsidP="00052A87">
            <w:pPr>
              <w:pStyle w:val="TableTextRight"/>
            </w:pPr>
            <w:r>
              <w:t>49,307</w:t>
            </w:r>
          </w:p>
        </w:tc>
        <w:tc>
          <w:tcPr>
            <w:tcW w:w="1701" w:type="dxa"/>
            <w:shd w:val="clear" w:color="auto" w:fill="F2F2F2" w:themeFill="background1" w:themeFillShade="F2"/>
          </w:tcPr>
          <w:p w14:paraId="4BC818F5" w14:textId="77777777" w:rsidR="00052A87" w:rsidRPr="00462BFE" w:rsidRDefault="00052A87" w:rsidP="00052A87">
            <w:pPr>
              <w:pStyle w:val="TableTextRight"/>
            </w:pPr>
            <w:r>
              <w:t>5,076</w:t>
            </w:r>
          </w:p>
        </w:tc>
        <w:tc>
          <w:tcPr>
            <w:tcW w:w="1701" w:type="dxa"/>
            <w:shd w:val="clear" w:color="auto" w:fill="F2F2F2" w:themeFill="background1" w:themeFillShade="F2"/>
          </w:tcPr>
          <w:p w14:paraId="56725761" w14:textId="77777777" w:rsidR="00052A87" w:rsidRPr="00462BFE" w:rsidRDefault="00052A87" w:rsidP="00052A87">
            <w:pPr>
              <w:pStyle w:val="TableTextRight"/>
            </w:pPr>
            <w:r>
              <w:t>54,383</w:t>
            </w:r>
          </w:p>
        </w:tc>
      </w:tr>
      <w:tr w:rsidR="00210738" w:rsidRPr="00462BFE" w14:paraId="39699395" w14:textId="77777777" w:rsidTr="0048020A">
        <w:tc>
          <w:tcPr>
            <w:tcW w:w="2041" w:type="dxa"/>
          </w:tcPr>
          <w:p w14:paraId="37DB7542" w14:textId="77777777" w:rsidR="00210738" w:rsidRDefault="00210738" w:rsidP="00210738">
            <w:pPr>
              <w:pStyle w:val="TableTextLeft"/>
            </w:pPr>
            <w:r>
              <w:t>2011</w:t>
            </w:r>
          </w:p>
        </w:tc>
        <w:tc>
          <w:tcPr>
            <w:tcW w:w="1701" w:type="dxa"/>
          </w:tcPr>
          <w:p w14:paraId="792E2F3A" w14:textId="77777777" w:rsidR="00210738" w:rsidRDefault="00210738" w:rsidP="00052A87">
            <w:pPr>
              <w:pStyle w:val="TableTextRight"/>
            </w:pPr>
            <w:r>
              <w:t>55,769</w:t>
            </w:r>
          </w:p>
        </w:tc>
        <w:tc>
          <w:tcPr>
            <w:tcW w:w="1701" w:type="dxa"/>
          </w:tcPr>
          <w:p w14:paraId="7BD6C47E" w14:textId="77777777" w:rsidR="00210738" w:rsidRDefault="00210738" w:rsidP="00052A87">
            <w:pPr>
              <w:pStyle w:val="TableTextRight"/>
            </w:pPr>
            <w:r>
              <w:t>3,728</w:t>
            </w:r>
          </w:p>
        </w:tc>
        <w:tc>
          <w:tcPr>
            <w:tcW w:w="1701" w:type="dxa"/>
          </w:tcPr>
          <w:p w14:paraId="793D22B6" w14:textId="77777777" w:rsidR="00210738" w:rsidRDefault="00210738" w:rsidP="00052A87">
            <w:pPr>
              <w:pStyle w:val="TableTextRight"/>
            </w:pPr>
            <w:r>
              <w:t>59,497</w:t>
            </w:r>
          </w:p>
        </w:tc>
      </w:tr>
      <w:tr w:rsidR="007B6C2F" w:rsidRPr="00462BFE" w14:paraId="52560231" w14:textId="77777777" w:rsidTr="0048020A">
        <w:tc>
          <w:tcPr>
            <w:tcW w:w="2041" w:type="dxa"/>
            <w:shd w:val="clear" w:color="auto" w:fill="F2F2F2" w:themeFill="background1" w:themeFillShade="F2"/>
          </w:tcPr>
          <w:p w14:paraId="224F9186" w14:textId="77777777" w:rsidR="007B6C2F" w:rsidRDefault="007B6C2F" w:rsidP="007B6C2F">
            <w:pPr>
              <w:pStyle w:val="TableTextLeft"/>
            </w:pPr>
            <w:r>
              <w:t>2014</w:t>
            </w:r>
          </w:p>
        </w:tc>
        <w:tc>
          <w:tcPr>
            <w:tcW w:w="1701" w:type="dxa"/>
            <w:shd w:val="clear" w:color="auto" w:fill="F2F2F2" w:themeFill="background1" w:themeFillShade="F2"/>
          </w:tcPr>
          <w:p w14:paraId="618E85B6" w14:textId="77777777" w:rsidR="007B6C2F" w:rsidRDefault="007B6C2F" w:rsidP="007B6C2F">
            <w:pPr>
              <w:pStyle w:val="TableTextRight"/>
            </w:pPr>
            <w:r>
              <w:t>54,974</w:t>
            </w:r>
          </w:p>
        </w:tc>
        <w:tc>
          <w:tcPr>
            <w:tcW w:w="1701" w:type="dxa"/>
            <w:shd w:val="clear" w:color="auto" w:fill="F2F2F2" w:themeFill="background1" w:themeFillShade="F2"/>
          </w:tcPr>
          <w:p w14:paraId="33AC94A0" w14:textId="77777777" w:rsidR="007B6C2F" w:rsidRDefault="007B6C2F" w:rsidP="007B6C2F">
            <w:pPr>
              <w:pStyle w:val="TableTextRight"/>
            </w:pPr>
            <w:r>
              <w:t>2,</w:t>
            </w:r>
            <w:r w:rsidR="00B91FEA">
              <w:t>686</w:t>
            </w:r>
          </w:p>
        </w:tc>
        <w:tc>
          <w:tcPr>
            <w:tcW w:w="1701" w:type="dxa"/>
            <w:shd w:val="clear" w:color="auto" w:fill="F2F2F2" w:themeFill="background1" w:themeFillShade="F2"/>
          </w:tcPr>
          <w:p w14:paraId="7ECE7B1D" w14:textId="77777777" w:rsidR="007B6C2F" w:rsidRDefault="007B6C2F" w:rsidP="007B6C2F">
            <w:pPr>
              <w:pStyle w:val="TableTextRight"/>
            </w:pPr>
            <w:r>
              <w:t>57,</w:t>
            </w:r>
            <w:r w:rsidR="00B91FEA">
              <w:t>660</w:t>
            </w:r>
          </w:p>
        </w:tc>
      </w:tr>
    </w:tbl>
    <w:p w14:paraId="0038A030" w14:textId="77C1BBC3" w:rsidR="00AD1BAB" w:rsidRDefault="00AD1BAB">
      <w:pPr>
        <w:spacing w:before="0" w:after="0" w:line="240" w:lineRule="auto"/>
        <w:jc w:val="left"/>
      </w:pPr>
    </w:p>
    <w:p w14:paraId="5526BC8E" w14:textId="77777777" w:rsidR="001F546B" w:rsidRDefault="001F546B">
      <w:pPr>
        <w:spacing w:before="0" w:after="0" w:line="240" w:lineRule="auto"/>
        <w:jc w:val="left"/>
      </w:pPr>
      <w:r>
        <w:br w:type="page"/>
      </w:r>
    </w:p>
    <w:p w14:paraId="15C26D3C" w14:textId="28CCD57C" w:rsidR="00052A87" w:rsidRPr="00857BB6" w:rsidRDefault="00052A87" w:rsidP="00210738">
      <w:pPr>
        <w:pStyle w:val="BodyText"/>
      </w:pPr>
      <w:r>
        <w:lastRenderedPageBreak/>
        <w:t>T</w:t>
      </w:r>
      <w:r w:rsidRPr="00857BB6">
        <w:t>he</w:t>
      </w:r>
      <w:r w:rsidR="00210738">
        <w:t xml:space="preserve"> experience over the </w:t>
      </w:r>
      <w:r w:rsidR="007B6C2F">
        <w:t>twenty-one</w:t>
      </w:r>
      <w:r w:rsidR="00210738">
        <w:t xml:space="preserve"> years falls into </w:t>
      </w:r>
      <w:r w:rsidR="007B6C2F">
        <w:t>several</w:t>
      </w:r>
      <w:r w:rsidR="00210738">
        <w:t xml:space="preserve"> </w:t>
      </w:r>
      <w:r w:rsidR="006F6194">
        <w:t xml:space="preserve">distinct </w:t>
      </w:r>
      <w:r w:rsidR="00210738">
        <w:t>periods.</w:t>
      </w:r>
      <w:r w:rsidR="00212C90">
        <w:t xml:space="preserve"> </w:t>
      </w:r>
      <w:r w:rsidR="00210738">
        <w:t xml:space="preserve">The first of </w:t>
      </w:r>
      <w:r w:rsidR="00210738" w:rsidRPr="0012169A">
        <w:t>these periods saw</w:t>
      </w:r>
      <w:r w:rsidRPr="0012169A">
        <w:t xml:space="preserve"> a significant fall in the combined MSBS and DFRDB membership</w:t>
      </w:r>
      <w:r w:rsidR="007B6C2F" w:rsidRPr="0012169A">
        <w:t xml:space="preserve"> from 1993 to 1999</w:t>
      </w:r>
      <w:r w:rsidRPr="0012169A">
        <w:t xml:space="preserve">. This was followed by </w:t>
      </w:r>
      <w:r w:rsidR="00210738" w:rsidRPr="0012169A">
        <w:t>six years</w:t>
      </w:r>
      <w:r w:rsidRPr="0012169A">
        <w:t xml:space="preserve"> of relatively stable membership. </w:t>
      </w:r>
      <w:r w:rsidR="007B6C2F" w:rsidRPr="0012169A">
        <w:t>From 2005 to 2011</w:t>
      </w:r>
      <w:r w:rsidR="00210738" w:rsidRPr="0012169A">
        <w:t xml:space="preserve">, there </w:t>
      </w:r>
      <w:r w:rsidR="007B6C2F" w:rsidRPr="0012169A">
        <w:t>was</w:t>
      </w:r>
      <w:r w:rsidR="00210738" w:rsidRPr="0012169A">
        <w:t xml:space="preserve"> strong</w:t>
      </w:r>
      <w:r w:rsidRPr="0012169A">
        <w:t xml:space="preserve"> growth in contributory membership</w:t>
      </w:r>
      <w:r w:rsidR="00EB2380" w:rsidRPr="0012169A">
        <w:t>, particularly from 2008 to 2011</w:t>
      </w:r>
      <w:r w:rsidR="000D55BB" w:rsidRPr="0012169A">
        <w:t xml:space="preserve">. </w:t>
      </w:r>
      <w:r w:rsidR="00EB2380" w:rsidRPr="0012169A">
        <w:t xml:space="preserve">From 2011 </w:t>
      </w:r>
      <w:r w:rsidR="000A0548">
        <w:t>until</w:t>
      </w:r>
      <w:r w:rsidR="00EB2380" w:rsidRPr="0012169A">
        <w:t xml:space="preserve"> 2014 membership has been relatively stable and little or no further growth is expected in the short term</w:t>
      </w:r>
      <w:r w:rsidR="003640E3" w:rsidRPr="0012169A">
        <w:t>.</w:t>
      </w:r>
      <w:r w:rsidRPr="0012169A">
        <w:t xml:space="preserve"> As would be expected, DFRDB membership has fallen significantly over the </w:t>
      </w:r>
      <w:r w:rsidR="00B91FEA">
        <w:t>last 21</w:t>
      </w:r>
      <w:r>
        <w:t xml:space="preserve"> years. However, it is anticipated</w:t>
      </w:r>
      <w:r w:rsidRPr="00857BB6">
        <w:t xml:space="preserve"> to be around another</w:t>
      </w:r>
      <w:r w:rsidR="006529FB">
        <w:t xml:space="preserve"> 15 </w:t>
      </w:r>
      <w:r w:rsidR="00B91FEA">
        <w:t xml:space="preserve">to 20 </w:t>
      </w:r>
      <w:r w:rsidRPr="00857BB6">
        <w:t>years before DFRDB contributory membership is close to zero.</w:t>
      </w:r>
    </w:p>
    <w:p w14:paraId="5EE5452D" w14:textId="7B340B8F" w:rsidR="00052A87" w:rsidRPr="00857BB6" w:rsidRDefault="00052A87" w:rsidP="00210738">
      <w:pPr>
        <w:pStyle w:val="BodyText"/>
      </w:pPr>
      <w:r w:rsidRPr="00857BB6">
        <w:t xml:space="preserve">The cost projections </w:t>
      </w:r>
      <w:r w:rsidR="003640E3">
        <w:t xml:space="preserve">for this report </w:t>
      </w:r>
      <w:r w:rsidRPr="00857BB6">
        <w:t>require an assumption regarding future growth in the membership of the relevant schemes</w:t>
      </w:r>
      <w:r w:rsidR="003640E3">
        <w:t xml:space="preserve"> over the long term</w:t>
      </w:r>
      <w:r>
        <w:t xml:space="preserve">. </w:t>
      </w:r>
      <w:r w:rsidRPr="00857BB6">
        <w:t xml:space="preserve">Given the </w:t>
      </w:r>
      <w:r w:rsidR="003640E3">
        <w:t xml:space="preserve">expectation of short term stability </w:t>
      </w:r>
      <w:r w:rsidR="00257420">
        <w:t>and uncertainty about long-</w:t>
      </w:r>
      <w:r w:rsidRPr="00857BB6">
        <w:t xml:space="preserve">term movements in </w:t>
      </w:r>
      <w:r>
        <w:t>ADF</w:t>
      </w:r>
      <w:r w:rsidRPr="00857BB6">
        <w:t xml:space="preserve"> numbers, </w:t>
      </w:r>
      <w:r w:rsidR="00366BB3">
        <w:t xml:space="preserve">I </w:t>
      </w:r>
      <w:r w:rsidRPr="00857BB6">
        <w:t>have assum</w:t>
      </w:r>
      <w:r w:rsidR="003640E3">
        <w:t>ed</w:t>
      </w:r>
      <w:r w:rsidR="00E52F60">
        <w:t xml:space="preserve"> </w:t>
      </w:r>
      <w:r w:rsidRPr="00857BB6">
        <w:t>that the total contributory membership of the MSBS and the DFRDB w</w:t>
      </w:r>
      <w:r w:rsidR="00396885">
        <w:t>ill remain constant at the size</w:t>
      </w:r>
      <w:r w:rsidRPr="00857BB6">
        <w:t xml:space="preserve"> existing at the valuation date.</w:t>
      </w:r>
      <w:r w:rsidR="00396885">
        <w:t xml:space="preserve"> It should be noted this implies that the number of serving ADF personnel in the schemes will represent a declining proportion of the Australian population.</w:t>
      </w:r>
    </w:p>
    <w:p w14:paraId="1C9BB9E6" w14:textId="77777777" w:rsidR="007A61FF" w:rsidRDefault="00052A87" w:rsidP="00CA513B">
      <w:pPr>
        <w:pStyle w:val="BodyText"/>
      </w:pPr>
      <w:r w:rsidRPr="00857BB6">
        <w:t>Since the DFRDB is closed to new members, its contributory membership will decline</w:t>
      </w:r>
      <w:r>
        <w:t xml:space="preserve">. </w:t>
      </w:r>
      <w:r w:rsidRPr="00857BB6">
        <w:t>To compensate for this, the MSBS contributory membership is assumed to increase at the rate required to replace the members leaving the DFRDB</w:t>
      </w:r>
      <w:r>
        <w:t xml:space="preserve">. </w:t>
      </w:r>
      <w:r w:rsidRPr="00857BB6">
        <w:t>The projected decline in DFRDB contributory membership is based on the exit assumptions adopted for the DFRDB, as discussed below.</w:t>
      </w:r>
    </w:p>
    <w:p w14:paraId="1D376B46" w14:textId="6422C5AE" w:rsidR="007A61FF" w:rsidRPr="00CA513B" w:rsidRDefault="00CA513B" w:rsidP="00B150D6">
      <w:pPr>
        <w:pStyle w:val="Heading4"/>
        <w:spacing w:before="240"/>
      </w:pPr>
      <w:r>
        <w:t xml:space="preserve">Closure of </w:t>
      </w:r>
      <w:r w:rsidR="00D71C34">
        <w:t>the MSBS</w:t>
      </w:r>
      <w:r w:rsidRPr="00CA513B">
        <w:t xml:space="preserve"> </w:t>
      </w:r>
      <w:r>
        <w:t xml:space="preserve">to new </w:t>
      </w:r>
      <w:r w:rsidR="00D71C34">
        <w:t>ADF</w:t>
      </w:r>
      <w:r w:rsidR="00FB7FD4">
        <w:t xml:space="preserve"> </w:t>
      </w:r>
      <w:r>
        <w:t xml:space="preserve">personnel </w:t>
      </w:r>
      <w:r w:rsidRPr="00C829B7">
        <w:t>from 1 July 2016</w:t>
      </w:r>
    </w:p>
    <w:p w14:paraId="721B112D" w14:textId="25069B59" w:rsidR="007A61FF" w:rsidRDefault="00257420" w:rsidP="00257420">
      <w:pPr>
        <w:pStyle w:val="BodyText"/>
      </w:pPr>
      <w:r>
        <w:t xml:space="preserve">As noted in </w:t>
      </w:r>
      <w:r>
        <w:fldChar w:fldCharType="begin"/>
      </w:r>
      <w:r>
        <w:instrText xml:space="preserve"> REF _Ref421719065 \r \h </w:instrText>
      </w:r>
      <w:r>
        <w:fldChar w:fldCharType="separate"/>
      </w:r>
      <w:r w:rsidR="00B82BC4">
        <w:t>2.15</w:t>
      </w:r>
      <w:r>
        <w:fldChar w:fldCharType="end"/>
      </w:r>
      <w:r>
        <w:t>, I have assumed there will be no transfers from MSBS to ADF Super up</w:t>
      </w:r>
      <w:r w:rsidR="00B46CB9">
        <w:t>on inception of the new scheme.</w:t>
      </w:r>
      <w:r>
        <w:t xml:space="preserve"> However, it is possible that </w:t>
      </w:r>
      <w:r w:rsidR="007A61FF">
        <w:t xml:space="preserve">there may be </w:t>
      </w:r>
      <w:r w:rsidR="00D26518">
        <w:t xml:space="preserve">scope for MSBS members to </w:t>
      </w:r>
      <w:r>
        <w:t xml:space="preserve">transfer </w:t>
      </w:r>
      <w:r w:rsidR="00D26518">
        <w:t>A</w:t>
      </w:r>
      <w:r>
        <w:t xml:space="preserve">DF Super </w:t>
      </w:r>
      <w:r w:rsidR="007A61FF">
        <w:t xml:space="preserve">depending on the </w:t>
      </w:r>
      <w:r w:rsidR="00EF2293">
        <w:t xml:space="preserve">final arrangements of the </w:t>
      </w:r>
      <w:r>
        <w:t xml:space="preserve">new </w:t>
      </w:r>
      <w:r w:rsidR="00EF2293">
        <w:t>scheme</w:t>
      </w:r>
      <w:r w:rsidRPr="00C829B7">
        <w:t>.</w:t>
      </w:r>
    </w:p>
    <w:p w14:paraId="20975A40" w14:textId="77777777" w:rsidR="00052A87" w:rsidRPr="00F931E3" w:rsidRDefault="00052A87" w:rsidP="00F931E3">
      <w:pPr>
        <w:pStyle w:val="Heading3nonumbering"/>
      </w:pPr>
      <w:r w:rsidRPr="00F931E3">
        <w:t>Economic assumptions</w:t>
      </w:r>
    </w:p>
    <w:p w14:paraId="696DFE72" w14:textId="77777777" w:rsidR="00052A87" w:rsidRPr="00857BB6" w:rsidRDefault="00052A87" w:rsidP="001E1F78">
      <w:pPr>
        <w:pStyle w:val="BodyText"/>
      </w:pPr>
      <w:r w:rsidRPr="00857BB6">
        <w:t xml:space="preserve">The significant financial assumptions made in </w:t>
      </w:r>
      <w:r>
        <w:t>assessing</w:t>
      </w:r>
      <w:r w:rsidR="00EB28DD">
        <w:t xml:space="preserve"> the long-</w:t>
      </w:r>
      <w:r w:rsidRPr="00857BB6">
        <w:t>term cost of the Commonwealth</w:t>
      </w:r>
      <w:r>
        <w:t>’</w:t>
      </w:r>
      <w:r w:rsidRPr="00857BB6">
        <w:t xml:space="preserve">s </w:t>
      </w:r>
      <w:r>
        <w:t xml:space="preserve">military </w:t>
      </w:r>
      <w:r w:rsidRPr="00857BB6">
        <w:t>superannuation commitments are:</w:t>
      </w:r>
    </w:p>
    <w:p w14:paraId="3BC75A45" w14:textId="77777777" w:rsidR="00052A87" w:rsidRDefault="00052A87" w:rsidP="00052A87">
      <w:pPr>
        <w:pStyle w:val="Bulletindent"/>
      </w:pPr>
      <w:r w:rsidRPr="00B56921">
        <w:t>the rate of future increases in those pensions and benefits which are linked to increases in the consumer price index (CPI);</w:t>
      </w:r>
      <w:r>
        <w:t xml:space="preserve"> </w:t>
      </w:r>
    </w:p>
    <w:p w14:paraId="69DED065" w14:textId="77777777" w:rsidR="00B91FEA" w:rsidRPr="00B56921" w:rsidRDefault="00B91FEA" w:rsidP="00052A87">
      <w:pPr>
        <w:pStyle w:val="Bulletindent"/>
      </w:pPr>
      <w:proofErr w:type="gramStart"/>
      <w:r w:rsidRPr="00B56921">
        <w:t>the</w:t>
      </w:r>
      <w:proofErr w:type="gramEnd"/>
      <w:r w:rsidRPr="00B56921">
        <w:t xml:space="preserve"> level of future general increases in salaries (</w:t>
      </w:r>
      <w:r>
        <w:t>that is,</w:t>
      </w:r>
      <w:r w:rsidRPr="00B56921">
        <w:t xml:space="preserve"> increases other than those relating to promotion or length of service </w:t>
      </w:r>
      <w:proofErr w:type="spellStart"/>
      <w:r w:rsidRPr="00B56921">
        <w:t>etc</w:t>
      </w:r>
      <w:proofErr w:type="spellEnd"/>
      <w:r w:rsidRPr="00B56921">
        <w:t>)</w:t>
      </w:r>
      <w:r>
        <w:t xml:space="preserve">. This is </w:t>
      </w:r>
      <w:r w:rsidR="00075F33">
        <w:t>shown below</w:t>
      </w:r>
      <w:r>
        <w:t xml:space="preserve"> as the excess of nominal wage growth over the increase in the CPI; </w:t>
      </w:r>
    </w:p>
    <w:p w14:paraId="23EDAFE6" w14:textId="7372C28C" w:rsidR="00052A87" w:rsidRPr="00B56921" w:rsidRDefault="00052A87" w:rsidP="00052A87">
      <w:pPr>
        <w:pStyle w:val="Bulletindent"/>
      </w:pPr>
      <w:proofErr w:type="gramStart"/>
      <w:r w:rsidRPr="00B56921">
        <w:lastRenderedPageBreak/>
        <w:t>the</w:t>
      </w:r>
      <w:proofErr w:type="gramEnd"/>
      <w:r w:rsidR="00B91FEA">
        <w:t xml:space="preserve"> level of future pension increases for DFRB and DFRDB pensioners aged 55 or more.</w:t>
      </w:r>
      <w:r w:rsidRPr="00B56921">
        <w:t xml:space="preserve"> </w:t>
      </w:r>
      <w:r w:rsidR="00B91FEA">
        <w:t xml:space="preserve">The methodology used to determine increases is such that, over the long term, pensions would be expected to increase in line with Male Full Time Average Weekly Earnings (MTAWE). MTAWE increases would be expected to be similar to future general increases in salaries. </w:t>
      </w:r>
      <w:r>
        <w:t xml:space="preserve">This is </w:t>
      </w:r>
      <w:r w:rsidR="00B91FEA">
        <w:t xml:space="preserve">also </w:t>
      </w:r>
      <w:r w:rsidR="00075F33">
        <w:t>shown below</w:t>
      </w:r>
      <w:r>
        <w:t xml:space="preserve"> as the excess of nominal wage growth over the increase in the CPI</w:t>
      </w:r>
      <w:r w:rsidRPr="00B56921">
        <w:t>;</w:t>
      </w:r>
      <w:r w:rsidRPr="0069535B">
        <w:t xml:space="preserve"> </w:t>
      </w:r>
      <w:r>
        <w:t>and</w:t>
      </w:r>
    </w:p>
    <w:p w14:paraId="7081D209" w14:textId="77777777" w:rsidR="00052A87" w:rsidRPr="00B56921" w:rsidRDefault="00052A87" w:rsidP="00052A87">
      <w:pPr>
        <w:pStyle w:val="Bulletindent"/>
      </w:pPr>
      <w:proofErr w:type="gramStart"/>
      <w:r w:rsidRPr="00B56921">
        <w:t>the</w:t>
      </w:r>
      <w:proofErr w:type="gramEnd"/>
      <w:r w:rsidRPr="00B56921">
        <w:t xml:space="preserve"> </w:t>
      </w:r>
      <w:r>
        <w:t xml:space="preserve">rate of interest to be used to discount future </w:t>
      </w:r>
      <w:proofErr w:type="spellStart"/>
      <w:r>
        <w:t>cashflows</w:t>
      </w:r>
      <w:proofErr w:type="spellEnd"/>
      <w:r>
        <w:t xml:space="preserve"> to a present value. Again, this is </w:t>
      </w:r>
      <w:r w:rsidR="00075F33">
        <w:t>shown below</w:t>
      </w:r>
      <w:r>
        <w:t xml:space="preserve"> as the excess over the increase in the CPI.</w:t>
      </w:r>
    </w:p>
    <w:p w14:paraId="3F63880C" w14:textId="3ECE4560" w:rsidR="00052A87" w:rsidRDefault="00052A87" w:rsidP="00AD1BAB">
      <w:pPr>
        <w:pStyle w:val="BodyText"/>
      </w:pPr>
      <w:r w:rsidRPr="00857BB6">
        <w:t>The relationship</w:t>
      </w:r>
      <w:r w:rsidR="000A0548">
        <w:t>s</w:t>
      </w:r>
      <w:r w:rsidRPr="00857BB6">
        <w:t xml:space="preserve"> between these rates </w:t>
      </w:r>
      <w:r w:rsidR="000A0548">
        <w:t>are</w:t>
      </w:r>
      <w:r w:rsidRPr="00857BB6">
        <w:t xml:space="preserve"> significant </w:t>
      </w:r>
      <w:r>
        <w:t>factors</w:t>
      </w:r>
      <w:r w:rsidR="00EB28DD">
        <w:t xml:space="preserve"> affecting the</w:t>
      </w:r>
      <w:r w:rsidR="0098782E">
        <w:br/>
      </w:r>
      <w:r w:rsidR="00EB28DD">
        <w:t>long-</w:t>
      </w:r>
      <w:r w:rsidRPr="00857BB6">
        <w:t>term cost estimates</w:t>
      </w:r>
      <w:r>
        <w:t xml:space="preserve">. </w:t>
      </w:r>
      <w:r w:rsidR="000A0548">
        <w:t>C</w:t>
      </w:r>
      <w:r w:rsidRPr="00857BB6">
        <w:t xml:space="preserve">hanges of equal magnitude in the absolute levels of each of the rates </w:t>
      </w:r>
      <w:r>
        <w:t xml:space="preserve">can have a major effect on nominal </w:t>
      </w:r>
      <w:proofErr w:type="spellStart"/>
      <w:r>
        <w:t>cashflows</w:t>
      </w:r>
      <w:proofErr w:type="spellEnd"/>
      <w:r w:rsidRPr="00857BB6">
        <w:t xml:space="preserve"> </w:t>
      </w:r>
      <w:r>
        <w:t xml:space="preserve">but </w:t>
      </w:r>
      <w:r w:rsidRPr="00857BB6">
        <w:t xml:space="preserve">will have only a minor effect on </w:t>
      </w:r>
      <w:r>
        <w:t>the unfunded liability and notional employer contribution rate.</w:t>
      </w:r>
      <w:r w:rsidRPr="00857BB6">
        <w:t xml:space="preserve"> </w:t>
      </w:r>
      <w:r>
        <w:t>On the other hand, c</w:t>
      </w:r>
      <w:r w:rsidRPr="00857BB6">
        <w:t>hanges in the relationship</w:t>
      </w:r>
      <w:r w:rsidR="000A0548">
        <w:t>s</w:t>
      </w:r>
      <w:r w:rsidRPr="00857BB6">
        <w:t xml:space="preserve"> between the rates can have quite substantial effects</w:t>
      </w:r>
      <w:r>
        <w:t xml:space="preserve"> on the </w:t>
      </w:r>
      <w:r w:rsidR="00E52F60">
        <w:t xml:space="preserve">unfunded </w:t>
      </w:r>
      <w:r w:rsidR="00EB28DD">
        <w:t xml:space="preserve">liability and </w:t>
      </w:r>
      <w:r w:rsidR="00144256">
        <w:t xml:space="preserve">notional employer contribution rate </w:t>
      </w:r>
      <w:r>
        <w:t>estimates. Care is therefore needed when setting the economic assumptions.</w:t>
      </w:r>
    </w:p>
    <w:p w14:paraId="68671A09" w14:textId="2F13BF92" w:rsidR="00F729B0" w:rsidRDefault="00F729B0" w:rsidP="00AD1BAB">
      <w:pPr>
        <w:pStyle w:val="BodyText"/>
      </w:pPr>
      <w:r w:rsidRPr="00857BB6">
        <w:t xml:space="preserve">For the purposes of this report, </w:t>
      </w:r>
      <w:r w:rsidR="00366BB3">
        <w:t xml:space="preserve">I </w:t>
      </w:r>
      <w:r w:rsidRPr="00857BB6">
        <w:t>have decided to adopt the following assumptions</w:t>
      </w:r>
      <w:r>
        <w:t>:</w:t>
      </w:r>
    </w:p>
    <w:tbl>
      <w:tblPr>
        <w:tblStyle w:val="TableGrid"/>
        <w:tblW w:w="723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4395"/>
      </w:tblGrid>
      <w:tr w:rsidR="00F729B0" w:rsidRPr="0066662B" w14:paraId="046ADAA3" w14:textId="77777777" w:rsidTr="0048020A">
        <w:tc>
          <w:tcPr>
            <w:tcW w:w="2835" w:type="dxa"/>
          </w:tcPr>
          <w:p w14:paraId="565EB7C4" w14:textId="77777777" w:rsidR="00F729B0" w:rsidRPr="0098782E" w:rsidRDefault="00F729B0" w:rsidP="00F931E3">
            <w:pPr>
              <w:pStyle w:val="SingleParagraph"/>
              <w:spacing w:before="60" w:after="60"/>
              <w:ind w:left="-108"/>
              <w:jc w:val="left"/>
              <w:rPr>
                <w:b/>
              </w:rPr>
            </w:pPr>
            <w:r w:rsidRPr="0098782E">
              <w:rPr>
                <w:b/>
              </w:rPr>
              <w:t>CPI increases</w:t>
            </w:r>
          </w:p>
        </w:tc>
        <w:tc>
          <w:tcPr>
            <w:tcW w:w="4395" w:type="dxa"/>
          </w:tcPr>
          <w:p w14:paraId="0ABCB4A5" w14:textId="77777777" w:rsidR="00F729B0" w:rsidRPr="0066662B" w:rsidRDefault="00F729B0" w:rsidP="00F931E3">
            <w:pPr>
              <w:pStyle w:val="SingleParagraph"/>
              <w:spacing w:before="60" w:after="60"/>
            </w:pPr>
            <w:r w:rsidRPr="0066662B">
              <w:t>2.5</w:t>
            </w:r>
            <w:r>
              <w:t xml:space="preserve"> per cent</w:t>
            </w:r>
            <w:r w:rsidRPr="0066662B">
              <w:t xml:space="preserve"> per annum (base)</w:t>
            </w:r>
          </w:p>
        </w:tc>
      </w:tr>
      <w:tr w:rsidR="00F729B0" w:rsidRPr="0066662B" w14:paraId="14BA73A2" w14:textId="77777777" w:rsidTr="0048020A">
        <w:tc>
          <w:tcPr>
            <w:tcW w:w="2835" w:type="dxa"/>
          </w:tcPr>
          <w:p w14:paraId="125257A4" w14:textId="0AB59535" w:rsidR="00F729B0" w:rsidRPr="0098782E" w:rsidRDefault="00F729B0" w:rsidP="00F931E3">
            <w:pPr>
              <w:pStyle w:val="SingleParagraph"/>
              <w:spacing w:before="60" w:after="60"/>
              <w:ind w:left="-108"/>
              <w:jc w:val="left"/>
              <w:rPr>
                <w:b/>
              </w:rPr>
            </w:pPr>
            <w:r w:rsidRPr="0098782E">
              <w:rPr>
                <w:b/>
              </w:rPr>
              <w:t>General salary increases</w:t>
            </w:r>
            <w:r w:rsidR="00556353">
              <w:rPr>
                <w:b/>
              </w:rPr>
              <w:br/>
            </w:r>
            <w:r w:rsidR="00B91FEA" w:rsidRPr="0098782E">
              <w:rPr>
                <w:b/>
              </w:rPr>
              <w:t>and MTAWE increases</w:t>
            </w:r>
          </w:p>
        </w:tc>
        <w:tc>
          <w:tcPr>
            <w:tcW w:w="4395" w:type="dxa"/>
          </w:tcPr>
          <w:p w14:paraId="7BF8D96F" w14:textId="1D17261F" w:rsidR="00F729B0" w:rsidRPr="0066662B" w:rsidRDefault="00F729B0" w:rsidP="00DF4AD2">
            <w:pPr>
              <w:pStyle w:val="SingleParagraph"/>
              <w:spacing w:before="60" w:after="60"/>
            </w:pPr>
            <w:r w:rsidRPr="0066662B">
              <w:t>1.5</w:t>
            </w:r>
            <w:r>
              <w:t xml:space="preserve"> per cent</w:t>
            </w:r>
            <w:r w:rsidRPr="0066662B">
              <w:t xml:space="preserve"> per annum (</w:t>
            </w:r>
            <w:r>
              <w:t>in excess of CPI</w:t>
            </w:r>
            <w:r w:rsidRPr="0066662B">
              <w:t>)</w:t>
            </w:r>
            <w:r w:rsidR="00DF4AD2">
              <w:br/>
            </w:r>
            <w:r w:rsidR="00B91FEA">
              <w:t>(4.0 per cent nominal)</w:t>
            </w:r>
          </w:p>
        </w:tc>
      </w:tr>
      <w:tr w:rsidR="00F729B0" w:rsidRPr="0066662B" w14:paraId="063E2896" w14:textId="77777777" w:rsidTr="0048020A">
        <w:tc>
          <w:tcPr>
            <w:tcW w:w="2835" w:type="dxa"/>
          </w:tcPr>
          <w:p w14:paraId="4FF2CE84" w14:textId="77777777" w:rsidR="00F729B0" w:rsidRPr="0098782E" w:rsidRDefault="00F729B0" w:rsidP="00F931E3">
            <w:pPr>
              <w:pStyle w:val="SingleParagraph"/>
              <w:spacing w:before="60" w:after="60"/>
              <w:ind w:left="-108"/>
              <w:rPr>
                <w:b/>
              </w:rPr>
            </w:pPr>
            <w:r w:rsidRPr="0098782E">
              <w:rPr>
                <w:b/>
              </w:rPr>
              <w:t>Interest rate</w:t>
            </w:r>
          </w:p>
        </w:tc>
        <w:tc>
          <w:tcPr>
            <w:tcW w:w="4395" w:type="dxa"/>
          </w:tcPr>
          <w:p w14:paraId="30E96E6D" w14:textId="06A9D9F6" w:rsidR="00F729B0" w:rsidRPr="0066662B" w:rsidRDefault="00F729B0" w:rsidP="00DF4AD2">
            <w:pPr>
              <w:pStyle w:val="SingleParagraph"/>
              <w:spacing w:before="60" w:after="60"/>
            </w:pPr>
            <w:r w:rsidRPr="0066662B">
              <w:t>3.5</w:t>
            </w:r>
            <w:r>
              <w:t xml:space="preserve"> per cent</w:t>
            </w:r>
            <w:r w:rsidRPr="0066662B">
              <w:t xml:space="preserve"> per annum (</w:t>
            </w:r>
            <w:r>
              <w:t>in excess of CPI</w:t>
            </w:r>
            <w:r w:rsidRPr="0066662B">
              <w:t>)</w:t>
            </w:r>
            <w:r w:rsidR="00DF4AD2">
              <w:br/>
            </w:r>
            <w:r w:rsidR="00B91FEA">
              <w:t>(6.0 per cent nominal)</w:t>
            </w:r>
          </w:p>
        </w:tc>
      </w:tr>
    </w:tbl>
    <w:p w14:paraId="54610138" w14:textId="5C5EA0D3" w:rsidR="004F1182" w:rsidRDefault="004F1182" w:rsidP="00F729B0">
      <w:pPr>
        <w:pStyle w:val="BodyText"/>
      </w:pPr>
      <w:r>
        <w:t>These are the same ass</w:t>
      </w:r>
      <w:r w:rsidR="008F0670">
        <w:t>umptions as were adopted for my</w:t>
      </w:r>
      <w:r>
        <w:t xml:space="preserve"> 2011 Report and</w:t>
      </w:r>
      <w:r w:rsidR="00396885">
        <w:t>, in terms of relativities,</w:t>
      </w:r>
      <w:r>
        <w:t xml:space="preserve"> are effectively the same assumptions as have been adopted since the 1996</w:t>
      </w:r>
      <w:r w:rsidR="00DF4AD2">
        <w:t> </w:t>
      </w:r>
      <w:r>
        <w:t>Report.</w:t>
      </w:r>
    </w:p>
    <w:p w14:paraId="434938A0" w14:textId="77777777" w:rsidR="008D506E" w:rsidRDefault="008D506E">
      <w:pPr>
        <w:spacing w:before="0" w:after="0" w:line="240" w:lineRule="auto"/>
        <w:jc w:val="left"/>
      </w:pPr>
      <w:r>
        <w:br w:type="page"/>
      </w:r>
    </w:p>
    <w:p w14:paraId="28789F4E" w14:textId="124D8738" w:rsidR="00F729B0" w:rsidRDefault="00052A87" w:rsidP="00F729B0">
      <w:pPr>
        <w:pStyle w:val="BodyText"/>
      </w:pPr>
      <w:r w:rsidRPr="00E52F60">
        <w:lastRenderedPageBreak/>
        <w:t>The financial assumptions</w:t>
      </w:r>
      <w:r w:rsidR="00EB28DD">
        <w:t xml:space="preserve"> for an investigation into long-</w:t>
      </w:r>
      <w:r w:rsidRPr="00E52F60">
        <w:t xml:space="preserve">term costs </w:t>
      </w:r>
      <w:r w:rsidR="000A0548">
        <w:t>should</w:t>
      </w:r>
      <w:r w:rsidRPr="00E52F60">
        <w:t xml:space="preserve"> be realistic. At the same time, stability </w:t>
      </w:r>
      <w:r w:rsidR="008F0670">
        <w:t xml:space="preserve">of assumptions </w:t>
      </w:r>
      <w:r w:rsidRPr="00E52F60">
        <w:t xml:space="preserve">over time </w:t>
      </w:r>
      <w:r w:rsidR="008F0670">
        <w:t>is desirable</w:t>
      </w:r>
      <w:r w:rsidRPr="00E52F60">
        <w:t xml:space="preserve"> </w:t>
      </w:r>
      <w:r w:rsidR="008F0670">
        <w:t>s</w:t>
      </w:r>
      <w:r w:rsidRPr="00E52F60">
        <w:t xml:space="preserve">ince cost estimates </w:t>
      </w:r>
      <w:r w:rsidR="00075F33">
        <w:t>can be</w:t>
      </w:r>
      <w:r w:rsidRPr="00E52F60">
        <w:t xml:space="preserve"> sensitive to even small chang</w:t>
      </w:r>
      <w:r w:rsidR="008F0670">
        <w:t>es in the financial assumptions. I</w:t>
      </w:r>
      <w:r w:rsidRPr="00E52F60">
        <w:t xml:space="preserve">t is important not to introduce unnecessary volatility </w:t>
      </w:r>
      <w:r w:rsidR="008F0670">
        <w:t xml:space="preserve">in to the assumptions, and hence the resulting estimates, </w:t>
      </w:r>
      <w:r w:rsidRPr="00E52F60">
        <w:t xml:space="preserve">which might mask genuine </w:t>
      </w:r>
      <w:r w:rsidR="008F0670">
        <w:t xml:space="preserve">features and </w:t>
      </w:r>
      <w:r w:rsidRPr="00E52F60">
        <w:t>effects. Inevitably, judgement is required in setting the financial assumptions.</w:t>
      </w:r>
    </w:p>
    <w:p w14:paraId="368444A2" w14:textId="5FB9EC86" w:rsidR="004F1182" w:rsidRDefault="00F729B0" w:rsidP="00F729B0">
      <w:pPr>
        <w:pStyle w:val="BodyText"/>
      </w:pPr>
      <w:r>
        <w:t xml:space="preserve">At the current time, </w:t>
      </w:r>
      <w:r w:rsidR="00E82C97">
        <w:t>the relationship</w:t>
      </w:r>
      <w:r w:rsidR="00396885">
        <w:t>s</w:t>
      </w:r>
      <w:r w:rsidR="00E82C97">
        <w:t xml:space="preserve"> between price inflation, interest rates </w:t>
      </w:r>
      <w:r>
        <w:t xml:space="preserve">and general salary increases </w:t>
      </w:r>
      <w:r w:rsidR="00396885">
        <w:t>are</w:t>
      </w:r>
      <w:r w:rsidR="00E82C97">
        <w:t xml:space="preserve"> abnormal</w:t>
      </w:r>
      <w:r>
        <w:t xml:space="preserve"> by historic</w:t>
      </w:r>
      <w:r w:rsidR="001710E3">
        <w:t>al</w:t>
      </w:r>
      <w:r>
        <w:t xml:space="preserve"> standards. </w:t>
      </w:r>
      <w:r w:rsidR="00E82C97">
        <w:t xml:space="preserve">Interest rates are close to </w:t>
      </w:r>
      <w:r w:rsidR="00396885">
        <w:t xml:space="preserve">the rate of price inflation </w:t>
      </w:r>
      <w:r w:rsidR="00396885" w:rsidRPr="00F32D79">
        <w:t>while</w:t>
      </w:r>
      <w:r w:rsidR="00E82C97" w:rsidRPr="00F32D79">
        <w:t xml:space="preserve"> salary increases </w:t>
      </w:r>
      <w:r w:rsidR="00396885" w:rsidRPr="00F32D79">
        <w:t>have been marginally</w:t>
      </w:r>
      <w:r w:rsidR="00E82C97" w:rsidRPr="00F32D79">
        <w:t xml:space="preserve"> higher than price inflation. The</w:t>
      </w:r>
      <w:r w:rsidR="00323D85">
        <w:t xml:space="preserve"> short-</w:t>
      </w:r>
      <w:r w:rsidR="00E82C97">
        <w:t xml:space="preserve">term outlook for military personnel is for salary increases to be </w:t>
      </w:r>
      <w:r w:rsidR="00F32D79" w:rsidRPr="00F32D79">
        <w:t xml:space="preserve">comparable with </w:t>
      </w:r>
      <w:r w:rsidR="00E82C97" w:rsidRPr="00F32D79">
        <w:t>the rate of price inflation.</w:t>
      </w:r>
      <w:r w:rsidR="00E82C97">
        <w:t xml:space="preserve"> </w:t>
      </w:r>
      <w:r w:rsidR="00EB4E02">
        <w:t xml:space="preserve">This </w:t>
      </w:r>
      <w:r w:rsidR="00E82C97">
        <w:t xml:space="preserve">situation </w:t>
      </w:r>
      <w:r w:rsidR="00EB4E02">
        <w:t xml:space="preserve">is not </w:t>
      </w:r>
      <w:r w:rsidR="00396885">
        <w:t>unique</w:t>
      </w:r>
      <w:r w:rsidR="00EB4E02">
        <w:t xml:space="preserve"> to Australia, and developed economies such as the US</w:t>
      </w:r>
      <w:r w:rsidR="00E82C97">
        <w:t>, UK</w:t>
      </w:r>
      <w:r w:rsidR="00C95F78">
        <w:t>,</w:t>
      </w:r>
      <w:r w:rsidR="00EB4E02">
        <w:t xml:space="preserve"> </w:t>
      </w:r>
      <w:r w:rsidR="00C95F78">
        <w:t xml:space="preserve">Europe </w:t>
      </w:r>
      <w:r w:rsidR="00EB4E02">
        <w:t>and Japan</w:t>
      </w:r>
      <w:r w:rsidR="00F32D79">
        <w:t>,</w:t>
      </w:r>
      <w:r w:rsidR="00EB4E02">
        <w:t xml:space="preserve"> are also </w:t>
      </w:r>
      <w:r w:rsidR="00396885">
        <w:t xml:space="preserve">experiencing very low interest rates and depressed wage growth. </w:t>
      </w:r>
      <w:r w:rsidR="004F1182">
        <w:t>This abnormal s</w:t>
      </w:r>
      <w:r w:rsidR="00DA35E1">
        <w:t>ituation was noted in our 2011 R</w:t>
      </w:r>
      <w:r w:rsidR="004F1182">
        <w:t xml:space="preserve">eport and, if anything, the situation has become even more </w:t>
      </w:r>
      <w:r w:rsidR="00396885">
        <w:t>anomalous</w:t>
      </w:r>
      <w:r w:rsidR="00494815">
        <w:t xml:space="preserve"> since then</w:t>
      </w:r>
      <w:r w:rsidR="004F1182">
        <w:t xml:space="preserve">. </w:t>
      </w:r>
    </w:p>
    <w:p w14:paraId="0B49D7C4" w14:textId="682BBBC7" w:rsidR="00494815" w:rsidRDefault="00FA769D" w:rsidP="00F729B0">
      <w:pPr>
        <w:pStyle w:val="BodyText"/>
      </w:pPr>
      <w:r>
        <w:t xml:space="preserve">There is </w:t>
      </w:r>
      <w:r w:rsidR="00396885">
        <w:t xml:space="preserve">some </w:t>
      </w:r>
      <w:r w:rsidR="008F0670">
        <w:t>uncertainty as to whether the relationships between price inflation, general salary increases and</w:t>
      </w:r>
      <w:r>
        <w:t xml:space="preserve"> in</w:t>
      </w:r>
      <w:r w:rsidR="008F0670">
        <w:t>t</w:t>
      </w:r>
      <w:r w:rsidR="00641234">
        <w:t xml:space="preserve">erest rates will return to close to </w:t>
      </w:r>
      <w:r w:rsidR="00075F33">
        <w:t xml:space="preserve">the </w:t>
      </w:r>
      <w:r w:rsidR="00641234">
        <w:t>averages</w:t>
      </w:r>
      <w:r w:rsidR="008F0670">
        <w:t xml:space="preserve"> </w:t>
      </w:r>
      <w:r w:rsidR="00641234">
        <w:t>observed over the past fort</w:t>
      </w:r>
      <w:r>
        <w:t>y years</w:t>
      </w:r>
      <w:r w:rsidR="008F0670">
        <w:t xml:space="preserve"> and, if so, over what time frame</w:t>
      </w:r>
      <w:r>
        <w:t xml:space="preserve">. </w:t>
      </w:r>
      <w:r w:rsidR="00641234">
        <w:t xml:space="preserve">There have been </w:t>
      </w:r>
      <w:r w:rsidR="00075F33">
        <w:t>periods</w:t>
      </w:r>
      <w:r w:rsidR="00641234">
        <w:t xml:space="preserve"> in the past where these </w:t>
      </w:r>
      <w:r w:rsidR="00080613">
        <w:t>relationships have de</w:t>
      </w:r>
      <w:r w:rsidR="00CA1601">
        <w:t>v</w:t>
      </w:r>
      <w:r w:rsidR="008D7616">
        <w:t>iated substantially from long-</w:t>
      </w:r>
      <w:r w:rsidR="00080613">
        <w:t>term averages. For</w:t>
      </w:r>
      <w:r w:rsidR="00641234">
        <w:t xml:space="preserve"> example</w:t>
      </w:r>
      <w:r w:rsidR="00080613">
        <w:t>,</w:t>
      </w:r>
      <w:r w:rsidR="00641234">
        <w:t xml:space="preserve"> </w:t>
      </w:r>
      <w:r w:rsidR="00080613">
        <w:t>in</w:t>
      </w:r>
      <w:r w:rsidR="00641234">
        <w:t xml:space="preserve"> the early to </w:t>
      </w:r>
      <w:r w:rsidR="0098782E">
        <w:t>mid-1970s</w:t>
      </w:r>
      <w:r w:rsidR="00641234">
        <w:t xml:space="preserve"> price inflation was </w:t>
      </w:r>
      <w:r w:rsidR="00080613">
        <w:t>well</w:t>
      </w:r>
      <w:r w:rsidR="00641234">
        <w:t xml:space="preserve"> in excess of both interest rates and salary increases. </w:t>
      </w:r>
      <w:r w:rsidR="0091111E">
        <w:t xml:space="preserve">Historically, </w:t>
      </w:r>
      <w:r w:rsidR="00494815">
        <w:t>these</w:t>
      </w:r>
      <w:r w:rsidR="008E46B6">
        <w:t xml:space="preserve"> abnormal relationships </w:t>
      </w:r>
      <w:r w:rsidR="0091111E">
        <w:t xml:space="preserve">have eventually tended to revert </w:t>
      </w:r>
      <w:r w:rsidR="008E46B6">
        <w:t>to what might be considered the norm. As this report has estimates covering the next 40 years</w:t>
      </w:r>
      <w:r w:rsidR="00494815">
        <w:t>, I have decided to ret</w:t>
      </w:r>
      <w:r w:rsidR="00080613">
        <w:t>ain the assumptions based on</w:t>
      </w:r>
      <w:r w:rsidR="00494815">
        <w:t xml:space="preserve"> historic</w:t>
      </w:r>
      <w:r w:rsidR="001710E3">
        <w:t>al</w:t>
      </w:r>
      <w:r w:rsidR="008846F3">
        <w:br/>
      </w:r>
      <w:r w:rsidR="008D7616">
        <w:t>long-</w:t>
      </w:r>
      <w:r w:rsidR="00080613">
        <w:t>term relationships. While</w:t>
      </w:r>
      <w:r w:rsidR="00494815">
        <w:t xml:space="preserve"> my decision</w:t>
      </w:r>
      <w:r w:rsidR="00080613">
        <w:t xml:space="preserve"> </w:t>
      </w:r>
      <w:r w:rsidR="00C14494">
        <w:t xml:space="preserve">on the economic assumptions </w:t>
      </w:r>
      <w:r w:rsidR="00080613">
        <w:t xml:space="preserve">was derived independently of Treasury </w:t>
      </w:r>
      <w:r w:rsidR="0091111E">
        <w:t>projections</w:t>
      </w:r>
      <w:r w:rsidR="00494815">
        <w:t xml:space="preserve">, I note that Treasury </w:t>
      </w:r>
      <w:r w:rsidR="0091111E">
        <w:t xml:space="preserve">projections implicitly </w:t>
      </w:r>
      <w:r w:rsidR="00494815">
        <w:t>assum</w:t>
      </w:r>
      <w:r w:rsidR="0091111E">
        <w:t>e</w:t>
      </w:r>
      <w:r w:rsidR="00494815">
        <w:t xml:space="preserve"> that there will be a return to </w:t>
      </w:r>
      <w:r w:rsidR="0091111E">
        <w:t>n</w:t>
      </w:r>
      <w:r w:rsidR="00494815">
        <w:t>ormal relationship</w:t>
      </w:r>
      <w:r w:rsidR="00080613">
        <w:t>s</w:t>
      </w:r>
      <w:r w:rsidR="00494815">
        <w:t xml:space="preserve"> between price inflation, general salary increases </w:t>
      </w:r>
      <w:r w:rsidR="00080613">
        <w:t>and interest rates over the next decade</w:t>
      </w:r>
      <w:r w:rsidR="00494815">
        <w:t>.</w:t>
      </w:r>
    </w:p>
    <w:p w14:paraId="2AE736AC" w14:textId="5386B4CA" w:rsidR="00494815" w:rsidRDefault="00D36B9D" w:rsidP="00F729B0">
      <w:pPr>
        <w:pStyle w:val="BodyText"/>
      </w:pPr>
      <w:r>
        <w:t xml:space="preserve">While it has had no direct bearing on the economic </w:t>
      </w:r>
      <w:r w:rsidR="00762D3F">
        <w:t>assumptions I have adopted, I</w:t>
      </w:r>
      <w:r>
        <w:t xml:space="preserve"> note </w:t>
      </w:r>
      <w:r w:rsidR="00762D3F">
        <w:t xml:space="preserve">that </w:t>
      </w:r>
      <w:r>
        <w:t xml:space="preserve">the </w:t>
      </w:r>
      <w:r w:rsidR="00CC26BA">
        <w:t xml:space="preserve">Future Fund </w:t>
      </w:r>
      <w:r w:rsidR="00762D3F">
        <w:t xml:space="preserve">now has a </w:t>
      </w:r>
      <w:r>
        <w:t xml:space="preserve">substantial </w:t>
      </w:r>
      <w:r w:rsidR="00762D3F">
        <w:t>body</w:t>
      </w:r>
      <w:r w:rsidR="00A6524F">
        <w:t xml:space="preserve"> of </w:t>
      </w:r>
      <w:r>
        <w:t>assets.</w:t>
      </w:r>
      <w:r w:rsidR="00A6524F">
        <w:t xml:space="preserve"> The</w:t>
      </w:r>
      <w:r w:rsidR="00762D3F">
        <w:t>se</w:t>
      </w:r>
      <w:r w:rsidR="00A6524F">
        <w:t xml:space="preserve"> assets are hypothecated against the unfunded liabilities of the Commonwealth superannuation schemes which include DFRD, DFRDB and MSBS.</w:t>
      </w:r>
      <w:r w:rsidR="00C14494">
        <w:t xml:space="preserve"> The investment mandate</w:t>
      </w:r>
      <w:r w:rsidR="00A6524F">
        <w:t xml:space="preserve"> of the Future Fund is to target </w:t>
      </w:r>
      <w:r w:rsidR="004445E3" w:rsidRPr="008D7616">
        <w:t>a long</w:t>
      </w:r>
      <w:r w:rsidR="008D7616" w:rsidRPr="008D7616">
        <w:t>-</w:t>
      </w:r>
      <w:r w:rsidR="004445E3" w:rsidRPr="008D7616">
        <w:t>term average</w:t>
      </w:r>
      <w:r w:rsidR="004445E3">
        <w:t xml:space="preserve"> </w:t>
      </w:r>
      <w:r w:rsidR="00A6524F">
        <w:t>investment return of</w:t>
      </w:r>
      <w:r w:rsidR="00B55EFC">
        <w:t xml:space="preserve"> at least</w:t>
      </w:r>
      <w:r w:rsidR="00A6524F">
        <w:t xml:space="preserve"> </w:t>
      </w:r>
      <w:r w:rsidR="004445E3">
        <w:t>4.5 to</w:t>
      </w:r>
      <w:r w:rsidR="00520EE0">
        <w:t xml:space="preserve"> </w:t>
      </w:r>
      <w:r w:rsidR="004445E3">
        <w:t xml:space="preserve">5.5 </w:t>
      </w:r>
      <w:r w:rsidR="00A6524F">
        <w:t>per cen</w:t>
      </w:r>
      <w:r w:rsidR="00DA3865">
        <w:t xml:space="preserve">t per annum in </w:t>
      </w:r>
      <w:r w:rsidR="004445E3">
        <w:t>excess of the CPI.</w:t>
      </w:r>
    </w:p>
    <w:p w14:paraId="03292E5E" w14:textId="77777777" w:rsidR="00F729B0" w:rsidRDefault="00494815" w:rsidP="00F729B0">
      <w:pPr>
        <w:pStyle w:val="BodyText"/>
      </w:pPr>
      <w:r>
        <w:lastRenderedPageBreak/>
        <w:t>Appendix D provides a sensitivity analysis of the results to changes in economic assumptions</w:t>
      </w:r>
      <w:r w:rsidR="00F451CD">
        <w:t>. This</w:t>
      </w:r>
      <w:r>
        <w:t xml:space="preserve"> enables </w:t>
      </w:r>
      <w:r w:rsidR="00C14494">
        <w:t>the impact of alternative scenarios around the future trajectory of the key macroeconomic parameters to be assessed.</w:t>
      </w:r>
      <w:r>
        <w:t xml:space="preserve"> </w:t>
      </w:r>
    </w:p>
    <w:p w14:paraId="5DE4835E" w14:textId="2A8BA326" w:rsidR="00052A87" w:rsidRDefault="003640E3" w:rsidP="001E1F78">
      <w:pPr>
        <w:pStyle w:val="BodyText"/>
      </w:pPr>
      <w:r w:rsidRPr="00E52F60">
        <w:t>A</w:t>
      </w:r>
      <w:r w:rsidR="00052A87" w:rsidRPr="00E52F60">
        <w:t xml:space="preserve">ssumptions regarding the rate of increase in GDP are </w:t>
      </w:r>
      <w:r w:rsidRPr="00E52F60">
        <w:t xml:space="preserve">also </w:t>
      </w:r>
      <w:r w:rsidR="00052A87" w:rsidRPr="00E52F60">
        <w:t xml:space="preserve">required. </w:t>
      </w:r>
      <w:r w:rsidRPr="00E52F60">
        <w:t>B</w:t>
      </w:r>
      <w:r w:rsidR="00052A87" w:rsidRPr="00E52F60">
        <w:t xml:space="preserve">ased </w:t>
      </w:r>
      <w:r w:rsidRPr="00E52F60">
        <w:t>on</w:t>
      </w:r>
      <w:r>
        <w:t xml:space="preserve"> the above assumptions for inflation and wage growth, Treasury ha</w:t>
      </w:r>
      <w:r w:rsidR="00144256">
        <w:t>s</w:t>
      </w:r>
      <w:r>
        <w:t xml:space="preserve"> produced a projection of annual GDP growth r</w:t>
      </w:r>
      <w:r w:rsidR="00C14494">
        <w:t xml:space="preserve">ates (included in Appendix C). </w:t>
      </w:r>
      <w:r>
        <w:t xml:space="preserve">This projection has been generated </w:t>
      </w:r>
      <w:r w:rsidR="00052A87">
        <w:t>specifically for the purpose of this report</w:t>
      </w:r>
      <w:r w:rsidR="004445E3">
        <w:t xml:space="preserve"> and so it is</w:t>
      </w:r>
      <w:r w:rsidR="00052A87">
        <w:t xml:space="preserve"> not </w:t>
      </w:r>
      <w:r w:rsidR="004445E3">
        <w:t xml:space="preserve">to </w:t>
      </w:r>
      <w:r w:rsidR="00052A87">
        <w:t xml:space="preserve">be regarded as </w:t>
      </w:r>
      <w:r>
        <w:t xml:space="preserve">an </w:t>
      </w:r>
      <w:r w:rsidR="00052A87">
        <w:t xml:space="preserve">official Commonwealth Treasury projection. </w:t>
      </w:r>
      <w:r w:rsidR="00052A87" w:rsidRPr="00857BB6">
        <w:t>The GDP gr</w:t>
      </w:r>
      <w:r w:rsidR="0091111E">
        <w:t>owth rates incorporate the long-</w:t>
      </w:r>
      <w:r w:rsidR="00052A87" w:rsidRPr="00857BB6">
        <w:t>term effects of demographic and labour force change</w:t>
      </w:r>
      <w:r w:rsidR="00052A87">
        <w:t xml:space="preserve">. </w:t>
      </w:r>
      <w:r w:rsidR="00052A87" w:rsidRPr="00857BB6">
        <w:t xml:space="preserve">The change to the GDP growth assumption has no effect on </w:t>
      </w:r>
      <w:r w:rsidR="00052A87">
        <w:t xml:space="preserve">nominal </w:t>
      </w:r>
      <w:r w:rsidR="00052A87" w:rsidRPr="00857BB6">
        <w:t>dollar outlays</w:t>
      </w:r>
      <w:r w:rsidR="00052A87">
        <w:t xml:space="preserve">. However, the variation in growth rates does affect the outlays and liabilities reported as a percentage of GDP. </w:t>
      </w:r>
    </w:p>
    <w:p w14:paraId="2290A856" w14:textId="77777777" w:rsidR="00052A87" w:rsidRPr="00857BB6" w:rsidRDefault="00052A87" w:rsidP="00052A87">
      <w:pPr>
        <w:pStyle w:val="Heading2nonumbering"/>
      </w:pPr>
      <w:bookmarkStart w:id="69" w:name="_Toc425770491"/>
      <w:r w:rsidRPr="00857BB6">
        <w:t>Experience assumptions</w:t>
      </w:r>
      <w:bookmarkEnd w:id="69"/>
    </w:p>
    <w:p w14:paraId="2296A709" w14:textId="77777777" w:rsidR="00762D3F" w:rsidRPr="000973F7" w:rsidRDefault="00052A87" w:rsidP="007C386F">
      <w:pPr>
        <w:pStyle w:val="BodyText"/>
      </w:pPr>
      <w:r>
        <w:t xml:space="preserve">Experience assumptions are set having regard to the assumptions adopted in the previous report, the experience over the intervening period and the likely impact of any factors expected to affect future experience but not yet apparent in the data. </w:t>
      </w:r>
      <w:r w:rsidR="0081524A">
        <w:t>For the experience analysis, detailed data was not readily available for 2013-14 and hence the analy</w:t>
      </w:r>
      <w:r w:rsidR="00C14494">
        <w:t xml:space="preserve">sis was </w:t>
      </w:r>
      <w:r w:rsidR="000973F7">
        <w:t xml:space="preserve">largely </w:t>
      </w:r>
      <w:r w:rsidR="00C14494" w:rsidRPr="000973F7">
        <w:t>based on the three year</w:t>
      </w:r>
      <w:r w:rsidR="0081524A" w:rsidRPr="000973F7">
        <w:t xml:space="preserve"> period from 2010-11 to 2012-13.</w:t>
      </w:r>
    </w:p>
    <w:p w14:paraId="0892DC2A" w14:textId="77777777" w:rsidR="00052A87" w:rsidRPr="00857BB6" w:rsidRDefault="00C4543D" w:rsidP="001E1F78">
      <w:pPr>
        <w:pStyle w:val="BodyText"/>
      </w:pPr>
      <w:r>
        <w:t xml:space="preserve">Analysis of the data over the long term </w:t>
      </w:r>
      <w:r w:rsidR="00C23552">
        <w:t xml:space="preserve">indicates that </w:t>
      </w:r>
      <w:r>
        <w:t xml:space="preserve">experience may differ according to scheme, gender, and whether officer, officer cadet </w:t>
      </w:r>
      <w:r w:rsidR="00534029">
        <w:t>or other rank.</w:t>
      </w:r>
      <w:r>
        <w:t xml:space="preserve"> </w:t>
      </w:r>
      <w:r w:rsidR="007C386F">
        <w:t>A</w:t>
      </w:r>
      <w:r w:rsidR="00052A87" w:rsidRPr="00857BB6">
        <w:t xml:space="preserve">ssumptions </w:t>
      </w:r>
      <w:r w:rsidR="00534029">
        <w:t>have been set accordingly.</w:t>
      </w:r>
      <w:r w:rsidR="00C23552">
        <w:t xml:space="preserve"> </w:t>
      </w:r>
      <w:r w:rsidR="00052A87">
        <w:t>Details of assumptions are given in Appendix C.</w:t>
      </w:r>
    </w:p>
    <w:p w14:paraId="0514ED36" w14:textId="0D5961AC" w:rsidR="00052A87" w:rsidRPr="00857BB6" w:rsidRDefault="00052A87" w:rsidP="00AD1BAB">
      <w:pPr>
        <w:pStyle w:val="Heading3nonumbering"/>
      </w:pPr>
      <w:r w:rsidRPr="00857BB6">
        <w:t>Mortalit</w:t>
      </w:r>
      <w:r>
        <w:t>y of c</w:t>
      </w:r>
      <w:r w:rsidRPr="00857BB6">
        <w:t>ontributors</w:t>
      </w:r>
    </w:p>
    <w:p w14:paraId="0EDCDBB4" w14:textId="48D4765F" w:rsidR="00052A87" w:rsidRPr="00933800" w:rsidRDefault="00052A87" w:rsidP="001E1F78">
      <w:pPr>
        <w:pStyle w:val="BodyText"/>
      </w:pPr>
      <w:r w:rsidRPr="00857BB6">
        <w:t xml:space="preserve">The </w:t>
      </w:r>
      <w:r>
        <w:t xml:space="preserve">assumed </w:t>
      </w:r>
      <w:r w:rsidRPr="00857BB6">
        <w:t xml:space="preserve">contributor mortality rates </w:t>
      </w:r>
      <w:r>
        <w:t xml:space="preserve">are unchanged from </w:t>
      </w:r>
      <w:r w:rsidRPr="00857BB6">
        <w:t xml:space="preserve">those used for the </w:t>
      </w:r>
      <w:r>
        <w:t>20</w:t>
      </w:r>
      <w:r w:rsidR="00494D8A">
        <w:t>11</w:t>
      </w:r>
      <w:r>
        <w:t xml:space="preserve"> Report. </w:t>
      </w:r>
      <w:r w:rsidRPr="00933800">
        <w:t xml:space="preserve">The </w:t>
      </w:r>
      <w:r>
        <w:t xml:space="preserve">assumed </w:t>
      </w:r>
      <w:r w:rsidRPr="00933800">
        <w:t>rates are higher than those experienced over the three</w:t>
      </w:r>
      <w:r w:rsidR="00DF4AD2">
        <w:t> </w:t>
      </w:r>
      <w:r w:rsidRPr="00933800">
        <w:t xml:space="preserve">years. This allows for a margin to cover the possibility of serious accidents which result in multiple deaths. </w:t>
      </w:r>
    </w:p>
    <w:p w14:paraId="1A2CDAC5" w14:textId="77777777" w:rsidR="008D506E" w:rsidRDefault="008D506E">
      <w:pPr>
        <w:spacing w:before="0" w:after="0" w:line="240" w:lineRule="auto"/>
        <w:jc w:val="left"/>
        <w:rPr>
          <w:rFonts w:ascii="Arial Bold" w:hAnsi="Arial Bold"/>
          <w:b/>
          <w:color w:val="9B0014"/>
          <w:sz w:val="23"/>
          <w:szCs w:val="24"/>
          <w:lang w:eastAsia="en-AU"/>
        </w:rPr>
      </w:pPr>
      <w:r>
        <w:br w:type="page"/>
      </w:r>
    </w:p>
    <w:p w14:paraId="49E54CE0" w14:textId="1D4C7B8F" w:rsidR="00052A87" w:rsidRPr="00857BB6" w:rsidRDefault="00052A87" w:rsidP="00052A87">
      <w:pPr>
        <w:pStyle w:val="Heading3nonumbering"/>
      </w:pPr>
      <w:r w:rsidRPr="00857BB6">
        <w:lastRenderedPageBreak/>
        <w:t>Invalidity</w:t>
      </w:r>
    </w:p>
    <w:p w14:paraId="7CC307F6" w14:textId="77777777" w:rsidR="00052A87" w:rsidRPr="005C7A28" w:rsidRDefault="00052A87" w:rsidP="001E1F78">
      <w:pPr>
        <w:pStyle w:val="BodyText"/>
      </w:pPr>
      <w:r>
        <w:t>Invalidity retirements can impose a significant cost on the schemes, particularly when they affect young members. As a result, considerable care needs to be taken in setting invalidity assumptions. At the same time, i</w:t>
      </w:r>
      <w:r w:rsidRPr="00857BB6">
        <w:t>nvalidity experience</w:t>
      </w:r>
      <w:r>
        <w:t xml:space="preserve"> over the past decade</w:t>
      </w:r>
      <w:r w:rsidRPr="00857BB6">
        <w:t xml:space="preserve"> for the MSBS </w:t>
      </w:r>
      <w:r>
        <w:t>has been</w:t>
      </w:r>
      <w:r w:rsidR="00762D3F">
        <w:t xml:space="preserve"> very volatile, </w:t>
      </w:r>
      <w:r w:rsidR="003640E3">
        <w:t xml:space="preserve">with rates falling between the 2002 and 2005 </w:t>
      </w:r>
      <w:r w:rsidR="003640E3" w:rsidRPr="005C7A28">
        <w:t>Reports and increasing markedly between 2005 and 2008.</w:t>
      </w:r>
      <w:r w:rsidRPr="005C7A28">
        <w:t xml:space="preserve"> </w:t>
      </w:r>
      <w:r w:rsidR="00762D3F">
        <w:t xml:space="preserve">This makes it difficult to set assumptions about future </w:t>
      </w:r>
      <w:r w:rsidR="00B55EFC">
        <w:t>experience</w:t>
      </w:r>
      <w:r w:rsidR="00762D3F">
        <w:t>.</w:t>
      </w:r>
    </w:p>
    <w:p w14:paraId="6115595B" w14:textId="77777777" w:rsidR="007A443D" w:rsidRDefault="00DA35E1" w:rsidP="00DC325A">
      <w:pPr>
        <w:pStyle w:val="BodyText"/>
      </w:pPr>
      <w:r>
        <w:t>In the 2011 R</w:t>
      </w:r>
      <w:r w:rsidR="00D94C29" w:rsidRPr="005C7A28">
        <w:t>eport</w:t>
      </w:r>
      <w:r w:rsidR="00762D3F">
        <w:t>,</w:t>
      </w:r>
      <w:r w:rsidR="00D94C29" w:rsidRPr="005C7A28">
        <w:t xml:space="preserve"> we observed that invalidity rates had appeared to stabilise and </w:t>
      </w:r>
      <w:r w:rsidR="009C1487" w:rsidRPr="005C7A28">
        <w:t xml:space="preserve">we </w:t>
      </w:r>
      <w:r w:rsidR="00D94C29" w:rsidRPr="005C7A28">
        <w:t xml:space="preserve">set the </w:t>
      </w:r>
      <w:r w:rsidR="009C1487" w:rsidRPr="005C7A28">
        <w:t xml:space="preserve">invalidity rate </w:t>
      </w:r>
      <w:r w:rsidR="00364418">
        <w:t xml:space="preserve">assumptions accordingly. </w:t>
      </w:r>
      <w:r w:rsidR="00503EAE" w:rsidRPr="005C7A28">
        <w:t>However,</w:t>
      </w:r>
      <w:r w:rsidR="00374393" w:rsidRPr="005C7A28">
        <w:t xml:space="preserve"> in the last </w:t>
      </w:r>
      <w:r w:rsidR="00DC325A" w:rsidRPr="005C7A28">
        <w:t>three years</w:t>
      </w:r>
      <w:r w:rsidR="00762D3F">
        <w:t>,</w:t>
      </w:r>
      <w:r w:rsidR="00DC325A" w:rsidRPr="005C7A28">
        <w:t xml:space="preserve"> w</w:t>
      </w:r>
      <w:r w:rsidR="00D94C29" w:rsidRPr="005C7A28">
        <w:t xml:space="preserve">e have observed a significant increase in invalidity </w:t>
      </w:r>
      <w:r w:rsidR="0077368B">
        <w:t xml:space="preserve">exit </w:t>
      </w:r>
      <w:r w:rsidR="00D94C29" w:rsidRPr="005C7A28">
        <w:t>rates</w:t>
      </w:r>
      <w:r w:rsidR="0077368B">
        <w:t xml:space="preserve"> </w:t>
      </w:r>
      <w:r w:rsidR="007A5EB1" w:rsidRPr="005C7A28">
        <w:t>amongst MSBS contributors.</w:t>
      </w:r>
      <w:r w:rsidR="004320A3">
        <w:t xml:space="preserve"> The table below shows the number of new invalidity pension</w:t>
      </w:r>
      <w:r w:rsidR="00F7551F">
        <w:t>s</w:t>
      </w:r>
      <w:r w:rsidR="00762D3F">
        <w:t xml:space="preserve"> commencing in each of</w:t>
      </w:r>
      <w:r w:rsidR="004320A3">
        <w:t xml:space="preserve"> the last 5 years.</w:t>
      </w:r>
    </w:p>
    <w:tbl>
      <w:tblPr>
        <w:tblW w:w="0" w:type="auto"/>
        <w:tblInd w:w="675" w:type="dxa"/>
        <w:tblBorders>
          <w:top w:val="single" w:sz="2" w:space="0" w:color="000000"/>
          <w:bottom w:val="single" w:sz="2" w:space="0" w:color="000000"/>
        </w:tblBorders>
        <w:tblLayout w:type="fixed"/>
        <w:tblLook w:val="0000" w:firstRow="0" w:lastRow="0" w:firstColumn="0" w:lastColumn="0" w:noHBand="0" w:noVBand="0"/>
      </w:tblPr>
      <w:tblGrid>
        <w:gridCol w:w="2041"/>
        <w:gridCol w:w="1701"/>
        <w:gridCol w:w="1701"/>
        <w:gridCol w:w="1701"/>
      </w:tblGrid>
      <w:tr w:rsidR="007A443D" w:rsidRPr="00660890" w14:paraId="331DEE2A" w14:textId="77777777" w:rsidTr="0048020A">
        <w:tc>
          <w:tcPr>
            <w:tcW w:w="2041" w:type="dxa"/>
            <w:tcBorders>
              <w:top w:val="single" w:sz="2" w:space="0" w:color="000000"/>
              <w:bottom w:val="single" w:sz="2" w:space="0" w:color="000000"/>
            </w:tcBorders>
            <w:shd w:val="clear" w:color="auto" w:fill="E6E6E6"/>
          </w:tcPr>
          <w:p w14:paraId="0B11F4F8" w14:textId="77777777" w:rsidR="007A443D" w:rsidRPr="007A443D" w:rsidRDefault="007A443D" w:rsidP="00AD1BAB">
            <w:pPr>
              <w:pStyle w:val="TableColumnHeadingLeft"/>
            </w:pPr>
            <w:r w:rsidRPr="007A443D">
              <w:t>Year</w:t>
            </w:r>
          </w:p>
        </w:tc>
        <w:tc>
          <w:tcPr>
            <w:tcW w:w="1701" w:type="dxa"/>
            <w:tcBorders>
              <w:top w:val="single" w:sz="2" w:space="0" w:color="000000"/>
              <w:bottom w:val="single" w:sz="2" w:space="0" w:color="000000"/>
            </w:tcBorders>
            <w:shd w:val="clear" w:color="auto" w:fill="E6E6E6"/>
          </w:tcPr>
          <w:p w14:paraId="4AEF79B4" w14:textId="77777777" w:rsidR="007A443D" w:rsidRPr="007A443D" w:rsidRDefault="007A443D" w:rsidP="00AD1BAB">
            <w:pPr>
              <w:pStyle w:val="TableColumnHeadingRight"/>
            </w:pPr>
            <w:r w:rsidRPr="007A443D">
              <w:t>Invalidity A</w:t>
            </w:r>
          </w:p>
        </w:tc>
        <w:tc>
          <w:tcPr>
            <w:tcW w:w="1701" w:type="dxa"/>
            <w:tcBorders>
              <w:top w:val="single" w:sz="2" w:space="0" w:color="000000"/>
              <w:bottom w:val="single" w:sz="2" w:space="0" w:color="000000"/>
            </w:tcBorders>
            <w:shd w:val="clear" w:color="auto" w:fill="E6E6E6"/>
          </w:tcPr>
          <w:p w14:paraId="601CBD4A" w14:textId="77777777" w:rsidR="007A443D" w:rsidRPr="007A443D" w:rsidRDefault="007A443D" w:rsidP="00AD1BAB">
            <w:pPr>
              <w:pStyle w:val="TableColumnHeadingRight"/>
            </w:pPr>
            <w:r w:rsidRPr="007A443D">
              <w:t>Invalidity B</w:t>
            </w:r>
          </w:p>
        </w:tc>
        <w:tc>
          <w:tcPr>
            <w:tcW w:w="1701" w:type="dxa"/>
            <w:tcBorders>
              <w:top w:val="single" w:sz="2" w:space="0" w:color="000000"/>
              <w:bottom w:val="single" w:sz="2" w:space="0" w:color="000000"/>
            </w:tcBorders>
            <w:shd w:val="clear" w:color="auto" w:fill="E6E6E6"/>
          </w:tcPr>
          <w:p w14:paraId="4996A3FD" w14:textId="77777777" w:rsidR="007A443D" w:rsidRPr="007A443D" w:rsidRDefault="007A443D" w:rsidP="00AD1BAB">
            <w:pPr>
              <w:pStyle w:val="TableColumnHeadingRight"/>
            </w:pPr>
            <w:r w:rsidRPr="007A443D">
              <w:t>Total</w:t>
            </w:r>
          </w:p>
        </w:tc>
      </w:tr>
      <w:tr w:rsidR="007A443D" w:rsidRPr="00B370A9" w14:paraId="5FA63079" w14:textId="77777777" w:rsidTr="0048020A">
        <w:tc>
          <w:tcPr>
            <w:tcW w:w="2041" w:type="dxa"/>
            <w:tcBorders>
              <w:top w:val="single" w:sz="2" w:space="0" w:color="000000"/>
            </w:tcBorders>
          </w:tcPr>
          <w:p w14:paraId="1E467F27" w14:textId="77777777" w:rsidR="007A443D" w:rsidRPr="00AD1BAB" w:rsidRDefault="007A443D" w:rsidP="00AD1BAB">
            <w:pPr>
              <w:pStyle w:val="TableTextLeft"/>
            </w:pPr>
            <w:r w:rsidRPr="00AD1BAB">
              <w:t>2009-10</w:t>
            </w:r>
          </w:p>
        </w:tc>
        <w:tc>
          <w:tcPr>
            <w:tcW w:w="1701" w:type="dxa"/>
            <w:tcBorders>
              <w:top w:val="single" w:sz="2" w:space="0" w:color="000000"/>
            </w:tcBorders>
            <w:vAlign w:val="bottom"/>
          </w:tcPr>
          <w:p w14:paraId="1188AFFF" w14:textId="77777777" w:rsidR="007A443D" w:rsidRPr="007A443D" w:rsidRDefault="007A443D" w:rsidP="00AD1BAB">
            <w:pPr>
              <w:pStyle w:val="TableTextRight"/>
            </w:pPr>
            <w:r w:rsidRPr="007A443D">
              <w:t>147</w:t>
            </w:r>
          </w:p>
        </w:tc>
        <w:tc>
          <w:tcPr>
            <w:tcW w:w="1701" w:type="dxa"/>
            <w:tcBorders>
              <w:top w:val="single" w:sz="2" w:space="0" w:color="000000"/>
            </w:tcBorders>
            <w:vAlign w:val="bottom"/>
          </w:tcPr>
          <w:p w14:paraId="43D47F49" w14:textId="77777777" w:rsidR="007A443D" w:rsidRPr="007A443D" w:rsidRDefault="007A443D" w:rsidP="00AD1BAB">
            <w:pPr>
              <w:pStyle w:val="TableTextRight"/>
            </w:pPr>
            <w:r w:rsidRPr="007A443D">
              <w:t>152</w:t>
            </w:r>
          </w:p>
        </w:tc>
        <w:tc>
          <w:tcPr>
            <w:tcW w:w="1701" w:type="dxa"/>
            <w:tcBorders>
              <w:top w:val="single" w:sz="2" w:space="0" w:color="000000"/>
            </w:tcBorders>
            <w:vAlign w:val="bottom"/>
          </w:tcPr>
          <w:p w14:paraId="4A23EF75" w14:textId="77777777" w:rsidR="007A443D" w:rsidRPr="007A443D" w:rsidRDefault="007A443D" w:rsidP="00AD1BAB">
            <w:pPr>
              <w:pStyle w:val="TableTextRight"/>
            </w:pPr>
            <w:r w:rsidRPr="007A443D">
              <w:t>299</w:t>
            </w:r>
          </w:p>
        </w:tc>
      </w:tr>
      <w:tr w:rsidR="007A443D" w:rsidRPr="00B370A9" w14:paraId="3140FA8E" w14:textId="77777777" w:rsidTr="0048020A">
        <w:tc>
          <w:tcPr>
            <w:tcW w:w="2041" w:type="dxa"/>
            <w:shd w:val="clear" w:color="auto" w:fill="F2F2F2" w:themeFill="background1" w:themeFillShade="F2"/>
          </w:tcPr>
          <w:p w14:paraId="059E6B0D" w14:textId="77777777" w:rsidR="007A443D" w:rsidRPr="00AD1BAB" w:rsidRDefault="007A443D" w:rsidP="00AD1BAB">
            <w:pPr>
              <w:pStyle w:val="TableTextLeft"/>
            </w:pPr>
            <w:r w:rsidRPr="00AD1BAB">
              <w:t>2010-11</w:t>
            </w:r>
          </w:p>
        </w:tc>
        <w:tc>
          <w:tcPr>
            <w:tcW w:w="1701" w:type="dxa"/>
            <w:shd w:val="clear" w:color="auto" w:fill="F2F2F2" w:themeFill="background1" w:themeFillShade="F2"/>
            <w:vAlign w:val="bottom"/>
          </w:tcPr>
          <w:p w14:paraId="297D8414" w14:textId="77777777" w:rsidR="007A443D" w:rsidRPr="007A443D" w:rsidRDefault="007A443D" w:rsidP="00AD1BAB">
            <w:pPr>
              <w:pStyle w:val="TableTextRight"/>
            </w:pPr>
            <w:r w:rsidRPr="007A443D">
              <w:t>182</w:t>
            </w:r>
          </w:p>
        </w:tc>
        <w:tc>
          <w:tcPr>
            <w:tcW w:w="1701" w:type="dxa"/>
            <w:shd w:val="clear" w:color="auto" w:fill="F2F2F2" w:themeFill="background1" w:themeFillShade="F2"/>
            <w:vAlign w:val="bottom"/>
          </w:tcPr>
          <w:p w14:paraId="4F40A923" w14:textId="77777777" w:rsidR="007A443D" w:rsidRPr="007A443D" w:rsidRDefault="007A443D" w:rsidP="00AD1BAB">
            <w:pPr>
              <w:pStyle w:val="TableTextRight"/>
            </w:pPr>
            <w:r w:rsidRPr="007A443D">
              <w:t>142</w:t>
            </w:r>
          </w:p>
        </w:tc>
        <w:tc>
          <w:tcPr>
            <w:tcW w:w="1701" w:type="dxa"/>
            <w:shd w:val="clear" w:color="auto" w:fill="F2F2F2" w:themeFill="background1" w:themeFillShade="F2"/>
            <w:vAlign w:val="bottom"/>
          </w:tcPr>
          <w:p w14:paraId="7EA5948E" w14:textId="77777777" w:rsidR="007A443D" w:rsidRPr="007A443D" w:rsidRDefault="007A443D" w:rsidP="00AD1BAB">
            <w:pPr>
              <w:pStyle w:val="TableTextRight"/>
            </w:pPr>
            <w:r w:rsidRPr="007A443D">
              <w:t>324</w:t>
            </w:r>
          </w:p>
        </w:tc>
      </w:tr>
      <w:tr w:rsidR="007A443D" w:rsidRPr="00B370A9" w14:paraId="0348F1E7" w14:textId="77777777" w:rsidTr="0048020A">
        <w:tc>
          <w:tcPr>
            <w:tcW w:w="2041" w:type="dxa"/>
          </w:tcPr>
          <w:p w14:paraId="24D8F3E0" w14:textId="77777777" w:rsidR="007A443D" w:rsidRPr="00AD1BAB" w:rsidRDefault="007A443D" w:rsidP="00AD1BAB">
            <w:pPr>
              <w:pStyle w:val="TableTextLeft"/>
            </w:pPr>
            <w:r w:rsidRPr="00AD1BAB">
              <w:t>2011-12</w:t>
            </w:r>
          </w:p>
        </w:tc>
        <w:tc>
          <w:tcPr>
            <w:tcW w:w="1701" w:type="dxa"/>
            <w:vAlign w:val="bottom"/>
          </w:tcPr>
          <w:p w14:paraId="3210AD7F" w14:textId="77777777" w:rsidR="007A443D" w:rsidRPr="007A443D" w:rsidRDefault="007A443D" w:rsidP="00AD1BAB">
            <w:pPr>
              <w:pStyle w:val="TableTextRight"/>
            </w:pPr>
            <w:r w:rsidRPr="007A443D">
              <w:t>289</w:t>
            </w:r>
          </w:p>
        </w:tc>
        <w:tc>
          <w:tcPr>
            <w:tcW w:w="1701" w:type="dxa"/>
            <w:vAlign w:val="bottom"/>
          </w:tcPr>
          <w:p w14:paraId="44DCA1CD" w14:textId="77777777" w:rsidR="007A443D" w:rsidRPr="007A443D" w:rsidRDefault="007A443D" w:rsidP="00AD1BAB">
            <w:pPr>
              <w:pStyle w:val="TableTextRight"/>
            </w:pPr>
            <w:r w:rsidRPr="007A443D">
              <w:t>236</w:t>
            </w:r>
          </w:p>
        </w:tc>
        <w:tc>
          <w:tcPr>
            <w:tcW w:w="1701" w:type="dxa"/>
            <w:vAlign w:val="bottom"/>
          </w:tcPr>
          <w:p w14:paraId="5F3805F2" w14:textId="77777777" w:rsidR="007A443D" w:rsidRPr="007A443D" w:rsidRDefault="007A443D" w:rsidP="00AD1BAB">
            <w:pPr>
              <w:pStyle w:val="TableTextRight"/>
            </w:pPr>
            <w:r w:rsidRPr="007A443D">
              <w:t>525</w:t>
            </w:r>
          </w:p>
        </w:tc>
      </w:tr>
      <w:tr w:rsidR="007A443D" w:rsidRPr="00B370A9" w14:paraId="5E9CB02F" w14:textId="77777777" w:rsidTr="0048020A">
        <w:tc>
          <w:tcPr>
            <w:tcW w:w="2041" w:type="dxa"/>
            <w:shd w:val="clear" w:color="auto" w:fill="F2F2F2" w:themeFill="background1" w:themeFillShade="F2"/>
          </w:tcPr>
          <w:p w14:paraId="2074EE5B" w14:textId="77777777" w:rsidR="007A443D" w:rsidRPr="00AD1BAB" w:rsidRDefault="007A443D" w:rsidP="00AD1BAB">
            <w:pPr>
              <w:pStyle w:val="TableTextLeft"/>
            </w:pPr>
            <w:r w:rsidRPr="00AD1BAB">
              <w:t>2012-13</w:t>
            </w:r>
          </w:p>
        </w:tc>
        <w:tc>
          <w:tcPr>
            <w:tcW w:w="1701" w:type="dxa"/>
            <w:shd w:val="clear" w:color="auto" w:fill="F2F2F2" w:themeFill="background1" w:themeFillShade="F2"/>
          </w:tcPr>
          <w:p w14:paraId="40E8DED2" w14:textId="77777777" w:rsidR="007A443D" w:rsidRPr="007A443D" w:rsidRDefault="007A443D" w:rsidP="00AD1BAB">
            <w:pPr>
              <w:pStyle w:val="TableTextRight"/>
            </w:pPr>
            <w:r w:rsidRPr="007A443D">
              <w:t>364</w:t>
            </w:r>
          </w:p>
        </w:tc>
        <w:tc>
          <w:tcPr>
            <w:tcW w:w="1701" w:type="dxa"/>
            <w:shd w:val="clear" w:color="auto" w:fill="F2F2F2" w:themeFill="background1" w:themeFillShade="F2"/>
          </w:tcPr>
          <w:p w14:paraId="40B8ECE4" w14:textId="77777777" w:rsidR="007A443D" w:rsidRPr="007A443D" w:rsidRDefault="007A443D" w:rsidP="00AD1BAB">
            <w:pPr>
              <w:pStyle w:val="TableTextRight"/>
            </w:pPr>
            <w:r w:rsidRPr="007A443D">
              <w:t>224</w:t>
            </w:r>
          </w:p>
        </w:tc>
        <w:tc>
          <w:tcPr>
            <w:tcW w:w="1701" w:type="dxa"/>
            <w:shd w:val="clear" w:color="auto" w:fill="F2F2F2" w:themeFill="background1" w:themeFillShade="F2"/>
          </w:tcPr>
          <w:p w14:paraId="1164AF10" w14:textId="77777777" w:rsidR="007A443D" w:rsidRPr="007A443D" w:rsidRDefault="007A443D" w:rsidP="00AD1BAB">
            <w:pPr>
              <w:pStyle w:val="TableTextRight"/>
            </w:pPr>
            <w:r w:rsidRPr="007A443D">
              <w:t>588</w:t>
            </w:r>
          </w:p>
        </w:tc>
      </w:tr>
      <w:tr w:rsidR="007A443D" w:rsidRPr="00B370A9" w14:paraId="1BFF64A6" w14:textId="77777777" w:rsidTr="0048020A">
        <w:tc>
          <w:tcPr>
            <w:tcW w:w="2041" w:type="dxa"/>
          </w:tcPr>
          <w:p w14:paraId="3C1FDDD5" w14:textId="77777777" w:rsidR="007A443D" w:rsidRPr="00AD1BAB" w:rsidRDefault="007A443D" w:rsidP="00AD1BAB">
            <w:pPr>
              <w:pStyle w:val="TableTextLeft"/>
            </w:pPr>
            <w:r w:rsidRPr="00AD1BAB">
              <w:t>2013-14</w:t>
            </w:r>
          </w:p>
        </w:tc>
        <w:tc>
          <w:tcPr>
            <w:tcW w:w="1701" w:type="dxa"/>
          </w:tcPr>
          <w:p w14:paraId="2D8DF74B" w14:textId="77777777" w:rsidR="007A443D" w:rsidRPr="007A443D" w:rsidRDefault="007A443D" w:rsidP="00AD1BAB">
            <w:pPr>
              <w:pStyle w:val="TableTextRight"/>
            </w:pPr>
            <w:r w:rsidRPr="007A443D">
              <w:t>325</w:t>
            </w:r>
          </w:p>
        </w:tc>
        <w:tc>
          <w:tcPr>
            <w:tcW w:w="1701" w:type="dxa"/>
          </w:tcPr>
          <w:p w14:paraId="3A54B397" w14:textId="77777777" w:rsidR="007A443D" w:rsidRPr="007A443D" w:rsidRDefault="007A443D" w:rsidP="00AD1BAB">
            <w:pPr>
              <w:pStyle w:val="TableTextRight"/>
            </w:pPr>
            <w:r w:rsidRPr="007A443D">
              <w:t>390</w:t>
            </w:r>
          </w:p>
        </w:tc>
        <w:tc>
          <w:tcPr>
            <w:tcW w:w="1701" w:type="dxa"/>
          </w:tcPr>
          <w:p w14:paraId="5E7A7C4C" w14:textId="77777777" w:rsidR="007A443D" w:rsidRPr="007A443D" w:rsidRDefault="007A443D" w:rsidP="00AD1BAB">
            <w:pPr>
              <w:pStyle w:val="TableTextRight"/>
            </w:pPr>
            <w:r w:rsidRPr="007A443D">
              <w:t>715</w:t>
            </w:r>
          </w:p>
        </w:tc>
      </w:tr>
    </w:tbl>
    <w:p w14:paraId="1891D525" w14:textId="77777777" w:rsidR="00AD1BAB" w:rsidRPr="00094377" w:rsidRDefault="00AD1BAB" w:rsidP="00AD1BAB">
      <w:pPr>
        <w:pStyle w:val="SingleParagraph"/>
        <w:rPr>
          <w:sz w:val="18"/>
        </w:rPr>
      </w:pPr>
    </w:p>
    <w:p w14:paraId="3424457B" w14:textId="2DAAAEE7" w:rsidR="004320A3" w:rsidRPr="00AD1BAB" w:rsidRDefault="00364418" w:rsidP="00AD1BAB">
      <w:pPr>
        <w:pStyle w:val="BodyText"/>
      </w:pPr>
      <w:r w:rsidRPr="00AD1BAB">
        <w:t>Anecdotal evidence suggests that t</w:t>
      </w:r>
      <w:r w:rsidR="00DC325A" w:rsidRPr="00AD1BAB">
        <w:t>his experience is likely to be correlated with the</w:t>
      </w:r>
      <w:r w:rsidRPr="00AD1BAB">
        <w:t xml:space="preserve"> ending of overseas deployments. If this is so, then it might be that</w:t>
      </w:r>
      <w:r w:rsidR="00DC325A" w:rsidRPr="00AD1BAB">
        <w:t xml:space="preserve"> the </w:t>
      </w:r>
      <w:r w:rsidR="003115A7" w:rsidRPr="00AD1BAB">
        <w:t xml:space="preserve">annual </w:t>
      </w:r>
      <w:r w:rsidR="00DC325A" w:rsidRPr="00AD1BAB">
        <w:t xml:space="preserve">numbers of new invalidity pensions </w:t>
      </w:r>
      <w:r w:rsidR="003115A7" w:rsidRPr="00AD1BAB">
        <w:t xml:space="preserve">commencing </w:t>
      </w:r>
      <w:r w:rsidR="001710E3" w:rsidRPr="00AD1BAB">
        <w:t xml:space="preserve">in the next few years </w:t>
      </w:r>
      <w:r w:rsidR="00DC325A" w:rsidRPr="00AD1BAB">
        <w:t xml:space="preserve">may well reduce </w:t>
      </w:r>
      <w:r w:rsidR="004320A3" w:rsidRPr="00AD1BAB">
        <w:t>to something closer to</w:t>
      </w:r>
      <w:r w:rsidR="001710E3" w:rsidRPr="00AD1BAB">
        <w:t xml:space="preserve"> </w:t>
      </w:r>
      <w:r w:rsidR="004320A3" w:rsidRPr="00AD1BAB">
        <w:t>historic</w:t>
      </w:r>
      <w:r w:rsidR="001710E3" w:rsidRPr="00AD1BAB">
        <w:t>al</w:t>
      </w:r>
      <w:r w:rsidR="004320A3" w:rsidRPr="00AD1BAB">
        <w:t xml:space="preserve"> levels</w:t>
      </w:r>
      <w:r w:rsidR="00DC325A" w:rsidRPr="00AD1BAB">
        <w:t xml:space="preserve">. </w:t>
      </w:r>
      <w:r w:rsidR="004320A3" w:rsidRPr="00AD1BAB">
        <w:t xml:space="preserve">However, preliminary </w:t>
      </w:r>
      <w:r w:rsidR="003115A7" w:rsidRPr="00AD1BAB">
        <w:t xml:space="preserve">invalidity </w:t>
      </w:r>
      <w:r w:rsidR="004320A3" w:rsidRPr="00AD1BAB">
        <w:t xml:space="preserve">exit data for the current year to date indicates that it is likely </w:t>
      </w:r>
      <w:r w:rsidR="003115A7" w:rsidRPr="00AD1BAB">
        <w:t>that 2014-15 will see another increase in the number of new invalidity pensions commencing.</w:t>
      </w:r>
    </w:p>
    <w:p w14:paraId="6462C3E7" w14:textId="44DEC439" w:rsidR="00D12B75" w:rsidRDefault="00DC325A" w:rsidP="008D506E">
      <w:pPr>
        <w:pStyle w:val="BodyText"/>
      </w:pPr>
      <w:r w:rsidRPr="00AD1BAB">
        <w:t xml:space="preserve">For the MSBS, </w:t>
      </w:r>
      <w:r w:rsidR="00E367BB" w:rsidRPr="00AD1BAB">
        <w:t>the number</w:t>
      </w:r>
      <w:r w:rsidR="004320A3" w:rsidRPr="00AD1BAB">
        <w:t xml:space="preserve"> of </w:t>
      </w:r>
      <w:r w:rsidRPr="00AD1BAB">
        <w:t xml:space="preserve">actual </w:t>
      </w:r>
      <w:r w:rsidR="004320A3" w:rsidRPr="00AD1BAB">
        <w:t xml:space="preserve">new </w:t>
      </w:r>
      <w:r w:rsidR="003115A7" w:rsidRPr="00AD1BAB">
        <w:t xml:space="preserve">invalidity </w:t>
      </w:r>
      <w:proofErr w:type="gramStart"/>
      <w:r w:rsidR="003115A7" w:rsidRPr="00AD1BAB">
        <w:t>A</w:t>
      </w:r>
      <w:proofErr w:type="gramEnd"/>
      <w:r w:rsidRPr="00AD1BAB">
        <w:t xml:space="preserve"> </w:t>
      </w:r>
      <w:r w:rsidR="004320A3" w:rsidRPr="00AD1BAB">
        <w:t xml:space="preserve">pensions commencing </w:t>
      </w:r>
      <w:r w:rsidR="00E367BB" w:rsidRPr="00AD1BAB">
        <w:t>in the three years to 2012-13 was</w:t>
      </w:r>
      <w:r w:rsidRPr="00AD1BAB">
        <w:t xml:space="preserve"> almost double the number expected. As a result, we have increased the invalidity </w:t>
      </w:r>
      <w:proofErr w:type="gramStart"/>
      <w:r w:rsidRPr="00AD1BAB">
        <w:t>A</w:t>
      </w:r>
      <w:proofErr w:type="gramEnd"/>
      <w:r w:rsidRPr="00AD1BAB">
        <w:t xml:space="preserve"> </w:t>
      </w:r>
      <w:r w:rsidR="00C14494" w:rsidRPr="00AD1BAB">
        <w:t xml:space="preserve">exit </w:t>
      </w:r>
      <w:r w:rsidRPr="00AD1BAB">
        <w:t>rates for all MSBS contributors to a level that is approximately half way between the previou</w:t>
      </w:r>
      <w:r w:rsidR="00374393" w:rsidRPr="00AD1BAB">
        <w:t xml:space="preserve">s rates and the observed </w:t>
      </w:r>
      <w:r w:rsidR="004320A3" w:rsidRPr="00AD1BAB">
        <w:t xml:space="preserve">rates. </w:t>
      </w:r>
      <w:r w:rsidR="00E6609B" w:rsidRPr="00AD1BAB">
        <w:t>These new rates aim to provide a bala</w:t>
      </w:r>
      <w:r w:rsidR="004320A3" w:rsidRPr="00AD1BAB">
        <w:t>nce betwe</w:t>
      </w:r>
      <w:r w:rsidR="00EB28DD" w:rsidRPr="00AD1BAB">
        <w:t>en reflecting the previous long-</w:t>
      </w:r>
      <w:r w:rsidR="00E6609B" w:rsidRPr="00AD1BAB">
        <w:t>term expectations of invalidity</w:t>
      </w:r>
      <w:r w:rsidR="004320A3" w:rsidRPr="00AD1BAB">
        <w:t xml:space="preserve"> </w:t>
      </w:r>
      <w:proofErr w:type="gramStart"/>
      <w:r w:rsidR="004320A3" w:rsidRPr="00AD1BAB">
        <w:t>A</w:t>
      </w:r>
      <w:proofErr w:type="gramEnd"/>
      <w:r w:rsidR="004320A3" w:rsidRPr="00AD1BAB">
        <w:t xml:space="preserve"> exit</w:t>
      </w:r>
      <w:r w:rsidR="00E6609B" w:rsidRPr="00AD1BAB">
        <w:t xml:space="preserve"> experience and </w:t>
      </w:r>
      <w:r w:rsidR="008D506E">
        <w:t>the observed recent experience.</w:t>
      </w:r>
    </w:p>
    <w:p w14:paraId="483DED88" w14:textId="4BF8362C" w:rsidR="00374393" w:rsidRPr="00AD1BAB" w:rsidRDefault="00374393" w:rsidP="008D506E">
      <w:pPr>
        <w:pStyle w:val="BodyText"/>
      </w:pPr>
      <w:r w:rsidRPr="00AD1BAB">
        <w:t xml:space="preserve">Invalidity B </w:t>
      </w:r>
      <w:r w:rsidR="00C14494" w:rsidRPr="00AD1BAB">
        <w:t xml:space="preserve">exit </w:t>
      </w:r>
      <w:r w:rsidRPr="00AD1BAB">
        <w:t xml:space="preserve">rates appear to have stabilised for </w:t>
      </w:r>
      <w:r w:rsidR="008143D1" w:rsidRPr="00AD1BAB">
        <w:t xml:space="preserve">MSBS </w:t>
      </w:r>
      <w:r w:rsidRPr="00AD1BAB">
        <w:t xml:space="preserve">officers and cadets, but have increased over the last three years for other ranks. Despite this increase in invalidity B </w:t>
      </w:r>
      <w:r w:rsidR="00C14494" w:rsidRPr="00AD1BAB">
        <w:t xml:space="preserve">exit </w:t>
      </w:r>
      <w:r w:rsidRPr="00AD1BAB">
        <w:t xml:space="preserve">rates, the observed rates are still </w:t>
      </w:r>
      <w:r w:rsidR="004320A3" w:rsidRPr="00AD1BAB">
        <w:t xml:space="preserve">somewhat </w:t>
      </w:r>
      <w:r w:rsidRPr="00AD1BAB">
        <w:t xml:space="preserve">below our </w:t>
      </w:r>
      <w:r w:rsidR="008143D1" w:rsidRPr="00AD1BAB">
        <w:t xml:space="preserve">2011 </w:t>
      </w:r>
      <w:r w:rsidRPr="00AD1BAB">
        <w:t xml:space="preserve">invalidity B </w:t>
      </w:r>
      <w:r w:rsidR="00C14494" w:rsidRPr="00AD1BAB">
        <w:t xml:space="preserve">exit </w:t>
      </w:r>
      <w:r w:rsidRPr="00AD1BAB">
        <w:t xml:space="preserve">rate assumptions and these </w:t>
      </w:r>
      <w:r w:rsidR="008143D1" w:rsidRPr="00AD1BAB">
        <w:t>r</w:t>
      </w:r>
      <w:r w:rsidRPr="00AD1BAB">
        <w:t>ates have been left unchanged.</w:t>
      </w:r>
      <w:r w:rsidR="00212C90">
        <w:t xml:space="preserve"> </w:t>
      </w:r>
    </w:p>
    <w:p w14:paraId="0ACE4783" w14:textId="6B7B05A9" w:rsidR="00807714" w:rsidRPr="005C7A28" w:rsidRDefault="001A6BFE" w:rsidP="00D41E1E">
      <w:pPr>
        <w:pStyle w:val="BodyText"/>
      </w:pPr>
      <w:r>
        <w:lastRenderedPageBreak/>
        <w:t>Using the as</w:t>
      </w:r>
      <w:r w:rsidR="00EB28DD">
        <w:t>sumptions adopted for this long-</w:t>
      </w:r>
      <w:r>
        <w:t>term cost report would effectively result</w:t>
      </w:r>
      <w:r w:rsidRPr="005C7A28">
        <w:t xml:space="preserve"> </w:t>
      </w:r>
      <w:r>
        <w:t xml:space="preserve">in assuming the level of new </w:t>
      </w:r>
      <w:r w:rsidR="00C14494">
        <w:t xml:space="preserve">MSBS </w:t>
      </w:r>
      <w:r>
        <w:t>invalidity pensions</w:t>
      </w:r>
      <w:r w:rsidR="00DA3865">
        <w:t xml:space="preserve"> commencing would be a</w:t>
      </w:r>
      <w:r w:rsidR="00C14494">
        <w:t>bout 45</w:t>
      </w:r>
      <w:r w:rsidR="00DA3865">
        <w:t>0</w:t>
      </w:r>
      <w:r w:rsidR="00DF4AD2">
        <w:t> </w:t>
      </w:r>
      <w:r>
        <w:t>per year.</w:t>
      </w:r>
      <w:r w:rsidRPr="005C7A28">
        <w:t xml:space="preserve"> </w:t>
      </w:r>
      <w:r w:rsidR="00807714" w:rsidRPr="005C7A28">
        <w:t xml:space="preserve">There continues to be considerable uncertainty around </w:t>
      </w:r>
      <w:r w:rsidR="00AD2EF7">
        <w:t xml:space="preserve">the future trajectory for </w:t>
      </w:r>
      <w:r w:rsidR="00807714" w:rsidRPr="005C7A28">
        <w:t>invalidity</w:t>
      </w:r>
      <w:r w:rsidR="00AD2EF7">
        <w:t xml:space="preserve"> exit</w:t>
      </w:r>
      <w:r w:rsidR="00807714" w:rsidRPr="005C7A28">
        <w:t xml:space="preserve"> rates in the MSBS. </w:t>
      </w:r>
      <w:r w:rsidR="00AD2EF7">
        <w:t xml:space="preserve">Given this </w:t>
      </w:r>
      <w:r w:rsidR="00B83056">
        <w:t>uncertainty, I</w:t>
      </w:r>
      <w:r w:rsidR="008846F3">
        <w:t> </w:t>
      </w:r>
      <w:r w:rsidR="00B83056">
        <w:t>have included</w:t>
      </w:r>
      <w:r w:rsidR="00AD2EF7">
        <w:t xml:space="preserve"> </w:t>
      </w:r>
      <w:r w:rsidR="00E6609B" w:rsidRPr="005C7A28">
        <w:t xml:space="preserve">a scenario </w:t>
      </w:r>
      <w:r w:rsidR="00B83056">
        <w:t>in</w:t>
      </w:r>
      <w:r w:rsidR="00AD2EF7">
        <w:t xml:space="preserve"> </w:t>
      </w:r>
      <w:r w:rsidR="00AD2EF7" w:rsidRPr="005C7A28">
        <w:t>the sensitivity analysis</w:t>
      </w:r>
      <w:r w:rsidR="00AD2EF7">
        <w:t xml:space="preserve"> in Appendix D</w:t>
      </w:r>
      <w:r w:rsidR="00AD2EF7" w:rsidRPr="005C7A28">
        <w:t xml:space="preserve"> </w:t>
      </w:r>
      <w:r w:rsidR="00B83056">
        <w:t xml:space="preserve">which allows for </w:t>
      </w:r>
      <w:r w:rsidR="00807714" w:rsidRPr="005C7A28">
        <w:t xml:space="preserve">invalidity </w:t>
      </w:r>
      <w:r w:rsidR="00AD2EF7">
        <w:t>exit</w:t>
      </w:r>
      <w:r w:rsidR="00B83056">
        <w:t>s to continue</w:t>
      </w:r>
      <w:r w:rsidR="00AD2EF7">
        <w:t xml:space="preserve"> </w:t>
      </w:r>
      <w:r w:rsidR="008143D1" w:rsidRPr="005C7A28">
        <w:t xml:space="preserve">into </w:t>
      </w:r>
      <w:r w:rsidR="00807714" w:rsidRPr="005C7A28">
        <w:t>the</w:t>
      </w:r>
      <w:r w:rsidR="008143D1" w:rsidRPr="005C7A28">
        <w:t xml:space="preserve"> </w:t>
      </w:r>
      <w:r w:rsidR="00807714" w:rsidRPr="005C7A28">
        <w:t>fu</w:t>
      </w:r>
      <w:r w:rsidR="00AD2EF7">
        <w:t>t</w:t>
      </w:r>
      <w:r w:rsidR="00807714" w:rsidRPr="005C7A28">
        <w:t>ure</w:t>
      </w:r>
      <w:r w:rsidR="00B83056">
        <w:t xml:space="preserve"> at the current high rates</w:t>
      </w:r>
      <w:r w:rsidR="00807714" w:rsidRPr="005C7A28">
        <w:t xml:space="preserve">. </w:t>
      </w:r>
      <w:r w:rsidR="000D67D0">
        <w:t>This sensitivity analysis effectively assum</w:t>
      </w:r>
      <w:r w:rsidR="00DA3865">
        <w:t>e</w:t>
      </w:r>
      <w:r w:rsidR="00B83056">
        <w:t>s</w:t>
      </w:r>
      <w:r w:rsidR="00DA3865">
        <w:t xml:space="preserve"> that there would be around 600</w:t>
      </w:r>
      <w:r w:rsidR="00807714" w:rsidRPr="005C7A28">
        <w:t xml:space="preserve"> </w:t>
      </w:r>
      <w:r w:rsidR="000D67D0">
        <w:t>new invalidity pensions commencing each year.</w:t>
      </w:r>
      <w:r w:rsidR="00212C90">
        <w:t xml:space="preserve"> </w:t>
      </w:r>
    </w:p>
    <w:p w14:paraId="269A1C8C" w14:textId="77777777" w:rsidR="00052A87" w:rsidRDefault="00DA35E1" w:rsidP="005F7161">
      <w:pPr>
        <w:pStyle w:val="BodyText"/>
      </w:pPr>
      <w:r>
        <w:t>As with the 2011 R</w:t>
      </w:r>
      <w:r w:rsidR="00D90D86" w:rsidRPr="005C7A28">
        <w:t>eport, we have assumed that all future DFRDB invalidity exits will be invalidity A exits.</w:t>
      </w:r>
      <w:r w:rsidR="007B599A" w:rsidRPr="005C7A28">
        <w:t xml:space="preserve"> </w:t>
      </w:r>
      <w:r w:rsidR="00D90D86" w:rsidRPr="005C7A28">
        <w:t>T</w:t>
      </w:r>
      <w:r w:rsidR="003968FE" w:rsidRPr="005C7A28">
        <w:t xml:space="preserve">he design of the </w:t>
      </w:r>
      <w:r w:rsidR="00D90D86" w:rsidRPr="005C7A28">
        <w:t xml:space="preserve">DFRDB </w:t>
      </w:r>
      <w:r w:rsidR="003968FE" w:rsidRPr="005C7A28">
        <w:t>scheme</w:t>
      </w:r>
      <w:r w:rsidR="007B599A" w:rsidRPr="005C7A28">
        <w:t xml:space="preserve"> </w:t>
      </w:r>
      <w:r w:rsidR="00D90D86" w:rsidRPr="005C7A28">
        <w:t xml:space="preserve">means that </w:t>
      </w:r>
      <w:r w:rsidR="003968FE" w:rsidRPr="005C7A28">
        <w:t>the invalidity B benefit for members who have</w:t>
      </w:r>
      <w:r w:rsidR="003968FE">
        <w:t xml:space="preserve"> served for 23 or more years (the bulk of the remaining DFRDB contributors) is less than the retirement benefit.</w:t>
      </w:r>
      <w:r w:rsidR="00015117">
        <w:t xml:space="preserve"> </w:t>
      </w:r>
      <w:r w:rsidR="00D003CA">
        <w:t>Actual DFRDB invalidity exits</w:t>
      </w:r>
      <w:r w:rsidR="00015117">
        <w:t xml:space="preserve">, primarily invalidity </w:t>
      </w:r>
      <w:proofErr w:type="gramStart"/>
      <w:r w:rsidR="00015117">
        <w:t>A</w:t>
      </w:r>
      <w:proofErr w:type="gramEnd"/>
      <w:r w:rsidR="00015117">
        <w:t xml:space="preserve"> exits,</w:t>
      </w:r>
      <w:r w:rsidR="00D003CA">
        <w:t xml:space="preserve"> for other ranks were somewhat higher</w:t>
      </w:r>
      <w:r w:rsidR="00C33BCF">
        <w:t xml:space="preserve"> than those expected, but due to the inherent uncertainty around invalidity rates and the small numbers of exits, the rates were left unchanged. </w:t>
      </w:r>
      <w:r w:rsidR="00B14A53">
        <w:t>Actual DFRDB invalidity exits for officers were close to those expected and the rates were also left unchanged.</w:t>
      </w:r>
      <w:r w:rsidR="005F7161">
        <w:t xml:space="preserve"> </w:t>
      </w:r>
    </w:p>
    <w:p w14:paraId="0145E3EE" w14:textId="3D86931A" w:rsidR="00052A87" w:rsidRPr="00857BB6" w:rsidRDefault="00052A87" w:rsidP="001E1F78">
      <w:pPr>
        <w:pStyle w:val="BodyText"/>
      </w:pPr>
      <w:r>
        <w:t>Invalidity C benefits are similar to the benefits payable on resignation and</w:t>
      </w:r>
      <w:r w:rsidR="00B83056">
        <w:t>,</w:t>
      </w:r>
      <w:r>
        <w:t xml:space="preserve"> for the </w:t>
      </w:r>
      <w:proofErr w:type="gramStart"/>
      <w:r>
        <w:t>DFRDB,</w:t>
      </w:r>
      <w:proofErr w:type="gramEnd"/>
      <w:r>
        <w:t xml:space="preserve"> the two modes of exit have been combined in a single withdrawal rate. A</w:t>
      </w:r>
      <w:r w:rsidR="00DF4AD2">
        <w:t> </w:t>
      </w:r>
      <w:r>
        <w:t>separate invalidity C exit rate is included for the MSBS but is immaterial in a valuation context.</w:t>
      </w:r>
    </w:p>
    <w:p w14:paraId="7145D65C" w14:textId="56815A17" w:rsidR="00052A87" w:rsidRDefault="005F7161" w:rsidP="001E1F78">
      <w:pPr>
        <w:pStyle w:val="BodyText"/>
      </w:pPr>
      <w:r>
        <w:t>Historically, t</w:t>
      </w:r>
      <w:r w:rsidR="00052A87" w:rsidRPr="00857BB6">
        <w:t xml:space="preserve">he invalidity </w:t>
      </w:r>
      <w:r w:rsidR="007B599A">
        <w:t>rates</w:t>
      </w:r>
      <w:r w:rsidR="00052A87" w:rsidRPr="00857BB6">
        <w:t xml:space="preserve"> for the MSBS </w:t>
      </w:r>
      <w:r w:rsidR="007B599A">
        <w:t>have been higher</w:t>
      </w:r>
      <w:r w:rsidR="00052A87" w:rsidRPr="00857BB6">
        <w:t xml:space="preserve"> than the </w:t>
      </w:r>
      <w:r w:rsidR="007B599A">
        <w:t xml:space="preserve">comparable </w:t>
      </w:r>
      <w:r w:rsidR="00052A87" w:rsidRPr="00857BB6">
        <w:t>DFRDB</w:t>
      </w:r>
      <w:r w:rsidR="007B599A">
        <w:t xml:space="preserve"> rates and</w:t>
      </w:r>
      <w:r w:rsidR="00E764AA">
        <w:t xml:space="preserve">, apart from the invalidity </w:t>
      </w:r>
      <w:proofErr w:type="gramStart"/>
      <w:r w:rsidR="00E764AA">
        <w:t>A</w:t>
      </w:r>
      <w:proofErr w:type="gramEnd"/>
      <w:r w:rsidR="00E764AA">
        <w:t xml:space="preserve"> rates for other ranks aged 42 or less, </w:t>
      </w:r>
      <w:r w:rsidR="007B599A">
        <w:t>this remains the case for the current valuation</w:t>
      </w:r>
      <w:r w:rsidR="00E764AA">
        <w:t xml:space="preserve">. </w:t>
      </w:r>
      <w:r w:rsidR="007B599A">
        <w:t xml:space="preserve">This </w:t>
      </w:r>
      <w:r w:rsidR="005E259F">
        <w:t xml:space="preserve">feature </w:t>
      </w:r>
      <w:r w:rsidR="00052A87" w:rsidRPr="00857BB6">
        <w:t xml:space="preserve">may be partly </w:t>
      </w:r>
      <w:r w:rsidR="00052A87">
        <w:t>attributable to</w:t>
      </w:r>
      <w:r w:rsidR="00052A87" w:rsidRPr="00857BB6">
        <w:t xml:space="preserve"> differences in scheme design</w:t>
      </w:r>
      <w:r w:rsidR="00052A87">
        <w:t xml:space="preserve">. </w:t>
      </w:r>
      <w:r w:rsidR="00052A87" w:rsidRPr="00857BB6">
        <w:t xml:space="preserve">For example, </w:t>
      </w:r>
      <w:r w:rsidR="007B599A">
        <w:t xml:space="preserve">invalidity benefits in the </w:t>
      </w:r>
      <w:r w:rsidR="00052A87" w:rsidRPr="00857BB6">
        <w:t xml:space="preserve">DFRDB </w:t>
      </w:r>
      <w:r w:rsidR="007B599A">
        <w:t xml:space="preserve">must </w:t>
      </w:r>
      <w:r w:rsidR="007B599A" w:rsidRPr="00857BB6">
        <w:t>be taken wholly in pension form</w:t>
      </w:r>
      <w:r w:rsidR="007B599A">
        <w:t>, while those who take a normal retirement benefit may elect to convert</w:t>
      </w:r>
      <w:r w:rsidR="00052A87" w:rsidRPr="00857BB6">
        <w:t xml:space="preserve"> part of the benefit </w:t>
      </w:r>
      <w:r w:rsidR="007B599A">
        <w:t>to</w:t>
      </w:r>
      <w:r w:rsidR="00052A87" w:rsidRPr="00857BB6">
        <w:t xml:space="preserve"> a lump sum</w:t>
      </w:r>
      <w:r w:rsidR="00052A87">
        <w:t xml:space="preserve">. </w:t>
      </w:r>
      <w:r w:rsidR="005E259F">
        <w:t xml:space="preserve">As a result, those </w:t>
      </w:r>
      <w:r w:rsidR="00FE0B58">
        <w:t xml:space="preserve">in DFRDB </w:t>
      </w:r>
      <w:r w:rsidR="005E259F">
        <w:t>who wish to access a lump sum benefit may well consider taking a normal retirement benefit rather than the invalidity benefit.</w:t>
      </w:r>
    </w:p>
    <w:p w14:paraId="1F3D6A68" w14:textId="691AD027" w:rsidR="00AD2EF7" w:rsidRPr="005C7A28" w:rsidRDefault="00AD2EF7" w:rsidP="00AD2EF7">
      <w:pPr>
        <w:pStyle w:val="BodyText"/>
      </w:pPr>
      <w:r w:rsidRPr="005C7A28">
        <w:t xml:space="preserve">An increasing number of </w:t>
      </w:r>
      <w:r w:rsidR="00C14494">
        <w:t xml:space="preserve">MSBS </w:t>
      </w:r>
      <w:r w:rsidRPr="005C7A28">
        <w:t>invalidity classifications are retrospective in nature. For example, in 2013-14, our analysis indicates that almost one-quarter of new invalidity pensioners were class</w:t>
      </w:r>
      <w:r>
        <w:t>ified as a result of a discharge</w:t>
      </w:r>
      <w:r w:rsidRPr="005C7A28">
        <w:t xml:space="preserve"> which occurred in the previous financial year (or earlier).</w:t>
      </w:r>
      <w:r w:rsidR="0025671D" w:rsidRPr="0025671D">
        <w:t xml:space="preserve"> </w:t>
      </w:r>
      <w:r w:rsidR="0025671D">
        <w:t xml:space="preserve">Some of these are due to </w:t>
      </w:r>
      <w:r w:rsidR="001C60AC">
        <w:t xml:space="preserve">normal </w:t>
      </w:r>
      <w:r w:rsidR="0025671D">
        <w:t xml:space="preserve">delays </w:t>
      </w:r>
      <w:r w:rsidR="001C60AC">
        <w:t>from</w:t>
      </w:r>
      <w:r w:rsidR="0025671D">
        <w:t xml:space="preserve"> assess</w:t>
      </w:r>
      <w:r w:rsidR="001C60AC">
        <w:t>ment procedures but a number</w:t>
      </w:r>
      <w:r w:rsidR="0025671D">
        <w:t xml:space="preserve"> go back </w:t>
      </w:r>
      <w:r w:rsidR="00B55EFC">
        <w:t>some</w:t>
      </w:r>
      <w:r w:rsidR="0025671D">
        <w:t xml:space="preserve"> years.</w:t>
      </w:r>
    </w:p>
    <w:p w14:paraId="3A1A6A4D" w14:textId="77777777" w:rsidR="00094377" w:rsidRDefault="00094377">
      <w:pPr>
        <w:spacing w:before="0" w:after="0" w:line="240" w:lineRule="auto"/>
        <w:jc w:val="left"/>
      </w:pPr>
      <w:r>
        <w:br w:type="page"/>
      </w:r>
    </w:p>
    <w:p w14:paraId="1227D4B3" w14:textId="44B04A2D" w:rsidR="00AD2EF7" w:rsidRPr="00857BB6" w:rsidRDefault="0081524A" w:rsidP="001E1F78">
      <w:pPr>
        <w:pStyle w:val="BodyText"/>
      </w:pPr>
      <w:r>
        <w:lastRenderedPageBreak/>
        <w:t xml:space="preserve">As </w:t>
      </w:r>
      <w:r w:rsidR="00D72EB4">
        <w:t>noted earlier in the report</w:t>
      </w:r>
      <w:r>
        <w:t xml:space="preserve">, there </w:t>
      </w:r>
      <w:proofErr w:type="gramStart"/>
      <w:r w:rsidR="00B55EFC">
        <w:t>is</w:t>
      </w:r>
      <w:proofErr w:type="gramEnd"/>
      <w:r>
        <w:t xml:space="preserve"> a significant number of retrospective invalidity classifications</w:t>
      </w:r>
      <w:r w:rsidR="0025671D">
        <w:t xml:space="preserve">. </w:t>
      </w:r>
      <w:r w:rsidR="00D72EB4">
        <w:t>I</w:t>
      </w:r>
      <w:r w:rsidR="0025671D">
        <w:t>n the past, this was not material in a valuation context</w:t>
      </w:r>
      <w:r w:rsidR="00D72EB4">
        <w:t xml:space="preserve"> because of the lower incidence of commencements of new invalidity pensions</w:t>
      </w:r>
      <w:r w:rsidR="0025671D">
        <w:t>. However, with the higher levels of commencements of new invalidity pensions seen in recent years, I</w:t>
      </w:r>
      <w:r w:rsidR="00DF4AD2">
        <w:t> </w:t>
      </w:r>
      <w:r w:rsidR="0025671D">
        <w:t>have decided to incorporate an approximate adjustment to the MSBS unfunded liability of $1</w:t>
      </w:r>
      <w:r w:rsidR="00EB28DD">
        <w:t>50 million for the current long-</w:t>
      </w:r>
      <w:r w:rsidR="0025671D">
        <w:t>term cost report</w:t>
      </w:r>
      <w:r w:rsidR="00C21343">
        <w:t xml:space="preserve">. This is to cover </w:t>
      </w:r>
      <w:r w:rsidR="00D72EB4">
        <w:t xml:space="preserve">the financial strain imposed by </w:t>
      </w:r>
      <w:r w:rsidR="00C21343">
        <w:t>future retrospective invalidity pensions that will be backdated to a commencement date before</w:t>
      </w:r>
      <w:r w:rsidR="008846F3">
        <w:br/>
      </w:r>
      <w:r w:rsidR="00C21343">
        <w:t xml:space="preserve">1 July 2014. I have also approximately increased future MSBS benefit payments </w:t>
      </w:r>
      <w:r w:rsidR="00D72EB4">
        <w:t xml:space="preserve">to be </w:t>
      </w:r>
      <w:r w:rsidR="00C21343">
        <w:t>consistent with the assumed increase in the unfunded liability for MSBS.</w:t>
      </w:r>
    </w:p>
    <w:p w14:paraId="1D17A45B" w14:textId="77777777" w:rsidR="00052A87" w:rsidRPr="00857BB6" w:rsidRDefault="00052A87" w:rsidP="005E259F">
      <w:pPr>
        <w:pStyle w:val="Heading3nonumbering"/>
        <w:keepNext/>
      </w:pPr>
      <w:r w:rsidRPr="00857BB6">
        <w:t>Resignation</w:t>
      </w:r>
    </w:p>
    <w:p w14:paraId="2F08FBEB" w14:textId="77777777" w:rsidR="00052A87" w:rsidRDefault="00052A87" w:rsidP="001E1F78">
      <w:pPr>
        <w:pStyle w:val="BodyText"/>
      </w:pPr>
      <w:r w:rsidRPr="00A43E79">
        <w:t xml:space="preserve">Resignation assumptions have been made by </w:t>
      </w:r>
      <w:r w:rsidR="00D4463B">
        <w:t>s</w:t>
      </w:r>
      <w:r w:rsidR="0081524A">
        <w:t xml:space="preserve">cheme and </w:t>
      </w:r>
      <w:r w:rsidRPr="00A43E79">
        <w:t>duration of service</w:t>
      </w:r>
      <w:r>
        <w:t xml:space="preserve">. </w:t>
      </w:r>
    </w:p>
    <w:p w14:paraId="06B53D71" w14:textId="62CC4FB5" w:rsidR="00052A87" w:rsidRDefault="005E259F" w:rsidP="001E1F78">
      <w:pPr>
        <w:pStyle w:val="BodyText"/>
      </w:pPr>
      <w:r>
        <w:t>DFRDB resignation rates in the past have been strongly influenced by the scheme design</w:t>
      </w:r>
      <w:r w:rsidR="00C13352">
        <w:t>,</w:t>
      </w:r>
      <w:r>
        <w:t xml:space="preserve"> which sees a minimal benefit paid on resignation prior to completion of 20</w:t>
      </w:r>
      <w:r w:rsidR="00DF4AD2">
        <w:t> </w:t>
      </w:r>
      <w:r>
        <w:t>years’ service and a lifetime pension paid once that threshold is achieved. With the closure of the DFRDB in 1991, virtually all contributory DFRDB members now have the 20 years of service needed to qualify for a pension benefit on resignation.</w:t>
      </w:r>
    </w:p>
    <w:p w14:paraId="7202CE12" w14:textId="77777777" w:rsidR="00574A1E" w:rsidRDefault="009612FF" w:rsidP="001E1F78">
      <w:pPr>
        <w:pStyle w:val="BodyText"/>
      </w:pPr>
      <w:r>
        <w:t xml:space="preserve">Continuing the trend observed in the 2011 Report, </w:t>
      </w:r>
      <w:r w:rsidR="004B4A73">
        <w:t xml:space="preserve">resignation rates </w:t>
      </w:r>
      <w:r w:rsidR="00574A1E">
        <w:t xml:space="preserve">in both schemes </w:t>
      </w:r>
      <w:r w:rsidR="004B4A73">
        <w:t>remained at low levels</w:t>
      </w:r>
      <w:r w:rsidR="007E5FE6">
        <w:t xml:space="preserve"> over </w:t>
      </w:r>
      <w:r w:rsidR="00B55EFC">
        <w:t>the analysis period</w:t>
      </w:r>
      <w:r w:rsidR="007E5FE6">
        <w:t xml:space="preserve">. </w:t>
      </w:r>
    </w:p>
    <w:p w14:paraId="70A88751" w14:textId="77777777" w:rsidR="007E5FE6" w:rsidRDefault="00AB5BD7" w:rsidP="001E1F78">
      <w:pPr>
        <w:pStyle w:val="BodyText"/>
      </w:pPr>
      <w:r>
        <w:t>Overall, minor reduction</w:t>
      </w:r>
      <w:r w:rsidR="00574A1E">
        <w:t xml:space="preserve">s were made to the unisex </w:t>
      </w:r>
      <w:r w:rsidR="007E5FE6">
        <w:t>DFRDB resignation rates for both officers and ranks</w:t>
      </w:r>
      <w:r w:rsidR="00574A1E">
        <w:t xml:space="preserve"> to reflect </w:t>
      </w:r>
      <w:r w:rsidR="00F9375B">
        <w:t xml:space="preserve">this </w:t>
      </w:r>
      <w:r w:rsidR="00574A1E">
        <w:t>recent experience.</w:t>
      </w:r>
    </w:p>
    <w:p w14:paraId="0C5C1528" w14:textId="17E905A9" w:rsidR="00574A1E" w:rsidRDefault="00574A1E" w:rsidP="001E1F78">
      <w:pPr>
        <w:pStyle w:val="BodyText"/>
      </w:pPr>
      <w:r>
        <w:t>Slightly more significant reductions were made to MSBS r</w:t>
      </w:r>
      <w:r w:rsidR="00A43E79">
        <w:t>esignation rates</w:t>
      </w:r>
      <w:r>
        <w:t xml:space="preserve"> in </w:t>
      </w:r>
      <w:r w:rsidR="00AB5BD7">
        <w:t>light of the recent experience.</w:t>
      </w:r>
      <w:r>
        <w:t xml:space="preserve"> Exit rates for MSBS other ranks were lower than anticipated, particularly for female members. </w:t>
      </w:r>
      <w:r w:rsidR="00F9375B">
        <w:t xml:space="preserve">The differences between male and </w:t>
      </w:r>
      <w:r w:rsidR="00F9375B" w:rsidRPr="00061EF1">
        <w:t xml:space="preserve">female experience were not found to be significant enough to justify setting separate assumptions and </w:t>
      </w:r>
      <w:r w:rsidR="00F9375B">
        <w:t xml:space="preserve">exit </w:t>
      </w:r>
      <w:r w:rsidR="00F9375B" w:rsidRPr="00061EF1">
        <w:t xml:space="preserve">rates </w:t>
      </w:r>
      <w:r w:rsidR="00F9375B">
        <w:t xml:space="preserve">for MSBS other ranks </w:t>
      </w:r>
      <w:r w:rsidR="00F9375B" w:rsidRPr="00061EF1">
        <w:t>have been adopted which apply to both genders</w:t>
      </w:r>
      <w:r w:rsidR="00AB5BD7">
        <w:t xml:space="preserve">. </w:t>
      </w:r>
      <w:r w:rsidR="00F9375B">
        <w:t>Exit rates for MSBS officers were lower than expected for both ma</w:t>
      </w:r>
      <w:r w:rsidR="00AB5BD7">
        <w:t xml:space="preserve">les and females. </w:t>
      </w:r>
      <w:r w:rsidR="006D2A70">
        <w:t>The observed exit rates for males were somewhat lower than those for females, and separate male and female rates have been adopted.</w:t>
      </w:r>
      <w:r w:rsidR="00212C90">
        <w:t xml:space="preserve"> </w:t>
      </w:r>
    </w:p>
    <w:p w14:paraId="2970D631" w14:textId="77777777" w:rsidR="00094377" w:rsidRDefault="00094377">
      <w:pPr>
        <w:spacing w:before="0" w:after="0" w:line="240" w:lineRule="auto"/>
        <w:jc w:val="left"/>
      </w:pPr>
      <w:r>
        <w:br w:type="page"/>
      </w:r>
    </w:p>
    <w:p w14:paraId="43A45435" w14:textId="618AEB46" w:rsidR="00C62A71" w:rsidRDefault="00DF5BA6" w:rsidP="001E1F78">
      <w:pPr>
        <w:pStyle w:val="BodyText"/>
      </w:pPr>
      <w:r>
        <w:lastRenderedPageBreak/>
        <w:t xml:space="preserve">It is impossible to know how long the lower resignation rates will persist. There is </w:t>
      </w:r>
      <w:r w:rsidR="00C62A71">
        <w:t xml:space="preserve">anecdotal </w:t>
      </w:r>
      <w:r>
        <w:t>evidence that the availability of overseas deployments reduces exit rates and the range of retention measures implemented over recent years</w:t>
      </w:r>
      <w:r w:rsidR="00E764AA">
        <w:t>,</w:t>
      </w:r>
      <w:r>
        <w:t xml:space="preserve"> </w:t>
      </w:r>
      <w:r w:rsidR="00C62A71">
        <w:t>which have provided financial incentives to defer resignation</w:t>
      </w:r>
      <w:r w:rsidR="00E764AA">
        <w:t>,</w:t>
      </w:r>
      <w:r w:rsidR="00C62A71">
        <w:t xml:space="preserve"> </w:t>
      </w:r>
      <w:r>
        <w:t>could be expecte</w:t>
      </w:r>
      <w:r w:rsidR="0025562D">
        <w:t xml:space="preserve">d to be a contributing factor. </w:t>
      </w:r>
      <w:r w:rsidR="00C62A71">
        <w:t xml:space="preserve">Opportunities for employment outside the ADF are also likely to play a part. Changes in any one of these three elements might see a sudden shift in experience. However, with four years of low exits, </w:t>
      </w:r>
      <w:r w:rsidR="00757432">
        <w:t>I have chosen</w:t>
      </w:r>
      <w:r w:rsidR="00C62A71">
        <w:t xml:space="preserve"> to more closely follow the recent experience</w:t>
      </w:r>
      <w:r w:rsidR="008D7616">
        <w:t>.</w:t>
      </w:r>
      <w:r w:rsidR="00052A87">
        <w:t xml:space="preserve"> </w:t>
      </w:r>
    </w:p>
    <w:p w14:paraId="123F4355" w14:textId="22B88731" w:rsidR="00B65942" w:rsidRPr="00857BB6" w:rsidRDefault="00B65942" w:rsidP="00AD1BAB">
      <w:pPr>
        <w:pStyle w:val="Heading3nonumbering"/>
      </w:pPr>
      <w:r w:rsidRPr="00857BB6">
        <w:t>Ret</w:t>
      </w:r>
      <w:r>
        <w:t>ire</w:t>
      </w:r>
      <w:r w:rsidRPr="00857BB6">
        <w:t xml:space="preserve">ment </w:t>
      </w:r>
    </w:p>
    <w:p w14:paraId="2006D1B2" w14:textId="3974918B" w:rsidR="00B65942" w:rsidRDefault="0025562D" w:rsidP="00B65942">
      <w:pPr>
        <w:pStyle w:val="BodyText"/>
      </w:pPr>
      <w:r>
        <w:t xml:space="preserve">The compulsory retirement age for most ADF personnel was effectively increased from age 55 to age 60 from 1 July 2007. </w:t>
      </w:r>
      <w:r w:rsidR="00B65942">
        <w:t>Prior to the change to the compulsory retirement age</w:t>
      </w:r>
      <w:r w:rsidR="00E52F60">
        <w:t>s</w:t>
      </w:r>
      <w:r w:rsidR="00B65942">
        <w:t>, only a very small group of ADF p</w:t>
      </w:r>
      <w:r w:rsidR="00E52F60">
        <w:t>ersonnel served beyond age 55</w:t>
      </w:r>
      <w:r>
        <w:t xml:space="preserve"> and it was assumed that</w:t>
      </w:r>
      <w:r w:rsidR="00B65942">
        <w:t xml:space="preserve"> any members still serving at this age would exit on their 55</w:t>
      </w:r>
      <w:r w:rsidR="00B65942" w:rsidRPr="00B65942">
        <w:rPr>
          <w:vertAlign w:val="superscript"/>
        </w:rPr>
        <w:t>th</w:t>
      </w:r>
      <w:r w:rsidR="00112B88">
        <w:t xml:space="preserve"> birthday. This assumption was retained for the 2008</w:t>
      </w:r>
      <w:r w:rsidR="0098782E">
        <w:t> </w:t>
      </w:r>
      <w:r w:rsidR="00112B88">
        <w:t>Report.</w:t>
      </w:r>
    </w:p>
    <w:p w14:paraId="40A76DE2" w14:textId="158012F2" w:rsidR="00112B88" w:rsidRDefault="00112B88" w:rsidP="00B65942">
      <w:pPr>
        <w:pStyle w:val="BodyText"/>
      </w:pPr>
      <w:r>
        <w:t>In the 2011 Report, I noted that there was a growing group of contributors aged 55 or more and that the assumption of universal exit at age 55 was no longer tenable. At the same time, there was minimal experience on actual exit rates for this group and I</w:t>
      </w:r>
      <w:r w:rsidR="00D57F8C">
        <w:t> </w:t>
      </w:r>
      <w:r>
        <w:t>therefore adopted</w:t>
      </w:r>
      <w:r w:rsidRPr="00112B88">
        <w:t xml:space="preserve"> </w:t>
      </w:r>
      <w:r>
        <w:t xml:space="preserve">the somewhat arbitrary assumption that </w:t>
      </w:r>
      <w:r w:rsidR="00C25463">
        <w:t xml:space="preserve">the </w:t>
      </w:r>
      <w:r>
        <w:t>exits of those still in service at age 55 would be evenly spread over the subsequent five years</w:t>
      </w:r>
      <w:r w:rsidR="00C25463">
        <w:t>.</w:t>
      </w:r>
    </w:p>
    <w:p w14:paraId="722F573B" w14:textId="39754339" w:rsidR="00B65942" w:rsidRPr="00857BB6" w:rsidRDefault="0025562D" w:rsidP="00B65942">
      <w:pPr>
        <w:pStyle w:val="BodyText"/>
      </w:pPr>
      <w:r>
        <w:t xml:space="preserve">There are now 450 DFRDB and 786 MSBS contributors aged 55 or more. </w:t>
      </w:r>
      <w:r w:rsidR="00C25463">
        <w:t>T</w:t>
      </w:r>
      <w:r w:rsidR="00112B88">
        <w:t>he experience</w:t>
      </w:r>
      <w:r w:rsidR="00C25463">
        <w:t xml:space="preserve"> for this group remains relatively sparse but</w:t>
      </w:r>
      <w:r w:rsidR="00112B88">
        <w:t xml:space="preserve"> it does not appear to be grossly inconsistent with the assumption adopted </w:t>
      </w:r>
      <w:r w:rsidR="00C25463">
        <w:t>for the 2011 Report</w:t>
      </w:r>
      <w:r>
        <w:t xml:space="preserve">. </w:t>
      </w:r>
      <w:r w:rsidR="00B65942">
        <w:t xml:space="preserve">Accordingly, </w:t>
      </w:r>
      <w:r w:rsidR="00757432">
        <w:t>I</w:t>
      </w:r>
      <w:r>
        <w:t xml:space="preserve"> have </w:t>
      </w:r>
      <w:r w:rsidR="00C25463">
        <w:t>continued to assume that the</w:t>
      </w:r>
      <w:r w:rsidR="00B65942">
        <w:t xml:space="preserve"> exits of those</w:t>
      </w:r>
      <w:r w:rsidR="00C25463">
        <w:t xml:space="preserve"> still in service at age 55 would</w:t>
      </w:r>
      <w:r w:rsidR="00B65942">
        <w:t xml:space="preserve"> be evenly spread over the subsequent five years. This issue will be looked at more closely </w:t>
      </w:r>
      <w:r w:rsidR="00EB28DD">
        <w:t>in the next long-</w:t>
      </w:r>
      <w:r>
        <w:t>term cost report</w:t>
      </w:r>
      <w:r w:rsidR="00C25463">
        <w:t xml:space="preserve"> when there should be a sufficient volume of experience on which to base assumptions</w:t>
      </w:r>
      <w:r>
        <w:t>.</w:t>
      </w:r>
      <w:r w:rsidR="00212C90">
        <w:t xml:space="preserve"> </w:t>
      </w:r>
    </w:p>
    <w:p w14:paraId="1D32745D" w14:textId="42AB7572" w:rsidR="00052A87" w:rsidRPr="00857BB6" w:rsidRDefault="00052A87" w:rsidP="00FE0B58">
      <w:pPr>
        <w:pStyle w:val="Heading3nonumbering"/>
        <w:keepNext/>
      </w:pPr>
      <w:r w:rsidRPr="00857BB6">
        <w:t xml:space="preserve">Retrenchment and </w:t>
      </w:r>
      <w:r>
        <w:t>r</w:t>
      </w:r>
      <w:r w:rsidRPr="00857BB6">
        <w:t>edundancy</w:t>
      </w:r>
    </w:p>
    <w:p w14:paraId="33A6C5EA" w14:textId="77777777" w:rsidR="00052A87" w:rsidRPr="00857BB6" w:rsidRDefault="00052A87" w:rsidP="001E1F78">
      <w:pPr>
        <w:pStyle w:val="BodyText"/>
      </w:pPr>
      <w:r w:rsidRPr="00857BB6">
        <w:t>No allowance has been made for the effect of retrenchments and redundancies as the</w:t>
      </w:r>
      <w:r w:rsidR="00E764AA">
        <w:t>ir</w:t>
      </w:r>
      <w:r w:rsidRPr="00857BB6">
        <w:t xml:space="preserve"> </w:t>
      </w:r>
      <w:r>
        <w:t>occurrence</w:t>
      </w:r>
      <w:r w:rsidRPr="00857BB6">
        <w:t xml:space="preserve"> is unpredictable and impossible to model with any confidence</w:t>
      </w:r>
      <w:r>
        <w:t xml:space="preserve">. </w:t>
      </w:r>
      <w:r w:rsidRPr="00857BB6">
        <w:t>Generally</w:t>
      </w:r>
      <w:r>
        <w:t>,</w:t>
      </w:r>
      <w:r w:rsidRPr="00857BB6">
        <w:t xml:space="preserve"> the effect of retrenchments and redundancies is to advance outlays</w:t>
      </w:r>
      <w:r w:rsidR="0025562D">
        <w:t>.</w:t>
      </w:r>
      <w:r w:rsidRPr="00857BB6">
        <w:t xml:space="preserve"> </w:t>
      </w:r>
    </w:p>
    <w:p w14:paraId="4A4DA6C8" w14:textId="77777777" w:rsidR="00094377" w:rsidRDefault="00094377">
      <w:pPr>
        <w:spacing w:before="0" w:after="0" w:line="240" w:lineRule="auto"/>
        <w:jc w:val="left"/>
        <w:rPr>
          <w:rFonts w:ascii="Arial Bold" w:hAnsi="Arial Bold"/>
          <w:b/>
          <w:color w:val="9B0014"/>
          <w:sz w:val="23"/>
          <w:szCs w:val="24"/>
          <w:lang w:eastAsia="en-AU"/>
        </w:rPr>
      </w:pPr>
      <w:r>
        <w:br w:type="page"/>
      </w:r>
    </w:p>
    <w:p w14:paraId="20036958" w14:textId="62A0B507" w:rsidR="00052A87" w:rsidRPr="00857BB6" w:rsidRDefault="00052A87" w:rsidP="00052A87">
      <w:pPr>
        <w:pStyle w:val="Heading3nonumbering"/>
      </w:pPr>
      <w:r w:rsidRPr="00857BB6">
        <w:lastRenderedPageBreak/>
        <w:t xml:space="preserve">New </w:t>
      </w:r>
      <w:r>
        <w:t>e</w:t>
      </w:r>
      <w:r w:rsidRPr="00857BB6">
        <w:t>ntrants</w:t>
      </w:r>
    </w:p>
    <w:p w14:paraId="3DED0573" w14:textId="77777777" w:rsidR="00052A87" w:rsidRPr="00857BB6" w:rsidRDefault="00052A87" w:rsidP="001E1F78">
      <w:pPr>
        <w:pStyle w:val="BodyText"/>
      </w:pPr>
      <w:r w:rsidRPr="00857BB6">
        <w:t xml:space="preserve">The data </w:t>
      </w:r>
      <w:r w:rsidR="00625482">
        <w:t>on new entrants</w:t>
      </w:r>
      <w:r w:rsidR="001166B3">
        <w:t xml:space="preserve"> over the period 2010-11 to 2013-14</w:t>
      </w:r>
      <w:r w:rsidR="00625482">
        <w:t xml:space="preserve"> </w:t>
      </w:r>
      <w:r w:rsidR="00C86F0E">
        <w:t>was roughly consistent with the distribution</w:t>
      </w:r>
      <w:r w:rsidR="008B5267">
        <w:t>s adopted for the 2011 Report</w:t>
      </w:r>
      <w:r w:rsidR="00C86F0E">
        <w:t xml:space="preserve">. Minor modifications have been made to reflect the </w:t>
      </w:r>
      <w:r w:rsidR="00217E3A">
        <w:t xml:space="preserve">most </w:t>
      </w:r>
      <w:r w:rsidR="00C86F0E">
        <w:t>recent new entrant experience. Over</w:t>
      </w:r>
      <w:r w:rsidR="00625482">
        <w:t xml:space="preserve"> 50 per cent of cadets and other ranks join between the ages of 17 and </w:t>
      </w:r>
      <w:r w:rsidR="00C86F0E">
        <w:t>20</w:t>
      </w:r>
      <w:r w:rsidR="00625482">
        <w:t>.</w:t>
      </w:r>
      <w:r w:rsidR="001166B3">
        <w:t xml:space="preserve"> </w:t>
      </w:r>
      <w:r w:rsidR="00625482">
        <w:t>The peak ages at which officers join the ADF are from 23 to 2</w:t>
      </w:r>
      <w:r w:rsidR="00C86F0E">
        <w:t>6</w:t>
      </w:r>
      <w:r w:rsidR="001166B3">
        <w:t xml:space="preserve"> but these ages</w:t>
      </w:r>
      <w:r w:rsidR="00625482">
        <w:t xml:space="preserve"> only </w:t>
      </w:r>
      <w:r w:rsidR="001166B3">
        <w:t xml:space="preserve">account for </w:t>
      </w:r>
      <w:r w:rsidR="00625482">
        <w:t>around 20 per cent of the officer intake.</w:t>
      </w:r>
    </w:p>
    <w:p w14:paraId="48F6D442" w14:textId="77777777" w:rsidR="00052A87" w:rsidRDefault="00757432" w:rsidP="001E1F78">
      <w:pPr>
        <w:pStyle w:val="BodyText"/>
      </w:pPr>
      <w:r>
        <w:t>I</w:t>
      </w:r>
      <w:r w:rsidR="00052A87">
        <w:t xml:space="preserve"> have assumed that the gender balance in the new entrant population is such that the </w:t>
      </w:r>
      <w:r w:rsidR="008B5267">
        <w:t xml:space="preserve">current gender </w:t>
      </w:r>
      <w:r w:rsidR="00052A87">
        <w:t>mix of the contributory membership is maintained. This assumption does not have a material impact on reported costs, which are not particularly sensitive to the gender balance</w:t>
      </w:r>
      <w:r w:rsidR="00052A87" w:rsidRPr="00857BB6">
        <w:t>.</w:t>
      </w:r>
    </w:p>
    <w:p w14:paraId="4039CCC1" w14:textId="77777777" w:rsidR="004229BF" w:rsidRPr="00857BB6" w:rsidRDefault="003D3BC3" w:rsidP="001166B3">
      <w:pPr>
        <w:pStyle w:val="BodyText"/>
      </w:pPr>
      <w:r>
        <w:t xml:space="preserve">The various changes made to salaries </w:t>
      </w:r>
      <w:r w:rsidR="001166B3">
        <w:t xml:space="preserve">and salary structures </w:t>
      </w:r>
      <w:r>
        <w:t xml:space="preserve">over the last few years have </w:t>
      </w:r>
      <w:r w:rsidR="00D851F3">
        <w:t>increased</w:t>
      </w:r>
      <w:r>
        <w:t xml:space="preserve"> new entrant salaries</w:t>
      </w:r>
      <w:r w:rsidR="00D851F3">
        <w:t>. This is particularly so for cadets</w:t>
      </w:r>
      <w:r w:rsidR="00427D05">
        <w:t>.</w:t>
      </w:r>
      <w:r>
        <w:t xml:space="preserve"> This has been incorporated into the assumptions.</w:t>
      </w:r>
    </w:p>
    <w:p w14:paraId="0470EDB8" w14:textId="0E06D39C" w:rsidR="00052A87" w:rsidRPr="00857BB6" w:rsidRDefault="00052A87" w:rsidP="00052A87">
      <w:pPr>
        <w:pStyle w:val="Heading3nonumbering"/>
      </w:pPr>
      <w:r w:rsidRPr="00857BB6">
        <w:t xml:space="preserve">Promotional </w:t>
      </w:r>
      <w:r>
        <w:t>i</w:t>
      </w:r>
      <w:r w:rsidRPr="00857BB6">
        <w:t xml:space="preserve">ncreases in </w:t>
      </w:r>
      <w:r>
        <w:t>s</w:t>
      </w:r>
      <w:r w:rsidRPr="00857BB6">
        <w:t>alaries</w:t>
      </w:r>
    </w:p>
    <w:p w14:paraId="7B5C6B01" w14:textId="77777777" w:rsidR="001166B3" w:rsidRDefault="00052A87" w:rsidP="001E1F78">
      <w:pPr>
        <w:pStyle w:val="BodyText"/>
      </w:pPr>
      <w:r w:rsidRPr="00857BB6">
        <w:t>For other ranks</w:t>
      </w:r>
      <w:r w:rsidR="00625482">
        <w:t xml:space="preserve"> in both schemes</w:t>
      </w:r>
      <w:r w:rsidRPr="00857BB6">
        <w:t>, promotional increases appear to be related to period of service</w:t>
      </w:r>
      <w:r>
        <w:t xml:space="preserve">. </w:t>
      </w:r>
      <w:r w:rsidRPr="00857BB6">
        <w:t>For</w:t>
      </w:r>
      <w:r w:rsidR="00625482">
        <w:t xml:space="preserve"> MSBS cadets and </w:t>
      </w:r>
      <w:r w:rsidRPr="00857BB6">
        <w:t>officers, promotional increases appear to be related to both period of service and the age at joining</w:t>
      </w:r>
      <w:r>
        <w:t xml:space="preserve">. </w:t>
      </w:r>
      <w:r w:rsidR="00757432">
        <w:t>A</w:t>
      </w:r>
      <w:r w:rsidR="003D3BC3">
        <w:t xml:space="preserve"> similar approach </w:t>
      </w:r>
      <w:r w:rsidR="00757432">
        <w:t xml:space="preserve">has previously been taken </w:t>
      </w:r>
      <w:r w:rsidR="003D3BC3">
        <w:t>with DFRDB officers but the small number of remaining members and the sparseness of available experience no longer justified this degree of sophistication and a simple</w:t>
      </w:r>
      <w:r w:rsidR="00E52F60">
        <w:t xml:space="preserve"> service</w:t>
      </w:r>
      <w:r w:rsidR="003D3BC3">
        <w:t xml:space="preserve"> duration based promotional scale </w:t>
      </w:r>
      <w:r w:rsidR="00757432">
        <w:t xml:space="preserve">has been used </w:t>
      </w:r>
      <w:r w:rsidR="001166B3">
        <w:t xml:space="preserve">for this group. </w:t>
      </w:r>
    </w:p>
    <w:p w14:paraId="23820A4A" w14:textId="77777777" w:rsidR="003D3BC3" w:rsidRDefault="003D3BC3" w:rsidP="001E1F78">
      <w:pPr>
        <w:pStyle w:val="BodyText"/>
      </w:pPr>
      <w:r>
        <w:t>The changes in salaries</w:t>
      </w:r>
      <w:r w:rsidR="001166B3">
        <w:t xml:space="preserve"> and salary structures for new members</w:t>
      </w:r>
      <w:r>
        <w:t xml:space="preserve"> meant that corresponding changes were needed to the </w:t>
      </w:r>
      <w:r w:rsidR="00BB6BDD">
        <w:t xml:space="preserve">MSBS </w:t>
      </w:r>
      <w:r>
        <w:t>promotional salary scales</w:t>
      </w:r>
      <w:r w:rsidR="001166B3">
        <w:t>.</w:t>
      </w:r>
      <w:r>
        <w:t xml:space="preserve"> </w:t>
      </w:r>
      <w:r w:rsidR="001166B3">
        <w:t>The higher starting salaries for new members have</w:t>
      </w:r>
      <w:r>
        <w:t xml:space="preserve"> reduced promotional increases in the earliest years after </w:t>
      </w:r>
      <w:r w:rsidR="00C309C7">
        <w:t>commencement</w:t>
      </w:r>
      <w:r>
        <w:t>.</w:t>
      </w:r>
    </w:p>
    <w:p w14:paraId="4ED17533" w14:textId="77777777" w:rsidR="00052A87" w:rsidRDefault="003D3BC3" w:rsidP="001E1F78">
      <w:pPr>
        <w:pStyle w:val="BodyText"/>
      </w:pPr>
      <w:r>
        <w:t xml:space="preserve">The lower exit rates have also affected the observed promotional salary growth with the larger numbers of people at longer durations being associated with lower average </w:t>
      </w:r>
      <w:r w:rsidR="00E52F60">
        <w:t>promotional salary</w:t>
      </w:r>
      <w:r w:rsidR="00E94D96">
        <w:t xml:space="preserve"> </w:t>
      </w:r>
      <w:r>
        <w:t>growth</w:t>
      </w:r>
      <w:r w:rsidR="00217E3A">
        <w:t>. This is particularly the case for the MSBS</w:t>
      </w:r>
      <w:r>
        <w:t xml:space="preserve">. </w:t>
      </w:r>
    </w:p>
    <w:p w14:paraId="4D2E6821" w14:textId="77777777" w:rsidR="00094377" w:rsidRDefault="00094377">
      <w:pPr>
        <w:spacing w:before="0" w:after="0" w:line="240" w:lineRule="auto"/>
        <w:jc w:val="left"/>
        <w:rPr>
          <w:rFonts w:ascii="Arial Bold" w:hAnsi="Arial Bold"/>
          <w:b/>
          <w:color w:val="9B0014"/>
          <w:sz w:val="23"/>
          <w:szCs w:val="24"/>
          <w:lang w:eastAsia="en-AU"/>
        </w:rPr>
      </w:pPr>
      <w:r>
        <w:br w:type="page"/>
      </w:r>
    </w:p>
    <w:p w14:paraId="548A07D5" w14:textId="36F0C125" w:rsidR="00052A87" w:rsidRPr="00857BB6" w:rsidRDefault="00052A87" w:rsidP="005D2D11">
      <w:pPr>
        <w:pStyle w:val="Heading3nonumbering"/>
        <w:keepNext/>
      </w:pPr>
      <w:r w:rsidRPr="00857BB6">
        <w:lastRenderedPageBreak/>
        <w:t xml:space="preserve">Mortality of </w:t>
      </w:r>
      <w:r>
        <w:t>p</w:t>
      </w:r>
      <w:r w:rsidRPr="00857BB6">
        <w:t>ensioners</w:t>
      </w:r>
    </w:p>
    <w:p w14:paraId="4E5B5C35" w14:textId="77777777" w:rsidR="00F10B3D" w:rsidRDefault="00052A87" w:rsidP="001E1F78">
      <w:pPr>
        <w:pStyle w:val="BodyText"/>
      </w:pPr>
      <w:r w:rsidRPr="00857BB6">
        <w:t xml:space="preserve">The </w:t>
      </w:r>
      <w:r>
        <w:t xml:space="preserve">numbers of deaths of </w:t>
      </w:r>
      <w:r w:rsidRPr="00857BB6">
        <w:t xml:space="preserve">age and reversionary pensioners (that is, pensioners other than invalid pensioners) were </w:t>
      </w:r>
      <w:r>
        <w:t>close to what was expected based on the assumptions adopted for the 20</w:t>
      </w:r>
      <w:r w:rsidR="00A118CF">
        <w:t>11</w:t>
      </w:r>
      <w:r>
        <w:t xml:space="preserve"> Report</w:t>
      </w:r>
      <w:r w:rsidR="008203BC">
        <w:t xml:space="preserve"> after allowing for mortality improvement at the assumed rates over the intervening period.</w:t>
      </w:r>
      <w:r>
        <w:t xml:space="preserve"> </w:t>
      </w:r>
    </w:p>
    <w:p w14:paraId="21ED3153" w14:textId="77777777" w:rsidR="00F10B3D" w:rsidRDefault="008203BC" w:rsidP="001E1F78">
      <w:pPr>
        <w:pStyle w:val="BodyText"/>
      </w:pPr>
      <w:r>
        <w:t xml:space="preserve">For males, the rates </w:t>
      </w:r>
      <w:r w:rsidR="00A118CF">
        <w:t>were consistent with the 2011 assumptions (after allowing for mortality improvement)</w:t>
      </w:r>
      <w:r w:rsidR="003E3175">
        <w:t xml:space="preserve"> and the 2011</w:t>
      </w:r>
      <w:r w:rsidR="00F10B3D">
        <w:t xml:space="preserve"> rates</w:t>
      </w:r>
      <w:r w:rsidR="003E3175">
        <w:t>,</w:t>
      </w:r>
      <w:r w:rsidR="00F10B3D">
        <w:t xml:space="preserve"> </w:t>
      </w:r>
      <w:r w:rsidR="003E3175">
        <w:t>adjusted</w:t>
      </w:r>
      <w:r w:rsidR="00F10B3D">
        <w:t xml:space="preserve"> for </w:t>
      </w:r>
      <w:r w:rsidR="003E3175">
        <w:t xml:space="preserve">assumed </w:t>
      </w:r>
      <w:r w:rsidR="00F10B3D">
        <w:t xml:space="preserve">mortality improvement </w:t>
      </w:r>
      <w:r w:rsidR="003E3175">
        <w:t xml:space="preserve">over the three years </w:t>
      </w:r>
      <w:r w:rsidR="00F10B3D">
        <w:t>h</w:t>
      </w:r>
      <w:r w:rsidR="00EB28DD">
        <w:t>ave been retained for this long-</w:t>
      </w:r>
      <w:r w:rsidR="00F10B3D">
        <w:t>term cost report</w:t>
      </w:r>
      <w:r>
        <w:t xml:space="preserve">. </w:t>
      </w:r>
      <w:r w:rsidR="00052A87">
        <w:t>Overall, t</w:t>
      </w:r>
      <w:r w:rsidR="00052A87" w:rsidRPr="00857BB6">
        <w:t xml:space="preserve">he rates adopted </w:t>
      </w:r>
      <w:r>
        <w:t xml:space="preserve">for males are around the same or a little </w:t>
      </w:r>
      <w:r w:rsidR="00052A87" w:rsidRPr="00857BB6">
        <w:t>less than the mortality rates for the general population</w:t>
      </w:r>
      <w:r w:rsidR="00052A87">
        <w:t xml:space="preserve">. </w:t>
      </w:r>
    </w:p>
    <w:p w14:paraId="238A0F5A" w14:textId="6E5BF625" w:rsidR="00052A87" w:rsidRDefault="00F10B3D" w:rsidP="001E1F78">
      <w:pPr>
        <w:pStyle w:val="BodyText"/>
      </w:pPr>
      <w:r>
        <w:t>For females,</w:t>
      </w:r>
      <w:r w:rsidRPr="00F10B3D">
        <w:t xml:space="preserve"> </w:t>
      </w:r>
      <w:r>
        <w:t xml:space="preserve">the rates were also consistent with the 2011 assumptions (after allowing for mortality improvement) except at higher ages. </w:t>
      </w:r>
      <w:r w:rsidR="00370121">
        <w:t>For ages up to age 84, t</w:t>
      </w:r>
      <w:r>
        <w:t>he 2011</w:t>
      </w:r>
      <w:r w:rsidR="00DF4AD2">
        <w:t> </w:t>
      </w:r>
      <w:r>
        <w:t xml:space="preserve">assumptions </w:t>
      </w:r>
      <w:r w:rsidR="00370121">
        <w:t>adjusted for the assumed</w:t>
      </w:r>
      <w:r>
        <w:t xml:space="preserve"> mortality improvement </w:t>
      </w:r>
      <w:r w:rsidR="00370121">
        <w:t xml:space="preserve">over the three years </w:t>
      </w:r>
      <w:r>
        <w:t>were retained</w:t>
      </w:r>
      <w:r w:rsidR="00370121">
        <w:t>.</w:t>
      </w:r>
      <w:r>
        <w:t xml:space="preserve"> </w:t>
      </w:r>
      <w:r w:rsidR="00370121">
        <w:t>F</w:t>
      </w:r>
      <w:r w:rsidR="00A118CF">
        <w:t>or those aged 85 and over</w:t>
      </w:r>
      <w:r w:rsidR="00370121">
        <w:t>, the rates</w:t>
      </w:r>
      <w:r>
        <w:t xml:space="preserve"> were slightly increased</w:t>
      </w:r>
      <w:r w:rsidR="00370121">
        <w:t xml:space="preserve"> relative to the 2011 assumptions adjusted for mortality improvement</w:t>
      </w:r>
      <w:r w:rsidR="00A118CF">
        <w:t xml:space="preserve">. </w:t>
      </w:r>
      <w:r w:rsidR="008203BC">
        <w:t>For females, the observed rates are a little higher than the population ave</w:t>
      </w:r>
      <w:r w:rsidR="008B5267">
        <w:t>rages between around 50 and 80.</w:t>
      </w:r>
      <w:r w:rsidR="008203BC">
        <w:t xml:space="preserve"> This may reflect the fact that the vast bulk of female pensioners are reversionary beneficiaries and there is evidence that the mortality of widows is higher than that of their never married or married counterparts. </w:t>
      </w:r>
    </w:p>
    <w:p w14:paraId="027BAD24" w14:textId="34D580A0" w:rsidR="00052A87" w:rsidRPr="00857BB6" w:rsidRDefault="00052A87" w:rsidP="001E1F78">
      <w:pPr>
        <w:pStyle w:val="BodyText"/>
      </w:pPr>
      <w:r>
        <w:t xml:space="preserve">It is conceivable that MSBS pensioners will have lower mortality rates than </w:t>
      </w:r>
      <w:r w:rsidR="00B872E0">
        <w:t xml:space="preserve">DFRB or </w:t>
      </w:r>
      <w:r>
        <w:t xml:space="preserve">DFRDB pensioners of the same age. This is because most MSBS members have a choice between pension and lump sum on retirement whereas members </w:t>
      </w:r>
      <w:r w:rsidR="00B872E0">
        <w:t>of the two</w:t>
      </w:r>
      <w:r w:rsidR="00DF4AD2">
        <w:t> </w:t>
      </w:r>
      <w:r w:rsidR="00B872E0">
        <w:t xml:space="preserve">closed schemes </w:t>
      </w:r>
      <w:r>
        <w:t xml:space="preserve">do not. The ability to choose the form of benefit means that those with poorer life expectancies might be expected to opt for the lump sum and, conversely, those who consider themselves healthier are more likely to choose the pension option. It is not possible to gauge the impact of this selection effect as the number of MSBS pensioners from age retirement is insufficient to allow a proper analysis. Thus, for the time being, the same assumptions are used </w:t>
      </w:r>
      <w:r w:rsidR="00B872E0">
        <w:t>across all</w:t>
      </w:r>
      <w:r>
        <w:t xml:space="preserve"> </w:t>
      </w:r>
      <w:r w:rsidR="00F10B3D">
        <w:t>three</w:t>
      </w:r>
      <w:r w:rsidR="00DF4AD2">
        <w:t> </w:t>
      </w:r>
      <w:r>
        <w:t xml:space="preserve">schemes. </w:t>
      </w:r>
      <w:r w:rsidR="00BE49B3">
        <w:t>In this context, it is relevant to note that, to date, a high proportion of MSBS retirees have chosen to take at least part of their benefit as a pension. This suggests that the impact on future MSBS pensioner mortality rates due to MSBS retirees selecting a full lump sum because of their poorer life expectancies is likely to be small.</w:t>
      </w:r>
    </w:p>
    <w:p w14:paraId="7D7207B2" w14:textId="77777777" w:rsidR="00094377" w:rsidRDefault="00094377">
      <w:pPr>
        <w:spacing w:before="0" w:after="0" w:line="240" w:lineRule="auto"/>
        <w:jc w:val="left"/>
      </w:pPr>
      <w:r>
        <w:br w:type="page"/>
      </w:r>
    </w:p>
    <w:p w14:paraId="5DADEF74" w14:textId="702CB03D" w:rsidR="00052A87" w:rsidRPr="00857BB6" w:rsidRDefault="00052A87" w:rsidP="001E1F78">
      <w:pPr>
        <w:pStyle w:val="BodyText"/>
      </w:pPr>
      <w:r>
        <w:lastRenderedPageBreak/>
        <w:t>Analysis of i</w:t>
      </w:r>
      <w:r w:rsidRPr="00857BB6">
        <w:t xml:space="preserve">nvalid pensioner mortality </w:t>
      </w:r>
      <w:r>
        <w:t xml:space="preserve">experience suggested that mortality rates at </w:t>
      </w:r>
      <w:r w:rsidR="00A118CF">
        <w:t>younger</w:t>
      </w:r>
      <w:r>
        <w:t xml:space="preserve"> ages were</w:t>
      </w:r>
      <w:r w:rsidRPr="00857BB6">
        <w:t xml:space="preserve"> </w:t>
      </w:r>
      <w:r>
        <w:t>less than the assumptions used for the 20</w:t>
      </w:r>
      <w:r w:rsidR="00A118CF">
        <w:t>11</w:t>
      </w:r>
      <w:r>
        <w:t xml:space="preserve"> Report and the rates were </w:t>
      </w:r>
      <w:r w:rsidR="00F10B3D">
        <w:t xml:space="preserve">noticeably </w:t>
      </w:r>
      <w:r>
        <w:t xml:space="preserve">adjusted downwards at ages </w:t>
      </w:r>
      <w:r w:rsidR="00A118CF">
        <w:t>less than</w:t>
      </w:r>
      <w:r>
        <w:t xml:space="preserve"> 60. </w:t>
      </w:r>
      <w:r w:rsidR="00A118CF">
        <w:t>Observed mortality rates were higher than those assumed between ages 60 and 80, and were increased slightly. As would be expected</w:t>
      </w:r>
      <w:r w:rsidRPr="00857BB6">
        <w:t>, the rates of mortality are significantly higher than for the age pensioners</w:t>
      </w:r>
      <w:r>
        <w:t xml:space="preserve">. </w:t>
      </w:r>
    </w:p>
    <w:p w14:paraId="74C829E1" w14:textId="6F16EBE9" w:rsidR="00052A87" w:rsidRDefault="00052A87" w:rsidP="001E1F78">
      <w:pPr>
        <w:pStyle w:val="BodyText"/>
      </w:pPr>
      <w:r w:rsidRPr="00857BB6">
        <w:t>Allowances for future improvements in mortality rates of age and reversionary pensioners were made in accordance with the trend in improvements shown in the series of Australian Lif</w:t>
      </w:r>
      <w:r w:rsidR="00BB6BDD">
        <w:t>e Tables published over a period of</w:t>
      </w:r>
      <w:r w:rsidRPr="00857BB6">
        <w:t xml:space="preserve"> 40 years</w:t>
      </w:r>
      <w:r w:rsidR="00F10B3D">
        <w:t xml:space="preserve"> to</w:t>
      </w:r>
      <w:r w:rsidR="0098782E">
        <w:br/>
      </w:r>
      <w:r w:rsidR="00F10B3D">
        <w:t>2000-02</w:t>
      </w:r>
      <w:r>
        <w:t xml:space="preserve">. </w:t>
      </w:r>
      <w:r w:rsidRPr="00857BB6">
        <w:t>No allowance was made for improvement in the mortality of invalid pensioners.</w:t>
      </w:r>
    </w:p>
    <w:p w14:paraId="3DFB8D6E" w14:textId="7967D750" w:rsidR="00052A87" w:rsidRPr="00857BB6" w:rsidRDefault="00052A87" w:rsidP="00480FAB">
      <w:pPr>
        <w:pStyle w:val="Heading3nonumbering"/>
        <w:keepNext/>
      </w:pPr>
      <w:r w:rsidRPr="00857BB6">
        <w:t xml:space="preserve">Proportions </w:t>
      </w:r>
      <w:r>
        <w:t>married and a</w:t>
      </w:r>
      <w:r w:rsidRPr="00857BB6">
        <w:t xml:space="preserve">ge </w:t>
      </w:r>
      <w:r>
        <w:t>d</w:t>
      </w:r>
      <w:r w:rsidRPr="00857BB6">
        <w:t>ifferences</w:t>
      </w:r>
    </w:p>
    <w:p w14:paraId="766D95FD" w14:textId="77777777" w:rsidR="00052A87" w:rsidRPr="00857BB6" w:rsidRDefault="00052A87" w:rsidP="001E1F78">
      <w:pPr>
        <w:pStyle w:val="BodyText"/>
      </w:pPr>
      <w:r>
        <w:t>There was no evidence to suggest that the assumptions on age differences between spouses should be altered from those adopted in the 20</w:t>
      </w:r>
      <w:r w:rsidR="00DA315D">
        <w:t>11</w:t>
      </w:r>
      <w:r>
        <w:t xml:space="preserve"> Report. The assumptions that married male members are four years older than their wives on death and female members three years younger than their husbands were therefore retained. </w:t>
      </w:r>
      <w:r w:rsidR="00705CC1">
        <w:t>The</w:t>
      </w:r>
      <w:r>
        <w:t xml:space="preserve"> data </w:t>
      </w:r>
      <w:r w:rsidR="00705CC1">
        <w:t xml:space="preserve">on proportions married </w:t>
      </w:r>
      <w:r>
        <w:t xml:space="preserve">was </w:t>
      </w:r>
      <w:r w:rsidR="00705CC1">
        <w:t xml:space="preserve">also </w:t>
      </w:r>
      <w:r>
        <w:t xml:space="preserve">consistent with the previous assumptions, which were accordingly also retained. </w:t>
      </w:r>
    </w:p>
    <w:p w14:paraId="652013BA" w14:textId="281BF4AF" w:rsidR="00052A87" w:rsidRPr="00857BB6" w:rsidRDefault="00052A87" w:rsidP="007C3F28">
      <w:pPr>
        <w:pStyle w:val="Heading3nonumbering"/>
        <w:keepNext/>
      </w:pPr>
      <w:r w:rsidRPr="00857BB6">
        <w:t xml:space="preserve">Pension </w:t>
      </w:r>
      <w:r>
        <w:t>o</w:t>
      </w:r>
      <w:r w:rsidRPr="00857BB6">
        <w:t xml:space="preserve">ption in </w:t>
      </w:r>
      <w:r>
        <w:t xml:space="preserve">the </w:t>
      </w:r>
      <w:r w:rsidR="00D71C34">
        <w:t>MSBS</w:t>
      </w:r>
    </w:p>
    <w:p w14:paraId="1AA1BA56" w14:textId="062C1FC5" w:rsidR="00052A87" w:rsidRPr="00857BB6" w:rsidRDefault="00052A87" w:rsidP="001E1F78">
      <w:pPr>
        <w:pStyle w:val="BodyText"/>
      </w:pPr>
      <w:r w:rsidRPr="00857BB6">
        <w:t>Members retiring from the MSBS (other than on the grounds of invalidity) have the option to convert all or part of their employer financed lump sum to a pension</w:t>
      </w:r>
      <w:r>
        <w:t>. This assumption has a significant impact on the reported costs of the MSBS. In the 2005</w:t>
      </w:r>
      <w:r w:rsidR="00DF4AD2">
        <w:t> </w:t>
      </w:r>
      <w:r>
        <w:t xml:space="preserve">Report, the </w:t>
      </w:r>
      <w:r w:rsidR="00757432">
        <w:t xml:space="preserve">assumption regarding the </w:t>
      </w:r>
      <w:r>
        <w:t xml:space="preserve">proportion of benefits which </w:t>
      </w:r>
      <w:r w:rsidR="00757432">
        <w:t>will</w:t>
      </w:r>
      <w:r>
        <w:t xml:space="preserve"> be taken in pension form </w:t>
      </w:r>
      <w:r w:rsidR="00757432">
        <w:t xml:space="preserve">was increased substantially </w:t>
      </w:r>
      <w:r>
        <w:t>for both officers and other ranks. This reflected a growing trend towards pension take</w:t>
      </w:r>
      <w:r>
        <w:noBreakHyphen/>
        <w:t xml:space="preserve">up that had been evident in both the military schemes and other Government superannuation schemes offering similar options. </w:t>
      </w:r>
      <w:r w:rsidR="00705CC1">
        <w:t>At the 2008 review, these assumptions were considered to be consistent with the more recent experience</w:t>
      </w:r>
      <w:r>
        <w:t xml:space="preserve">. </w:t>
      </w:r>
      <w:r w:rsidR="00705CC1">
        <w:t xml:space="preserve">The </w:t>
      </w:r>
      <w:r w:rsidR="00DA315D">
        <w:t xml:space="preserve">2011 analysis, </w:t>
      </w:r>
      <w:r w:rsidR="00705CC1">
        <w:t>revealed a further shift towards pension benefits</w:t>
      </w:r>
      <w:r w:rsidR="00DA315D">
        <w:t xml:space="preserve">. Based on this, for the 2011 Report I assumed </w:t>
      </w:r>
      <w:r w:rsidR="00705CC1">
        <w:t>that</w:t>
      </w:r>
      <w:r>
        <w:t xml:space="preserve"> </w:t>
      </w:r>
      <w:r w:rsidR="00705CC1">
        <w:t>75</w:t>
      </w:r>
      <w:r>
        <w:t xml:space="preserve"> per cent</w:t>
      </w:r>
      <w:r w:rsidRPr="00857BB6">
        <w:t xml:space="preserve"> of the lump sum w</w:t>
      </w:r>
      <w:r w:rsidR="00DA315D">
        <w:t>ould</w:t>
      </w:r>
      <w:r w:rsidRPr="00857BB6">
        <w:t xml:space="preserve"> be converted to a pension for </w:t>
      </w:r>
      <w:r>
        <w:t>o</w:t>
      </w:r>
      <w:r w:rsidRPr="00857BB6">
        <w:t xml:space="preserve">ther </w:t>
      </w:r>
      <w:r>
        <w:t>r</w:t>
      </w:r>
      <w:r w:rsidRPr="00857BB6">
        <w:t>anks</w:t>
      </w:r>
      <w:r>
        <w:t xml:space="preserve"> and </w:t>
      </w:r>
      <w:r w:rsidR="00705CC1">
        <w:t>8</w:t>
      </w:r>
      <w:r>
        <w:t>5 per cent w</w:t>
      </w:r>
      <w:r w:rsidR="00DA315D">
        <w:t>ould</w:t>
      </w:r>
      <w:r>
        <w:t xml:space="preserve"> be converted for officers.</w:t>
      </w:r>
      <w:r w:rsidR="001A110A">
        <w:t xml:space="preserve"> </w:t>
      </w:r>
      <w:r w:rsidR="00DA315D">
        <w:t>An analysis of recent data suggests that these pension take up rates are still appropriate</w:t>
      </w:r>
      <w:r w:rsidR="001A110A">
        <w:t xml:space="preserve"> and the assumptions made for the 2011 Report </w:t>
      </w:r>
      <w:r w:rsidR="002213AE">
        <w:t xml:space="preserve">have been </w:t>
      </w:r>
      <w:r w:rsidR="001A110A">
        <w:t>retained</w:t>
      </w:r>
      <w:r w:rsidR="00DA315D">
        <w:t>.</w:t>
      </w:r>
      <w:r w:rsidR="00212C90">
        <w:t xml:space="preserve"> </w:t>
      </w:r>
    </w:p>
    <w:p w14:paraId="49764112" w14:textId="1DD33281" w:rsidR="00052A87" w:rsidRPr="00857BB6" w:rsidRDefault="00052A87" w:rsidP="00052A87">
      <w:pPr>
        <w:pStyle w:val="Heading3nonumbering"/>
      </w:pPr>
      <w:r w:rsidRPr="00857BB6">
        <w:lastRenderedPageBreak/>
        <w:t xml:space="preserve">Commutation </w:t>
      </w:r>
      <w:r>
        <w:t>o</w:t>
      </w:r>
      <w:r w:rsidRPr="00857BB6">
        <w:t xml:space="preserve">ption in </w:t>
      </w:r>
      <w:r>
        <w:t xml:space="preserve">the </w:t>
      </w:r>
      <w:r w:rsidR="007210F8">
        <w:t>DFRDB</w:t>
      </w:r>
    </w:p>
    <w:p w14:paraId="58AB227C" w14:textId="65B7B60B" w:rsidR="00052A87" w:rsidRPr="00857BB6" w:rsidRDefault="00052A87" w:rsidP="001E1F78">
      <w:pPr>
        <w:pStyle w:val="BodyText"/>
      </w:pPr>
      <w:r w:rsidRPr="00857BB6">
        <w:t>Members retiring from the DFRDB (other than on the grounds of invalidity A or B) have the option to convert part of their pension to a lump sum</w:t>
      </w:r>
      <w:r>
        <w:t xml:space="preserve">. </w:t>
      </w:r>
      <w:r w:rsidR="00B872E0">
        <w:t>Experience over the last two</w:t>
      </w:r>
      <w:r w:rsidR="00DF4AD2">
        <w:t> </w:t>
      </w:r>
      <w:r w:rsidR="00B872E0">
        <w:t>decades suggests that members choose to take t</w:t>
      </w:r>
      <w:r w:rsidR="001A110A">
        <w:t xml:space="preserve">he maximum allowable lump sum. </w:t>
      </w:r>
      <w:r w:rsidRPr="00857BB6">
        <w:t xml:space="preserve">As the conversion factors provide for a lump sum which is greater than </w:t>
      </w:r>
      <w:r w:rsidR="00C309C7">
        <w:t xml:space="preserve">the </w:t>
      </w:r>
      <w:r w:rsidRPr="00857BB6">
        <w:t>actuarial value of the forgone pension</w:t>
      </w:r>
      <w:r w:rsidR="00B872E0">
        <w:t xml:space="preserve"> at </w:t>
      </w:r>
      <w:r w:rsidR="002213AE">
        <w:t>most</w:t>
      </w:r>
      <w:r w:rsidR="00B872E0">
        <w:t xml:space="preserve"> ages</w:t>
      </w:r>
      <w:r w:rsidRPr="00857BB6">
        <w:t xml:space="preserve">, </w:t>
      </w:r>
      <w:r w:rsidR="00B872E0">
        <w:t>thi</w:t>
      </w:r>
      <w:r w:rsidR="001A110A">
        <w:t xml:space="preserve">s is not a surprising outcome. </w:t>
      </w:r>
      <w:r w:rsidR="00B872E0">
        <w:t xml:space="preserve">Accordingly, </w:t>
      </w:r>
      <w:r w:rsidRPr="00857BB6">
        <w:t>it has been assumed that all retiring members take advantage of this option to the maximum extent permissible</w:t>
      </w:r>
      <w:r>
        <w:t xml:space="preserve">. </w:t>
      </w:r>
    </w:p>
    <w:p w14:paraId="3856CBCF" w14:textId="61C89604" w:rsidR="00052A87" w:rsidRPr="00857BB6" w:rsidRDefault="00052A87" w:rsidP="008B5267">
      <w:pPr>
        <w:pStyle w:val="Heading3nonumbering"/>
        <w:keepNext/>
      </w:pPr>
      <w:r>
        <w:t>Taxation</w:t>
      </w:r>
    </w:p>
    <w:p w14:paraId="74D59917" w14:textId="77777777" w:rsidR="00052A87" w:rsidRDefault="00FE0B58" w:rsidP="001E1F78">
      <w:pPr>
        <w:pStyle w:val="BodyText"/>
      </w:pPr>
      <w:r>
        <w:t>The DFRDB and DFRB are</w:t>
      </w:r>
      <w:r w:rsidR="00052A87">
        <w:t xml:space="preserve"> entirely unfunded</w:t>
      </w:r>
      <w:r>
        <w:t>.</w:t>
      </w:r>
      <w:r w:rsidR="00052A87">
        <w:t xml:space="preserve"> </w:t>
      </w:r>
      <w:r>
        <w:t xml:space="preserve">They are untaxed schemes </w:t>
      </w:r>
      <w:r w:rsidR="00052A87">
        <w:t>and hence no tax is levied on the scheme</w:t>
      </w:r>
      <w:r>
        <w:t>s</w:t>
      </w:r>
      <w:r w:rsidR="00052A87">
        <w:t xml:space="preserve">. </w:t>
      </w:r>
      <w:r w:rsidR="00DA315D">
        <w:t>T</w:t>
      </w:r>
      <w:r w:rsidR="00705CC1">
        <w:t xml:space="preserve">he current valuation assumes that the full Commonwealth Bond rate </w:t>
      </w:r>
      <w:r w:rsidR="00587561">
        <w:t xml:space="preserve">(without any reduction for notional investment tax) </w:t>
      </w:r>
      <w:r w:rsidR="00705CC1">
        <w:t>will be credited to the notional productivity benefit</w:t>
      </w:r>
      <w:r w:rsidR="001A110A">
        <w:t xml:space="preserve"> </w:t>
      </w:r>
      <w:r w:rsidR="00276F91">
        <w:t xml:space="preserve">payable in accordance with the Determination made under the </w:t>
      </w:r>
      <w:r w:rsidR="00276F91">
        <w:rPr>
          <w:i/>
        </w:rPr>
        <w:t>Defence Act 1903</w:t>
      </w:r>
      <w:r w:rsidR="00052A87" w:rsidRPr="002C6521">
        <w:t>.</w:t>
      </w:r>
    </w:p>
    <w:p w14:paraId="415EFFD7" w14:textId="77777777" w:rsidR="00052A87" w:rsidRPr="00857BB6" w:rsidRDefault="00052A87" w:rsidP="001E1F78">
      <w:pPr>
        <w:pStyle w:val="BodyText"/>
      </w:pPr>
      <w:r>
        <w:t>In calculating the accumulation of productivity contributions</w:t>
      </w:r>
      <w:r w:rsidR="001A110A">
        <w:t xml:space="preserve"> for MSBS</w:t>
      </w:r>
      <w:r>
        <w:t xml:space="preserve">, allowance has been made for the 15 per cent contributions tax payable on </w:t>
      </w:r>
      <w:r w:rsidR="00E52F60">
        <w:t xml:space="preserve">employer </w:t>
      </w:r>
      <w:r>
        <w:t>contributions made to the MSBS Fund. Investment earnings of the Fund are also taxable at 15 per cent. For the purposes of the valuation, the after tax return on Fund assets is assumed to be the same as the valuation interest rate, that is, 3.5 per cent per annum in excess of the CPI assumption.</w:t>
      </w:r>
    </w:p>
    <w:p w14:paraId="7489B7F0" w14:textId="6397A548" w:rsidR="00052A87" w:rsidRPr="00857BB6" w:rsidRDefault="00052A87" w:rsidP="00B872E0">
      <w:pPr>
        <w:pStyle w:val="Heading3nonumbering"/>
        <w:keepNext/>
        <w:spacing w:after="160"/>
      </w:pPr>
      <w:r w:rsidRPr="00857BB6">
        <w:t xml:space="preserve">Superannuation </w:t>
      </w:r>
      <w:r>
        <w:t>s</w:t>
      </w:r>
      <w:r w:rsidRPr="00857BB6">
        <w:t>urcharge</w:t>
      </w:r>
    </w:p>
    <w:p w14:paraId="62627469" w14:textId="508AC61D" w:rsidR="00052A87" w:rsidRPr="00D3248F" w:rsidRDefault="00052A87" w:rsidP="001E1F78">
      <w:pPr>
        <w:pStyle w:val="BodyText"/>
      </w:pPr>
      <w:r w:rsidRPr="00D3248F">
        <w:t>The superannuation surcharge was a tax on notional employer superannuation contributions in respect of those with high incomes. The tax was assessed on a year</w:t>
      </w:r>
      <w:r w:rsidRPr="00D3248F">
        <w:noBreakHyphen/>
        <w:t>by</w:t>
      </w:r>
      <w:r w:rsidRPr="00D3248F">
        <w:noBreakHyphen/>
        <w:t>year basis but for unfunded schemes, su</w:t>
      </w:r>
      <w:r w:rsidR="00587561">
        <w:t>ch as the DFRDB and the MSBS, does</w:t>
      </w:r>
      <w:r w:rsidRPr="00D3248F">
        <w:t xml:space="preserve"> not </w:t>
      </w:r>
      <w:r w:rsidR="00587561">
        <w:t xml:space="preserve">need to be </w:t>
      </w:r>
      <w:r w:rsidRPr="00D3248F">
        <w:t xml:space="preserve">paid to the Australian Taxation Office (ATO) until a benefit is payable. The tax </w:t>
      </w:r>
      <w:r w:rsidR="001A110A">
        <w:t xml:space="preserve">commenced in 1996 and </w:t>
      </w:r>
      <w:r w:rsidRPr="00D3248F">
        <w:t>was abolished from</w:t>
      </w:r>
      <w:r w:rsidR="0098782E">
        <w:br/>
      </w:r>
      <w:r w:rsidRPr="00D3248F">
        <w:t xml:space="preserve">1 July 2005 but those individuals who incurred a surcharge liability and have not yet taken their benefit will, for the most part, still have a surcharge debt account. When the benefit becomes payable, the actual benefit paid to the individual is reduced to take account of the superannuation surcharge amount payable to the ATO by the scheme. </w:t>
      </w:r>
      <w:r w:rsidR="00757432" w:rsidRPr="00D3248F">
        <w:t xml:space="preserve">I </w:t>
      </w:r>
      <w:r w:rsidRPr="00D3248F">
        <w:t xml:space="preserve">have assumed that the schemes’ liability to pay the superannuation surcharge to the ATO will be offset by the value of the benefit reductions resulting from the payment to the ATO. No specific allowances have thus been made in this report for the effects of the superannuation surcharge. </w:t>
      </w:r>
    </w:p>
    <w:p w14:paraId="7618D481" w14:textId="77777777" w:rsidR="00D3248F" w:rsidRPr="00857BB6" w:rsidRDefault="00D3248F" w:rsidP="00D3248F">
      <w:pPr>
        <w:pStyle w:val="Heading3nonumbering"/>
        <w:keepNext/>
        <w:spacing w:after="160"/>
      </w:pPr>
      <w:r>
        <w:lastRenderedPageBreak/>
        <w:t>Division 293 tax</w:t>
      </w:r>
    </w:p>
    <w:p w14:paraId="319D5C70" w14:textId="77777777" w:rsidR="007E6BCF" w:rsidRPr="00F14CCF" w:rsidRDefault="00D3248F" w:rsidP="00D3248F">
      <w:pPr>
        <w:pStyle w:val="BodyText"/>
      </w:pPr>
      <w:r w:rsidRPr="00F14CCF">
        <w:t>The Division 293 tax wa</w:t>
      </w:r>
      <w:r w:rsidR="001A110A">
        <w:t xml:space="preserve">s introduced from 1 July 2012. </w:t>
      </w:r>
      <w:r w:rsidRPr="00F14CCF">
        <w:t>The Division 293 tax applie</w:t>
      </w:r>
      <w:r w:rsidR="007E6BCF" w:rsidRPr="00F14CCF">
        <w:t>s</w:t>
      </w:r>
      <w:r w:rsidRPr="00F14CCF">
        <w:t xml:space="preserve"> to </w:t>
      </w:r>
      <w:r w:rsidR="001A110A">
        <w:t>individuals whose income for Division 293</w:t>
      </w:r>
      <w:r w:rsidR="007E6BCF" w:rsidRPr="00F14CCF">
        <w:t xml:space="preserve"> purposes is greater than $300,000 and imposes an additional 15 per cent tax on the individual’s superannuation contributions. </w:t>
      </w:r>
    </w:p>
    <w:p w14:paraId="7CF00D06" w14:textId="77777777" w:rsidR="007E6BCF" w:rsidRDefault="00E9414D" w:rsidP="00D3248F">
      <w:pPr>
        <w:pStyle w:val="BodyText"/>
      </w:pPr>
      <w:r w:rsidRPr="00F14CCF">
        <w:t xml:space="preserve">In a similar manner to the superannuation surcharge, members of defined benefit superannuation funds are eligible to defer their Division 293 tax liabilities until benefits become payable. </w:t>
      </w:r>
    </w:p>
    <w:p w14:paraId="2030A54E" w14:textId="77777777" w:rsidR="00F14CCF" w:rsidRPr="00F14CCF" w:rsidRDefault="00F14CCF" w:rsidP="00F14CCF">
      <w:pPr>
        <w:pStyle w:val="BodyText"/>
      </w:pPr>
      <w:r w:rsidRPr="00F14CCF">
        <w:t>As with the superannuation surc</w:t>
      </w:r>
      <w:r w:rsidR="001A110A">
        <w:t>harge, I have assumed that the S</w:t>
      </w:r>
      <w:r w:rsidRPr="00F14CCF">
        <w:t xml:space="preserve">chemes’ liability to pay the Division 293 tax liabilities to the ATO </w:t>
      </w:r>
      <w:r w:rsidR="001A110A">
        <w:t xml:space="preserve">on behalf of the individual tax payer </w:t>
      </w:r>
      <w:r w:rsidRPr="00F14CCF">
        <w:t>will be offset by the value of the benefit reductions resulting from the payment to the ATO. No specific allowances have thus been made in this report for the effects of the Division 293 tax.</w:t>
      </w:r>
    </w:p>
    <w:p w14:paraId="05425A10" w14:textId="2F51C1F7" w:rsidR="00052A87" w:rsidRPr="00857BB6" w:rsidRDefault="00052A87" w:rsidP="001E1F78">
      <w:pPr>
        <w:pStyle w:val="Heading3nonumbering"/>
        <w:keepNext/>
        <w:spacing w:after="160"/>
      </w:pPr>
      <w:r w:rsidRPr="00857BB6">
        <w:t xml:space="preserve">Early </w:t>
      </w:r>
      <w:r>
        <w:t>r</w:t>
      </w:r>
      <w:r w:rsidRPr="00857BB6">
        <w:t xml:space="preserve">elease of </w:t>
      </w:r>
      <w:r>
        <w:t>p</w:t>
      </w:r>
      <w:r w:rsidRPr="00857BB6">
        <w:t xml:space="preserve">reserved </w:t>
      </w:r>
      <w:r>
        <w:t>b</w:t>
      </w:r>
      <w:r w:rsidRPr="00857BB6">
        <w:t xml:space="preserve">enefits in </w:t>
      </w:r>
      <w:r>
        <w:t xml:space="preserve">the </w:t>
      </w:r>
      <w:r w:rsidR="007210F8">
        <w:t>MSBS</w:t>
      </w:r>
    </w:p>
    <w:p w14:paraId="5D85B82E" w14:textId="77777777" w:rsidR="00052A87" w:rsidRDefault="00052A87" w:rsidP="001E1F78">
      <w:pPr>
        <w:pStyle w:val="BodyText"/>
      </w:pPr>
      <w:r w:rsidRPr="00857BB6">
        <w:t xml:space="preserve">Early release of preserved benefits in </w:t>
      </w:r>
      <w:r>
        <w:t xml:space="preserve">the </w:t>
      </w:r>
      <w:r w:rsidRPr="00857BB6">
        <w:t>MSBS is permitted on the basis of disablement or hardship</w:t>
      </w:r>
      <w:r>
        <w:t xml:space="preserve">. </w:t>
      </w:r>
      <w:r w:rsidRPr="00857BB6">
        <w:t>No allowance has been made for early release of preserved benefits.</w:t>
      </w:r>
    </w:p>
    <w:p w14:paraId="6DF7A888" w14:textId="77777777" w:rsidR="00052A87" w:rsidRPr="00857BB6" w:rsidRDefault="00052A87" w:rsidP="00052A87">
      <w:pPr>
        <w:pStyle w:val="Heading3nonumbering"/>
        <w:spacing w:after="160"/>
      </w:pPr>
      <w:r>
        <w:t>Splitting of superannuation under the Family Law Act</w:t>
      </w:r>
    </w:p>
    <w:p w14:paraId="510951DB" w14:textId="77777777" w:rsidR="00052A87" w:rsidRPr="00857BB6" w:rsidRDefault="00052A87" w:rsidP="001E1F78">
      <w:pPr>
        <w:pStyle w:val="BodyText"/>
      </w:pPr>
      <w:r>
        <w:t>Under the Family Law Act, superannuation benefits may be split as part of a Family Law agreement or order. At present, the data receive</w:t>
      </w:r>
      <w:r w:rsidR="00757432">
        <w:t>d</w:t>
      </w:r>
      <w:r>
        <w:t xml:space="preserve"> in relation to affected contributory </w:t>
      </w:r>
      <w:r w:rsidR="00E52F60">
        <w:t xml:space="preserve">and preserved </w:t>
      </w:r>
      <w:r>
        <w:t>members does not include the details of the adjustment that will eventually be made to their benefits and thus overvalues the members’ interests. At the same time, the value of benefits which have been allocated to non</w:t>
      </w:r>
      <w:r>
        <w:noBreakHyphen/>
        <w:t>member spouses</w:t>
      </w:r>
      <w:r w:rsidR="00757432">
        <w:t xml:space="preserve"> is also not included</w:t>
      </w:r>
      <w:r>
        <w:t>. These two amounts could be expected to largely balance, with any discrepancy relating to differences in the timing of the adjustment of the member’s benefit and the payment of the non</w:t>
      </w:r>
      <w:r>
        <w:noBreakHyphen/>
        <w:t xml:space="preserve">member spouse’s entitlement. </w:t>
      </w:r>
      <w:r w:rsidR="00757432">
        <w:t>I</w:t>
      </w:r>
      <w:r>
        <w:t xml:space="preserve"> have made no allowance for the impact of splits of superannuation on the grounds that, at this stage, it is not material. </w:t>
      </w:r>
    </w:p>
    <w:p w14:paraId="6781C4EF" w14:textId="77777777" w:rsidR="00CC2736" w:rsidRDefault="00CC2736">
      <w:pPr>
        <w:spacing w:before="0" w:after="0" w:line="240" w:lineRule="auto"/>
        <w:jc w:val="left"/>
        <w:rPr>
          <w:rFonts w:ascii="Arial Bold" w:hAnsi="Arial Bold"/>
          <w:b/>
          <w:color w:val="9B0014"/>
          <w:sz w:val="26"/>
          <w:szCs w:val="24"/>
          <w:lang w:eastAsia="en-AU"/>
        </w:rPr>
      </w:pPr>
      <w:r>
        <w:br w:type="page"/>
      </w:r>
    </w:p>
    <w:p w14:paraId="6D962056" w14:textId="1FF3D010" w:rsidR="00052A87" w:rsidRPr="00857BB6" w:rsidRDefault="00052A87" w:rsidP="00480FAB">
      <w:pPr>
        <w:pStyle w:val="Heading3nonumbering"/>
        <w:keepNext/>
        <w:spacing w:after="200"/>
      </w:pPr>
      <w:r w:rsidRPr="00857BB6">
        <w:lastRenderedPageBreak/>
        <w:t xml:space="preserve">Conflict </w:t>
      </w:r>
      <w:r>
        <w:t>s</w:t>
      </w:r>
      <w:r w:rsidRPr="00857BB6">
        <w:t>ituations</w:t>
      </w:r>
    </w:p>
    <w:p w14:paraId="33638505" w14:textId="77777777" w:rsidR="00052A87" w:rsidRPr="00857BB6" w:rsidRDefault="00052A87" w:rsidP="001E1F78">
      <w:pPr>
        <w:pStyle w:val="BodyText"/>
      </w:pPr>
      <w:r>
        <w:t>A number of ADF personnel are currently serving in various conflict situations (including peace</w:t>
      </w:r>
      <w:r>
        <w:noBreakHyphen/>
        <w:t xml:space="preserve">keeping duties). At any one point in time, the bulk of personnel are not on deployment, but a number are likely to spend some time overseas involved in a conflict situation. </w:t>
      </w:r>
      <w:r w:rsidRPr="0091111E">
        <w:t>The long</w:t>
      </w:r>
      <w:r w:rsidR="0091111E" w:rsidRPr="0091111E">
        <w:t>-</w:t>
      </w:r>
      <w:r w:rsidRPr="0091111E">
        <w:t xml:space="preserve">term costs reported here implicitly assume that </w:t>
      </w:r>
      <w:r w:rsidR="0091111E" w:rsidRPr="0091111E">
        <w:t>average future</w:t>
      </w:r>
      <w:r w:rsidRPr="0091111E">
        <w:t xml:space="preserve"> levels of ADF deployment will </w:t>
      </w:r>
      <w:r w:rsidR="0091111E" w:rsidRPr="0091111E">
        <w:t>not be unusually high</w:t>
      </w:r>
      <w:r w:rsidRPr="0091111E">
        <w:t>. If levels of deployment</w:t>
      </w:r>
      <w:r>
        <w:t xml:space="preserve"> in a war or warlike situations were to significantly increase, the assumptions adopted here </w:t>
      </w:r>
      <w:r w:rsidR="0091111E">
        <w:t>may not</w:t>
      </w:r>
      <w:r>
        <w:t xml:space="preserve"> hold.</w:t>
      </w:r>
      <w:r w:rsidRPr="00857BB6">
        <w:t xml:space="preserve"> </w:t>
      </w:r>
      <w:r>
        <w:t>In particul</w:t>
      </w:r>
      <w:r w:rsidR="0091111E">
        <w:t>ar, death and invalidity rates c</w:t>
      </w:r>
      <w:r>
        <w:t xml:space="preserve">ould be higher, as </w:t>
      </w:r>
      <w:r w:rsidR="0091111E">
        <w:t>c</w:t>
      </w:r>
      <w:r>
        <w:t>ould</w:t>
      </w:r>
      <w:r w:rsidRPr="00857BB6">
        <w:t xml:space="preserve"> </w:t>
      </w:r>
      <w:r>
        <w:t>ADF personnel numbers</w:t>
      </w:r>
      <w:r w:rsidRPr="00857BB6">
        <w:t>.</w:t>
      </w:r>
    </w:p>
    <w:p w14:paraId="7ED69B15" w14:textId="77777777" w:rsidR="001C502B" w:rsidRPr="001C502B" w:rsidRDefault="001C502B" w:rsidP="001C502B">
      <w:bookmarkStart w:id="70" w:name="_Toc135119209"/>
    </w:p>
    <w:p w14:paraId="0A087117" w14:textId="77777777" w:rsidR="001C502B" w:rsidRPr="001C502B" w:rsidRDefault="001C502B" w:rsidP="001C502B"/>
    <w:p w14:paraId="00E72799" w14:textId="77777777" w:rsidR="00052A87" w:rsidRPr="001C502B" w:rsidRDefault="00052A87" w:rsidP="001C502B">
      <w:pPr>
        <w:sectPr w:rsidR="00052A87" w:rsidRPr="001C502B" w:rsidSect="00107010">
          <w:headerReference w:type="first" r:id="rId43"/>
          <w:type w:val="oddPage"/>
          <w:pgSz w:w="11906" w:h="16838" w:code="9"/>
          <w:pgMar w:top="2466" w:right="2098" w:bottom="2466" w:left="2098" w:header="1899" w:footer="1899" w:gutter="0"/>
          <w:cols w:space="708"/>
          <w:titlePg/>
          <w:docGrid w:linePitch="360"/>
        </w:sectPr>
      </w:pPr>
      <w:bookmarkStart w:id="71" w:name="_Toc136856497"/>
    </w:p>
    <w:p w14:paraId="3EE6BA73" w14:textId="77777777" w:rsidR="00052A87" w:rsidRPr="00490A07" w:rsidRDefault="00052A87" w:rsidP="001F546B">
      <w:pPr>
        <w:pStyle w:val="Heading1"/>
      </w:pPr>
      <w:bookmarkStart w:id="72" w:name="_Toc232828404"/>
      <w:bookmarkStart w:id="73" w:name="_Ref309312943"/>
      <w:bookmarkStart w:id="74" w:name="_Ref309312955"/>
      <w:bookmarkStart w:id="75" w:name="_Toc425770492"/>
      <w:r w:rsidRPr="00490A07">
        <w:lastRenderedPageBreak/>
        <w:t xml:space="preserve">Notional </w:t>
      </w:r>
      <w:r w:rsidR="001344AE" w:rsidRPr="00490A07">
        <w:t xml:space="preserve">employer </w:t>
      </w:r>
      <w:r w:rsidRPr="00490A07">
        <w:t>contribution rates</w:t>
      </w:r>
      <w:bookmarkEnd w:id="70"/>
      <w:bookmarkEnd w:id="71"/>
      <w:bookmarkEnd w:id="72"/>
      <w:bookmarkEnd w:id="73"/>
      <w:bookmarkEnd w:id="74"/>
      <w:bookmarkEnd w:id="75"/>
    </w:p>
    <w:p w14:paraId="348BAB84" w14:textId="47BAC666" w:rsidR="00052A87" w:rsidRPr="00857BB6" w:rsidRDefault="00052A87" w:rsidP="00B35979">
      <w:pPr>
        <w:pStyle w:val="BodyText"/>
      </w:pPr>
      <w:r w:rsidRPr="00857BB6">
        <w:t xml:space="preserve">A notional employer contribution rate has been calculated to illustrate the effective cost of the </w:t>
      </w:r>
      <w:r>
        <w:t xml:space="preserve">defined </w:t>
      </w:r>
      <w:r w:rsidRPr="00857BB6">
        <w:t>benefits</w:t>
      </w:r>
      <w:r w:rsidRPr="0040599C">
        <w:t xml:space="preserve"> </w:t>
      </w:r>
      <w:r w:rsidRPr="00857BB6">
        <w:t xml:space="preserve">being provided by the Commonwealth as a percentage of the </w:t>
      </w:r>
      <w:r>
        <w:t xml:space="preserve">superannuation </w:t>
      </w:r>
      <w:r w:rsidRPr="00857BB6">
        <w:t>salaries of scheme members</w:t>
      </w:r>
      <w:r>
        <w:t xml:space="preserve">. </w:t>
      </w:r>
      <w:r w:rsidRPr="00857BB6">
        <w:t xml:space="preserve">It represents the </w:t>
      </w:r>
      <w:r>
        <w:t xml:space="preserve">estimated </w:t>
      </w:r>
      <w:r w:rsidRPr="00857BB6">
        <w:t>contribution rate</w:t>
      </w:r>
      <w:r w:rsidR="00C81B76">
        <w:t>,</w:t>
      </w:r>
      <w:r w:rsidRPr="00857BB6">
        <w:t xml:space="preserve"> </w:t>
      </w:r>
      <w:r w:rsidR="008D1B08">
        <w:t>on the assumptions made</w:t>
      </w:r>
      <w:r w:rsidR="00C81B76">
        <w:t>,</w:t>
      </w:r>
      <w:r w:rsidR="008D1B08">
        <w:t xml:space="preserve"> </w:t>
      </w:r>
      <w:r w:rsidRPr="00857BB6">
        <w:t xml:space="preserve">that would be required </w:t>
      </w:r>
      <w:r>
        <w:t>to fund the defined benefits accruing to serving members over the next three years</w:t>
      </w:r>
      <w:r w:rsidRPr="00857BB6">
        <w:t xml:space="preserve"> </w:t>
      </w:r>
      <w:r>
        <w:t xml:space="preserve">on the basis that benefits are attributed to periods of service under the AASB 119 accrual methodology. In other words, if the scheme was exactly fully funded in respect of AASB 119 </w:t>
      </w:r>
      <w:r w:rsidR="00A45784">
        <w:t xml:space="preserve">methodology </w:t>
      </w:r>
      <w:r>
        <w:t xml:space="preserve">accrued benefits at the beginning of the three years and contributions were made at </w:t>
      </w:r>
      <w:r w:rsidR="001C548A">
        <w:t xml:space="preserve">the </w:t>
      </w:r>
      <w:r>
        <w:t xml:space="preserve">calculated rate, </w:t>
      </w:r>
      <w:proofErr w:type="gramStart"/>
      <w:r>
        <w:t>then</w:t>
      </w:r>
      <w:proofErr w:type="gramEnd"/>
      <w:r>
        <w:t xml:space="preserve"> the scheme would be expected to be exactly fully funded at the end of the period</w:t>
      </w:r>
      <w:r w:rsidR="00A45784">
        <w:t xml:space="preserve">. The AASB 119 </w:t>
      </w:r>
      <w:r>
        <w:t xml:space="preserve">accrual </w:t>
      </w:r>
      <w:r w:rsidR="00A45784">
        <w:t xml:space="preserve">methodology </w:t>
      </w:r>
      <w:r w:rsidR="00872795">
        <w:t xml:space="preserve">effectively </w:t>
      </w:r>
      <w:r w:rsidR="00A45784">
        <w:t xml:space="preserve">assumes that benefits are </w:t>
      </w:r>
      <w:r w:rsidR="00872795">
        <w:t xml:space="preserve">accrued </w:t>
      </w:r>
      <w:r w:rsidR="00A45784">
        <w:t>either on a pro rata basis</w:t>
      </w:r>
      <w:r w:rsidR="00872795">
        <w:t xml:space="preserve"> over service to exit or attaining MBL, if</w:t>
      </w:r>
      <w:r w:rsidR="0098782E">
        <w:t> </w:t>
      </w:r>
      <w:r w:rsidR="00872795">
        <w:t>earlier.</w:t>
      </w:r>
    </w:p>
    <w:p w14:paraId="350D8F5F" w14:textId="03ACB2BB" w:rsidR="00D37022" w:rsidRPr="00D37022" w:rsidRDefault="00052A87" w:rsidP="00D37022">
      <w:pPr>
        <w:pStyle w:val="BodyText"/>
      </w:pPr>
      <w:r w:rsidRPr="00857BB6">
        <w:t xml:space="preserve">The </w:t>
      </w:r>
      <w:r>
        <w:t>t</w:t>
      </w:r>
      <w:r w:rsidRPr="00857BB6">
        <w:t xml:space="preserve">able </w:t>
      </w:r>
      <w:r w:rsidRPr="00FD2A3A">
        <w:t>below</w:t>
      </w:r>
      <w:r w:rsidRPr="00857BB6">
        <w:t xml:space="preserve"> shows the notional employer contribution rates for the two</w:t>
      </w:r>
      <w:r w:rsidR="008846F3">
        <w:t> </w:t>
      </w:r>
      <w:r w:rsidRPr="00857BB6">
        <w:t xml:space="preserve">schemes separately and also a combined rate for </w:t>
      </w:r>
      <w:r w:rsidR="004F45A9">
        <w:t>the MSBS and DFRDB</w:t>
      </w:r>
      <w:r>
        <w:t xml:space="preserve">. </w:t>
      </w:r>
      <w:r w:rsidR="004F45A9">
        <w:t>These rates include the 3 per cent productivity contributions, but do not include the additional employer contributions paid as a result of the application of the OTE earnings base in calculating Superannuation Guarantee obligations from</w:t>
      </w:r>
      <w:r w:rsidR="008846F3">
        <w:br/>
      </w:r>
      <w:r w:rsidR="004F45A9">
        <w:t xml:space="preserve">1 July 2008. </w:t>
      </w:r>
      <w:r w:rsidR="004F45A9" w:rsidRPr="00D37022">
        <w:rPr>
          <w:szCs w:val="16"/>
        </w:rPr>
        <w:t>The additional OTE c</w:t>
      </w:r>
      <w:r w:rsidR="008D1B08" w:rsidRPr="00D37022">
        <w:rPr>
          <w:szCs w:val="16"/>
        </w:rPr>
        <w:t>ontributions amount to around 0.6</w:t>
      </w:r>
      <w:r w:rsidR="004F45A9" w:rsidRPr="00D37022">
        <w:rPr>
          <w:szCs w:val="16"/>
        </w:rPr>
        <w:t xml:space="preserve"> per cent of superannuation salary across the membership of both schemes and are paid to the ancillary section of the MSBS Fund.</w:t>
      </w:r>
      <w:r w:rsidR="004F45A9">
        <w:t xml:space="preserve"> The DFRB scheme has no serving ADF personnel members and hence has no notional employer contribution rate. </w:t>
      </w:r>
      <w:r w:rsidRPr="00857BB6">
        <w:t>For co</w:t>
      </w:r>
      <w:r>
        <w:t>mparison, the rates from the 20</w:t>
      </w:r>
      <w:r w:rsidR="00D95262">
        <w:t>11</w:t>
      </w:r>
      <w:r w:rsidRPr="00857BB6">
        <w:t xml:space="preserve"> Report are also shown.</w:t>
      </w:r>
    </w:p>
    <w:p w14:paraId="3F221C75" w14:textId="77777777" w:rsidR="00052A87" w:rsidRPr="00857BB6" w:rsidRDefault="00052A87" w:rsidP="00052A87">
      <w:pPr>
        <w:pStyle w:val="TableMainHeading"/>
      </w:pPr>
      <w:r>
        <w:t>Notional employer contribution rates as a percentage of superannuation salary</w:t>
      </w:r>
    </w:p>
    <w:tbl>
      <w:tblPr>
        <w:tblW w:w="0" w:type="auto"/>
        <w:tblInd w:w="675" w:type="dxa"/>
        <w:tblBorders>
          <w:top w:val="single" w:sz="2" w:space="0" w:color="auto"/>
          <w:bottom w:val="single" w:sz="2" w:space="0" w:color="auto"/>
        </w:tblBorders>
        <w:tblLayout w:type="fixed"/>
        <w:tblLook w:val="0000" w:firstRow="0" w:lastRow="0" w:firstColumn="0" w:lastColumn="0" w:noHBand="0" w:noVBand="0"/>
      </w:tblPr>
      <w:tblGrid>
        <w:gridCol w:w="2892"/>
        <w:gridCol w:w="1418"/>
        <w:gridCol w:w="1418"/>
        <w:gridCol w:w="1418"/>
      </w:tblGrid>
      <w:tr w:rsidR="00052A87" w:rsidRPr="00660890" w14:paraId="2DB4A700" w14:textId="77777777" w:rsidTr="0048020A">
        <w:tc>
          <w:tcPr>
            <w:tcW w:w="2892" w:type="dxa"/>
            <w:tcBorders>
              <w:top w:val="single" w:sz="2" w:space="0" w:color="000000"/>
              <w:bottom w:val="single" w:sz="2" w:space="0" w:color="000000"/>
            </w:tcBorders>
            <w:shd w:val="clear" w:color="auto" w:fill="E6E6E6"/>
          </w:tcPr>
          <w:p w14:paraId="1AAA8581" w14:textId="77777777" w:rsidR="00052A87" w:rsidRPr="00660890" w:rsidRDefault="00052A87" w:rsidP="00052A87">
            <w:pPr>
              <w:pStyle w:val="TableColumnHeadingLeft"/>
            </w:pPr>
          </w:p>
        </w:tc>
        <w:tc>
          <w:tcPr>
            <w:tcW w:w="1418" w:type="dxa"/>
            <w:tcBorders>
              <w:top w:val="single" w:sz="2" w:space="0" w:color="000000"/>
              <w:bottom w:val="single" w:sz="2" w:space="0" w:color="000000"/>
            </w:tcBorders>
            <w:shd w:val="clear" w:color="auto" w:fill="E6E6E6"/>
          </w:tcPr>
          <w:p w14:paraId="1AD066E7" w14:textId="77777777" w:rsidR="00052A87" w:rsidRPr="00660890" w:rsidRDefault="00052A87" w:rsidP="00052A87">
            <w:pPr>
              <w:pStyle w:val="TableColumnHeadingRight"/>
            </w:pPr>
            <w:r w:rsidRPr="00660890">
              <w:t>MSBS</w:t>
            </w:r>
            <w:r w:rsidR="004F45A9">
              <w:rPr>
                <w:rFonts w:cs="Arial"/>
              </w:rPr>
              <w:t>¹</w:t>
            </w:r>
            <w:r>
              <w:t xml:space="preserve"> (%)</w:t>
            </w:r>
          </w:p>
        </w:tc>
        <w:tc>
          <w:tcPr>
            <w:tcW w:w="1418" w:type="dxa"/>
            <w:tcBorders>
              <w:top w:val="single" w:sz="2" w:space="0" w:color="000000"/>
              <w:bottom w:val="single" w:sz="2" w:space="0" w:color="000000"/>
            </w:tcBorders>
            <w:shd w:val="clear" w:color="auto" w:fill="E6E6E6"/>
          </w:tcPr>
          <w:p w14:paraId="480878DF" w14:textId="77777777" w:rsidR="00052A87" w:rsidRPr="00660890" w:rsidRDefault="00052A87" w:rsidP="00052A87">
            <w:pPr>
              <w:pStyle w:val="TableColumnHeadingRight"/>
            </w:pPr>
            <w:r w:rsidRPr="00660890">
              <w:t>DFRDB</w:t>
            </w:r>
            <w:r>
              <w:t xml:space="preserve"> (%)</w:t>
            </w:r>
          </w:p>
        </w:tc>
        <w:tc>
          <w:tcPr>
            <w:tcW w:w="1418" w:type="dxa"/>
            <w:tcBorders>
              <w:top w:val="single" w:sz="2" w:space="0" w:color="000000"/>
              <w:bottom w:val="single" w:sz="2" w:space="0" w:color="000000"/>
            </w:tcBorders>
            <w:shd w:val="clear" w:color="auto" w:fill="E6E6E6"/>
          </w:tcPr>
          <w:p w14:paraId="0811CB65" w14:textId="7238A4CF" w:rsidR="00052A87" w:rsidRPr="00660890" w:rsidRDefault="00052A87" w:rsidP="0048020A">
            <w:pPr>
              <w:pStyle w:val="TableColumnHeadingRight"/>
              <w:ind w:left="-57" w:right="-57"/>
            </w:pPr>
            <w:r w:rsidRPr="00660890">
              <w:t>Combined</w:t>
            </w:r>
            <w:r w:rsidR="004F45A9">
              <w:rPr>
                <w:rFonts w:cs="Arial"/>
              </w:rPr>
              <w:t>²</w:t>
            </w:r>
            <w:r w:rsidR="0048020A">
              <w:rPr>
                <w:rFonts w:cs="Arial"/>
              </w:rPr>
              <w:t xml:space="preserve"> (</w:t>
            </w:r>
            <w:r>
              <w:t>%)</w:t>
            </w:r>
          </w:p>
        </w:tc>
      </w:tr>
      <w:tr w:rsidR="00052A87" w:rsidRPr="00660890" w14:paraId="6861D58B" w14:textId="77777777" w:rsidTr="0048020A">
        <w:tc>
          <w:tcPr>
            <w:tcW w:w="2892" w:type="dxa"/>
            <w:tcBorders>
              <w:top w:val="single" w:sz="2" w:space="0" w:color="000000"/>
              <w:bottom w:val="nil"/>
            </w:tcBorders>
          </w:tcPr>
          <w:p w14:paraId="06778584" w14:textId="77777777" w:rsidR="00052A87" w:rsidRPr="00660890" w:rsidRDefault="00052A87" w:rsidP="007F0622">
            <w:pPr>
              <w:pStyle w:val="TableTextLeft"/>
            </w:pPr>
            <w:r w:rsidRPr="00660890">
              <w:t>20</w:t>
            </w:r>
            <w:r w:rsidR="007F0622">
              <w:t>11</w:t>
            </w:r>
            <w:r w:rsidRPr="00660890">
              <w:t xml:space="preserve"> Report</w:t>
            </w:r>
          </w:p>
        </w:tc>
        <w:tc>
          <w:tcPr>
            <w:tcW w:w="1418" w:type="dxa"/>
            <w:tcBorders>
              <w:top w:val="single" w:sz="2" w:space="0" w:color="000000"/>
              <w:bottom w:val="nil"/>
            </w:tcBorders>
          </w:tcPr>
          <w:p w14:paraId="3249DC9D" w14:textId="77777777" w:rsidR="00052A87" w:rsidRPr="00660890" w:rsidRDefault="007F0622" w:rsidP="007F0622">
            <w:pPr>
              <w:pStyle w:val="TableTextRight"/>
            </w:pPr>
            <w:r>
              <w:t>30</w:t>
            </w:r>
            <w:r w:rsidR="001E1F78">
              <w:t>.</w:t>
            </w:r>
            <w:r>
              <w:t>4</w:t>
            </w:r>
          </w:p>
        </w:tc>
        <w:tc>
          <w:tcPr>
            <w:tcW w:w="1418" w:type="dxa"/>
            <w:tcBorders>
              <w:top w:val="single" w:sz="2" w:space="0" w:color="000000"/>
              <w:bottom w:val="nil"/>
            </w:tcBorders>
          </w:tcPr>
          <w:p w14:paraId="56A14DB3" w14:textId="77777777" w:rsidR="00052A87" w:rsidRPr="00660890" w:rsidRDefault="007F0622" w:rsidP="007F0622">
            <w:pPr>
              <w:pStyle w:val="TableTextRight"/>
            </w:pPr>
            <w:r>
              <w:t>29.7</w:t>
            </w:r>
          </w:p>
        </w:tc>
        <w:tc>
          <w:tcPr>
            <w:tcW w:w="1418" w:type="dxa"/>
            <w:tcBorders>
              <w:top w:val="single" w:sz="2" w:space="0" w:color="000000"/>
              <w:bottom w:val="nil"/>
            </w:tcBorders>
          </w:tcPr>
          <w:p w14:paraId="052E9DA1" w14:textId="77777777" w:rsidR="00052A87" w:rsidRPr="00660890" w:rsidRDefault="007F0622" w:rsidP="0048020A">
            <w:pPr>
              <w:pStyle w:val="TableTextRight"/>
              <w:ind w:left="-57" w:right="-57"/>
            </w:pPr>
            <w:r>
              <w:t>30</w:t>
            </w:r>
            <w:r w:rsidR="001E1F78">
              <w:t>.</w:t>
            </w:r>
            <w:r>
              <w:t>4</w:t>
            </w:r>
          </w:p>
        </w:tc>
      </w:tr>
      <w:tr w:rsidR="003C50FA" w:rsidRPr="00660890" w14:paraId="459109EF" w14:textId="77777777" w:rsidTr="0048020A">
        <w:tc>
          <w:tcPr>
            <w:tcW w:w="2892" w:type="dxa"/>
            <w:tcBorders>
              <w:top w:val="nil"/>
              <w:bottom w:val="nil"/>
            </w:tcBorders>
            <w:shd w:val="clear" w:color="auto" w:fill="F2F2F2" w:themeFill="background1" w:themeFillShade="F2"/>
          </w:tcPr>
          <w:p w14:paraId="0C4A2E36" w14:textId="77777777" w:rsidR="003C50FA" w:rsidRPr="00660890" w:rsidRDefault="003C50FA" w:rsidP="00057763">
            <w:pPr>
              <w:pStyle w:val="TableTextLeft"/>
            </w:pPr>
            <w:r w:rsidRPr="00660890">
              <w:t>Current Report</w:t>
            </w:r>
            <w:r>
              <w:t xml:space="preserve"> (MSBS open)</w:t>
            </w:r>
          </w:p>
        </w:tc>
        <w:tc>
          <w:tcPr>
            <w:tcW w:w="1418" w:type="dxa"/>
            <w:tcBorders>
              <w:top w:val="nil"/>
              <w:bottom w:val="nil"/>
            </w:tcBorders>
            <w:shd w:val="clear" w:color="auto" w:fill="F2F2F2" w:themeFill="background1" w:themeFillShade="F2"/>
          </w:tcPr>
          <w:p w14:paraId="14DB72A2" w14:textId="77777777" w:rsidR="003C50FA" w:rsidRPr="00660890" w:rsidRDefault="003C50FA" w:rsidP="00057763">
            <w:pPr>
              <w:pStyle w:val="TableTextRight"/>
            </w:pPr>
            <w:r>
              <w:t>33.2</w:t>
            </w:r>
          </w:p>
        </w:tc>
        <w:tc>
          <w:tcPr>
            <w:tcW w:w="1418" w:type="dxa"/>
            <w:tcBorders>
              <w:top w:val="nil"/>
              <w:bottom w:val="nil"/>
            </w:tcBorders>
            <w:shd w:val="clear" w:color="auto" w:fill="F2F2F2" w:themeFill="background1" w:themeFillShade="F2"/>
          </w:tcPr>
          <w:p w14:paraId="41C9805A" w14:textId="77777777" w:rsidR="003C50FA" w:rsidRPr="00660890" w:rsidRDefault="003C50FA" w:rsidP="00057763">
            <w:pPr>
              <w:pStyle w:val="TableTextRight"/>
            </w:pPr>
            <w:r>
              <w:t>35.9</w:t>
            </w:r>
          </w:p>
        </w:tc>
        <w:tc>
          <w:tcPr>
            <w:tcW w:w="1418" w:type="dxa"/>
            <w:tcBorders>
              <w:top w:val="nil"/>
              <w:bottom w:val="nil"/>
            </w:tcBorders>
            <w:shd w:val="clear" w:color="auto" w:fill="F2F2F2" w:themeFill="background1" w:themeFillShade="F2"/>
          </w:tcPr>
          <w:p w14:paraId="6A4DCBD1" w14:textId="77777777" w:rsidR="003C50FA" w:rsidRPr="00660890" w:rsidRDefault="003C50FA" w:rsidP="0048020A">
            <w:pPr>
              <w:pStyle w:val="TableTextRight"/>
              <w:ind w:left="-57" w:right="-57"/>
            </w:pPr>
            <w:r>
              <w:t>33.3</w:t>
            </w:r>
          </w:p>
        </w:tc>
      </w:tr>
      <w:tr w:rsidR="003C50FA" w:rsidRPr="00660890" w14:paraId="2C51F59D" w14:textId="77777777" w:rsidTr="0048020A">
        <w:tc>
          <w:tcPr>
            <w:tcW w:w="2892" w:type="dxa"/>
            <w:tcBorders>
              <w:top w:val="nil"/>
            </w:tcBorders>
          </w:tcPr>
          <w:p w14:paraId="6836FD13" w14:textId="28C0B7D1" w:rsidR="003C50FA" w:rsidRPr="00660890" w:rsidRDefault="003C50FA" w:rsidP="00057763">
            <w:pPr>
              <w:pStyle w:val="TableTextLeft"/>
            </w:pPr>
            <w:r w:rsidRPr="00660890">
              <w:t>Current Report</w:t>
            </w:r>
            <w:r w:rsidR="0098782E">
              <w:t xml:space="preserve"> (MSBS </w:t>
            </w:r>
            <w:r>
              <w:t>closed)</w:t>
            </w:r>
            <w:r>
              <w:rPr>
                <w:rFonts w:cs="Arial"/>
              </w:rPr>
              <w:t xml:space="preserve"> </w:t>
            </w:r>
            <w:r w:rsidRPr="00831923">
              <w:rPr>
                <w:rFonts w:cs="Arial"/>
                <w:vertAlign w:val="superscript"/>
              </w:rPr>
              <w:t>3</w:t>
            </w:r>
          </w:p>
        </w:tc>
        <w:tc>
          <w:tcPr>
            <w:tcW w:w="1418" w:type="dxa"/>
            <w:tcBorders>
              <w:top w:val="nil"/>
            </w:tcBorders>
          </w:tcPr>
          <w:p w14:paraId="2097A748" w14:textId="77777777" w:rsidR="003C50FA" w:rsidRDefault="003C50FA" w:rsidP="00057763">
            <w:pPr>
              <w:pStyle w:val="TableTextRight"/>
            </w:pPr>
            <w:r>
              <w:t>33.2</w:t>
            </w:r>
          </w:p>
        </w:tc>
        <w:tc>
          <w:tcPr>
            <w:tcW w:w="1418" w:type="dxa"/>
            <w:tcBorders>
              <w:top w:val="nil"/>
            </w:tcBorders>
          </w:tcPr>
          <w:p w14:paraId="74F945C7" w14:textId="77777777" w:rsidR="003C50FA" w:rsidRDefault="003C50FA" w:rsidP="00057763">
            <w:pPr>
              <w:pStyle w:val="TableTextRight"/>
            </w:pPr>
            <w:r>
              <w:t>35.9</w:t>
            </w:r>
          </w:p>
        </w:tc>
        <w:tc>
          <w:tcPr>
            <w:tcW w:w="1418" w:type="dxa"/>
            <w:tcBorders>
              <w:top w:val="nil"/>
            </w:tcBorders>
          </w:tcPr>
          <w:p w14:paraId="19F6CE38" w14:textId="77777777" w:rsidR="003C50FA" w:rsidRDefault="003C50FA" w:rsidP="0048020A">
            <w:pPr>
              <w:pStyle w:val="TableTextRight"/>
              <w:ind w:left="-57" w:right="-57"/>
            </w:pPr>
            <w:r>
              <w:t>33.3</w:t>
            </w:r>
          </w:p>
        </w:tc>
      </w:tr>
    </w:tbl>
    <w:p w14:paraId="5F485582" w14:textId="77777777" w:rsidR="00052A87" w:rsidRPr="00262AC8" w:rsidRDefault="00052A87" w:rsidP="00F40ADB">
      <w:pPr>
        <w:pStyle w:val="ChartandTableFootnoteNumeral"/>
        <w:numPr>
          <w:ilvl w:val="0"/>
          <w:numId w:val="43"/>
        </w:numPr>
        <w:spacing w:before="20"/>
      </w:pPr>
      <w:r w:rsidRPr="00262AC8">
        <w:t>The MSBS rates exclude the cost of the retention benefit.</w:t>
      </w:r>
    </w:p>
    <w:p w14:paraId="75055562" w14:textId="77777777" w:rsidR="00480FAB" w:rsidRDefault="00052A87" w:rsidP="00D12B75">
      <w:pPr>
        <w:pStyle w:val="ChartandTableFootnoteNumeral"/>
      </w:pPr>
      <w:r w:rsidRPr="00262AC8">
        <w:t>The 20</w:t>
      </w:r>
      <w:r w:rsidR="00D95262">
        <w:t>11</w:t>
      </w:r>
      <w:r w:rsidRPr="00262AC8">
        <w:t xml:space="preserve"> and 20</w:t>
      </w:r>
      <w:r w:rsidR="0071141B">
        <w:t>1</w:t>
      </w:r>
      <w:r w:rsidR="00D95262">
        <w:t>4</w:t>
      </w:r>
      <w:r w:rsidRPr="00262AC8">
        <w:t xml:space="preserve"> combined rates are weighted average rates based on salaries of the members of the two schemes projected over the three years following the review date.</w:t>
      </w:r>
    </w:p>
    <w:p w14:paraId="68A985CA" w14:textId="4C8A6D16" w:rsidR="003C50FA" w:rsidRPr="003C50FA" w:rsidRDefault="003C50FA" w:rsidP="00D12B75">
      <w:pPr>
        <w:pStyle w:val="ChartandTableFootnoteNumeral"/>
      </w:pPr>
      <w:r>
        <w:t xml:space="preserve">Based on no new entrants to the MSBS from 1 July 2016 and no transfers from the MSBS to ADF Super. </w:t>
      </w:r>
    </w:p>
    <w:p w14:paraId="1862B946" w14:textId="77777777" w:rsidR="00CC2736" w:rsidRDefault="00CC2736">
      <w:pPr>
        <w:spacing w:before="0" w:after="0" w:line="240" w:lineRule="auto"/>
        <w:jc w:val="left"/>
      </w:pPr>
      <w:r>
        <w:br w:type="page"/>
      </w:r>
    </w:p>
    <w:p w14:paraId="4A7E7385" w14:textId="68F4F4DD" w:rsidR="00052A87" w:rsidRPr="001773E7" w:rsidRDefault="00052A87" w:rsidP="00B35979">
      <w:pPr>
        <w:pStyle w:val="BodyText"/>
      </w:pPr>
      <w:r w:rsidRPr="001773E7">
        <w:lastRenderedPageBreak/>
        <w:t xml:space="preserve">The majority of the increase in the MSBS notional employer contribution rate </w:t>
      </w:r>
      <w:r w:rsidR="004229BF" w:rsidRPr="001773E7">
        <w:t xml:space="preserve">from that </w:t>
      </w:r>
      <w:r w:rsidR="00C81B76">
        <w:t xml:space="preserve">disclosed </w:t>
      </w:r>
      <w:r w:rsidR="004229BF" w:rsidRPr="001773E7">
        <w:t>in the 20</w:t>
      </w:r>
      <w:r w:rsidR="00943420">
        <w:t>11</w:t>
      </w:r>
      <w:r w:rsidR="004229BF" w:rsidRPr="001773E7">
        <w:t xml:space="preserve"> Report </w:t>
      </w:r>
      <w:r w:rsidRPr="001773E7">
        <w:t xml:space="preserve">is due to </w:t>
      </w:r>
      <w:r w:rsidR="004229BF" w:rsidRPr="001773E7">
        <w:t xml:space="preserve">the </w:t>
      </w:r>
      <w:r w:rsidR="0010408F">
        <w:t>change</w:t>
      </w:r>
      <w:r w:rsidR="00F14CCF">
        <w:t>s</w:t>
      </w:r>
      <w:r w:rsidR="004036D8">
        <w:t xml:space="preserve"> to valuation assumptions. </w:t>
      </w:r>
      <w:r w:rsidR="001773E7" w:rsidRPr="001773E7">
        <w:t xml:space="preserve">The principal assumption change affecting the contribution rate was the increased </w:t>
      </w:r>
      <w:r w:rsidR="0010408F">
        <w:t xml:space="preserve">invalidity </w:t>
      </w:r>
      <w:r w:rsidR="008D1B08">
        <w:t xml:space="preserve">exit </w:t>
      </w:r>
      <w:r w:rsidR="0010408F">
        <w:t>rates for MSBS contributors. O</w:t>
      </w:r>
      <w:r w:rsidRPr="001773E7">
        <w:t>ther changes in assumptions had a minor impact on the notional employer contribution rate.</w:t>
      </w:r>
    </w:p>
    <w:p w14:paraId="702286B0" w14:textId="31A2AB62" w:rsidR="00052A87" w:rsidRPr="001773E7" w:rsidRDefault="00052A87" w:rsidP="00B35979">
      <w:pPr>
        <w:pStyle w:val="BodyText"/>
      </w:pPr>
      <w:r w:rsidRPr="001773E7">
        <w:t xml:space="preserve">The DFRDB is now closed to new entrants. </w:t>
      </w:r>
      <w:r w:rsidR="0010408F">
        <w:t xml:space="preserve">The </w:t>
      </w:r>
      <w:r w:rsidR="0010408F" w:rsidRPr="001773E7">
        <w:t xml:space="preserve">majority of the increase in the </w:t>
      </w:r>
      <w:r w:rsidR="0010408F">
        <w:t xml:space="preserve">DFRDB </w:t>
      </w:r>
      <w:r w:rsidR="00845D8D">
        <w:t xml:space="preserve">notional employer contribution rate </w:t>
      </w:r>
      <w:r w:rsidR="00463B69">
        <w:t>is due to the Government’s decision to improve indexation arrangements for D</w:t>
      </w:r>
      <w:r w:rsidR="004036D8">
        <w:t>FRDB pensioners aged 55 or more</w:t>
      </w:r>
      <w:r w:rsidR="00463B69">
        <w:t xml:space="preserve"> from 1 July 2014.</w:t>
      </w:r>
      <w:r w:rsidR="00212C90">
        <w:t xml:space="preserve"> </w:t>
      </w:r>
      <w:r w:rsidR="00463B69">
        <w:t xml:space="preserve">Changes in valuation assumptions have had a relatively minor effect on the </w:t>
      </w:r>
      <w:r w:rsidR="0010408F" w:rsidRPr="001773E7">
        <w:t>notional employer contribution rate</w:t>
      </w:r>
      <w:r w:rsidR="00463B69">
        <w:t>.</w:t>
      </w:r>
    </w:p>
    <w:p w14:paraId="7795F1D0" w14:textId="77777777" w:rsidR="00052A87" w:rsidRPr="00857BB6" w:rsidRDefault="00052A87" w:rsidP="00B35979">
      <w:pPr>
        <w:pStyle w:val="BodyText"/>
      </w:pPr>
      <w:r>
        <w:t xml:space="preserve">The increase in the combined rate from </w:t>
      </w:r>
      <w:r w:rsidR="00463B69">
        <w:t>30</w:t>
      </w:r>
      <w:r w:rsidR="001773E7">
        <w:t>.</w:t>
      </w:r>
      <w:r w:rsidR="00463B69">
        <w:t>4</w:t>
      </w:r>
      <w:r>
        <w:t xml:space="preserve"> per cent</w:t>
      </w:r>
      <w:r w:rsidRPr="00857BB6">
        <w:t xml:space="preserve"> of s</w:t>
      </w:r>
      <w:r>
        <w:t>alaries in 20</w:t>
      </w:r>
      <w:r w:rsidR="00463B69">
        <w:t>11</w:t>
      </w:r>
      <w:r>
        <w:t xml:space="preserve"> to </w:t>
      </w:r>
      <w:r w:rsidR="00EB253C">
        <w:t>3</w:t>
      </w:r>
      <w:r w:rsidR="00463B69">
        <w:t>3</w:t>
      </w:r>
      <w:r w:rsidR="001773E7">
        <w:t>.</w:t>
      </w:r>
      <w:r w:rsidR="00463B69">
        <w:t>3</w:t>
      </w:r>
      <w:r>
        <w:t> per cent of salaries in 20</w:t>
      </w:r>
      <w:r w:rsidR="00B35979">
        <w:t>1</w:t>
      </w:r>
      <w:r w:rsidR="00463B69">
        <w:t>4</w:t>
      </w:r>
      <w:r>
        <w:t xml:space="preserve"> is </w:t>
      </w:r>
      <w:r w:rsidR="001773E7">
        <w:t xml:space="preserve">primarily </w:t>
      </w:r>
      <w:r>
        <w:t>due to the increase</w:t>
      </w:r>
      <w:r w:rsidRPr="00857BB6">
        <w:t xml:space="preserve"> </w:t>
      </w:r>
      <w:r>
        <w:t xml:space="preserve">in the </w:t>
      </w:r>
      <w:r w:rsidRPr="00857BB6">
        <w:t>MSBS</w:t>
      </w:r>
      <w:r>
        <w:t xml:space="preserve"> notional employer contribution rate. </w:t>
      </w:r>
      <w:r w:rsidRPr="00857BB6">
        <w:t>At 30 June 20</w:t>
      </w:r>
      <w:r w:rsidR="00B35979">
        <w:t>1</w:t>
      </w:r>
      <w:r w:rsidR="00463B69">
        <w:t>4</w:t>
      </w:r>
      <w:r w:rsidRPr="00857BB6">
        <w:t xml:space="preserve">, DFRDB </w:t>
      </w:r>
      <w:r>
        <w:t>contributory members represented</w:t>
      </w:r>
      <w:r w:rsidRPr="00857BB6">
        <w:t xml:space="preserve"> </w:t>
      </w:r>
      <w:r w:rsidR="008D1B08">
        <w:t xml:space="preserve">only </w:t>
      </w:r>
      <w:r w:rsidR="00463B69">
        <w:t>around</w:t>
      </w:r>
      <w:r>
        <w:t xml:space="preserve"> </w:t>
      </w:r>
      <w:r w:rsidR="00463B69">
        <w:t>5</w:t>
      </w:r>
      <w:r>
        <w:t xml:space="preserve"> per cent</w:t>
      </w:r>
      <w:r w:rsidRPr="00857BB6">
        <w:t xml:space="preserve"> </w:t>
      </w:r>
      <w:r>
        <w:t xml:space="preserve">of </w:t>
      </w:r>
      <w:r w:rsidR="00B35979">
        <w:t xml:space="preserve">the </w:t>
      </w:r>
      <w:r>
        <w:t>total contributory members</w:t>
      </w:r>
      <w:r w:rsidR="00B35979">
        <w:t>hip</w:t>
      </w:r>
      <w:r>
        <w:t xml:space="preserve"> and changes in the MS</w:t>
      </w:r>
      <w:r w:rsidR="00C81B76">
        <w:t>BS rate</w:t>
      </w:r>
      <w:r>
        <w:t xml:space="preserve"> dominate </w:t>
      </w:r>
      <w:r w:rsidR="008D1B08">
        <w:t xml:space="preserve">changes in </w:t>
      </w:r>
      <w:r>
        <w:t xml:space="preserve">the combined rate. </w:t>
      </w:r>
    </w:p>
    <w:p w14:paraId="4E6ABDB6" w14:textId="77777777" w:rsidR="00052A87" w:rsidRDefault="00052A87" w:rsidP="00B35979">
      <w:pPr>
        <w:pStyle w:val="BodyText"/>
      </w:pPr>
      <w:r w:rsidRPr="00857BB6">
        <w:t>The actuarial method used for calculating the notional employer contribution rate in both this report and the previous report is known as the Projected Unit Credit (PUC) method</w:t>
      </w:r>
      <w:r>
        <w:t xml:space="preserve"> as set out in AASB 119. </w:t>
      </w:r>
    </w:p>
    <w:p w14:paraId="6FFCC069" w14:textId="44198F17" w:rsidR="00052A87" w:rsidRDefault="00052A87" w:rsidP="00052A87">
      <w:pPr>
        <w:pStyle w:val="BodyText"/>
      </w:pPr>
      <w:r>
        <w:t xml:space="preserve">As noted in Chapter 2, additional funded employer contributions are now also being made under the approach adopted to ensure compliance with Superannuation Guarantee requirements. These contributions </w:t>
      </w:r>
      <w:r w:rsidR="00B35979">
        <w:t>amounted</w:t>
      </w:r>
      <w:r>
        <w:t xml:space="preserve"> to around $</w:t>
      </w:r>
      <w:r w:rsidR="007742D5">
        <w:t>28</w:t>
      </w:r>
      <w:r>
        <w:t xml:space="preserve"> million in</w:t>
      </w:r>
      <w:r w:rsidR="00520EE0">
        <w:t xml:space="preserve"> </w:t>
      </w:r>
      <w:r w:rsidR="00B35979">
        <w:t>201</w:t>
      </w:r>
      <w:r w:rsidR="007742D5">
        <w:t>3</w:t>
      </w:r>
      <w:r w:rsidR="00B35979">
        <w:t>-1</w:t>
      </w:r>
      <w:r w:rsidR="004036D8">
        <w:t xml:space="preserve">4. </w:t>
      </w:r>
      <w:r>
        <w:t xml:space="preserve">Using the same salary base as the notional employer contribution rates, the additional contributions represent </w:t>
      </w:r>
      <w:r w:rsidR="001773E7">
        <w:t>close to</w:t>
      </w:r>
      <w:r w:rsidR="008D1B08">
        <w:t xml:space="preserve"> 0.6</w:t>
      </w:r>
      <w:r w:rsidR="00B35979">
        <w:t> </w:t>
      </w:r>
      <w:r>
        <w:t>per c</w:t>
      </w:r>
      <w:bookmarkStart w:id="76" w:name="_Toc135119210"/>
      <w:r w:rsidR="001C502B">
        <w:t>ent of superannuation salaries.</w:t>
      </w:r>
    </w:p>
    <w:p w14:paraId="001B0EB5" w14:textId="77777777" w:rsidR="001C502B" w:rsidRDefault="001C502B" w:rsidP="001C502B"/>
    <w:p w14:paraId="290FD946" w14:textId="77777777" w:rsidR="001C502B" w:rsidRDefault="001C502B" w:rsidP="001C502B"/>
    <w:p w14:paraId="600F09A7" w14:textId="77777777" w:rsidR="001C502B" w:rsidRPr="001C502B" w:rsidRDefault="001C502B" w:rsidP="001C502B">
      <w:pPr>
        <w:sectPr w:rsidR="001C502B" w:rsidRPr="001C502B" w:rsidSect="000E6C41">
          <w:footerReference w:type="even" r:id="rId44"/>
          <w:headerReference w:type="first" r:id="rId45"/>
          <w:footerReference w:type="first" r:id="rId46"/>
          <w:type w:val="oddPage"/>
          <w:pgSz w:w="11906" w:h="16838" w:code="9"/>
          <w:pgMar w:top="2466" w:right="2098" w:bottom="2466" w:left="2098" w:header="1899" w:footer="1899" w:gutter="0"/>
          <w:cols w:space="708"/>
          <w:titlePg/>
          <w:docGrid w:linePitch="360"/>
        </w:sectPr>
      </w:pPr>
    </w:p>
    <w:p w14:paraId="3BF22EE0" w14:textId="77777777" w:rsidR="00052A87" w:rsidRPr="00490A07" w:rsidRDefault="00052A87" w:rsidP="001F546B">
      <w:pPr>
        <w:pStyle w:val="Heading1"/>
      </w:pPr>
      <w:bookmarkStart w:id="77" w:name="_Toc136856498"/>
      <w:bookmarkStart w:id="78" w:name="_Toc232828405"/>
      <w:bookmarkStart w:id="79" w:name="_Ref309313038"/>
      <w:bookmarkStart w:id="80" w:name="_Ref309313052"/>
      <w:bookmarkStart w:id="81" w:name="_Ref324489908"/>
      <w:bookmarkStart w:id="82" w:name="_Ref422387390"/>
      <w:bookmarkStart w:id="83" w:name="_Ref422387400"/>
      <w:bookmarkStart w:id="84" w:name="_Ref422387454"/>
      <w:bookmarkStart w:id="85" w:name="_Ref422387470"/>
      <w:bookmarkStart w:id="86" w:name="_Ref422387477"/>
      <w:bookmarkStart w:id="87" w:name="_Toc425770493"/>
      <w:r w:rsidRPr="00490A07">
        <w:lastRenderedPageBreak/>
        <w:t>Projection of outlays</w:t>
      </w:r>
      <w:bookmarkEnd w:id="76"/>
      <w:bookmarkEnd w:id="77"/>
      <w:bookmarkEnd w:id="78"/>
      <w:bookmarkEnd w:id="79"/>
      <w:bookmarkEnd w:id="80"/>
      <w:bookmarkEnd w:id="81"/>
      <w:bookmarkEnd w:id="82"/>
      <w:bookmarkEnd w:id="83"/>
      <w:bookmarkEnd w:id="84"/>
      <w:bookmarkEnd w:id="85"/>
      <w:bookmarkEnd w:id="86"/>
      <w:bookmarkEnd w:id="87"/>
    </w:p>
    <w:p w14:paraId="54FD0DBB" w14:textId="04CF7F82" w:rsidR="00052A87" w:rsidRDefault="00052A87" w:rsidP="000D4BE7">
      <w:pPr>
        <w:pStyle w:val="BodyText"/>
      </w:pPr>
      <w:r w:rsidRPr="00857BB6">
        <w:t>A projection of annual Commonwealth</w:t>
      </w:r>
      <w:r w:rsidR="009B3E0D">
        <w:t xml:space="preserve"> cash</w:t>
      </w:r>
      <w:r w:rsidRPr="00857BB6">
        <w:t xml:space="preserve"> outlays has been</w:t>
      </w:r>
      <w:r w:rsidR="000A13B7">
        <w:t xml:space="preserve"> carried out to show the cash impact </w:t>
      </w:r>
      <w:r w:rsidR="00257928">
        <w:t>to</w:t>
      </w:r>
      <w:r w:rsidR="000A13B7">
        <w:t xml:space="preserve"> the Commonwealth </w:t>
      </w:r>
      <w:r w:rsidR="00257928">
        <w:t>from</w:t>
      </w:r>
      <w:r w:rsidRPr="00857BB6">
        <w:t xml:space="preserve"> the schemes in the long term</w:t>
      </w:r>
      <w:r>
        <w:t xml:space="preserve">. </w:t>
      </w:r>
      <w:r w:rsidRPr="00857BB6">
        <w:t xml:space="preserve">The Table below shows the actual outlays for </w:t>
      </w:r>
      <w:r>
        <w:t>1991</w:t>
      </w:r>
      <w:r>
        <w:noBreakHyphen/>
        <w:t>92, 1992</w:t>
      </w:r>
      <w:r>
        <w:noBreakHyphen/>
        <w:t xml:space="preserve">93, </w:t>
      </w:r>
      <w:r w:rsidRPr="00857BB6">
        <w:t>every third</w:t>
      </w:r>
      <w:r>
        <w:t> year</w:t>
      </w:r>
      <w:r w:rsidRPr="00857BB6">
        <w:t xml:space="preserve"> ther</w:t>
      </w:r>
      <w:r>
        <w:t>eafter and for each of the years since 200</w:t>
      </w:r>
      <w:r w:rsidR="0071141B">
        <w:t>7</w:t>
      </w:r>
      <w:r>
        <w:noBreakHyphen/>
        <w:t>0</w:t>
      </w:r>
      <w:r w:rsidR="0071141B">
        <w:t>8</w:t>
      </w:r>
      <w:r w:rsidRPr="00857BB6">
        <w:t xml:space="preserve"> for the </w:t>
      </w:r>
      <w:r w:rsidR="00BF521A">
        <w:t xml:space="preserve">DFRB, </w:t>
      </w:r>
      <w:r w:rsidRPr="00857BB6">
        <w:t xml:space="preserve">DFRDB, the MSBS, and the </w:t>
      </w:r>
      <w:r w:rsidR="00BF521A">
        <w:t>three</w:t>
      </w:r>
      <w:r w:rsidRPr="00857BB6">
        <w:t xml:space="preserve"> schemes combined</w:t>
      </w:r>
      <w:r>
        <w:t>.</w:t>
      </w:r>
      <w:r w:rsidR="001C4309">
        <w:t xml:space="preserve"> Prior to 2008-09, DFRB outlays are included in DFRDB outlays.</w:t>
      </w:r>
      <w:r>
        <w:t xml:space="preserve"> </w:t>
      </w:r>
      <w:r w:rsidRPr="00857BB6">
        <w:t xml:space="preserve">It also shows projected outlays for the next </w:t>
      </w:r>
      <w:r w:rsidR="00573637">
        <w:t>six</w:t>
      </w:r>
      <w:r w:rsidRPr="00857BB6">
        <w:t xml:space="preserve"> years and then every fifth year </w:t>
      </w:r>
      <w:r>
        <w:t>from 201</w:t>
      </w:r>
      <w:r w:rsidR="002100D8">
        <w:t>9</w:t>
      </w:r>
      <w:r>
        <w:noBreakHyphen/>
      </w:r>
      <w:r w:rsidR="002100D8">
        <w:t>20</w:t>
      </w:r>
      <w:r w:rsidRPr="00857BB6">
        <w:t xml:space="preserve">. </w:t>
      </w:r>
      <w:r w:rsidR="000D4BE7" w:rsidRPr="003546ED">
        <w:t xml:space="preserve">Note that the projections </w:t>
      </w:r>
      <w:r w:rsidR="000D4BE7">
        <w:t xml:space="preserve">are presented separately </w:t>
      </w:r>
      <w:proofErr w:type="gramStart"/>
      <w:r w:rsidR="000D4BE7">
        <w:t>under</w:t>
      </w:r>
      <w:proofErr w:type="gramEnd"/>
      <w:r w:rsidR="000D4BE7">
        <w:t xml:space="preserve"> two scenarios</w:t>
      </w:r>
      <w:r w:rsidR="00C81B76">
        <w:t>:</w:t>
      </w:r>
      <w:r w:rsidR="000D4BE7">
        <w:t xml:space="preserve"> the MSBS remaining open to new members; and the MSBS closing to new member</w:t>
      </w:r>
      <w:r w:rsidR="00EE49FC">
        <w:t>s from</w:t>
      </w:r>
      <w:r w:rsidR="00520EE0">
        <w:t xml:space="preserve"> </w:t>
      </w:r>
      <w:r w:rsidR="00EE49FC">
        <w:t>1 July 2016.</w:t>
      </w:r>
    </w:p>
    <w:p w14:paraId="0B04AE48" w14:textId="77777777" w:rsidR="00052A87" w:rsidRDefault="00052A87" w:rsidP="00052A87">
      <w:pPr>
        <w:pStyle w:val="TableMainHeading"/>
      </w:pPr>
      <w:r>
        <w:t>Actual and projected Commonwealth outlays</w:t>
      </w:r>
      <w:r w:rsidR="00E106D9">
        <w:t xml:space="preserve"> (</w:t>
      </w:r>
      <w:r w:rsidR="00C00C2F">
        <w:t>MSBS</w:t>
      </w:r>
      <w:r w:rsidR="00E106D9">
        <w:t xml:space="preserve"> remains open</w:t>
      </w:r>
      <w:proofErr w:type="gramStart"/>
      <w:r w:rsidR="00C00C2F">
        <w:t>)</w:t>
      </w:r>
      <w:r w:rsidR="00C674B9">
        <w:rPr>
          <w:rFonts w:cs="Arial"/>
        </w:rPr>
        <w:t>¹</w:t>
      </w:r>
      <w:proofErr w:type="gramEnd"/>
    </w:p>
    <w:tbl>
      <w:tblPr>
        <w:tblW w:w="0" w:type="auto"/>
        <w:tblInd w:w="675" w:type="dxa"/>
        <w:tblLayout w:type="fixed"/>
        <w:tblLook w:val="01E0" w:firstRow="1" w:lastRow="1" w:firstColumn="1" w:lastColumn="1" w:noHBand="0" w:noVBand="0"/>
      </w:tblPr>
      <w:tblGrid>
        <w:gridCol w:w="1021"/>
        <w:gridCol w:w="794"/>
        <w:gridCol w:w="851"/>
        <w:gridCol w:w="794"/>
        <w:gridCol w:w="1701"/>
        <w:gridCol w:w="794"/>
        <w:gridCol w:w="1191"/>
      </w:tblGrid>
      <w:tr w:rsidR="009616A2" w14:paraId="1217F2D1" w14:textId="77777777" w:rsidTr="0048020A">
        <w:tc>
          <w:tcPr>
            <w:tcW w:w="1021" w:type="dxa"/>
            <w:tcBorders>
              <w:top w:val="single" w:sz="2" w:space="0" w:color="auto"/>
              <w:bottom w:val="single" w:sz="12" w:space="0" w:color="auto"/>
            </w:tcBorders>
            <w:shd w:val="clear" w:color="auto" w:fill="E6E6E6"/>
          </w:tcPr>
          <w:p w14:paraId="4D9EB07C" w14:textId="77777777" w:rsidR="00E55A30" w:rsidRDefault="00E55A30" w:rsidP="003A454A">
            <w:pPr>
              <w:pStyle w:val="TableColumnHeadingLeft"/>
              <w:spacing w:before="26" w:after="26"/>
              <w:ind w:right="-80"/>
            </w:pPr>
            <w:r w:rsidRPr="00660890">
              <w:t>Year</w:t>
            </w:r>
          </w:p>
        </w:tc>
        <w:tc>
          <w:tcPr>
            <w:tcW w:w="794" w:type="dxa"/>
            <w:tcBorders>
              <w:top w:val="single" w:sz="2" w:space="0" w:color="auto"/>
              <w:bottom w:val="single" w:sz="12" w:space="0" w:color="auto"/>
            </w:tcBorders>
            <w:shd w:val="clear" w:color="auto" w:fill="E6E6E6"/>
          </w:tcPr>
          <w:p w14:paraId="5BE564F4" w14:textId="77777777" w:rsidR="00E55A30" w:rsidRPr="00660890" w:rsidRDefault="00286EAA" w:rsidP="003A454A">
            <w:pPr>
              <w:pStyle w:val="TableColumnHeadingRight"/>
              <w:spacing w:before="26" w:after="26"/>
            </w:pPr>
            <w:r>
              <w:t>DFRB</w:t>
            </w:r>
            <w:r w:rsidR="00850814">
              <w:rPr>
                <w:rFonts w:cs="Arial"/>
              </w:rPr>
              <w:t>²</w:t>
            </w:r>
            <w:r>
              <w:br/>
              <w:t>($m)</w:t>
            </w:r>
          </w:p>
        </w:tc>
        <w:tc>
          <w:tcPr>
            <w:tcW w:w="851" w:type="dxa"/>
            <w:tcBorders>
              <w:top w:val="single" w:sz="2" w:space="0" w:color="auto"/>
              <w:bottom w:val="single" w:sz="12" w:space="0" w:color="auto"/>
            </w:tcBorders>
            <w:shd w:val="clear" w:color="auto" w:fill="E6E6E6"/>
          </w:tcPr>
          <w:p w14:paraId="0A5ED1AA" w14:textId="77777777" w:rsidR="00E55A30" w:rsidRDefault="00E55A30" w:rsidP="003A454A">
            <w:pPr>
              <w:pStyle w:val="TableColumnHeadingRight"/>
              <w:spacing w:before="26" w:after="26"/>
            </w:pPr>
            <w:r w:rsidRPr="00660890">
              <w:t>DFRDB</w:t>
            </w:r>
            <w:r>
              <w:t xml:space="preserve"> </w:t>
            </w:r>
            <w:r>
              <w:br/>
            </w:r>
            <w:r w:rsidRPr="00660890">
              <w:t>($m)</w:t>
            </w:r>
          </w:p>
        </w:tc>
        <w:tc>
          <w:tcPr>
            <w:tcW w:w="794" w:type="dxa"/>
            <w:tcBorders>
              <w:top w:val="single" w:sz="2" w:space="0" w:color="auto"/>
              <w:bottom w:val="single" w:sz="12" w:space="0" w:color="auto"/>
            </w:tcBorders>
            <w:shd w:val="clear" w:color="auto" w:fill="E6E6E6"/>
          </w:tcPr>
          <w:p w14:paraId="729E253F" w14:textId="77777777" w:rsidR="00E55A30" w:rsidRDefault="00E55A30" w:rsidP="003A454A">
            <w:pPr>
              <w:pStyle w:val="TableColumnHeadingRight"/>
              <w:spacing w:before="26" w:after="26"/>
            </w:pPr>
            <w:r w:rsidRPr="00660890">
              <w:t>MSBS</w:t>
            </w:r>
            <w:r>
              <w:br/>
            </w:r>
            <w:r w:rsidRPr="00660890">
              <w:t>($m)</w:t>
            </w:r>
          </w:p>
        </w:tc>
        <w:tc>
          <w:tcPr>
            <w:tcW w:w="1701" w:type="dxa"/>
            <w:tcBorders>
              <w:top w:val="single" w:sz="2" w:space="0" w:color="auto"/>
              <w:bottom w:val="single" w:sz="12" w:space="0" w:color="auto"/>
            </w:tcBorders>
            <w:shd w:val="clear" w:color="auto" w:fill="E6E6E6"/>
          </w:tcPr>
          <w:p w14:paraId="3807CE75" w14:textId="77777777" w:rsidR="00E55A30" w:rsidRDefault="00E55A30" w:rsidP="003A454A">
            <w:pPr>
              <w:pStyle w:val="TableColumnHeadingRight"/>
              <w:spacing w:before="26" w:after="26"/>
              <w:ind w:left="-57" w:right="-57"/>
            </w:pPr>
            <w:r>
              <w:t>SG contributions</w:t>
            </w:r>
            <w:r w:rsidR="00F16893" w:rsidRPr="00F16893">
              <w:rPr>
                <w:rFonts w:cs="Arial"/>
                <w:vertAlign w:val="superscript"/>
              </w:rPr>
              <w:t>4</w:t>
            </w:r>
            <w:r>
              <w:br/>
              <w:t>($m)</w:t>
            </w:r>
          </w:p>
        </w:tc>
        <w:tc>
          <w:tcPr>
            <w:tcW w:w="794" w:type="dxa"/>
            <w:tcBorders>
              <w:top w:val="single" w:sz="2" w:space="0" w:color="auto"/>
              <w:bottom w:val="single" w:sz="12" w:space="0" w:color="auto"/>
            </w:tcBorders>
            <w:shd w:val="clear" w:color="auto" w:fill="E6E6E6"/>
          </w:tcPr>
          <w:p w14:paraId="1E883FFD" w14:textId="77777777" w:rsidR="00E55A30" w:rsidRDefault="00E55A30" w:rsidP="003A454A">
            <w:pPr>
              <w:pStyle w:val="TableColumnHeadingRight"/>
              <w:spacing w:before="26" w:after="26"/>
            </w:pPr>
            <w:r w:rsidRPr="00660890">
              <w:t>Total</w:t>
            </w:r>
            <w:r>
              <w:br/>
            </w:r>
            <w:r w:rsidRPr="00660890">
              <w:t>($m)</w:t>
            </w:r>
          </w:p>
        </w:tc>
        <w:tc>
          <w:tcPr>
            <w:tcW w:w="1191" w:type="dxa"/>
            <w:tcBorders>
              <w:top w:val="single" w:sz="2" w:space="0" w:color="auto"/>
              <w:bottom w:val="single" w:sz="12" w:space="0" w:color="auto"/>
            </w:tcBorders>
            <w:shd w:val="clear" w:color="auto" w:fill="E6E6E6"/>
          </w:tcPr>
          <w:p w14:paraId="6C0B8C72" w14:textId="77777777" w:rsidR="00E55A30" w:rsidRDefault="00E55A30" w:rsidP="003A454A">
            <w:pPr>
              <w:pStyle w:val="TableColumnHeadingRight"/>
              <w:spacing w:before="26" w:after="26"/>
            </w:pPr>
            <w:r w:rsidRPr="00660890">
              <w:t xml:space="preserve">As a percentage </w:t>
            </w:r>
            <w:r>
              <w:br/>
            </w:r>
            <w:r w:rsidRPr="00660890">
              <w:t>of GDP</w:t>
            </w:r>
          </w:p>
        </w:tc>
      </w:tr>
      <w:tr w:rsidR="002F13EB" w14:paraId="7C63E9D8" w14:textId="77777777" w:rsidTr="0048020A">
        <w:tc>
          <w:tcPr>
            <w:tcW w:w="1021" w:type="dxa"/>
            <w:tcBorders>
              <w:top w:val="single" w:sz="12" w:space="0" w:color="auto"/>
              <w:bottom w:val="single" w:sz="4" w:space="0" w:color="auto"/>
            </w:tcBorders>
            <w:shd w:val="clear" w:color="auto" w:fill="D9D9D9" w:themeFill="background1" w:themeFillShade="D9"/>
            <w:vAlign w:val="bottom"/>
          </w:tcPr>
          <w:p w14:paraId="3BCB0A14" w14:textId="77777777" w:rsidR="00E55A30" w:rsidRDefault="00E55A30" w:rsidP="003A454A">
            <w:pPr>
              <w:pStyle w:val="TableColumnHeadingLeft"/>
              <w:spacing w:before="26" w:after="26"/>
              <w:ind w:right="-80"/>
            </w:pPr>
            <w:r w:rsidRPr="00B94444">
              <w:t>Actual</w:t>
            </w:r>
            <w:r w:rsidR="00F16893" w:rsidRPr="00F16893">
              <w:rPr>
                <w:vertAlign w:val="superscript"/>
              </w:rPr>
              <w:t>5</w:t>
            </w:r>
          </w:p>
        </w:tc>
        <w:tc>
          <w:tcPr>
            <w:tcW w:w="794" w:type="dxa"/>
            <w:tcBorders>
              <w:top w:val="single" w:sz="12" w:space="0" w:color="auto"/>
              <w:bottom w:val="single" w:sz="4" w:space="0" w:color="auto"/>
            </w:tcBorders>
            <w:shd w:val="clear" w:color="auto" w:fill="D9D9D9" w:themeFill="background1" w:themeFillShade="D9"/>
            <w:vAlign w:val="bottom"/>
          </w:tcPr>
          <w:p w14:paraId="774E660C" w14:textId="77777777" w:rsidR="00E55A30" w:rsidRDefault="00E55A30" w:rsidP="003A454A">
            <w:pPr>
              <w:pStyle w:val="TableTextLeft"/>
              <w:spacing w:before="26" w:after="26"/>
            </w:pPr>
          </w:p>
        </w:tc>
        <w:tc>
          <w:tcPr>
            <w:tcW w:w="851" w:type="dxa"/>
            <w:tcBorders>
              <w:top w:val="single" w:sz="12" w:space="0" w:color="auto"/>
              <w:bottom w:val="single" w:sz="4" w:space="0" w:color="auto"/>
            </w:tcBorders>
            <w:shd w:val="clear" w:color="auto" w:fill="D9D9D9" w:themeFill="background1" w:themeFillShade="D9"/>
            <w:vAlign w:val="bottom"/>
          </w:tcPr>
          <w:p w14:paraId="15ADD0D3" w14:textId="77777777" w:rsidR="00E55A30" w:rsidRDefault="00E55A30" w:rsidP="003A454A">
            <w:pPr>
              <w:pStyle w:val="TableTextLeft"/>
              <w:spacing w:before="26" w:after="26"/>
            </w:pPr>
          </w:p>
        </w:tc>
        <w:tc>
          <w:tcPr>
            <w:tcW w:w="794" w:type="dxa"/>
            <w:tcBorders>
              <w:top w:val="single" w:sz="12" w:space="0" w:color="auto"/>
              <w:bottom w:val="single" w:sz="4" w:space="0" w:color="auto"/>
            </w:tcBorders>
            <w:shd w:val="clear" w:color="auto" w:fill="D9D9D9" w:themeFill="background1" w:themeFillShade="D9"/>
            <w:vAlign w:val="bottom"/>
          </w:tcPr>
          <w:p w14:paraId="4830E8DF" w14:textId="77777777" w:rsidR="00E55A30" w:rsidRDefault="00E55A30" w:rsidP="003A454A">
            <w:pPr>
              <w:pStyle w:val="TableTextLeft"/>
              <w:spacing w:before="26" w:after="26"/>
            </w:pPr>
          </w:p>
        </w:tc>
        <w:tc>
          <w:tcPr>
            <w:tcW w:w="1701" w:type="dxa"/>
            <w:tcBorders>
              <w:top w:val="single" w:sz="12" w:space="0" w:color="auto"/>
              <w:bottom w:val="single" w:sz="4" w:space="0" w:color="auto"/>
            </w:tcBorders>
            <w:shd w:val="clear" w:color="auto" w:fill="D9D9D9" w:themeFill="background1" w:themeFillShade="D9"/>
            <w:vAlign w:val="bottom"/>
          </w:tcPr>
          <w:p w14:paraId="17629206" w14:textId="77777777" w:rsidR="00E55A30" w:rsidRDefault="00E55A30" w:rsidP="003A454A">
            <w:pPr>
              <w:pStyle w:val="TableTextLeft"/>
              <w:spacing w:before="26" w:after="26"/>
              <w:ind w:left="-57" w:right="-57"/>
            </w:pPr>
          </w:p>
        </w:tc>
        <w:tc>
          <w:tcPr>
            <w:tcW w:w="794" w:type="dxa"/>
            <w:tcBorders>
              <w:top w:val="single" w:sz="12" w:space="0" w:color="auto"/>
              <w:bottom w:val="single" w:sz="4" w:space="0" w:color="auto"/>
            </w:tcBorders>
            <w:shd w:val="clear" w:color="auto" w:fill="D9D9D9" w:themeFill="background1" w:themeFillShade="D9"/>
            <w:vAlign w:val="bottom"/>
          </w:tcPr>
          <w:p w14:paraId="3B88AFF2" w14:textId="77777777" w:rsidR="00E55A30" w:rsidRDefault="00E55A30" w:rsidP="003A454A">
            <w:pPr>
              <w:pStyle w:val="TableTextLeft"/>
              <w:spacing w:before="26" w:after="26"/>
            </w:pPr>
          </w:p>
        </w:tc>
        <w:tc>
          <w:tcPr>
            <w:tcW w:w="1191" w:type="dxa"/>
            <w:tcBorders>
              <w:top w:val="single" w:sz="12" w:space="0" w:color="auto"/>
              <w:bottom w:val="single" w:sz="4" w:space="0" w:color="auto"/>
            </w:tcBorders>
            <w:shd w:val="clear" w:color="auto" w:fill="D9D9D9" w:themeFill="background1" w:themeFillShade="D9"/>
            <w:vAlign w:val="bottom"/>
          </w:tcPr>
          <w:p w14:paraId="05D2A07F" w14:textId="77777777" w:rsidR="00E55A30" w:rsidRDefault="00E55A30" w:rsidP="003A454A">
            <w:pPr>
              <w:pStyle w:val="TableTextLeft"/>
              <w:spacing w:before="26" w:after="26"/>
            </w:pPr>
          </w:p>
        </w:tc>
      </w:tr>
      <w:tr w:rsidR="002F13EB" w:rsidRPr="00742ABA" w14:paraId="5BABE7C0" w14:textId="77777777" w:rsidTr="0048020A">
        <w:tc>
          <w:tcPr>
            <w:tcW w:w="1021" w:type="dxa"/>
            <w:tcBorders>
              <w:top w:val="single" w:sz="4" w:space="0" w:color="auto"/>
            </w:tcBorders>
            <w:shd w:val="clear" w:color="auto" w:fill="F2F2F2" w:themeFill="background1" w:themeFillShade="F2"/>
            <w:vAlign w:val="center"/>
          </w:tcPr>
          <w:p w14:paraId="200F0F23" w14:textId="77777777" w:rsidR="00BF521A" w:rsidRPr="00B94444" w:rsidRDefault="00BF521A" w:rsidP="003A454A">
            <w:pPr>
              <w:pStyle w:val="TableTextLeft"/>
              <w:spacing w:before="26" w:after="26"/>
              <w:ind w:right="-80"/>
            </w:pPr>
            <w:r w:rsidRPr="00660890">
              <w:t>1991</w:t>
            </w:r>
            <w:r>
              <w:noBreakHyphen/>
            </w:r>
            <w:r w:rsidRPr="00660890">
              <w:t>92</w:t>
            </w:r>
          </w:p>
        </w:tc>
        <w:tc>
          <w:tcPr>
            <w:tcW w:w="794" w:type="dxa"/>
            <w:tcBorders>
              <w:top w:val="single" w:sz="4" w:space="0" w:color="auto"/>
            </w:tcBorders>
            <w:shd w:val="clear" w:color="auto" w:fill="F2F2F2" w:themeFill="background1" w:themeFillShade="F2"/>
            <w:vAlign w:val="center"/>
          </w:tcPr>
          <w:p w14:paraId="7CC47B5E" w14:textId="77777777" w:rsidR="00BF521A" w:rsidRPr="00660890" w:rsidRDefault="00BF521A" w:rsidP="003A454A">
            <w:pPr>
              <w:pStyle w:val="TableTextRight"/>
              <w:spacing w:before="26" w:after="26"/>
            </w:pPr>
          </w:p>
        </w:tc>
        <w:tc>
          <w:tcPr>
            <w:tcW w:w="851" w:type="dxa"/>
            <w:tcBorders>
              <w:top w:val="single" w:sz="4" w:space="0" w:color="auto"/>
            </w:tcBorders>
            <w:shd w:val="clear" w:color="auto" w:fill="F2F2F2" w:themeFill="background1" w:themeFillShade="F2"/>
            <w:vAlign w:val="center"/>
          </w:tcPr>
          <w:p w14:paraId="18BDB432" w14:textId="77777777" w:rsidR="00BF521A" w:rsidRPr="00660890" w:rsidRDefault="00BF521A" w:rsidP="003A454A">
            <w:pPr>
              <w:pStyle w:val="TableTextRight"/>
              <w:spacing w:before="26" w:after="26"/>
            </w:pPr>
            <w:r w:rsidRPr="00660890">
              <w:t>600</w:t>
            </w:r>
          </w:p>
        </w:tc>
        <w:tc>
          <w:tcPr>
            <w:tcW w:w="794" w:type="dxa"/>
            <w:tcBorders>
              <w:top w:val="single" w:sz="4" w:space="0" w:color="auto"/>
            </w:tcBorders>
            <w:shd w:val="clear" w:color="auto" w:fill="F2F2F2" w:themeFill="background1" w:themeFillShade="F2"/>
            <w:vAlign w:val="center"/>
          </w:tcPr>
          <w:p w14:paraId="40B69CFC" w14:textId="77777777" w:rsidR="00BF521A" w:rsidRPr="00660890" w:rsidRDefault="00BF521A" w:rsidP="003A454A">
            <w:pPr>
              <w:pStyle w:val="TableTextRight"/>
              <w:spacing w:before="26" w:after="26"/>
            </w:pPr>
            <w:r w:rsidRPr="00660890">
              <w:t>32</w:t>
            </w:r>
          </w:p>
        </w:tc>
        <w:tc>
          <w:tcPr>
            <w:tcW w:w="1701" w:type="dxa"/>
            <w:tcBorders>
              <w:top w:val="single" w:sz="4" w:space="0" w:color="auto"/>
            </w:tcBorders>
            <w:shd w:val="clear" w:color="auto" w:fill="F2F2F2" w:themeFill="background1" w:themeFillShade="F2"/>
            <w:vAlign w:val="center"/>
          </w:tcPr>
          <w:p w14:paraId="38B13994" w14:textId="77777777" w:rsidR="00BF521A" w:rsidRPr="00660890" w:rsidRDefault="00BF521A" w:rsidP="003A454A">
            <w:pPr>
              <w:pStyle w:val="TableTextRight"/>
              <w:spacing w:before="26" w:after="26"/>
              <w:ind w:left="-57" w:right="-57"/>
            </w:pPr>
            <w:r>
              <w:noBreakHyphen/>
            </w:r>
          </w:p>
        </w:tc>
        <w:tc>
          <w:tcPr>
            <w:tcW w:w="794" w:type="dxa"/>
            <w:tcBorders>
              <w:top w:val="single" w:sz="4" w:space="0" w:color="auto"/>
            </w:tcBorders>
            <w:shd w:val="clear" w:color="auto" w:fill="F2F2F2" w:themeFill="background1" w:themeFillShade="F2"/>
            <w:vAlign w:val="center"/>
          </w:tcPr>
          <w:p w14:paraId="01FAA7EE" w14:textId="77777777" w:rsidR="00BF521A" w:rsidRPr="00660890" w:rsidRDefault="00BF521A" w:rsidP="003A454A">
            <w:pPr>
              <w:pStyle w:val="TableTextRight"/>
              <w:spacing w:before="26" w:after="26"/>
            </w:pPr>
            <w:r w:rsidRPr="00660890">
              <w:t>632</w:t>
            </w:r>
          </w:p>
        </w:tc>
        <w:tc>
          <w:tcPr>
            <w:tcW w:w="1191" w:type="dxa"/>
            <w:tcBorders>
              <w:top w:val="single" w:sz="4" w:space="0" w:color="auto"/>
            </w:tcBorders>
            <w:shd w:val="clear" w:color="auto" w:fill="F2F2F2" w:themeFill="background1" w:themeFillShade="F2"/>
            <w:vAlign w:val="center"/>
          </w:tcPr>
          <w:p w14:paraId="0808FBAE" w14:textId="77777777" w:rsidR="00BF521A" w:rsidRPr="00660890" w:rsidRDefault="00BF521A" w:rsidP="003A454A">
            <w:pPr>
              <w:pStyle w:val="TableTextRight"/>
              <w:spacing w:before="26" w:after="26"/>
            </w:pPr>
            <w:r w:rsidRPr="00660890">
              <w:t>0.16</w:t>
            </w:r>
          </w:p>
        </w:tc>
      </w:tr>
      <w:tr w:rsidR="009616A2" w:rsidRPr="00742ABA" w14:paraId="4F70736F" w14:textId="77777777" w:rsidTr="0048020A">
        <w:tc>
          <w:tcPr>
            <w:tcW w:w="1021" w:type="dxa"/>
            <w:shd w:val="clear" w:color="auto" w:fill="F2F2F2" w:themeFill="background1" w:themeFillShade="F2"/>
            <w:vAlign w:val="center"/>
          </w:tcPr>
          <w:p w14:paraId="6CE6A1A8" w14:textId="77777777" w:rsidR="00BF521A" w:rsidRPr="00660890" w:rsidRDefault="00BF521A" w:rsidP="003A454A">
            <w:pPr>
              <w:pStyle w:val="TableTextLeft"/>
              <w:spacing w:before="26" w:after="26"/>
              <w:ind w:right="-80"/>
            </w:pPr>
            <w:r w:rsidRPr="00660890">
              <w:t>1992</w:t>
            </w:r>
            <w:r>
              <w:noBreakHyphen/>
            </w:r>
            <w:r w:rsidRPr="00660890">
              <w:t>93</w:t>
            </w:r>
          </w:p>
        </w:tc>
        <w:tc>
          <w:tcPr>
            <w:tcW w:w="794" w:type="dxa"/>
            <w:shd w:val="clear" w:color="auto" w:fill="F2F2F2" w:themeFill="background1" w:themeFillShade="F2"/>
            <w:vAlign w:val="center"/>
          </w:tcPr>
          <w:p w14:paraId="66D490AE" w14:textId="77777777" w:rsidR="00BF521A" w:rsidRPr="00660890" w:rsidRDefault="00BF521A" w:rsidP="003A454A">
            <w:pPr>
              <w:pStyle w:val="TableTextRight"/>
              <w:spacing w:before="26" w:after="26"/>
            </w:pPr>
          </w:p>
        </w:tc>
        <w:tc>
          <w:tcPr>
            <w:tcW w:w="851" w:type="dxa"/>
            <w:shd w:val="clear" w:color="auto" w:fill="F2F2F2" w:themeFill="background1" w:themeFillShade="F2"/>
            <w:vAlign w:val="center"/>
          </w:tcPr>
          <w:p w14:paraId="03BF5D93" w14:textId="77777777" w:rsidR="00BF521A" w:rsidRPr="00660890" w:rsidRDefault="00BF521A" w:rsidP="003A454A">
            <w:pPr>
              <w:pStyle w:val="TableTextRight"/>
              <w:spacing w:before="26" w:after="26"/>
            </w:pPr>
            <w:r w:rsidRPr="00660890">
              <w:t>703</w:t>
            </w:r>
          </w:p>
        </w:tc>
        <w:tc>
          <w:tcPr>
            <w:tcW w:w="794" w:type="dxa"/>
            <w:shd w:val="clear" w:color="auto" w:fill="F2F2F2" w:themeFill="background1" w:themeFillShade="F2"/>
            <w:vAlign w:val="center"/>
          </w:tcPr>
          <w:p w14:paraId="5F757544" w14:textId="77777777" w:rsidR="00BF521A" w:rsidRPr="00660890" w:rsidRDefault="00BF521A" w:rsidP="003A454A">
            <w:pPr>
              <w:pStyle w:val="TableTextRight"/>
              <w:spacing w:before="26" w:after="26"/>
            </w:pPr>
            <w:r w:rsidRPr="00660890">
              <w:t>139</w:t>
            </w:r>
          </w:p>
        </w:tc>
        <w:tc>
          <w:tcPr>
            <w:tcW w:w="1701" w:type="dxa"/>
            <w:shd w:val="clear" w:color="auto" w:fill="F2F2F2" w:themeFill="background1" w:themeFillShade="F2"/>
            <w:vAlign w:val="center"/>
          </w:tcPr>
          <w:p w14:paraId="382099A1" w14:textId="77777777" w:rsidR="00BF521A" w:rsidRPr="00660890" w:rsidRDefault="00BF521A" w:rsidP="003A454A">
            <w:pPr>
              <w:pStyle w:val="TableTextRight"/>
              <w:spacing w:before="26" w:after="26"/>
              <w:ind w:left="-57" w:right="-57"/>
            </w:pPr>
            <w:r>
              <w:noBreakHyphen/>
            </w:r>
          </w:p>
        </w:tc>
        <w:tc>
          <w:tcPr>
            <w:tcW w:w="794" w:type="dxa"/>
            <w:shd w:val="clear" w:color="auto" w:fill="F2F2F2" w:themeFill="background1" w:themeFillShade="F2"/>
            <w:vAlign w:val="center"/>
          </w:tcPr>
          <w:p w14:paraId="55B28CDB" w14:textId="77777777" w:rsidR="00BF521A" w:rsidRPr="00660890" w:rsidRDefault="00BF521A" w:rsidP="003A454A">
            <w:pPr>
              <w:pStyle w:val="TableTextRight"/>
              <w:spacing w:before="26" w:after="26"/>
            </w:pPr>
            <w:r w:rsidRPr="00660890">
              <w:t>842</w:t>
            </w:r>
          </w:p>
        </w:tc>
        <w:tc>
          <w:tcPr>
            <w:tcW w:w="1191" w:type="dxa"/>
            <w:shd w:val="clear" w:color="auto" w:fill="F2F2F2" w:themeFill="background1" w:themeFillShade="F2"/>
            <w:vAlign w:val="center"/>
          </w:tcPr>
          <w:p w14:paraId="3DD27F75" w14:textId="77777777" w:rsidR="00BF521A" w:rsidRPr="00660890" w:rsidRDefault="00BF521A" w:rsidP="003A454A">
            <w:pPr>
              <w:pStyle w:val="TableTextRight"/>
              <w:spacing w:before="26" w:after="26"/>
            </w:pPr>
            <w:r w:rsidRPr="00660890">
              <w:t>0.21</w:t>
            </w:r>
          </w:p>
        </w:tc>
      </w:tr>
      <w:tr w:rsidR="009616A2" w:rsidRPr="00742ABA" w14:paraId="192E5717" w14:textId="77777777" w:rsidTr="0048020A">
        <w:tc>
          <w:tcPr>
            <w:tcW w:w="1021" w:type="dxa"/>
            <w:shd w:val="clear" w:color="auto" w:fill="F2F2F2" w:themeFill="background1" w:themeFillShade="F2"/>
            <w:vAlign w:val="center"/>
          </w:tcPr>
          <w:p w14:paraId="2809518D" w14:textId="77777777" w:rsidR="00BF521A" w:rsidRPr="00660890" w:rsidRDefault="00BF521A" w:rsidP="003A454A">
            <w:pPr>
              <w:pStyle w:val="TableTextLeft"/>
              <w:spacing w:before="26" w:after="26"/>
              <w:ind w:right="-80"/>
            </w:pPr>
            <w:r w:rsidRPr="00660890">
              <w:t>1995</w:t>
            </w:r>
            <w:r>
              <w:noBreakHyphen/>
            </w:r>
            <w:r w:rsidRPr="00660890">
              <w:t>96</w:t>
            </w:r>
          </w:p>
        </w:tc>
        <w:tc>
          <w:tcPr>
            <w:tcW w:w="794" w:type="dxa"/>
            <w:shd w:val="clear" w:color="auto" w:fill="F2F2F2" w:themeFill="background1" w:themeFillShade="F2"/>
            <w:vAlign w:val="center"/>
          </w:tcPr>
          <w:p w14:paraId="088A5B1A" w14:textId="77777777" w:rsidR="00BF521A" w:rsidRPr="00660890" w:rsidRDefault="00BF521A" w:rsidP="003A454A">
            <w:pPr>
              <w:pStyle w:val="TableTextRight"/>
              <w:spacing w:before="26" w:after="26"/>
            </w:pPr>
          </w:p>
        </w:tc>
        <w:tc>
          <w:tcPr>
            <w:tcW w:w="851" w:type="dxa"/>
            <w:shd w:val="clear" w:color="auto" w:fill="F2F2F2" w:themeFill="background1" w:themeFillShade="F2"/>
            <w:vAlign w:val="center"/>
          </w:tcPr>
          <w:p w14:paraId="3ED5B5DC" w14:textId="77777777" w:rsidR="00BF521A" w:rsidRPr="00660890" w:rsidRDefault="00BF521A" w:rsidP="003A454A">
            <w:pPr>
              <w:pStyle w:val="TableTextRight"/>
              <w:spacing w:before="26" w:after="26"/>
            </w:pPr>
            <w:r w:rsidRPr="00660890">
              <w:t>801</w:t>
            </w:r>
          </w:p>
        </w:tc>
        <w:tc>
          <w:tcPr>
            <w:tcW w:w="794" w:type="dxa"/>
            <w:shd w:val="clear" w:color="auto" w:fill="F2F2F2" w:themeFill="background1" w:themeFillShade="F2"/>
            <w:vAlign w:val="center"/>
          </w:tcPr>
          <w:p w14:paraId="27AE825A" w14:textId="77777777" w:rsidR="00BF521A" w:rsidRPr="00660890" w:rsidRDefault="00BF521A" w:rsidP="003A454A">
            <w:pPr>
              <w:pStyle w:val="TableTextRight"/>
              <w:spacing w:before="26" w:after="26"/>
            </w:pPr>
            <w:r w:rsidRPr="00660890">
              <w:t>153</w:t>
            </w:r>
          </w:p>
        </w:tc>
        <w:tc>
          <w:tcPr>
            <w:tcW w:w="1701" w:type="dxa"/>
            <w:shd w:val="clear" w:color="auto" w:fill="F2F2F2" w:themeFill="background1" w:themeFillShade="F2"/>
            <w:vAlign w:val="center"/>
          </w:tcPr>
          <w:p w14:paraId="6CCB90D5" w14:textId="77777777" w:rsidR="00BF521A" w:rsidRPr="00660890" w:rsidRDefault="00BF521A" w:rsidP="003A454A">
            <w:pPr>
              <w:pStyle w:val="TableTextRight"/>
              <w:spacing w:before="26" w:after="26"/>
              <w:ind w:left="-57" w:right="-57"/>
            </w:pPr>
            <w:r>
              <w:noBreakHyphen/>
            </w:r>
          </w:p>
        </w:tc>
        <w:tc>
          <w:tcPr>
            <w:tcW w:w="794" w:type="dxa"/>
            <w:shd w:val="clear" w:color="auto" w:fill="F2F2F2" w:themeFill="background1" w:themeFillShade="F2"/>
            <w:vAlign w:val="center"/>
          </w:tcPr>
          <w:p w14:paraId="588028EC" w14:textId="77777777" w:rsidR="00BF521A" w:rsidRPr="00660890" w:rsidRDefault="00BF521A" w:rsidP="003A454A">
            <w:pPr>
              <w:pStyle w:val="TableTextRight"/>
              <w:spacing w:before="26" w:after="26"/>
            </w:pPr>
            <w:r w:rsidRPr="00660890">
              <w:t>954</w:t>
            </w:r>
          </w:p>
        </w:tc>
        <w:tc>
          <w:tcPr>
            <w:tcW w:w="1191" w:type="dxa"/>
            <w:shd w:val="clear" w:color="auto" w:fill="F2F2F2" w:themeFill="background1" w:themeFillShade="F2"/>
            <w:vAlign w:val="center"/>
          </w:tcPr>
          <w:p w14:paraId="47AED501" w14:textId="77777777" w:rsidR="00BF521A" w:rsidRPr="00660890" w:rsidRDefault="00BF521A" w:rsidP="003A454A">
            <w:pPr>
              <w:pStyle w:val="TableTextRight"/>
              <w:spacing w:before="26" w:after="26"/>
            </w:pPr>
            <w:r w:rsidRPr="00660890">
              <w:t>0.20</w:t>
            </w:r>
          </w:p>
        </w:tc>
      </w:tr>
      <w:tr w:rsidR="009616A2" w:rsidRPr="00742ABA" w14:paraId="12970150" w14:textId="77777777" w:rsidTr="0048020A">
        <w:tc>
          <w:tcPr>
            <w:tcW w:w="1021" w:type="dxa"/>
            <w:shd w:val="clear" w:color="auto" w:fill="F2F2F2" w:themeFill="background1" w:themeFillShade="F2"/>
            <w:vAlign w:val="center"/>
          </w:tcPr>
          <w:p w14:paraId="21CFCB06" w14:textId="77777777" w:rsidR="00BF521A" w:rsidRPr="00660890" w:rsidRDefault="00BF521A" w:rsidP="003A454A">
            <w:pPr>
              <w:pStyle w:val="TableTextLeft"/>
              <w:spacing w:before="26" w:after="26"/>
              <w:ind w:right="-80"/>
            </w:pPr>
            <w:r w:rsidRPr="00660890">
              <w:t>1998</w:t>
            </w:r>
            <w:r>
              <w:noBreakHyphen/>
            </w:r>
            <w:r w:rsidRPr="00660890">
              <w:t>99</w:t>
            </w:r>
          </w:p>
        </w:tc>
        <w:tc>
          <w:tcPr>
            <w:tcW w:w="794" w:type="dxa"/>
            <w:shd w:val="clear" w:color="auto" w:fill="F2F2F2" w:themeFill="background1" w:themeFillShade="F2"/>
            <w:vAlign w:val="center"/>
          </w:tcPr>
          <w:p w14:paraId="3BAC6B77" w14:textId="77777777" w:rsidR="00BF521A" w:rsidRPr="00660890" w:rsidRDefault="00BF521A" w:rsidP="003A454A">
            <w:pPr>
              <w:pStyle w:val="TableTextRight"/>
              <w:spacing w:before="26" w:after="26"/>
            </w:pPr>
          </w:p>
        </w:tc>
        <w:tc>
          <w:tcPr>
            <w:tcW w:w="851" w:type="dxa"/>
            <w:shd w:val="clear" w:color="auto" w:fill="F2F2F2" w:themeFill="background1" w:themeFillShade="F2"/>
            <w:vAlign w:val="center"/>
          </w:tcPr>
          <w:p w14:paraId="60A3763E" w14:textId="77777777" w:rsidR="00BF521A" w:rsidRPr="00660890" w:rsidRDefault="00BF521A" w:rsidP="003A454A">
            <w:pPr>
              <w:pStyle w:val="TableTextRight"/>
              <w:spacing w:before="26" w:after="26"/>
            </w:pPr>
            <w:r w:rsidRPr="00660890">
              <w:t>986</w:t>
            </w:r>
          </w:p>
        </w:tc>
        <w:tc>
          <w:tcPr>
            <w:tcW w:w="794" w:type="dxa"/>
            <w:shd w:val="clear" w:color="auto" w:fill="F2F2F2" w:themeFill="background1" w:themeFillShade="F2"/>
            <w:vAlign w:val="center"/>
          </w:tcPr>
          <w:p w14:paraId="79FC0355" w14:textId="77777777" w:rsidR="00BF521A" w:rsidRPr="00660890" w:rsidRDefault="00BF521A" w:rsidP="003A454A">
            <w:pPr>
              <w:pStyle w:val="TableTextRight"/>
              <w:spacing w:before="26" w:after="26"/>
            </w:pPr>
            <w:r w:rsidRPr="00660890">
              <w:t>158</w:t>
            </w:r>
          </w:p>
        </w:tc>
        <w:tc>
          <w:tcPr>
            <w:tcW w:w="1701" w:type="dxa"/>
            <w:shd w:val="clear" w:color="auto" w:fill="F2F2F2" w:themeFill="background1" w:themeFillShade="F2"/>
            <w:vAlign w:val="center"/>
          </w:tcPr>
          <w:p w14:paraId="5418D9C6" w14:textId="77777777" w:rsidR="00BF521A" w:rsidRPr="00660890" w:rsidRDefault="00BF521A" w:rsidP="003A454A">
            <w:pPr>
              <w:pStyle w:val="TableTextRight"/>
              <w:spacing w:before="26" w:after="26"/>
              <w:ind w:left="-57" w:right="-57"/>
            </w:pPr>
            <w:r>
              <w:noBreakHyphen/>
            </w:r>
          </w:p>
        </w:tc>
        <w:tc>
          <w:tcPr>
            <w:tcW w:w="794" w:type="dxa"/>
            <w:shd w:val="clear" w:color="auto" w:fill="F2F2F2" w:themeFill="background1" w:themeFillShade="F2"/>
            <w:vAlign w:val="center"/>
          </w:tcPr>
          <w:p w14:paraId="5867718C" w14:textId="77777777" w:rsidR="00BF521A" w:rsidRPr="00660890" w:rsidRDefault="00BF521A" w:rsidP="003A454A">
            <w:pPr>
              <w:pStyle w:val="TableTextRight"/>
              <w:spacing w:before="26" w:after="26"/>
            </w:pPr>
            <w:r w:rsidRPr="00660890">
              <w:t>1,144</w:t>
            </w:r>
          </w:p>
        </w:tc>
        <w:tc>
          <w:tcPr>
            <w:tcW w:w="1191" w:type="dxa"/>
            <w:shd w:val="clear" w:color="auto" w:fill="F2F2F2" w:themeFill="background1" w:themeFillShade="F2"/>
            <w:vAlign w:val="center"/>
          </w:tcPr>
          <w:p w14:paraId="137BE1ED" w14:textId="77777777" w:rsidR="00BF521A" w:rsidRPr="00660890" w:rsidRDefault="00BF521A" w:rsidP="003A454A">
            <w:pPr>
              <w:pStyle w:val="TableTextRight"/>
              <w:spacing w:before="26" w:after="26"/>
            </w:pPr>
            <w:r w:rsidRPr="00660890">
              <w:t>0.19</w:t>
            </w:r>
          </w:p>
        </w:tc>
      </w:tr>
      <w:tr w:rsidR="009616A2" w:rsidRPr="00742ABA" w14:paraId="7F223680" w14:textId="77777777" w:rsidTr="00E6557A">
        <w:tc>
          <w:tcPr>
            <w:tcW w:w="1021" w:type="dxa"/>
            <w:shd w:val="clear" w:color="auto" w:fill="F2F2F2" w:themeFill="background1" w:themeFillShade="F2"/>
            <w:vAlign w:val="center"/>
          </w:tcPr>
          <w:p w14:paraId="461A2717" w14:textId="77777777" w:rsidR="00BF521A" w:rsidRPr="00660890" w:rsidRDefault="00BF521A" w:rsidP="003A454A">
            <w:pPr>
              <w:pStyle w:val="TableTextLeft"/>
              <w:spacing w:before="26" w:after="26"/>
              <w:ind w:right="-80"/>
            </w:pPr>
            <w:r w:rsidRPr="00660890">
              <w:t>2001</w:t>
            </w:r>
            <w:r>
              <w:noBreakHyphen/>
            </w:r>
            <w:r w:rsidRPr="00660890">
              <w:t>02</w:t>
            </w:r>
          </w:p>
        </w:tc>
        <w:tc>
          <w:tcPr>
            <w:tcW w:w="794" w:type="dxa"/>
            <w:shd w:val="clear" w:color="auto" w:fill="F2F2F2" w:themeFill="background1" w:themeFillShade="F2"/>
            <w:vAlign w:val="center"/>
          </w:tcPr>
          <w:p w14:paraId="745A6CB4" w14:textId="77777777" w:rsidR="00BF521A" w:rsidRPr="00660890" w:rsidRDefault="00BF521A" w:rsidP="003A454A">
            <w:pPr>
              <w:pStyle w:val="TableTextRight"/>
              <w:spacing w:before="26" w:after="26"/>
            </w:pPr>
          </w:p>
        </w:tc>
        <w:tc>
          <w:tcPr>
            <w:tcW w:w="851" w:type="dxa"/>
            <w:shd w:val="clear" w:color="auto" w:fill="F2F2F2" w:themeFill="background1" w:themeFillShade="F2"/>
            <w:vAlign w:val="center"/>
          </w:tcPr>
          <w:p w14:paraId="4C091CF1" w14:textId="77777777" w:rsidR="00BF521A" w:rsidRPr="00660890" w:rsidRDefault="00BF521A" w:rsidP="003A454A">
            <w:pPr>
              <w:pStyle w:val="TableTextRight"/>
              <w:spacing w:before="26" w:after="26"/>
            </w:pPr>
            <w:r w:rsidRPr="00660890">
              <w:t>1,160</w:t>
            </w:r>
          </w:p>
        </w:tc>
        <w:tc>
          <w:tcPr>
            <w:tcW w:w="794" w:type="dxa"/>
            <w:shd w:val="clear" w:color="auto" w:fill="F2F2F2" w:themeFill="background1" w:themeFillShade="F2"/>
            <w:vAlign w:val="center"/>
          </w:tcPr>
          <w:p w14:paraId="14A82471" w14:textId="77777777" w:rsidR="00BF521A" w:rsidRPr="00660890" w:rsidRDefault="00BF521A" w:rsidP="003A454A">
            <w:pPr>
              <w:pStyle w:val="TableTextRight"/>
              <w:spacing w:before="26" w:after="26"/>
            </w:pPr>
            <w:r w:rsidRPr="00660890">
              <w:t>171</w:t>
            </w:r>
          </w:p>
        </w:tc>
        <w:tc>
          <w:tcPr>
            <w:tcW w:w="1701" w:type="dxa"/>
            <w:shd w:val="clear" w:color="auto" w:fill="F2F2F2" w:themeFill="background1" w:themeFillShade="F2"/>
            <w:vAlign w:val="center"/>
          </w:tcPr>
          <w:p w14:paraId="118AC331" w14:textId="77777777" w:rsidR="00BF521A" w:rsidRPr="00660890" w:rsidRDefault="00BF521A" w:rsidP="003A454A">
            <w:pPr>
              <w:pStyle w:val="TableTextRight"/>
              <w:spacing w:before="26" w:after="26"/>
              <w:ind w:left="-57" w:right="-57"/>
            </w:pPr>
            <w:r>
              <w:noBreakHyphen/>
            </w:r>
          </w:p>
        </w:tc>
        <w:tc>
          <w:tcPr>
            <w:tcW w:w="794" w:type="dxa"/>
            <w:shd w:val="clear" w:color="auto" w:fill="F2F2F2" w:themeFill="background1" w:themeFillShade="F2"/>
            <w:vAlign w:val="center"/>
          </w:tcPr>
          <w:p w14:paraId="136EF4DD" w14:textId="77777777" w:rsidR="00BF521A" w:rsidRPr="00660890" w:rsidRDefault="00BF521A" w:rsidP="003A454A">
            <w:pPr>
              <w:pStyle w:val="TableTextRight"/>
              <w:spacing w:before="26" w:after="26"/>
            </w:pPr>
            <w:r w:rsidRPr="00660890">
              <w:t>1,331</w:t>
            </w:r>
          </w:p>
        </w:tc>
        <w:tc>
          <w:tcPr>
            <w:tcW w:w="1191" w:type="dxa"/>
            <w:shd w:val="clear" w:color="auto" w:fill="F2F2F2" w:themeFill="background1" w:themeFillShade="F2"/>
            <w:vAlign w:val="center"/>
          </w:tcPr>
          <w:p w14:paraId="22B46F65" w14:textId="77777777" w:rsidR="00BF521A" w:rsidRPr="00660890" w:rsidRDefault="00BF521A" w:rsidP="003A454A">
            <w:pPr>
              <w:pStyle w:val="TableTextRight"/>
              <w:spacing w:before="26" w:after="26"/>
            </w:pPr>
            <w:r w:rsidRPr="00660890">
              <w:t>0.1</w:t>
            </w:r>
            <w:r>
              <w:t>8</w:t>
            </w:r>
          </w:p>
        </w:tc>
      </w:tr>
      <w:tr w:rsidR="009616A2" w:rsidRPr="00742ABA" w14:paraId="2ACDB87B" w14:textId="77777777" w:rsidTr="00E6557A">
        <w:tc>
          <w:tcPr>
            <w:tcW w:w="1021" w:type="dxa"/>
            <w:tcBorders>
              <w:bottom w:val="single" w:sz="4" w:space="0" w:color="auto"/>
            </w:tcBorders>
            <w:shd w:val="clear" w:color="auto" w:fill="F2F2F2" w:themeFill="background1" w:themeFillShade="F2"/>
            <w:vAlign w:val="center"/>
          </w:tcPr>
          <w:p w14:paraId="5E91D145" w14:textId="77777777" w:rsidR="00BF521A" w:rsidRPr="00660890" w:rsidRDefault="00BF521A" w:rsidP="003A454A">
            <w:pPr>
              <w:pStyle w:val="TableTextLeft"/>
              <w:spacing w:before="26" w:after="26"/>
              <w:ind w:right="-80"/>
            </w:pPr>
            <w:r w:rsidRPr="00660890">
              <w:t>200</w:t>
            </w:r>
            <w:r>
              <w:t>4</w:t>
            </w:r>
            <w:r>
              <w:noBreakHyphen/>
            </w:r>
            <w:r w:rsidRPr="00660890">
              <w:t>0</w:t>
            </w:r>
            <w:r>
              <w:t>5</w:t>
            </w:r>
          </w:p>
        </w:tc>
        <w:tc>
          <w:tcPr>
            <w:tcW w:w="794" w:type="dxa"/>
            <w:tcBorders>
              <w:bottom w:val="single" w:sz="4" w:space="0" w:color="auto"/>
            </w:tcBorders>
            <w:shd w:val="clear" w:color="auto" w:fill="F2F2F2" w:themeFill="background1" w:themeFillShade="F2"/>
            <w:vAlign w:val="center"/>
          </w:tcPr>
          <w:p w14:paraId="1B163F2D" w14:textId="77777777" w:rsidR="00BF521A" w:rsidRPr="00660890" w:rsidRDefault="00BF521A" w:rsidP="003A454A">
            <w:pPr>
              <w:pStyle w:val="TableTextRight"/>
              <w:spacing w:before="26" w:after="26"/>
            </w:pPr>
          </w:p>
        </w:tc>
        <w:tc>
          <w:tcPr>
            <w:tcW w:w="851" w:type="dxa"/>
            <w:tcBorders>
              <w:bottom w:val="single" w:sz="4" w:space="0" w:color="auto"/>
            </w:tcBorders>
            <w:shd w:val="clear" w:color="auto" w:fill="F2F2F2" w:themeFill="background1" w:themeFillShade="F2"/>
            <w:vAlign w:val="center"/>
          </w:tcPr>
          <w:p w14:paraId="3F826588" w14:textId="77777777" w:rsidR="00BF521A" w:rsidRPr="00660890" w:rsidRDefault="00BF521A" w:rsidP="003A454A">
            <w:pPr>
              <w:pStyle w:val="TableTextRight"/>
              <w:spacing w:before="26" w:after="26"/>
            </w:pPr>
            <w:r w:rsidRPr="00660890">
              <w:t>1,222</w:t>
            </w:r>
          </w:p>
        </w:tc>
        <w:tc>
          <w:tcPr>
            <w:tcW w:w="794" w:type="dxa"/>
            <w:tcBorders>
              <w:bottom w:val="single" w:sz="4" w:space="0" w:color="auto"/>
            </w:tcBorders>
            <w:shd w:val="clear" w:color="auto" w:fill="F2F2F2" w:themeFill="background1" w:themeFillShade="F2"/>
            <w:vAlign w:val="center"/>
          </w:tcPr>
          <w:p w14:paraId="087DF77D" w14:textId="77777777" w:rsidR="00BF521A" w:rsidRPr="00660890" w:rsidRDefault="00BF521A" w:rsidP="003A454A">
            <w:pPr>
              <w:pStyle w:val="TableTextRight"/>
              <w:spacing w:before="26" w:after="26"/>
            </w:pPr>
            <w:r w:rsidRPr="00660890">
              <w:t>202</w:t>
            </w:r>
          </w:p>
        </w:tc>
        <w:tc>
          <w:tcPr>
            <w:tcW w:w="1701" w:type="dxa"/>
            <w:tcBorders>
              <w:bottom w:val="single" w:sz="4" w:space="0" w:color="auto"/>
            </w:tcBorders>
            <w:shd w:val="clear" w:color="auto" w:fill="F2F2F2" w:themeFill="background1" w:themeFillShade="F2"/>
            <w:vAlign w:val="center"/>
          </w:tcPr>
          <w:p w14:paraId="638C2B28" w14:textId="77777777" w:rsidR="00BF521A" w:rsidRPr="00660890" w:rsidRDefault="00BF521A" w:rsidP="003A454A">
            <w:pPr>
              <w:pStyle w:val="TableTextRight"/>
              <w:spacing w:before="26" w:after="26"/>
              <w:ind w:left="-57" w:right="-57"/>
            </w:pPr>
            <w:r>
              <w:noBreakHyphen/>
            </w:r>
          </w:p>
        </w:tc>
        <w:tc>
          <w:tcPr>
            <w:tcW w:w="794" w:type="dxa"/>
            <w:tcBorders>
              <w:bottom w:val="single" w:sz="4" w:space="0" w:color="auto"/>
            </w:tcBorders>
            <w:shd w:val="clear" w:color="auto" w:fill="F2F2F2" w:themeFill="background1" w:themeFillShade="F2"/>
            <w:vAlign w:val="center"/>
          </w:tcPr>
          <w:p w14:paraId="136098F1" w14:textId="77777777" w:rsidR="00BF521A" w:rsidRPr="00660890" w:rsidRDefault="00BF521A" w:rsidP="003A454A">
            <w:pPr>
              <w:pStyle w:val="TableTextRight"/>
              <w:spacing w:before="26" w:after="26"/>
            </w:pPr>
            <w:r w:rsidRPr="00660890">
              <w:t>1,424</w:t>
            </w:r>
          </w:p>
        </w:tc>
        <w:tc>
          <w:tcPr>
            <w:tcW w:w="1191" w:type="dxa"/>
            <w:tcBorders>
              <w:bottom w:val="single" w:sz="4" w:space="0" w:color="auto"/>
            </w:tcBorders>
            <w:shd w:val="clear" w:color="auto" w:fill="F2F2F2" w:themeFill="background1" w:themeFillShade="F2"/>
            <w:vAlign w:val="center"/>
          </w:tcPr>
          <w:p w14:paraId="7BD80F3E" w14:textId="77777777" w:rsidR="00BF521A" w:rsidRPr="00660890" w:rsidRDefault="00BF521A" w:rsidP="003A454A">
            <w:pPr>
              <w:pStyle w:val="TableTextRight"/>
              <w:spacing w:before="26" w:after="26"/>
            </w:pPr>
            <w:r w:rsidRPr="00660890">
              <w:t>0.16</w:t>
            </w:r>
          </w:p>
        </w:tc>
      </w:tr>
      <w:tr w:rsidR="009616A2" w:rsidRPr="002F15D7" w14:paraId="0ED6DD8E" w14:textId="77777777" w:rsidTr="00E6557A">
        <w:tc>
          <w:tcPr>
            <w:tcW w:w="1021" w:type="dxa"/>
            <w:tcBorders>
              <w:top w:val="single" w:sz="4" w:space="0" w:color="auto"/>
            </w:tcBorders>
            <w:vAlign w:val="center"/>
          </w:tcPr>
          <w:p w14:paraId="312B235F" w14:textId="77777777" w:rsidR="00BF521A" w:rsidRDefault="00BF521A" w:rsidP="003A454A">
            <w:pPr>
              <w:pStyle w:val="TableTextLeft"/>
              <w:spacing w:before="26" w:after="26"/>
              <w:ind w:right="-80"/>
            </w:pPr>
            <w:r>
              <w:t>2007-08</w:t>
            </w:r>
          </w:p>
        </w:tc>
        <w:tc>
          <w:tcPr>
            <w:tcW w:w="794" w:type="dxa"/>
            <w:tcBorders>
              <w:top w:val="single" w:sz="4" w:space="0" w:color="auto"/>
            </w:tcBorders>
            <w:vAlign w:val="center"/>
          </w:tcPr>
          <w:p w14:paraId="5EF8C170" w14:textId="77777777" w:rsidR="00BF521A" w:rsidRDefault="00BF521A" w:rsidP="003A454A">
            <w:pPr>
              <w:pStyle w:val="TableTextRight"/>
              <w:spacing w:before="26" w:after="26"/>
            </w:pPr>
          </w:p>
        </w:tc>
        <w:tc>
          <w:tcPr>
            <w:tcW w:w="851" w:type="dxa"/>
            <w:tcBorders>
              <w:top w:val="single" w:sz="4" w:space="0" w:color="auto"/>
            </w:tcBorders>
            <w:vAlign w:val="center"/>
          </w:tcPr>
          <w:p w14:paraId="0821BBEF" w14:textId="77777777" w:rsidR="00BF521A" w:rsidRDefault="00BF521A" w:rsidP="003A454A">
            <w:pPr>
              <w:pStyle w:val="TableTextRight"/>
              <w:spacing w:before="26" w:after="26"/>
            </w:pPr>
            <w:r>
              <w:t>1,295</w:t>
            </w:r>
          </w:p>
        </w:tc>
        <w:tc>
          <w:tcPr>
            <w:tcW w:w="794" w:type="dxa"/>
            <w:tcBorders>
              <w:top w:val="single" w:sz="4" w:space="0" w:color="auto"/>
            </w:tcBorders>
            <w:vAlign w:val="center"/>
          </w:tcPr>
          <w:p w14:paraId="113375ED" w14:textId="77777777" w:rsidR="00BF521A" w:rsidRDefault="00BF521A" w:rsidP="003A454A">
            <w:pPr>
              <w:pStyle w:val="TableTextRight"/>
              <w:spacing w:before="26" w:after="26"/>
            </w:pPr>
            <w:r>
              <w:t>249</w:t>
            </w:r>
          </w:p>
        </w:tc>
        <w:tc>
          <w:tcPr>
            <w:tcW w:w="1701" w:type="dxa"/>
            <w:tcBorders>
              <w:top w:val="single" w:sz="4" w:space="0" w:color="auto"/>
            </w:tcBorders>
            <w:vAlign w:val="center"/>
          </w:tcPr>
          <w:p w14:paraId="7E3FBE1D" w14:textId="77777777" w:rsidR="00BF521A" w:rsidRDefault="00BF521A" w:rsidP="003A454A">
            <w:pPr>
              <w:pStyle w:val="TableTextRight"/>
              <w:spacing w:before="26" w:after="26"/>
              <w:ind w:left="-57" w:right="-57"/>
            </w:pPr>
            <w:r>
              <w:t>-</w:t>
            </w:r>
          </w:p>
        </w:tc>
        <w:tc>
          <w:tcPr>
            <w:tcW w:w="794" w:type="dxa"/>
            <w:tcBorders>
              <w:top w:val="single" w:sz="4" w:space="0" w:color="auto"/>
            </w:tcBorders>
            <w:vAlign w:val="center"/>
          </w:tcPr>
          <w:p w14:paraId="6E6D6780" w14:textId="77777777" w:rsidR="00BF521A" w:rsidRDefault="00BF521A" w:rsidP="003A454A">
            <w:pPr>
              <w:pStyle w:val="TableTextRight"/>
              <w:spacing w:before="26" w:after="26"/>
            </w:pPr>
            <w:r>
              <w:t>1,543</w:t>
            </w:r>
          </w:p>
        </w:tc>
        <w:tc>
          <w:tcPr>
            <w:tcW w:w="1191" w:type="dxa"/>
            <w:tcBorders>
              <w:top w:val="single" w:sz="4" w:space="0" w:color="auto"/>
            </w:tcBorders>
            <w:vAlign w:val="center"/>
          </w:tcPr>
          <w:p w14:paraId="76289B33" w14:textId="77777777" w:rsidR="00BF521A" w:rsidRPr="00B76586" w:rsidRDefault="00BF521A" w:rsidP="003A454A">
            <w:pPr>
              <w:pStyle w:val="TableTextRight"/>
              <w:spacing w:before="26" w:after="26"/>
            </w:pPr>
            <w:r w:rsidRPr="00B76586">
              <w:t>0.14</w:t>
            </w:r>
          </w:p>
        </w:tc>
      </w:tr>
      <w:tr w:rsidR="009616A2" w:rsidRPr="00742ABA" w14:paraId="0FCF37B1" w14:textId="77777777" w:rsidTr="0048020A">
        <w:tc>
          <w:tcPr>
            <w:tcW w:w="1021" w:type="dxa"/>
            <w:vAlign w:val="center"/>
          </w:tcPr>
          <w:p w14:paraId="63FE44F5" w14:textId="77777777" w:rsidR="00BF521A" w:rsidRDefault="00BF521A" w:rsidP="003A454A">
            <w:pPr>
              <w:pStyle w:val="TableTextLeft"/>
              <w:spacing w:before="26" w:after="26"/>
              <w:ind w:right="-80"/>
            </w:pPr>
            <w:r>
              <w:t>2008-09</w:t>
            </w:r>
          </w:p>
        </w:tc>
        <w:tc>
          <w:tcPr>
            <w:tcW w:w="794" w:type="dxa"/>
            <w:vAlign w:val="center"/>
          </w:tcPr>
          <w:p w14:paraId="2CA869EF" w14:textId="77777777" w:rsidR="00BF521A" w:rsidRDefault="00BF521A" w:rsidP="003A454A">
            <w:pPr>
              <w:pStyle w:val="TableTextRight"/>
              <w:spacing w:before="26" w:after="26"/>
            </w:pPr>
            <w:r>
              <w:t>66</w:t>
            </w:r>
          </w:p>
        </w:tc>
        <w:tc>
          <w:tcPr>
            <w:tcW w:w="851" w:type="dxa"/>
            <w:vAlign w:val="center"/>
          </w:tcPr>
          <w:p w14:paraId="53F4C420" w14:textId="77777777" w:rsidR="00BF521A" w:rsidRPr="00321B9A" w:rsidRDefault="00BF521A" w:rsidP="003A454A">
            <w:pPr>
              <w:pStyle w:val="TableTextRight"/>
              <w:spacing w:before="26" w:after="26"/>
            </w:pPr>
            <w:r>
              <w:t>1,325</w:t>
            </w:r>
          </w:p>
        </w:tc>
        <w:tc>
          <w:tcPr>
            <w:tcW w:w="794" w:type="dxa"/>
            <w:vAlign w:val="center"/>
          </w:tcPr>
          <w:p w14:paraId="7014D258" w14:textId="77777777" w:rsidR="00BF521A" w:rsidRPr="00321B9A" w:rsidRDefault="00BF521A" w:rsidP="003A454A">
            <w:pPr>
              <w:pStyle w:val="TableTextRight"/>
              <w:spacing w:before="26" w:after="26"/>
            </w:pPr>
            <w:r>
              <w:t>281</w:t>
            </w:r>
          </w:p>
        </w:tc>
        <w:tc>
          <w:tcPr>
            <w:tcW w:w="1701" w:type="dxa"/>
            <w:vAlign w:val="center"/>
          </w:tcPr>
          <w:p w14:paraId="69D66830" w14:textId="77777777" w:rsidR="00BF521A" w:rsidRPr="00321B9A" w:rsidRDefault="00BF521A" w:rsidP="003A454A">
            <w:pPr>
              <w:pStyle w:val="TableTextRight"/>
              <w:spacing w:before="26" w:after="26"/>
              <w:ind w:left="-57" w:right="-57"/>
            </w:pPr>
            <w:r>
              <w:t>31</w:t>
            </w:r>
          </w:p>
        </w:tc>
        <w:tc>
          <w:tcPr>
            <w:tcW w:w="794" w:type="dxa"/>
            <w:vAlign w:val="center"/>
          </w:tcPr>
          <w:p w14:paraId="6167DAC5" w14:textId="77777777" w:rsidR="00BF521A" w:rsidRPr="00321B9A" w:rsidRDefault="00BF521A" w:rsidP="003A454A">
            <w:pPr>
              <w:pStyle w:val="TableTextRight"/>
              <w:spacing w:before="26" w:after="26"/>
            </w:pPr>
            <w:r>
              <w:t>1,703</w:t>
            </w:r>
          </w:p>
        </w:tc>
        <w:tc>
          <w:tcPr>
            <w:tcW w:w="1191" w:type="dxa"/>
            <w:vAlign w:val="center"/>
          </w:tcPr>
          <w:p w14:paraId="68408F88" w14:textId="77777777" w:rsidR="00BF521A" w:rsidRPr="00B76586" w:rsidRDefault="00BF521A" w:rsidP="003A454A">
            <w:pPr>
              <w:pStyle w:val="TableTextRight"/>
              <w:spacing w:before="26" w:after="26"/>
            </w:pPr>
            <w:r w:rsidRPr="00B76586">
              <w:t>0.13</w:t>
            </w:r>
          </w:p>
        </w:tc>
      </w:tr>
      <w:tr w:rsidR="009616A2" w:rsidRPr="00742ABA" w14:paraId="60FC1C92" w14:textId="77777777" w:rsidTr="0048020A">
        <w:tc>
          <w:tcPr>
            <w:tcW w:w="1021" w:type="dxa"/>
            <w:vAlign w:val="center"/>
          </w:tcPr>
          <w:p w14:paraId="1B982844" w14:textId="77777777" w:rsidR="00BF521A" w:rsidRDefault="00BF521A" w:rsidP="003A454A">
            <w:pPr>
              <w:pStyle w:val="TableTextLeft"/>
              <w:spacing w:before="26" w:after="26"/>
              <w:ind w:right="-80"/>
            </w:pPr>
            <w:r>
              <w:t>2009-10</w:t>
            </w:r>
          </w:p>
        </w:tc>
        <w:tc>
          <w:tcPr>
            <w:tcW w:w="794" w:type="dxa"/>
            <w:vAlign w:val="center"/>
          </w:tcPr>
          <w:p w14:paraId="374D7D90" w14:textId="77777777" w:rsidR="00BF521A" w:rsidRDefault="00BF521A" w:rsidP="003A454A">
            <w:pPr>
              <w:pStyle w:val="TableTextRight"/>
              <w:spacing w:before="26" w:after="26"/>
            </w:pPr>
            <w:r>
              <w:t>64</w:t>
            </w:r>
          </w:p>
        </w:tc>
        <w:tc>
          <w:tcPr>
            <w:tcW w:w="851" w:type="dxa"/>
            <w:vAlign w:val="center"/>
          </w:tcPr>
          <w:p w14:paraId="32D6D461" w14:textId="77777777" w:rsidR="00BF521A" w:rsidRPr="00321B9A" w:rsidRDefault="00BF521A" w:rsidP="003A454A">
            <w:pPr>
              <w:pStyle w:val="TableTextRight"/>
              <w:spacing w:before="26" w:after="26"/>
            </w:pPr>
            <w:r>
              <w:t>1,321</w:t>
            </w:r>
          </w:p>
        </w:tc>
        <w:tc>
          <w:tcPr>
            <w:tcW w:w="794" w:type="dxa"/>
            <w:vAlign w:val="center"/>
          </w:tcPr>
          <w:p w14:paraId="769E699F" w14:textId="77777777" w:rsidR="00BF521A" w:rsidRPr="00321B9A" w:rsidRDefault="00BF521A" w:rsidP="003A454A">
            <w:pPr>
              <w:pStyle w:val="TableTextRight"/>
              <w:spacing w:before="26" w:after="26"/>
            </w:pPr>
            <w:r>
              <w:t>313</w:t>
            </w:r>
          </w:p>
        </w:tc>
        <w:tc>
          <w:tcPr>
            <w:tcW w:w="1701" w:type="dxa"/>
            <w:vAlign w:val="center"/>
          </w:tcPr>
          <w:p w14:paraId="3646F78B" w14:textId="77777777" w:rsidR="00BF521A" w:rsidRPr="00321B9A" w:rsidRDefault="00BF521A" w:rsidP="003A454A">
            <w:pPr>
              <w:pStyle w:val="TableTextRight"/>
              <w:spacing w:before="26" w:after="26"/>
              <w:ind w:left="-57" w:right="-57"/>
            </w:pPr>
            <w:r>
              <w:t>55</w:t>
            </w:r>
          </w:p>
        </w:tc>
        <w:tc>
          <w:tcPr>
            <w:tcW w:w="794" w:type="dxa"/>
            <w:vAlign w:val="center"/>
          </w:tcPr>
          <w:p w14:paraId="5B934FDC" w14:textId="77777777" w:rsidR="00BF521A" w:rsidRPr="00321B9A" w:rsidRDefault="00BF521A" w:rsidP="003A454A">
            <w:pPr>
              <w:pStyle w:val="TableTextRight"/>
              <w:spacing w:before="26" w:after="26"/>
            </w:pPr>
            <w:r>
              <w:t>1,753</w:t>
            </w:r>
          </w:p>
        </w:tc>
        <w:tc>
          <w:tcPr>
            <w:tcW w:w="1191" w:type="dxa"/>
            <w:vAlign w:val="center"/>
          </w:tcPr>
          <w:p w14:paraId="3D6B85E3" w14:textId="77777777" w:rsidR="00BF521A" w:rsidRPr="00B76586" w:rsidRDefault="00BF521A" w:rsidP="003A454A">
            <w:pPr>
              <w:pStyle w:val="TableTextRight"/>
              <w:spacing w:before="26" w:after="26"/>
            </w:pPr>
            <w:r w:rsidRPr="00B76586">
              <w:t>0.13</w:t>
            </w:r>
          </w:p>
        </w:tc>
      </w:tr>
      <w:tr w:rsidR="009616A2" w:rsidRPr="00742ABA" w14:paraId="4DF3EB05" w14:textId="77777777" w:rsidTr="0048020A">
        <w:tc>
          <w:tcPr>
            <w:tcW w:w="1021" w:type="dxa"/>
            <w:vAlign w:val="center"/>
          </w:tcPr>
          <w:p w14:paraId="42E0F557" w14:textId="77777777" w:rsidR="00BF521A" w:rsidRDefault="00BF521A" w:rsidP="003A454A">
            <w:pPr>
              <w:pStyle w:val="TableTextLeft"/>
              <w:spacing w:before="26" w:after="26"/>
              <w:ind w:right="-80"/>
            </w:pPr>
            <w:r>
              <w:t>2010-11</w:t>
            </w:r>
            <w:r w:rsidR="00F16893">
              <w:rPr>
                <w:vertAlign w:val="superscript"/>
              </w:rPr>
              <w:t>6</w:t>
            </w:r>
          </w:p>
        </w:tc>
        <w:tc>
          <w:tcPr>
            <w:tcW w:w="794" w:type="dxa"/>
            <w:vAlign w:val="center"/>
          </w:tcPr>
          <w:p w14:paraId="4B30DE73" w14:textId="77777777" w:rsidR="00BF521A" w:rsidRDefault="00BF521A" w:rsidP="003A454A">
            <w:pPr>
              <w:pStyle w:val="TableTextRight"/>
              <w:spacing w:before="26" w:after="26"/>
            </w:pPr>
            <w:r>
              <w:t>65</w:t>
            </w:r>
          </w:p>
        </w:tc>
        <w:tc>
          <w:tcPr>
            <w:tcW w:w="851" w:type="dxa"/>
            <w:vAlign w:val="center"/>
          </w:tcPr>
          <w:p w14:paraId="2CD2C56F" w14:textId="77777777" w:rsidR="00BF521A" w:rsidRPr="00321B9A" w:rsidRDefault="00BF521A" w:rsidP="003A454A">
            <w:pPr>
              <w:pStyle w:val="TableTextRight"/>
              <w:spacing w:before="26" w:after="26"/>
            </w:pPr>
            <w:r>
              <w:t>1,423</w:t>
            </w:r>
          </w:p>
        </w:tc>
        <w:tc>
          <w:tcPr>
            <w:tcW w:w="794" w:type="dxa"/>
            <w:vAlign w:val="center"/>
          </w:tcPr>
          <w:p w14:paraId="2CECFD21" w14:textId="77777777" w:rsidR="00BF521A" w:rsidRPr="00321B9A" w:rsidRDefault="00BF521A" w:rsidP="003A454A">
            <w:pPr>
              <w:pStyle w:val="TableTextRight"/>
              <w:spacing w:before="26" w:after="26"/>
            </w:pPr>
            <w:r>
              <w:t>386</w:t>
            </w:r>
          </w:p>
        </w:tc>
        <w:tc>
          <w:tcPr>
            <w:tcW w:w="1701" w:type="dxa"/>
            <w:vAlign w:val="center"/>
          </w:tcPr>
          <w:p w14:paraId="1AB7B19C" w14:textId="77777777" w:rsidR="00BF521A" w:rsidRPr="00321B9A" w:rsidRDefault="00BF521A" w:rsidP="003A454A">
            <w:pPr>
              <w:pStyle w:val="TableTextRight"/>
              <w:spacing w:before="26" w:after="26"/>
              <w:ind w:left="-57" w:right="-57"/>
            </w:pPr>
            <w:r>
              <w:t>44</w:t>
            </w:r>
          </w:p>
        </w:tc>
        <w:tc>
          <w:tcPr>
            <w:tcW w:w="794" w:type="dxa"/>
            <w:vAlign w:val="center"/>
          </w:tcPr>
          <w:p w14:paraId="14256040" w14:textId="77777777" w:rsidR="00BF521A" w:rsidRPr="00321B9A" w:rsidRDefault="00BF521A" w:rsidP="003A454A">
            <w:pPr>
              <w:pStyle w:val="TableTextRight"/>
              <w:spacing w:before="26" w:after="26"/>
            </w:pPr>
            <w:r>
              <w:t>1,918</w:t>
            </w:r>
          </w:p>
        </w:tc>
        <w:tc>
          <w:tcPr>
            <w:tcW w:w="1191" w:type="dxa"/>
            <w:vAlign w:val="center"/>
          </w:tcPr>
          <w:p w14:paraId="78EA4206" w14:textId="77777777" w:rsidR="00BF521A" w:rsidRPr="00B76586" w:rsidRDefault="00BF521A" w:rsidP="003A454A">
            <w:pPr>
              <w:pStyle w:val="TableTextRight"/>
              <w:spacing w:before="26" w:after="26"/>
            </w:pPr>
            <w:r w:rsidRPr="00B76586">
              <w:t>0.13</w:t>
            </w:r>
          </w:p>
        </w:tc>
      </w:tr>
      <w:tr w:rsidR="009616A2" w:rsidRPr="00742ABA" w14:paraId="6A1FF26B" w14:textId="77777777" w:rsidTr="0048020A">
        <w:tc>
          <w:tcPr>
            <w:tcW w:w="1021" w:type="dxa"/>
            <w:vAlign w:val="center"/>
          </w:tcPr>
          <w:p w14:paraId="218C0EFC" w14:textId="77777777" w:rsidR="002100D8" w:rsidRDefault="002100D8" w:rsidP="003A454A">
            <w:pPr>
              <w:pStyle w:val="TableTextLeft"/>
              <w:spacing w:before="26" w:after="26"/>
              <w:ind w:right="-80"/>
            </w:pPr>
            <w:r>
              <w:t>2011-12</w:t>
            </w:r>
          </w:p>
        </w:tc>
        <w:tc>
          <w:tcPr>
            <w:tcW w:w="794" w:type="dxa"/>
            <w:vAlign w:val="center"/>
          </w:tcPr>
          <w:p w14:paraId="1527B02B" w14:textId="77777777" w:rsidR="002100D8" w:rsidRDefault="002100D8" w:rsidP="003A454A">
            <w:pPr>
              <w:pStyle w:val="TableTextRight"/>
              <w:spacing w:before="26" w:after="26"/>
            </w:pPr>
            <w:r>
              <w:t>59</w:t>
            </w:r>
          </w:p>
        </w:tc>
        <w:tc>
          <w:tcPr>
            <w:tcW w:w="851" w:type="dxa"/>
            <w:vAlign w:val="center"/>
          </w:tcPr>
          <w:p w14:paraId="2E9E1433" w14:textId="77777777" w:rsidR="002100D8" w:rsidRDefault="002100D8" w:rsidP="003A454A">
            <w:pPr>
              <w:pStyle w:val="TableTextRight"/>
              <w:spacing w:before="26" w:after="26"/>
            </w:pPr>
            <w:r>
              <w:t>1,445</w:t>
            </w:r>
          </w:p>
        </w:tc>
        <w:tc>
          <w:tcPr>
            <w:tcW w:w="794" w:type="dxa"/>
            <w:vAlign w:val="center"/>
          </w:tcPr>
          <w:p w14:paraId="0179B34F" w14:textId="77777777" w:rsidR="002100D8" w:rsidRDefault="002100D8" w:rsidP="003A454A">
            <w:pPr>
              <w:pStyle w:val="TableTextRight"/>
              <w:spacing w:before="26" w:after="26"/>
            </w:pPr>
            <w:r>
              <w:t>405</w:t>
            </w:r>
          </w:p>
        </w:tc>
        <w:tc>
          <w:tcPr>
            <w:tcW w:w="1701" w:type="dxa"/>
            <w:vAlign w:val="center"/>
          </w:tcPr>
          <w:p w14:paraId="34E09BD1" w14:textId="77777777" w:rsidR="002100D8" w:rsidRDefault="002100D8" w:rsidP="003A454A">
            <w:pPr>
              <w:pStyle w:val="TableTextRight"/>
              <w:spacing w:before="26" w:after="26"/>
              <w:ind w:left="-57" w:right="-57"/>
            </w:pPr>
            <w:r>
              <w:t>41</w:t>
            </w:r>
          </w:p>
        </w:tc>
        <w:tc>
          <w:tcPr>
            <w:tcW w:w="794" w:type="dxa"/>
            <w:vAlign w:val="center"/>
          </w:tcPr>
          <w:p w14:paraId="27C66AA8" w14:textId="77777777" w:rsidR="002100D8" w:rsidRDefault="002100D8" w:rsidP="003A454A">
            <w:pPr>
              <w:pStyle w:val="TableTextRight"/>
              <w:spacing w:before="26" w:after="26"/>
            </w:pPr>
            <w:r>
              <w:t>1,950</w:t>
            </w:r>
          </w:p>
        </w:tc>
        <w:tc>
          <w:tcPr>
            <w:tcW w:w="1191" w:type="dxa"/>
            <w:vAlign w:val="center"/>
          </w:tcPr>
          <w:p w14:paraId="01F68A30" w14:textId="77777777" w:rsidR="002100D8" w:rsidRPr="00B76586" w:rsidRDefault="00D14C24" w:rsidP="003A454A">
            <w:pPr>
              <w:pStyle w:val="TableTextRight"/>
              <w:spacing w:before="26" w:after="26"/>
            </w:pPr>
            <w:r w:rsidRPr="00B76586">
              <w:t>0.13</w:t>
            </w:r>
          </w:p>
        </w:tc>
      </w:tr>
      <w:tr w:rsidR="009616A2" w:rsidRPr="00742ABA" w14:paraId="44771B39" w14:textId="77777777" w:rsidTr="0048020A">
        <w:tc>
          <w:tcPr>
            <w:tcW w:w="1021" w:type="dxa"/>
            <w:vAlign w:val="center"/>
          </w:tcPr>
          <w:p w14:paraId="66A3E40D" w14:textId="77777777" w:rsidR="002100D8" w:rsidRDefault="002100D8" w:rsidP="003A454A">
            <w:pPr>
              <w:pStyle w:val="TableTextLeft"/>
              <w:spacing w:before="26" w:after="26"/>
              <w:ind w:right="-80"/>
            </w:pPr>
            <w:r>
              <w:t>2012-13</w:t>
            </w:r>
          </w:p>
        </w:tc>
        <w:tc>
          <w:tcPr>
            <w:tcW w:w="794" w:type="dxa"/>
            <w:vAlign w:val="center"/>
          </w:tcPr>
          <w:p w14:paraId="3870B278" w14:textId="77777777" w:rsidR="002100D8" w:rsidRDefault="002100D8" w:rsidP="003A454A">
            <w:pPr>
              <w:pStyle w:val="TableTextRight"/>
              <w:spacing w:before="26" w:after="26"/>
            </w:pPr>
            <w:r>
              <w:t>5</w:t>
            </w:r>
            <w:r w:rsidR="009A7266">
              <w:t>5</w:t>
            </w:r>
          </w:p>
        </w:tc>
        <w:tc>
          <w:tcPr>
            <w:tcW w:w="851" w:type="dxa"/>
            <w:vAlign w:val="center"/>
          </w:tcPr>
          <w:p w14:paraId="567B8713" w14:textId="77777777" w:rsidR="002100D8" w:rsidRDefault="002100D8" w:rsidP="003A454A">
            <w:pPr>
              <w:pStyle w:val="TableTextRight"/>
              <w:spacing w:before="26" w:after="26"/>
            </w:pPr>
            <w:r>
              <w:t>1,434</w:t>
            </w:r>
          </w:p>
        </w:tc>
        <w:tc>
          <w:tcPr>
            <w:tcW w:w="794" w:type="dxa"/>
            <w:vAlign w:val="center"/>
          </w:tcPr>
          <w:p w14:paraId="5BF9C9CE" w14:textId="77777777" w:rsidR="002100D8" w:rsidRDefault="002100D8" w:rsidP="003A454A">
            <w:pPr>
              <w:pStyle w:val="TableTextRight"/>
              <w:spacing w:before="26" w:after="26"/>
            </w:pPr>
            <w:r>
              <w:t>446</w:t>
            </w:r>
          </w:p>
        </w:tc>
        <w:tc>
          <w:tcPr>
            <w:tcW w:w="1701" w:type="dxa"/>
            <w:vAlign w:val="center"/>
          </w:tcPr>
          <w:p w14:paraId="18BFBEE0" w14:textId="77777777" w:rsidR="002100D8" w:rsidRDefault="009A7266" w:rsidP="003A454A">
            <w:pPr>
              <w:pStyle w:val="TableTextRight"/>
              <w:spacing w:before="26" w:after="26"/>
              <w:ind w:left="-57" w:right="-57"/>
            </w:pPr>
            <w:r>
              <w:t>40</w:t>
            </w:r>
          </w:p>
        </w:tc>
        <w:tc>
          <w:tcPr>
            <w:tcW w:w="794" w:type="dxa"/>
            <w:vAlign w:val="center"/>
          </w:tcPr>
          <w:p w14:paraId="0F0A6574" w14:textId="77777777" w:rsidR="002100D8" w:rsidRDefault="002100D8" w:rsidP="003A454A">
            <w:pPr>
              <w:pStyle w:val="TableTextRight"/>
              <w:spacing w:before="26" w:after="26"/>
            </w:pPr>
            <w:r>
              <w:t>1,975</w:t>
            </w:r>
          </w:p>
        </w:tc>
        <w:tc>
          <w:tcPr>
            <w:tcW w:w="1191" w:type="dxa"/>
            <w:vAlign w:val="center"/>
          </w:tcPr>
          <w:p w14:paraId="1CE2D0F5" w14:textId="77777777" w:rsidR="002100D8" w:rsidRPr="00B76586" w:rsidRDefault="00D14C24" w:rsidP="003A454A">
            <w:pPr>
              <w:pStyle w:val="TableTextRight"/>
              <w:spacing w:before="26" w:after="26"/>
            </w:pPr>
            <w:r w:rsidRPr="00B76586">
              <w:t>0.13</w:t>
            </w:r>
          </w:p>
        </w:tc>
      </w:tr>
      <w:tr w:rsidR="002F13EB" w:rsidRPr="00742ABA" w14:paraId="7A7A8100" w14:textId="77777777" w:rsidTr="0048020A">
        <w:tc>
          <w:tcPr>
            <w:tcW w:w="1021" w:type="dxa"/>
            <w:tcBorders>
              <w:bottom w:val="single" w:sz="12" w:space="0" w:color="auto"/>
            </w:tcBorders>
            <w:vAlign w:val="center"/>
          </w:tcPr>
          <w:p w14:paraId="285C39D8" w14:textId="77777777" w:rsidR="002100D8" w:rsidRDefault="002100D8" w:rsidP="003A454A">
            <w:pPr>
              <w:pStyle w:val="TableTextLeft"/>
              <w:spacing w:before="26" w:after="26"/>
              <w:ind w:right="-80"/>
            </w:pPr>
            <w:r>
              <w:t>2013-14</w:t>
            </w:r>
          </w:p>
        </w:tc>
        <w:tc>
          <w:tcPr>
            <w:tcW w:w="794" w:type="dxa"/>
            <w:tcBorders>
              <w:bottom w:val="single" w:sz="12" w:space="0" w:color="auto"/>
            </w:tcBorders>
            <w:vAlign w:val="center"/>
          </w:tcPr>
          <w:p w14:paraId="7523C8AA" w14:textId="77777777" w:rsidR="002100D8" w:rsidRDefault="002100D8" w:rsidP="003A454A">
            <w:pPr>
              <w:pStyle w:val="TableTextRight"/>
              <w:spacing w:before="26" w:after="26"/>
            </w:pPr>
            <w:r>
              <w:t>53</w:t>
            </w:r>
          </w:p>
        </w:tc>
        <w:tc>
          <w:tcPr>
            <w:tcW w:w="851" w:type="dxa"/>
            <w:tcBorders>
              <w:bottom w:val="single" w:sz="12" w:space="0" w:color="auto"/>
            </w:tcBorders>
            <w:vAlign w:val="center"/>
          </w:tcPr>
          <w:p w14:paraId="78D6209C" w14:textId="77777777" w:rsidR="002100D8" w:rsidRDefault="002100D8" w:rsidP="003A454A">
            <w:pPr>
              <w:pStyle w:val="TableTextRight"/>
              <w:spacing w:before="26" w:after="26"/>
            </w:pPr>
            <w:r>
              <w:t>1,455</w:t>
            </w:r>
          </w:p>
        </w:tc>
        <w:tc>
          <w:tcPr>
            <w:tcW w:w="794" w:type="dxa"/>
            <w:tcBorders>
              <w:bottom w:val="single" w:sz="12" w:space="0" w:color="auto"/>
            </w:tcBorders>
            <w:vAlign w:val="center"/>
          </w:tcPr>
          <w:p w14:paraId="49ADEE71" w14:textId="77777777" w:rsidR="002100D8" w:rsidRDefault="002100D8" w:rsidP="003A454A">
            <w:pPr>
              <w:pStyle w:val="TableTextRight"/>
              <w:spacing w:before="26" w:after="26"/>
            </w:pPr>
            <w:r>
              <w:t>505</w:t>
            </w:r>
          </w:p>
        </w:tc>
        <w:tc>
          <w:tcPr>
            <w:tcW w:w="1701" w:type="dxa"/>
            <w:tcBorders>
              <w:bottom w:val="single" w:sz="12" w:space="0" w:color="auto"/>
            </w:tcBorders>
            <w:vAlign w:val="center"/>
          </w:tcPr>
          <w:p w14:paraId="30A142F0" w14:textId="77777777" w:rsidR="002100D8" w:rsidRDefault="002100D8" w:rsidP="003A454A">
            <w:pPr>
              <w:pStyle w:val="TableTextRight"/>
              <w:spacing w:before="26" w:after="26"/>
              <w:ind w:left="-57" w:right="-57"/>
            </w:pPr>
            <w:r>
              <w:t>28</w:t>
            </w:r>
          </w:p>
        </w:tc>
        <w:tc>
          <w:tcPr>
            <w:tcW w:w="794" w:type="dxa"/>
            <w:tcBorders>
              <w:bottom w:val="single" w:sz="12" w:space="0" w:color="auto"/>
            </w:tcBorders>
            <w:vAlign w:val="center"/>
          </w:tcPr>
          <w:p w14:paraId="3591BB84" w14:textId="77777777" w:rsidR="002100D8" w:rsidRDefault="002100D8" w:rsidP="003A454A">
            <w:pPr>
              <w:pStyle w:val="TableTextRight"/>
              <w:spacing w:before="26" w:after="26"/>
            </w:pPr>
            <w:r>
              <w:t>2,041</w:t>
            </w:r>
          </w:p>
        </w:tc>
        <w:tc>
          <w:tcPr>
            <w:tcW w:w="1191" w:type="dxa"/>
            <w:tcBorders>
              <w:bottom w:val="single" w:sz="12" w:space="0" w:color="auto"/>
            </w:tcBorders>
            <w:vAlign w:val="center"/>
          </w:tcPr>
          <w:p w14:paraId="32D397FD" w14:textId="77777777" w:rsidR="00D14C24" w:rsidRPr="00B76586" w:rsidRDefault="00D14C24" w:rsidP="003A454A">
            <w:pPr>
              <w:pStyle w:val="TableTextRight"/>
              <w:spacing w:before="26" w:after="26"/>
            </w:pPr>
            <w:r w:rsidRPr="00B76586">
              <w:t>0.13</w:t>
            </w:r>
          </w:p>
        </w:tc>
      </w:tr>
      <w:tr w:rsidR="002F13EB" w:rsidRPr="00742ABA" w14:paraId="0EDEFD98" w14:textId="77777777" w:rsidTr="0048020A">
        <w:tc>
          <w:tcPr>
            <w:tcW w:w="1021" w:type="dxa"/>
            <w:tcBorders>
              <w:top w:val="single" w:sz="12" w:space="0" w:color="auto"/>
              <w:bottom w:val="single" w:sz="4" w:space="0" w:color="auto"/>
            </w:tcBorders>
            <w:shd w:val="clear" w:color="auto" w:fill="D9D9D9" w:themeFill="background1" w:themeFillShade="D9"/>
            <w:vAlign w:val="center"/>
          </w:tcPr>
          <w:p w14:paraId="48B3D0C4" w14:textId="77777777" w:rsidR="00BF521A" w:rsidRPr="00B94444" w:rsidRDefault="00BF521A" w:rsidP="003A454A">
            <w:pPr>
              <w:pStyle w:val="TableColumnHeadingLeft"/>
              <w:spacing w:before="26" w:after="26"/>
              <w:ind w:right="-80"/>
            </w:pPr>
            <w:r w:rsidRPr="00B94444">
              <w:t>Projected</w:t>
            </w:r>
          </w:p>
        </w:tc>
        <w:tc>
          <w:tcPr>
            <w:tcW w:w="794" w:type="dxa"/>
            <w:tcBorders>
              <w:top w:val="single" w:sz="12" w:space="0" w:color="auto"/>
              <w:bottom w:val="single" w:sz="4" w:space="0" w:color="auto"/>
            </w:tcBorders>
            <w:shd w:val="clear" w:color="auto" w:fill="D9D9D9" w:themeFill="background1" w:themeFillShade="D9"/>
            <w:vAlign w:val="center"/>
          </w:tcPr>
          <w:p w14:paraId="355CBB1B" w14:textId="77777777" w:rsidR="00BF521A" w:rsidRPr="00660890" w:rsidRDefault="00BF521A" w:rsidP="003A454A">
            <w:pPr>
              <w:pStyle w:val="TableTextRight"/>
              <w:spacing w:before="26" w:after="26"/>
            </w:pPr>
          </w:p>
        </w:tc>
        <w:tc>
          <w:tcPr>
            <w:tcW w:w="851" w:type="dxa"/>
            <w:tcBorders>
              <w:top w:val="single" w:sz="12" w:space="0" w:color="auto"/>
              <w:bottom w:val="single" w:sz="4" w:space="0" w:color="auto"/>
            </w:tcBorders>
            <w:shd w:val="clear" w:color="auto" w:fill="D9D9D9" w:themeFill="background1" w:themeFillShade="D9"/>
            <w:vAlign w:val="center"/>
          </w:tcPr>
          <w:p w14:paraId="4182D4B9" w14:textId="77777777" w:rsidR="00BF521A" w:rsidRPr="00660890" w:rsidRDefault="00BF521A" w:rsidP="003A454A">
            <w:pPr>
              <w:pStyle w:val="TableTextRight"/>
              <w:spacing w:before="26" w:after="26"/>
            </w:pPr>
          </w:p>
        </w:tc>
        <w:tc>
          <w:tcPr>
            <w:tcW w:w="794" w:type="dxa"/>
            <w:tcBorders>
              <w:top w:val="single" w:sz="12" w:space="0" w:color="auto"/>
              <w:bottom w:val="single" w:sz="4" w:space="0" w:color="auto"/>
            </w:tcBorders>
            <w:shd w:val="clear" w:color="auto" w:fill="D9D9D9" w:themeFill="background1" w:themeFillShade="D9"/>
            <w:vAlign w:val="center"/>
          </w:tcPr>
          <w:p w14:paraId="532795D9" w14:textId="77777777" w:rsidR="00BF521A" w:rsidRPr="00660890" w:rsidRDefault="00BF521A" w:rsidP="003A454A">
            <w:pPr>
              <w:pStyle w:val="TableTextRight"/>
              <w:spacing w:before="26" w:after="26"/>
            </w:pPr>
          </w:p>
        </w:tc>
        <w:tc>
          <w:tcPr>
            <w:tcW w:w="1701" w:type="dxa"/>
            <w:tcBorders>
              <w:top w:val="single" w:sz="12" w:space="0" w:color="auto"/>
              <w:bottom w:val="single" w:sz="4" w:space="0" w:color="auto"/>
            </w:tcBorders>
            <w:shd w:val="clear" w:color="auto" w:fill="D9D9D9" w:themeFill="background1" w:themeFillShade="D9"/>
            <w:vAlign w:val="center"/>
          </w:tcPr>
          <w:p w14:paraId="30AC7B1A" w14:textId="77777777" w:rsidR="00BF521A" w:rsidRPr="00660890" w:rsidRDefault="00BF521A" w:rsidP="003A454A">
            <w:pPr>
              <w:pStyle w:val="TableTextRight"/>
              <w:spacing w:before="26" w:after="26"/>
              <w:ind w:left="-57" w:right="-57"/>
            </w:pPr>
          </w:p>
        </w:tc>
        <w:tc>
          <w:tcPr>
            <w:tcW w:w="794" w:type="dxa"/>
            <w:tcBorders>
              <w:top w:val="single" w:sz="12" w:space="0" w:color="auto"/>
              <w:bottom w:val="single" w:sz="4" w:space="0" w:color="auto"/>
            </w:tcBorders>
            <w:shd w:val="clear" w:color="auto" w:fill="D9D9D9" w:themeFill="background1" w:themeFillShade="D9"/>
            <w:vAlign w:val="center"/>
          </w:tcPr>
          <w:p w14:paraId="63FB630B" w14:textId="77777777" w:rsidR="00BF521A" w:rsidRPr="00660890" w:rsidRDefault="00BF521A" w:rsidP="003A454A">
            <w:pPr>
              <w:pStyle w:val="TableTextRight"/>
              <w:spacing w:before="26" w:after="26"/>
            </w:pPr>
          </w:p>
        </w:tc>
        <w:tc>
          <w:tcPr>
            <w:tcW w:w="1191" w:type="dxa"/>
            <w:tcBorders>
              <w:top w:val="single" w:sz="12" w:space="0" w:color="auto"/>
              <w:bottom w:val="single" w:sz="4" w:space="0" w:color="auto"/>
            </w:tcBorders>
            <w:shd w:val="clear" w:color="auto" w:fill="D9D9D9" w:themeFill="background1" w:themeFillShade="D9"/>
            <w:vAlign w:val="center"/>
          </w:tcPr>
          <w:p w14:paraId="3E138B97" w14:textId="77777777" w:rsidR="00BF521A" w:rsidRPr="00660890" w:rsidRDefault="00BF521A" w:rsidP="003A454A">
            <w:pPr>
              <w:pStyle w:val="TableTextRight"/>
              <w:spacing w:before="26" w:after="26"/>
            </w:pPr>
          </w:p>
        </w:tc>
      </w:tr>
      <w:tr w:rsidR="002F13EB" w:rsidRPr="00742ABA" w14:paraId="3AB78ABA" w14:textId="77777777" w:rsidTr="0048020A">
        <w:tc>
          <w:tcPr>
            <w:tcW w:w="1021" w:type="dxa"/>
            <w:tcBorders>
              <w:top w:val="single" w:sz="4" w:space="0" w:color="auto"/>
            </w:tcBorders>
            <w:shd w:val="clear" w:color="auto" w:fill="F2F2F2" w:themeFill="background1" w:themeFillShade="F2"/>
            <w:vAlign w:val="center"/>
          </w:tcPr>
          <w:p w14:paraId="1BB36C9D" w14:textId="77777777" w:rsidR="00295984" w:rsidRPr="003522F6" w:rsidRDefault="00295984" w:rsidP="003A454A">
            <w:pPr>
              <w:pStyle w:val="TableTextLeft"/>
              <w:spacing w:before="26" w:after="26"/>
              <w:ind w:right="-80"/>
            </w:pPr>
            <w:r w:rsidRPr="003522F6">
              <w:t>20</w:t>
            </w:r>
            <w:r>
              <w:t>14</w:t>
            </w:r>
            <w:r>
              <w:noBreakHyphen/>
              <w:t>15</w:t>
            </w:r>
          </w:p>
        </w:tc>
        <w:tc>
          <w:tcPr>
            <w:tcW w:w="794" w:type="dxa"/>
            <w:tcBorders>
              <w:top w:val="single" w:sz="4" w:space="0" w:color="auto"/>
            </w:tcBorders>
            <w:shd w:val="clear" w:color="auto" w:fill="F2F2F2" w:themeFill="background1" w:themeFillShade="F2"/>
            <w:vAlign w:val="center"/>
          </w:tcPr>
          <w:p w14:paraId="4D5A85F2" w14:textId="77777777" w:rsidR="00295984" w:rsidRPr="00321B9A" w:rsidRDefault="00295984" w:rsidP="003A454A">
            <w:pPr>
              <w:pStyle w:val="TableTextRight"/>
              <w:spacing w:before="26" w:after="26"/>
            </w:pPr>
            <w:r>
              <w:t>50</w:t>
            </w:r>
          </w:p>
        </w:tc>
        <w:tc>
          <w:tcPr>
            <w:tcW w:w="851" w:type="dxa"/>
            <w:tcBorders>
              <w:top w:val="single" w:sz="4" w:space="0" w:color="auto"/>
            </w:tcBorders>
            <w:shd w:val="clear" w:color="auto" w:fill="F2F2F2" w:themeFill="background1" w:themeFillShade="F2"/>
            <w:vAlign w:val="center"/>
          </w:tcPr>
          <w:p w14:paraId="24D1769F" w14:textId="77777777" w:rsidR="00295984" w:rsidRPr="00F331C5" w:rsidRDefault="00295984" w:rsidP="003A454A">
            <w:pPr>
              <w:pStyle w:val="TableTextRight"/>
              <w:spacing w:before="26" w:after="26"/>
            </w:pPr>
            <w:r w:rsidRPr="00F331C5">
              <w:t xml:space="preserve"> 1,5</w:t>
            </w:r>
            <w:r w:rsidR="001F1CF7">
              <w:t>41</w:t>
            </w:r>
            <w:r w:rsidRPr="00F331C5">
              <w:t xml:space="preserve"> </w:t>
            </w:r>
          </w:p>
        </w:tc>
        <w:tc>
          <w:tcPr>
            <w:tcW w:w="794" w:type="dxa"/>
            <w:tcBorders>
              <w:top w:val="single" w:sz="4" w:space="0" w:color="auto"/>
            </w:tcBorders>
            <w:shd w:val="clear" w:color="auto" w:fill="F2F2F2" w:themeFill="background1" w:themeFillShade="F2"/>
            <w:vAlign w:val="center"/>
          </w:tcPr>
          <w:p w14:paraId="12C08636" w14:textId="77777777" w:rsidR="00295984" w:rsidRPr="00295984" w:rsidRDefault="00295984" w:rsidP="003A454A">
            <w:pPr>
              <w:pStyle w:val="TableTextRight"/>
              <w:spacing w:before="26" w:after="26"/>
            </w:pPr>
            <w:r w:rsidRPr="00295984">
              <w:t>594</w:t>
            </w:r>
          </w:p>
        </w:tc>
        <w:tc>
          <w:tcPr>
            <w:tcW w:w="1701" w:type="dxa"/>
            <w:tcBorders>
              <w:top w:val="single" w:sz="4" w:space="0" w:color="auto"/>
            </w:tcBorders>
            <w:shd w:val="clear" w:color="auto" w:fill="F2F2F2" w:themeFill="background1" w:themeFillShade="F2"/>
            <w:vAlign w:val="center"/>
          </w:tcPr>
          <w:p w14:paraId="7EE96DED" w14:textId="77777777" w:rsidR="00295984" w:rsidRPr="00321B9A" w:rsidRDefault="00295984" w:rsidP="003A454A">
            <w:pPr>
              <w:pStyle w:val="TableTextRight"/>
              <w:spacing w:before="26" w:after="26"/>
              <w:ind w:left="-57" w:right="-57"/>
            </w:pPr>
            <w:r>
              <w:t>30</w:t>
            </w:r>
          </w:p>
        </w:tc>
        <w:tc>
          <w:tcPr>
            <w:tcW w:w="794" w:type="dxa"/>
            <w:tcBorders>
              <w:top w:val="single" w:sz="4" w:space="0" w:color="auto"/>
            </w:tcBorders>
            <w:shd w:val="clear" w:color="auto" w:fill="F2F2F2" w:themeFill="background1" w:themeFillShade="F2"/>
            <w:vAlign w:val="center"/>
          </w:tcPr>
          <w:p w14:paraId="5C2B12A9" w14:textId="77777777" w:rsidR="00295984" w:rsidRPr="000C4F4A" w:rsidRDefault="00295984" w:rsidP="003A454A">
            <w:pPr>
              <w:pStyle w:val="TableTextRight"/>
              <w:spacing w:before="26" w:after="26"/>
            </w:pPr>
            <w:r w:rsidRPr="000C4F4A">
              <w:t xml:space="preserve"> 2,2</w:t>
            </w:r>
            <w:r w:rsidR="001F1CF7">
              <w:t>16</w:t>
            </w:r>
            <w:r w:rsidRPr="000C4F4A">
              <w:t xml:space="preserve"> </w:t>
            </w:r>
          </w:p>
        </w:tc>
        <w:tc>
          <w:tcPr>
            <w:tcW w:w="1191" w:type="dxa"/>
            <w:tcBorders>
              <w:top w:val="single" w:sz="4" w:space="0" w:color="auto"/>
            </w:tcBorders>
            <w:shd w:val="clear" w:color="auto" w:fill="F2F2F2" w:themeFill="background1" w:themeFillShade="F2"/>
            <w:vAlign w:val="center"/>
          </w:tcPr>
          <w:p w14:paraId="7B77B715" w14:textId="77777777" w:rsidR="00295984" w:rsidRPr="000C4F4A" w:rsidRDefault="00295984" w:rsidP="003A454A">
            <w:pPr>
              <w:pStyle w:val="TableTextRight"/>
              <w:spacing w:before="26" w:after="26"/>
            </w:pPr>
            <w:r w:rsidRPr="000C4F4A">
              <w:t>0.13</w:t>
            </w:r>
          </w:p>
        </w:tc>
      </w:tr>
      <w:tr w:rsidR="009616A2" w:rsidRPr="00742ABA" w14:paraId="6D3AD405" w14:textId="77777777" w:rsidTr="0048020A">
        <w:tc>
          <w:tcPr>
            <w:tcW w:w="1021" w:type="dxa"/>
            <w:shd w:val="clear" w:color="auto" w:fill="F2F2F2" w:themeFill="background1" w:themeFillShade="F2"/>
            <w:vAlign w:val="center"/>
          </w:tcPr>
          <w:p w14:paraId="2E51E334" w14:textId="77777777" w:rsidR="00295984" w:rsidRPr="003522F6" w:rsidRDefault="00295984" w:rsidP="003A454A">
            <w:pPr>
              <w:pStyle w:val="TableTextLeft"/>
              <w:spacing w:before="26" w:after="26"/>
              <w:ind w:right="-80"/>
            </w:pPr>
            <w:r w:rsidRPr="003522F6">
              <w:t>20</w:t>
            </w:r>
            <w:r>
              <w:t>15</w:t>
            </w:r>
            <w:r>
              <w:noBreakHyphen/>
            </w:r>
            <w:r w:rsidRPr="003522F6">
              <w:t>1</w:t>
            </w:r>
            <w:r>
              <w:t>6</w:t>
            </w:r>
          </w:p>
        </w:tc>
        <w:tc>
          <w:tcPr>
            <w:tcW w:w="794" w:type="dxa"/>
            <w:shd w:val="clear" w:color="auto" w:fill="F2F2F2" w:themeFill="background1" w:themeFillShade="F2"/>
            <w:vAlign w:val="center"/>
          </w:tcPr>
          <w:p w14:paraId="16860F5F" w14:textId="77777777" w:rsidR="00295984" w:rsidRPr="00321B9A" w:rsidRDefault="00295984" w:rsidP="003A454A">
            <w:pPr>
              <w:pStyle w:val="TableTextRight"/>
              <w:spacing w:before="26" w:after="26"/>
            </w:pPr>
            <w:r>
              <w:t>49</w:t>
            </w:r>
          </w:p>
        </w:tc>
        <w:tc>
          <w:tcPr>
            <w:tcW w:w="851" w:type="dxa"/>
            <w:shd w:val="clear" w:color="auto" w:fill="F2F2F2" w:themeFill="background1" w:themeFillShade="F2"/>
            <w:vAlign w:val="center"/>
          </w:tcPr>
          <w:p w14:paraId="30085BF2" w14:textId="77777777" w:rsidR="00295984" w:rsidRPr="00F331C5" w:rsidRDefault="00295984" w:rsidP="003A454A">
            <w:pPr>
              <w:pStyle w:val="TableTextRight"/>
              <w:spacing w:before="26" w:after="26"/>
            </w:pPr>
            <w:r w:rsidRPr="00F331C5">
              <w:t xml:space="preserve"> 1,58</w:t>
            </w:r>
            <w:r w:rsidR="001F1CF7">
              <w:t>7</w:t>
            </w:r>
            <w:r w:rsidRPr="00F331C5">
              <w:t xml:space="preserve"> </w:t>
            </w:r>
          </w:p>
        </w:tc>
        <w:tc>
          <w:tcPr>
            <w:tcW w:w="794" w:type="dxa"/>
            <w:shd w:val="clear" w:color="auto" w:fill="F2F2F2" w:themeFill="background1" w:themeFillShade="F2"/>
            <w:vAlign w:val="center"/>
          </w:tcPr>
          <w:p w14:paraId="4BBC21BD" w14:textId="77777777" w:rsidR="00295984" w:rsidRPr="00295984" w:rsidRDefault="00295984" w:rsidP="003A454A">
            <w:pPr>
              <w:pStyle w:val="TableTextRight"/>
              <w:spacing w:before="26" w:after="26"/>
            </w:pPr>
            <w:r w:rsidRPr="00295984">
              <w:t>649</w:t>
            </w:r>
          </w:p>
        </w:tc>
        <w:tc>
          <w:tcPr>
            <w:tcW w:w="1701" w:type="dxa"/>
            <w:shd w:val="clear" w:color="auto" w:fill="F2F2F2" w:themeFill="background1" w:themeFillShade="F2"/>
            <w:vAlign w:val="center"/>
          </w:tcPr>
          <w:p w14:paraId="0B672CCD" w14:textId="77777777" w:rsidR="00295984" w:rsidRPr="00A14C27" w:rsidRDefault="00295984" w:rsidP="003A454A">
            <w:pPr>
              <w:pStyle w:val="TableTextRight"/>
              <w:spacing w:before="26" w:after="26"/>
              <w:ind w:left="-57" w:right="-57"/>
            </w:pPr>
            <w:r>
              <w:t>31</w:t>
            </w:r>
          </w:p>
        </w:tc>
        <w:tc>
          <w:tcPr>
            <w:tcW w:w="794" w:type="dxa"/>
            <w:shd w:val="clear" w:color="auto" w:fill="F2F2F2" w:themeFill="background1" w:themeFillShade="F2"/>
            <w:vAlign w:val="center"/>
          </w:tcPr>
          <w:p w14:paraId="102E5F7C" w14:textId="77777777" w:rsidR="00295984" w:rsidRPr="000C4F4A" w:rsidRDefault="00295984" w:rsidP="003A454A">
            <w:pPr>
              <w:pStyle w:val="TableTextRight"/>
              <w:spacing w:before="26" w:after="26"/>
            </w:pPr>
            <w:r w:rsidRPr="000C4F4A">
              <w:t xml:space="preserve"> 2,3</w:t>
            </w:r>
            <w:r w:rsidR="00737FAB">
              <w:t>1</w:t>
            </w:r>
            <w:r w:rsidR="001F1CF7">
              <w:t>6</w:t>
            </w:r>
            <w:r w:rsidRPr="000C4F4A">
              <w:t xml:space="preserve"> </w:t>
            </w:r>
          </w:p>
        </w:tc>
        <w:tc>
          <w:tcPr>
            <w:tcW w:w="1191" w:type="dxa"/>
            <w:shd w:val="clear" w:color="auto" w:fill="F2F2F2" w:themeFill="background1" w:themeFillShade="F2"/>
            <w:vAlign w:val="center"/>
          </w:tcPr>
          <w:p w14:paraId="5E11D590" w14:textId="77777777" w:rsidR="00295984" w:rsidRPr="000C4F4A" w:rsidRDefault="00295984" w:rsidP="003A454A">
            <w:pPr>
              <w:pStyle w:val="TableTextRight"/>
              <w:spacing w:before="26" w:after="26"/>
            </w:pPr>
            <w:r w:rsidRPr="000C4F4A">
              <w:t>0.13</w:t>
            </w:r>
          </w:p>
        </w:tc>
      </w:tr>
      <w:tr w:rsidR="009616A2" w:rsidRPr="00742ABA" w14:paraId="270A0CF8" w14:textId="77777777" w:rsidTr="0048020A">
        <w:tc>
          <w:tcPr>
            <w:tcW w:w="1021" w:type="dxa"/>
            <w:shd w:val="clear" w:color="auto" w:fill="F2F2F2" w:themeFill="background1" w:themeFillShade="F2"/>
            <w:vAlign w:val="center"/>
          </w:tcPr>
          <w:p w14:paraId="04E4B470" w14:textId="77777777" w:rsidR="00295984" w:rsidRPr="003522F6" w:rsidRDefault="00295984" w:rsidP="003A454A">
            <w:pPr>
              <w:pStyle w:val="TableTextLeft"/>
              <w:spacing w:before="26" w:after="26"/>
              <w:ind w:right="-80"/>
            </w:pPr>
            <w:r w:rsidRPr="003522F6">
              <w:t>201</w:t>
            </w:r>
            <w:r>
              <w:t>6</w:t>
            </w:r>
            <w:r>
              <w:noBreakHyphen/>
            </w:r>
            <w:r w:rsidRPr="003522F6">
              <w:t>1</w:t>
            </w:r>
            <w:r>
              <w:t>7</w:t>
            </w:r>
          </w:p>
        </w:tc>
        <w:tc>
          <w:tcPr>
            <w:tcW w:w="794" w:type="dxa"/>
            <w:shd w:val="clear" w:color="auto" w:fill="F2F2F2" w:themeFill="background1" w:themeFillShade="F2"/>
            <w:vAlign w:val="center"/>
          </w:tcPr>
          <w:p w14:paraId="54EAE076" w14:textId="77777777" w:rsidR="00295984" w:rsidRPr="00321B9A" w:rsidRDefault="00295984" w:rsidP="003A454A">
            <w:pPr>
              <w:pStyle w:val="TableTextRight"/>
              <w:spacing w:before="26" w:after="26"/>
            </w:pPr>
            <w:r>
              <w:t>47</w:t>
            </w:r>
          </w:p>
        </w:tc>
        <w:tc>
          <w:tcPr>
            <w:tcW w:w="851" w:type="dxa"/>
            <w:shd w:val="clear" w:color="auto" w:fill="F2F2F2" w:themeFill="background1" w:themeFillShade="F2"/>
            <w:vAlign w:val="center"/>
          </w:tcPr>
          <w:p w14:paraId="51B1FC69" w14:textId="77777777" w:rsidR="00295984" w:rsidRPr="00F331C5" w:rsidRDefault="00295984" w:rsidP="003A454A">
            <w:pPr>
              <w:pStyle w:val="TableTextRight"/>
              <w:spacing w:before="26" w:after="26"/>
            </w:pPr>
            <w:r w:rsidRPr="00F331C5">
              <w:t xml:space="preserve"> 1,6</w:t>
            </w:r>
            <w:r w:rsidR="00737FAB">
              <w:t>3</w:t>
            </w:r>
            <w:r w:rsidR="001F1CF7">
              <w:t>3</w:t>
            </w:r>
            <w:r w:rsidRPr="00F331C5">
              <w:t xml:space="preserve"> </w:t>
            </w:r>
          </w:p>
        </w:tc>
        <w:tc>
          <w:tcPr>
            <w:tcW w:w="794" w:type="dxa"/>
            <w:shd w:val="clear" w:color="auto" w:fill="F2F2F2" w:themeFill="background1" w:themeFillShade="F2"/>
            <w:vAlign w:val="center"/>
          </w:tcPr>
          <w:p w14:paraId="342D376A" w14:textId="77777777" w:rsidR="00295984" w:rsidRPr="00295984" w:rsidRDefault="00295984" w:rsidP="003A454A">
            <w:pPr>
              <w:pStyle w:val="TableTextRight"/>
              <w:spacing w:before="26" w:after="26"/>
            </w:pPr>
            <w:r w:rsidRPr="00295984">
              <w:t>710</w:t>
            </w:r>
          </w:p>
        </w:tc>
        <w:tc>
          <w:tcPr>
            <w:tcW w:w="1701" w:type="dxa"/>
            <w:shd w:val="clear" w:color="auto" w:fill="F2F2F2" w:themeFill="background1" w:themeFillShade="F2"/>
            <w:vAlign w:val="center"/>
          </w:tcPr>
          <w:p w14:paraId="45B3AD3B" w14:textId="77777777" w:rsidR="00295984" w:rsidRPr="00A14C27" w:rsidRDefault="00295984" w:rsidP="003A454A">
            <w:pPr>
              <w:pStyle w:val="TableTextRight"/>
              <w:spacing w:before="26" w:after="26"/>
              <w:ind w:left="-57" w:right="-57"/>
            </w:pPr>
            <w:r>
              <w:t>33</w:t>
            </w:r>
          </w:p>
        </w:tc>
        <w:tc>
          <w:tcPr>
            <w:tcW w:w="794" w:type="dxa"/>
            <w:shd w:val="clear" w:color="auto" w:fill="F2F2F2" w:themeFill="background1" w:themeFillShade="F2"/>
            <w:vAlign w:val="center"/>
          </w:tcPr>
          <w:p w14:paraId="19099477" w14:textId="77777777" w:rsidR="00295984" w:rsidRPr="000C4F4A" w:rsidRDefault="00295984" w:rsidP="003A454A">
            <w:pPr>
              <w:pStyle w:val="TableTextRight"/>
              <w:spacing w:before="26" w:after="26"/>
            </w:pPr>
            <w:r w:rsidRPr="000C4F4A">
              <w:t xml:space="preserve"> 2,4</w:t>
            </w:r>
            <w:r w:rsidR="00737FAB">
              <w:t>2</w:t>
            </w:r>
            <w:r w:rsidR="001F1CF7">
              <w:t>3</w:t>
            </w:r>
            <w:r w:rsidRPr="000C4F4A">
              <w:t xml:space="preserve"> </w:t>
            </w:r>
          </w:p>
        </w:tc>
        <w:tc>
          <w:tcPr>
            <w:tcW w:w="1191" w:type="dxa"/>
            <w:shd w:val="clear" w:color="auto" w:fill="F2F2F2" w:themeFill="background1" w:themeFillShade="F2"/>
            <w:vAlign w:val="center"/>
          </w:tcPr>
          <w:p w14:paraId="1F915F84" w14:textId="77777777" w:rsidR="00295984" w:rsidRPr="000C4F4A" w:rsidRDefault="00295984" w:rsidP="003A454A">
            <w:pPr>
              <w:pStyle w:val="TableTextRight"/>
              <w:spacing w:before="26" w:after="26"/>
            </w:pPr>
            <w:r w:rsidRPr="000C4F4A">
              <w:t>0.13</w:t>
            </w:r>
          </w:p>
        </w:tc>
      </w:tr>
      <w:tr w:rsidR="009616A2" w:rsidRPr="00742ABA" w14:paraId="26A4BC62" w14:textId="77777777" w:rsidTr="0048020A">
        <w:tc>
          <w:tcPr>
            <w:tcW w:w="1021" w:type="dxa"/>
            <w:shd w:val="clear" w:color="auto" w:fill="F2F2F2" w:themeFill="background1" w:themeFillShade="F2"/>
            <w:vAlign w:val="center"/>
          </w:tcPr>
          <w:p w14:paraId="47A03A8B" w14:textId="77777777" w:rsidR="00295984" w:rsidRPr="003522F6" w:rsidRDefault="00295984" w:rsidP="003A454A">
            <w:pPr>
              <w:pStyle w:val="TableTextLeft"/>
              <w:spacing w:before="26" w:after="26"/>
              <w:ind w:right="-80"/>
            </w:pPr>
            <w:r w:rsidRPr="003522F6">
              <w:t>201</w:t>
            </w:r>
            <w:r>
              <w:t>7</w:t>
            </w:r>
            <w:r>
              <w:noBreakHyphen/>
            </w:r>
            <w:r w:rsidRPr="003522F6">
              <w:t>1</w:t>
            </w:r>
            <w:r>
              <w:t>8</w:t>
            </w:r>
          </w:p>
        </w:tc>
        <w:tc>
          <w:tcPr>
            <w:tcW w:w="794" w:type="dxa"/>
            <w:shd w:val="clear" w:color="auto" w:fill="F2F2F2" w:themeFill="background1" w:themeFillShade="F2"/>
            <w:vAlign w:val="center"/>
          </w:tcPr>
          <w:p w14:paraId="68F2C607" w14:textId="77777777" w:rsidR="00295984" w:rsidRPr="00321B9A" w:rsidRDefault="00295984" w:rsidP="003A454A">
            <w:pPr>
              <w:pStyle w:val="TableTextRight"/>
              <w:spacing w:before="26" w:after="26"/>
            </w:pPr>
            <w:r>
              <w:t>45</w:t>
            </w:r>
          </w:p>
        </w:tc>
        <w:tc>
          <w:tcPr>
            <w:tcW w:w="851" w:type="dxa"/>
            <w:shd w:val="clear" w:color="auto" w:fill="F2F2F2" w:themeFill="background1" w:themeFillShade="F2"/>
            <w:vAlign w:val="center"/>
          </w:tcPr>
          <w:p w14:paraId="44A3EB16" w14:textId="77777777" w:rsidR="00295984" w:rsidRPr="00F331C5" w:rsidRDefault="00295984" w:rsidP="003A454A">
            <w:pPr>
              <w:pStyle w:val="TableTextRight"/>
              <w:spacing w:before="26" w:after="26"/>
            </w:pPr>
            <w:r w:rsidRPr="00F331C5">
              <w:t xml:space="preserve"> 1,6</w:t>
            </w:r>
            <w:r w:rsidR="00737FAB">
              <w:t>8</w:t>
            </w:r>
            <w:r w:rsidR="001F1CF7">
              <w:t>4</w:t>
            </w:r>
            <w:r w:rsidRPr="00F331C5">
              <w:t xml:space="preserve"> </w:t>
            </w:r>
          </w:p>
        </w:tc>
        <w:tc>
          <w:tcPr>
            <w:tcW w:w="794" w:type="dxa"/>
            <w:shd w:val="clear" w:color="auto" w:fill="F2F2F2" w:themeFill="background1" w:themeFillShade="F2"/>
            <w:vAlign w:val="center"/>
          </w:tcPr>
          <w:p w14:paraId="5F7E7E16" w14:textId="77777777" w:rsidR="00295984" w:rsidRPr="00295984" w:rsidRDefault="00295984" w:rsidP="003A454A">
            <w:pPr>
              <w:pStyle w:val="TableTextRight"/>
              <w:spacing w:before="26" w:after="26"/>
            </w:pPr>
            <w:r w:rsidRPr="00295984">
              <w:t>791</w:t>
            </w:r>
          </w:p>
        </w:tc>
        <w:tc>
          <w:tcPr>
            <w:tcW w:w="1701" w:type="dxa"/>
            <w:shd w:val="clear" w:color="auto" w:fill="F2F2F2" w:themeFill="background1" w:themeFillShade="F2"/>
            <w:vAlign w:val="center"/>
          </w:tcPr>
          <w:p w14:paraId="12B7FCB1" w14:textId="77777777" w:rsidR="00295984" w:rsidRPr="00A14C27" w:rsidRDefault="00295984" w:rsidP="003A454A">
            <w:pPr>
              <w:pStyle w:val="TableTextRight"/>
              <w:spacing w:before="26" w:after="26"/>
              <w:ind w:left="-57" w:right="-57"/>
            </w:pPr>
            <w:r>
              <w:t>34</w:t>
            </w:r>
          </w:p>
        </w:tc>
        <w:tc>
          <w:tcPr>
            <w:tcW w:w="794" w:type="dxa"/>
            <w:shd w:val="clear" w:color="auto" w:fill="F2F2F2" w:themeFill="background1" w:themeFillShade="F2"/>
            <w:vAlign w:val="center"/>
          </w:tcPr>
          <w:p w14:paraId="3765DEF4" w14:textId="77777777" w:rsidR="00295984" w:rsidRPr="000C4F4A" w:rsidRDefault="00295984" w:rsidP="003A454A">
            <w:pPr>
              <w:pStyle w:val="TableTextRight"/>
              <w:spacing w:before="26" w:after="26"/>
            </w:pPr>
            <w:r w:rsidRPr="000C4F4A">
              <w:t xml:space="preserve"> 2,5</w:t>
            </w:r>
            <w:r w:rsidR="00737FAB">
              <w:t>5</w:t>
            </w:r>
            <w:r w:rsidR="001F1CF7">
              <w:t>5</w:t>
            </w:r>
            <w:r w:rsidRPr="000C4F4A">
              <w:t xml:space="preserve"> </w:t>
            </w:r>
          </w:p>
        </w:tc>
        <w:tc>
          <w:tcPr>
            <w:tcW w:w="1191" w:type="dxa"/>
            <w:shd w:val="clear" w:color="auto" w:fill="F2F2F2" w:themeFill="background1" w:themeFillShade="F2"/>
            <w:vAlign w:val="center"/>
          </w:tcPr>
          <w:p w14:paraId="5A270983" w14:textId="77777777" w:rsidR="00295984" w:rsidRPr="000C4F4A" w:rsidRDefault="00295984" w:rsidP="003A454A">
            <w:pPr>
              <w:pStyle w:val="TableTextRight"/>
              <w:spacing w:before="26" w:after="26"/>
            </w:pPr>
            <w:r w:rsidRPr="000C4F4A">
              <w:t>0.13</w:t>
            </w:r>
          </w:p>
        </w:tc>
      </w:tr>
      <w:tr w:rsidR="009616A2" w:rsidRPr="00742ABA" w14:paraId="52AA2085" w14:textId="77777777" w:rsidTr="00E6557A">
        <w:tc>
          <w:tcPr>
            <w:tcW w:w="1021" w:type="dxa"/>
            <w:shd w:val="clear" w:color="auto" w:fill="F2F2F2" w:themeFill="background1" w:themeFillShade="F2"/>
            <w:vAlign w:val="center"/>
          </w:tcPr>
          <w:p w14:paraId="18DBD49E" w14:textId="77777777" w:rsidR="002F15D7" w:rsidRPr="003522F6" w:rsidRDefault="002F15D7" w:rsidP="003A454A">
            <w:pPr>
              <w:pStyle w:val="TableTextLeft"/>
              <w:spacing w:before="26" w:after="26"/>
              <w:ind w:right="-80"/>
            </w:pPr>
            <w:r w:rsidRPr="003522F6">
              <w:t>201</w:t>
            </w:r>
            <w:r>
              <w:t>8</w:t>
            </w:r>
            <w:r>
              <w:noBreakHyphen/>
            </w:r>
            <w:r w:rsidRPr="003522F6">
              <w:t>1</w:t>
            </w:r>
            <w:r>
              <w:t>9</w:t>
            </w:r>
          </w:p>
        </w:tc>
        <w:tc>
          <w:tcPr>
            <w:tcW w:w="794" w:type="dxa"/>
            <w:shd w:val="clear" w:color="auto" w:fill="F2F2F2" w:themeFill="background1" w:themeFillShade="F2"/>
            <w:vAlign w:val="center"/>
          </w:tcPr>
          <w:p w14:paraId="44788325" w14:textId="77777777" w:rsidR="002F15D7" w:rsidRPr="00321B9A" w:rsidRDefault="002F15D7" w:rsidP="003A454A">
            <w:pPr>
              <w:pStyle w:val="TableTextRight"/>
              <w:spacing w:before="26" w:after="26"/>
            </w:pPr>
            <w:r>
              <w:t>43</w:t>
            </w:r>
          </w:p>
        </w:tc>
        <w:tc>
          <w:tcPr>
            <w:tcW w:w="851" w:type="dxa"/>
            <w:shd w:val="clear" w:color="auto" w:fill="F2F2F2" w:themeFill="background1" w:themeFillShade="F2"/>
            <w:vAlign w:val="center"/>
          </w:tcPr>
          <w:p w14:paraId="5E4C02CC" w14:textId="77777777" w:rsidR="002F15D7" w:rsidRPr="00F331C5" w:rsidRDefault="002F15D7" w:rsidP="003A454A">
            <w:pPr>
              <w:pStyle w:val="TableTextRight"/>
              <w:spacing w:before="26" w:after="26"/>
            </w:pPr>
            <w:r>
              <w:t xml:space="preserve"> 1,733</w:t>
            </w:r>
            <w:r w:rsidRPr="00F331C5">
              <w:t xml:space="preserve"> </w:t>
            </w:r>
          </w:p>
        </w:tc>
        <w:tc>
          <w:tcPr>
            <w:tcW w:w="794" w:type="dxa"/>
            <w:shd w:val="clear" w:color="auto" w:fill="F2F2F2" w:themeFill="background1" w:themeFillShade="F2"/>
            <w:vAlign w:val="center"/>
          </w:tcPr>
          <w:p w14:paraId="25143C94" w14:textId="77777777" w:rsidR="002F15D7" w:rsidRPr="00295984" w:rsidRDefault="002F15D7" w:rsidP="003A454A">
            <w:pPr>
              <w:pStyle w:val="TableTextRight"/>
              <w:spacing w:before="26" w:after="26"/>
            </w:pPr>
            <w:r>
              <w:t>867</w:t>
            </w:r>
          </w:p>
        </w:tc>
        <w:tc>
          <w:tcPr>
            <w:tcW w:w="1701" w:type="dxa"/>
            <w:shd w:val="clear" w:color="auto" w:fill="F2F2F2" w:themeFill="background1" w:themeFillShade="F2"/>
            <w:vAlign w:val="center"/>
          </w:tcPr>
          <w:p w14:paraId="1464C5E5" w14:textId="77777777" w:rsidR="002F15D7" w:rsidRPr="00A14C27" w:rsidRDefault="002F15D7" w:rsidP="003A454A">
            <w:pPr>
              <w:pStyle w:val="TableTextRight"/>
              <w:spacing w:before="26" w:after="26"/>
              <w:ind w:left="-57" w:right="-57"/>
            </w:pPr>
            <w:r>
              <w:t>35</w:t>
            </w:r>
          </w:p>
        </w:tc>
        <w:tc>
          <w:tcPr>
            <w:tcW w:w="794" w:type="dxa"/>
            <w:shd w:val="clear" w:color="auto" w:fill="F2F2F2" w:themeFill="background1" w:themeFillShade="F2"/>
            <w:vAlign w:val="center"/>
          </w:tcPr>
          <w:p w14:paraId="7908AAA5" w14:textId="77777777" w:rsidR="002F15D7" w:rsidRPr="000C4F4A" w:rsidRDefault="002F15D7" w:rsidP="003A454A">
            <w:pPr>
              <w:pStyle w:val="TableTextRight"/>
              <w:spacing w:before="26" w:after="26"/>
            </w:pPr>
            <w:r>
              <w:t xml:space="preserve"> 2,679</w:t>
            </w:r>
            <w:r w:rsidRPr="000C4F4A">
              <w:t xml:space="preserve"> </w:t>
            </w:r>
          </w:p>
        </w:tc>
        <w:tc>
          <w:tcPr>
            <w:tcW w:w="1191" w:type="dxa"/>
            <w:shd w:val="clear" w:color="auto" w:fill="F2F2F2" w:themeFill="background1" w:themeFillShade="F2"/>
            <w:vAlign w:val="center"/>
          </w:tcPr>
          <w:p w14:paraId="5C876E95" w14:textId="77777777" w:rsidR="002F15D7" w:rsidRPr="000C4F4A" w:rsidRDefault="002F15D7" w:rsidP="003A454A">
            <w:pPr>
              <w:pStyle w:val="TableTextRight"/>
              <w:spacing w:before="26" w:after="26"/>
            </w:pPr>
            <w:r w:rsidRPr="000C4F4A">
              <w:t>0.13</w:t>
            </w:r>
          </w:p>
        </w:tc>
      </w:tr>
      <w:tr w:rsidR="009616A2" w:rsidRPr="00742ABA" w14:paraId="21EB58B2" w14:textId="77777777" w:rsidTr="00E6557A">
        <w:tc>
          <w:tcPr>
            <w:tcW w:w="1021" w:type="dxa"/>
            <w:tcBorders>
              <w:bottom w:val="single" w:sz="4" w:space="0" w:color="auto"/>
            </w:tcBorders>
            <w:shd w:val="clear" w:color="auto" w:fill="F2F2F2" w:themeFill="background1" w:themeFillShade="F2"/>
            <w:vAlign w:val="center"/>
          </w:tcPr>
          <w:p w14:paraId="63AE78B6" w14:textId="77777777" w:rsidR="00295984" w:rsidRPr="003522F6" w:rsidRDefault="00295984" w:rsidP="003A454A">
            <w:pPr>
              <w:pStyle w:val="TableTextLeft"/>
              <w:spacing w:before="26" w:after="26"/>
              <w:ind w:right="-80"/>
            </w:pPr>
            <w:r w:rsidRPr="003522F6">
              <w:t>20</w:t>
            </w:r>
            <w:r>
              <w:t>19</w:t>
            </w:r>
            <w:r>
              <w:noBreakHyphen/>
            </w:r>
            <w:r w:rsidRPr="003522F6">
              <w:t>2</w:t>
            </w:r>
            <w:r>
              <w:t>0</w:t>
            </w:r>
          </w:p>
        </w:tc>
        <w:tc>
          <w:tcPr>
            <w:tcW w:w="794" w:type="dxa"/>
            <w:tcBorders>
              <w:bottom w:val="single" w:sz="4" w:space="0" w:color="auto"/>
            </w:tcBorders>
            <w:shd w:val="clear" w:color="auto" w:fill="F2F2F2" w:themeFill="background1" w:themeFillShade="F2"/>
            <w:vAlign w:val="center"/>
          </w:tcPr>
          <w:p w14:paraId="3759DB9F" w14:textId="77777777" w:rsidR="00295984" w:rsidRPr="00321B9A" w:rsidRDefault="00295984" w:rsidP="003A454A">
            <w:pPr>
              <w:pStyle w:val="TableTextRight"/>
              <w:spacing w:before="26" w:after="26"/>
            </w:pPr>
            <w:r>
              <w:t>41</w:t>
            </w:r>
          </w:p>
        </w:tc>
        <w:tc>
          <w:tcPr>
            <w:tcW w:w="851" w:type="dxa"/>
            <w:tcBorders>
              <w:bottom w:val="single" w:sz="4" w:space="0" w:color="auto"/>
            </w:tcBorders>
            <w:shd w:val="clear" w:color="auto" w:fill="F2F2F2" w:themeFill="background1" w:themeFillShade="F2"/>
            <w:vAlign w:val="center"/>
          </w:tcPr>
          <w:p w14:paraId="0D4B461F" w14:textId="77777777" w:rsidR="00295984" w:rsidRPr="00F331C5" w:rsidRDefault="00295984" w:rsidP="003A454A">
            <w:pPr>
              <w:pStyle w:val="TableTextRight"/>
              <w:spacing w:before="26" w:after="26"/>
            </w:pPr>
            <w:r w:rsidRPr="00F331C5">
              <w:t xml:space="preserve"> 1,7</w:t>
            </w:r>
            <w:r w:rsidR="001F1CF7">
              <w:t>77</w:t>
            </w:r>
            <w:r w:rsidRPr="00F331C5">
              <w:t xml:space="preserve"> </w:t>
            </w:r>
          </w:p>
        </w:tc>
        <w:tc>
          <w:tcPr>
            <w:tcW w:w="794" w:type="dxa"/>
            <w:tcBorders>
              <w:bottom w:val="single" w:sz="4" w:space="0" w:color="auto"/>
            </w:tcBorders>
            <w:shd w:val="clear" w:color="auto" w:fill="F2F2F2" w:themeFill="background1" w:themeFillShade="F2"/>
            <w:vAlign w:val="center"/>
          </w:tcPr>
          <w:p w14:paraId="1BCDC132" w14:textId="77777777" w:rsidR="00295984" w:rsidRPr="00295984" w:rsidRDefault="00295984" w:rsidP="003A454A">
            <w:pPr>
              <w:pStyle w:val="TableTextRight"/>
              <w:spacing w:before="26" w:after="26"/>
            </w:pPr>
            <w:r w:rsidRPr="00295984">
              <w:t>951</w:t>
            </w:r>
          </w:p>
        </w:tc>
        <w:tc>
          <w:tcPr>
            <w:tcW w:w="1701" w:type="dxa"/>
            <w:tcBorders>
              <w:bottom w:val="single" w:sz="4" w:space="0" w:color="auto"/>
            </w:tcBorders>
            <w:shd w:val="clear" w:color="auto" w:fill="F2F2F2" w:themeFill="background1" w:themeFillShade="F2"/>
            <w:vAlign w:val="center"/>
          </w:tcPr>
          <w:p w14:paraId="3F795BE7" w14:textId="77777777" w:rsidR="00295984" w:rsidRPr="00A14C27" w:rsidRDefault="00295984" w:rsidP="003A454A">
            <w:pPr>
              <w:pStyle w:val="TableTextRight"/>
              <w:spacing w:before="26" w:after="26"/>
              <w:ind w:left="-57" w:right="-57"/>
            </w:pPr>
            <w:r>
              <w:t>36</w:t>
            </w:r>
          </w:p>
        </w:tc>
        <w:tc>
          <w:tcPr>
            <w:tcW w:w="794" w:type="dxa"/>
            <w:tcBorders>
              <w:bottom w:val="single" w:sz="4" w:space="0" w:color="auto"/>
            </w:tcBorders>
            <w:shd w:val="clear" w:color="auto" w:fill="F2F2F2" w:themeFill="background1" w:themeFillShade="F2"/>
            <w:vAlign w:val="center"/>
          </w:tcPr>
          <w:p w14:paraId="2DC7845C" w14:textId="77777777" w:rsidR="00295984" w:rsidRPr="000C4F4A" w:rsidRDefault="00295984" w:rsidP="003A454A">
            <w:pPr>
              <w:pStyle w:val="TableTextRight"/>
              <w:spacing w:before="26" w:after="26"/>
            </w:pPr>
            <w:r w:rsidRPr="000C4F4A">
              <w:t xml:space="preserve"> 2,80</w:t>
            </w:r>
            <w:r w:rsidR="00737FAB">
              <w:t>6</w:t>
            </w:r>
            <w:r w:rsidRPr="000C4F4A">
              <w:t xml:space="preserve"> </w:t>
            </w:r>
          </w:p>
        </w:tc>
        <w:tc>
          <w:tcPr>
            <w:tcW w:w="1191" w:type="dxa"/>
            <w:tcBorders>
              <w:bottom w:val="single" w:sz="4" w:space="0" w:color="auto"/>
            </w:tcBorders>
            <w:shd w:val="clear" w:color="auto" w:fill="F2F2F2" w:themeFill="background1" w:themeFillShade="F2"/>
            <w:vAlign w:val="center"/>
          </w:tcPr>
          <w:p w14:paraId="5A2D9649" w14:textId="77777777" w:rsidR="00295984" w:rsidRPr="000C4F4A" w:rsidRDefault="00295984" w:rsidP="003A454A">
            <w:pPr>
              <w:pStyle w:val="TableTextRight"/>
              <w:spacing w:before="26" w:after="26"/>
            </w:pPr>
            <w:r w:rsidRPr="000C4F4A">
              <w:t>0.13</w:t>
            </w:r>
          </w:p>
        </w:tc>
      </w:tr>
      <w:tr w:rsidR="009616A2" w:rsidRPr="00742ABA" w14:paraId="53289636" w14:textId="77777777" w:rsidTr="00E6557A">
        <w:tc>
          <w:tcPr>
            <w:tcW w:w="1021" w:type="dxa"/>
            <w:tcBorders>
              <w:top w:val="single" w:sz="4" w:space="0" w:color="auto"/>
            </w:tcBorders>
            <w:vAlign w:val="center"/>
          </w:tcPr>
          <w:p w14:paraId="5CB666E6" w14:textId="77777777" w:rsidR="00295984" w:rsidRPr="003522F6" w:rsidRDefault="00295984" w:rsidP="003A454A">
            <w:pPr>
              <w:pStyle w:val="TableTextLeft"/>
              <w:spacing w:before="26" w:after="26"/>
              <w:ind w:right="-80"/>
            </w:pPr>
            <w:r w:rsidRPr="003522F6">
              <w:t>202</w:t>
            </w:r>
            <w:r>
              <w:t>4</w:t>
            </w:r>
            <w:r>
              <w:noBreakHyphen/>
            </w:r>
            <w:r w:rsidRPr="003522F6">
              <w:t>2</w:t>
            </w:r>
            <w:r>
              <w:t>5</w:t>
            </w:r>
          </w:p>
        </w:tc>
        <w:tc>
          <w:tcPr>
            <w:tcW w:w="794" w:type="dxa"/>
            <w:tcBorders>
              <w:top w:val="single" w:sz="4" w:space="0" w:color="auto"/>
            </w:tcBorders>
            <w:vAlign w:val="center"/>
          </w:tcPr>
          <w:p w14:paraId="5C967545" w14:textId="77777777" w:rsidR="00295984" w:rsidRPr="00321B9A" w:rsidRDefault="00295984" w:rsidP="003A454A">
            <w:pPr>
              <w:pStyle w:val="TableTextRight"/>
              <w:spacing w:before="26" w:after="26"/>
            </w:pPr>
            <w:r>
              <w:t>33</w:t>
            </w:r>
          </w:p>
        </w:tc>
        <w:tc>
          <w:tcPr>
            <w:tcW w:w="851" w:type="dxa"/>
            <w:tcBorders>
              <w:top w:val="single" w:sz="4" w:space="0" w:color="auto"/>
            </w:tcBorders>
            <w:vAlign w:val="center"/>
          </w:tcPr>
          <w:p w14:paraId="131DD19A" w14:textId="77777777" w:rsidR="00295984" w:rsidRPr="00F331C5" w:rsidRDefault="00295984" w:rsidP="003A454A">
            <w:pPr>
              <w:pStyle w:val="TableTextRight"/>
              <w:spacing w:before="26" w:after="26"/>
            </w:pPr>
            <w:r w:rsidRPr="00F331C5">
              <w:t xml:space="preserve"> 1,96</w:t>
            </w:r>
            <w:r w:rsidR="00737FAB">
              <w:t>7</w:t>
            </w:r>
            <w:r w:rsidRPr="00F331C5">
              <w:t xml:space="preserve"> </w:t>
            </w:r>
          </w:p>
        </w:tc>
        <w:tc>
          <w:tcPr>
            <w:tcW w:w="794" w:type="dxa"/>
            <w:tcBorders>
              <w:top w:val="single" w:sz="4" w:space="0" w:color="auto"/>
            </w:tcBorders>
            <w:vAlign w:val="center"/>
          </w:tcPr>
          <w:p w14:paraId="79FECC3F" w14:textId="77777777" w:rsidR="00295984" w:rsidRPr="00295984" w:rsidRDefault="00295984" w:rsidP="003A454A">
            <w:pPr>
              <w:pStyle w:val="TableTextRight"/>
              <w:spacing w:before="26" w:after="26"/>
            </w:pPr>
            <w:r w:rsidRPr="00295984">
              <w:t>1,567</w:t>
            </w:r>
          </w:p>
        </w:tc>
        <w:tc>
          <w:tcPr>
            <w:tcW w:w="1701" w:type="dxa"/>
            <w:tcBorders>
              <w:top w:val="single" w:sz="4" w:space="0" w:color="auto"/>
            </w:tcBorders>
            <w:vAlign w:val="center"/>
          </w:tcPr>
          <w:p w14:paraId="3EEE7BC8" w14:textId="77777777" w:rsidR="00295984" w:rsidRPr="00A14C27" w:rsidRDefault="00057763" w:rsidP="003A454A">
            <w:pPr>
              <w:pStyle w:val="TableTextRight"/>
              <w:spacing w:before="26" w:after="26"/>
              <w:ind w:left="-57" w:right="-57"/>
            </w:pPr>
            <w:r>
              <w:t>53</w:t>
            </w:r>
          </w:p>
        </w:tc>
        <w:tc>
          <w:tcPr>
            <w:tcW w:w="794" w:type="dxa"/>
            <w:tcBorders>
              <w:top w:val="single" w:sz="4" w:space="0" w:color="auto"/>
            </w:tcBorders>
            <w:vAlign w:val="center"/>
          </w:tcPr>
          <w:p w14:paraId="5E0F7AE6" w14:textId="77777777" w:rsidR="00295984" w:rsidRPr="000C4F4A" w:rsidRDefault="00295984" w:rsidP="003A454A">
            <w:pPr>
              <w:pStyle w:val="TableTextRight"/>
              <w:spacing w:before="26" w:after="26"/>
            </w:pPr>
            <w:r w:rsidRPr="000C4F4A">
              <w:t xml:space="preserve"> 3,6</w:t>
            </w:r>
            <w:r w:rsidR="006549D6">
              <w:t>2</w:t>
            </w:r>
            <w:r w:rsidR="00737FAB">
              <w:t>1</w:t>
            </w:r>
            <w:r w:rsidRPr="000C4F4A">
              <w:t xml:space="preserve"> </w:t>
            </w:r>
          </w:p>
        </w:tc>
        <w:tc>
          <w:tcPr>
            <w:tcW w:w="1191" w:type="dxa"/>
            <w:tcBorders>
              <w:top w:val="single" w:sz="4" w:space="0" w:color="auto"/>
            </w:tcBorders>
            <w:vAlign w:val="center"/>
          </w:tcPr>
          <w:p w14:paraId="12EAC231" w14:textId="77777777" w:rsidR="00295984" w:rsidRPr="000C4F4A" w:rsidRDefault="00295984" w:rsidP="003A454A">
            <w:pPr>
              <w:pStyle w:val="TableTextRight"/>
              <w:spacing w:before="26" w:after="26"/>
            </w:pPr>
            <w:r w:rsidRPr="000C4F4A">
              <w:t>0.1</w:t>
            </w:r>
            <w:r w:rsidR="00737FAB">
              <w:t>3</w:t>
            </w:r>
          </w:p>
        </w:tc>
      </w:tr>
      <w:tr w:rsidR="009616A2" w:rsidRPr="00742ABA" w14:paraId="5BAC5C62" w14:textId="77777777" w:rsidTr="0048020A">
        <w:tc>
          <w:tcPr>
            <w:tcW w:w="1021" w:type="dxa"/>
            <w:vAlign w:val="center"/>
          </w:tcPr>
          <w:p w14:paraId="5717693C" w14:textId="77777777" w:rsidR="00295984" w:rsidRPr="003522F6" w:rsidRDefault="00295984" w:rsidP="003A454A">
            <w:pPr>
              <w:pStyle w:val="TableTextLeft"/>
              <w:spacing w:before="26" w:after="26"/>
              <w:ind w:right="-80"/>
            </w:pPr>
            <w:r w:rsidRPr="003522F6">
              <w:t>2029</w:t>
            </w:r>
            <w:r>
              <w:noBreakHyphen/>
            </w:r>
            <w:r w:rsidRPr="003522F6">
              <w:t>30</w:t>
            </w:r>
          </w:p>
        </w:tc>
        <w:tc>
          <w:tcPr>
            <w:tcW w:w="794" w:type="dxa"/>
            <w:vAlign w:val="center"/>
          </w:tcPr>
          <w:p w14:paraId="382D17E9" w14:textId="77777777" w:rsidR="00295984" w:rsidRPr="00321B9A" w:rsidRDefault="00295984" w:rsidP="003A454A">
            <w:pPr>
              <w:pStyle w:val="TableTextRight"/>
              <w:spacing w:before="26" w:after="26"/>
            </w:pPr>
            <w:r>
              <w:t>25</w:t>
            </w:r>
          </w:p>
        </w:tc>
        <w:tc>
          <w:tcPr>
            <w:tcW w:w="851" w:type="dxa"/>
            <w:vAlign w:val="center"/>
          </w:tcPr>
          <w:p w14:paraId="34FB1BD0" w14:textId="77777777" w:rsidR="00295984" w:rsidRPr="00F331C5" w:rsidRDefault="00295984" w:rsidP="003A454A">
            <w:pPr>
              <w:pStyle w:val="TableTextRight"/>
              <w:spacing w:before="26" w:after="26"/>
            </w:pPr>
            <w:r w:rsidRPr="00F331C5">
              <w:t xml:space="preserve"> 2,1</w:t>
            </w:r>
            <w:r w:rsidR="00737FAB">
              <w:t>14</w:t>
            </w:r>
            <w:r w:rsidRPr="00F331C5">
              <w:t xml:space="preserve"> </w:t>
            </w:r>
          </w:p>
        </w:tc>
        <w:tc>
          <w:tcPr>
            <w:tcW w:w="794" w:type="dxa"/>
            <w:vAlign w:val="center"/>
          </w:tcPr>
          <w:p w14:paraId="2066D00F" w14:textId="77777777" w:rsidR="00295984" w:rsidRPr="00295984" w:rsidRDefault="00295984" w:rsidP="003A454A">
            <w:pPr>
              <w:pStyle w:val="TableTextRight"/>
              <w:spacing w:before="26" w:after="26"/>
            </w:pPr>
            <w:r w:rsidRPr="00295984">
              <w:t>2,436</w:t>
            </w:r>
          </w:p>
        </w:tc>
        <w:tc>
          <w:tcPr>
            <w:tcW w:w="1701" w:type="dxa"/>
            <w:vAlign w:val="center"/>
          </w:tcPr>
          <w:p w14:paraId="23488C98" w14:textId="77777777" w:rsidR="00295984" w:rsidRPr="00A14C27" w:rsidRDefault="00057763" w:rsidP="003A454A">
            <w:pPr>
              <w:pStyle w:val="TableTextRight"/>
              <w:spacing w:before="26" w:after="26"/>
              <w:ind w:left="-57" w:right="-57"/>
            </w:pPr>
            <w:r>
              <w:t>68</w:t>
            </w:r>
          </w:p>
        </w:tc>
        <w:tc>
          <w:tcPr>
            <w:tcW w:w="794" w:type="dxa"/>
            <w:vAlign w:val="center"/>
          </w:tcPr>
          <w:p w14:paraId="31465F16" w14:textId="77777777" w:rsidR="00295984" w:rsidRPr="000C4F4A" w:rsidRDefault="00295984" w:rsidP="003A454A">
            <w:pPr>
              <w:pStyle w:val="TableTextRight"/>
              <w:spacing w:before="26" w:after="26"/>
            </w:pPr>
            <w:r w:rsidRPr="000C4F4A">
              <w:t xml:space="preserve"> 4,6</w:t>
            </w:r>
            <w:r w:rsidR="006549D6">
              <w:t>43</w:t>
            </w:r>
            <w:r w:rsidRPr="000C4F4A">
              <w:t xml:space="preserve"> </w:t>
            </w:r>
          </w:p>
        </w:tc>
        <w:tc>
          <w:tcPr>
            <w:tcW w:w="1191" w:type="dxa"/>
            <w:vAlign w:val="center"/>
          </w:tcPr>
          <w:p w14:paraId="73BAADD9" w14:textId="77777777" w:rsidR="00295984" w:rsidRPr="000C4F4A" w:rsidRDefault="00295984" w:rsidP="003A454A">
            <w:pPr>
              <w:pStyle w:val="TableTextRight"/>
              <w:spacing w:before="26" w:after="26"/>
            </w:pPr>
            <w:r w:rsidRPr="000C4F4A">
              <w:t>0.12</w:t>
            </w:r>
          </w:p>
        </w:tc>
      </w:tr>
      <w:tr w:rsidR="009616A2" w:rsidRPr="00742ABA" w14:paraId="069F44D4" w14:textId="77777777" w:rsidTr="0048020A">
        <w:tc>
          <w:tcPr>
            <w:tcW w:w="1021" w:type="dxa"/>
            <w:vAlign w:val="center"/>
          </w:tcPr>
          <w:p w14:paraId="7E6113DC" w14:textId="77777777" w:rsidR="00295984" w:rsidRPr="003522F6" w:rsidRDefault="00295984" w:rsidP="003A454A">
            <w:pPr>
              <w:pStyle w:val="TableTextLeft"/>
              <w:spacing w:before="26" w:after="26"/>
              <w:ind w:right="-80"/>
            </w:pPr>
            <w:r w:rsidRPr="003522F6">
              <w:t>2034</w:t>
            </w:r>
            <w:r>
              <w:noBreakHyphen/>
            </w:r>
            <w:r w:rsidRPr="003522F6">
              <w:t>35</w:t>
            </w:r>
          </w:p>
        </w:tc>
        <w:tc>
          <w:tcPr>
            <w:tcW w:w="794" w:type="dxa"/>
            <w:vAlign w:val="center"/>
          </w:tcPr>
          <w:p w14:paraId="6D43CD37" w14:textId="77777777" w:rsidR="00295984" w:rsidRPr="00321B9A" w:rsidRDefault="00295984" w:rsidP="003A454A">
            <w:pPr>
              <w:pStyle w:val="TableTextRight"/>
              <w:spacing w:before="26" w:after="26"/>
            </w:pPr>
            <w:r>
              <w:t>18</w:t>
            </w:r>
          </w:p>
        </w:tc>
        <w:tc>
          <w:tcPr>
            <w:tcW w:w="851" w:type="dxa"/>
            <w:vAlign w:val="center"/>
          </w:tcPr>
          <w:p w14:paraId="5D249F34" w14:textId="77777777" w:rsidR="00295984" w:rsidRPr="00F331C5" w:rsidRDefault="00295984" w:rsidP="003A454A">
            <w:pPr>
              <w:pStyle w:val="TableTextRight"/>
              <w:spacing w:before="26" w:after="26"/>
            </w:pPr>
            <w:r w:rsidRPr="00F331C5">
              <w:t xml:space="preserve"> 2,20</w:t>
            </w:r>
            <w:r w:rsidR="00737FAB">
              <w:t>9</w:t>
            </w:r>
            <w:r w:rsidRPr="00F331C5">
              <w:t xml:space="preserve"> </w:t>
            </w:r>
          </w:p>
        </w:tc>
        <w:tc>
          <w:tcPr>
            <w:tcW w:w="794" w:type="dxa"/>
            <w:vAlign w:val="center"/>
          </w:tcPr>
          <w:p w14:paraId="60FC8134" w14:textId="77777777" w:rsidR="00295984" w:rsidRPr="00295984" w:rsidRDefault="00295984" w:rsidP="003A454A">
            <w:pPr>
              <w:pStyle w:val="TableTextRight"/>
              <w:spacing w:before="26" w:after="26"/>
            </w:pPr>
            <w:r w:rsidRPr="00295984">
              <w:t>3,603</w:t>
            </w:r>
          </w:p>
        </w:tc>
        <w:tc>
          <w:tcPr>
            <w:tcW w:w="1701" w:type="dxa"/>
            <w:vAlign w:val="center"/>
          </w:tcPr>
          <w:p w14:paraId="51F596A2" w14:textId="77777777" w:rsidR="00295984" w:rsidRPr="00A14C27" w:rsidRDefault="00057763" w:rsidP="003A454A">
            <w:pPr>
              <w:pStyle w:val="TableTextRight"/>
              <w:spacing w:before="26" w:after="26"/>
              <w:ind w:left="-57" w:right="-57"/>
            </w:pPr>
            <w:r>
              <w:t>83</w:t>
            </w:r>
          </w:p>
        </w:tc>
        <w:tc>
          <w:tcPr>
            <w:tcW w:w="794" w:type="dxa"/>
            <w:vAlign w:val="center"/>
          </w:tcPr>
          <w:p w14:paraId="55A0B086" w14:textId="77777777" w:rsidR="00295984" w:rsidRPr="000C4F4A" w:rsidRDefault="00295984" w:rsidP="003A454A">
            <w:pPr>
              <w:pStyle w:val="TableTextRight"/>
              <w:spacing w:before="26" w:after="26"/>
            </w:pPr>
            <w:r w:rsidRPr="000C4F4A">
              <w:t xml:space="preserve"> 5,</w:t>
            </w:r>
            <w:r w:rsidR="006549D6">
              <w:t>913</w:t>
            </w:r>
            <w:r w:rsidRPr="000C4F4A">
              <w:t xml:space="preserve"> </w:t>
            </w:r>
          </w:p>
        </w:tc>
        <w:tc>
          <w:tcPr>
            <w:tcW w:w="1191" w:type="dxa"/>
            <w:vAlign w:val="center"/>
          </w:tcPr>
          <w:p w14:paraId="10A0DF32" w14:textId="77777777" w:rsidR="00295984" w:rsidRPr="000C4F4A" w:rsidRDefault="00295984" w:rsidP="003A454A">
            <w:pPr>
              <w:pStyle w:val="TableTextRight"/>
              <w:spacing w:before="26" w:after="26"/>
            </w:pPr>
            <w:r w:rsidRPr="000C4F4A">
              <w:t>0.12</w:t>
            </w:r>
          </w:p>
        </w:tc>
      </w:tr>
      <w:tr w:rsidR="009616A2" w:rsidRPr="00742ABA" w14:paraId="23FE03C5" w14:textId="77777777" w:rsidTr="0048020A">
        <w:tc>
          <w:tcPr>
            <w:tcW w:w="1021" w:type="dxa"/>
            <w:vAlign w:val="center"/>
          </w:tcPr>
          <w:p w14:paraId="27202D51" w14:textId="77777777" w:rsidR="00295984" w:rsidRPr="003522F6" w:rsidRDefault="00295984" w:rsidP="003A454A">
            <w:pPr>
              <w:pStyle w:val="TableTextLeft"/>
              <w:spacing w:before="26" w:after="26"/>
              <w:ind w:right="-80"/>
            </w:pPr>
            <w:r w:rsidRPr="003522F6">
              <w:t>2039</w:t>
            </w:r>
            <w:r>
              <w:noBreakHyphen/>
            </w:r>
            <w:r w:rsidRPr="003522F6">
              <w:t>40</w:t>
            </w:r>
          </w:p>
        </w:tc>
        <w:tc>
          <w:tcPr>
            <w:tcW w:w="794" w:type="dxa"/>
            <w:vAlign w:val="center"/>
          </w:tcPr>
          <w:p w14:paraId="18774E07" w14:textId="77777777" w:rsidR="00295984" w:rsidRPr="00321B9A" w:rsidRDefault="00295984" w:rsidP="003A454A">
            <w:pPr>
              <w:pStyle w:val="TableTextRight"/>
              <w:spacing w:before="26" w:after="26"/>
            </w:pPr>
            <w:r>
              <w:t>13</w:t>
            </w:r>
          </w:p>
        </w:tc>
        <w:tc>
          <w:tcPr>
            <w:tcW w:w="851" w:type="dxa"/>
            <w:vAlign w:val="center"/>
          </w:tcPr>
          <w:p w14:paraId="33F90E9A" w14:textId="77777777" w:rsidR="00295984" w:rsidRPr="00F331C5" w:rsidRDefault="00295984" w:rsidP="003A454A">
            <w:pPr>
              <w:pStyle w:val="TableTextRight"/>
              <w:spacing w:before="26" w:after="26"/>
            </w:pPr>
            <w:r w:rsidRPr="00F331C5">
              <w:t xml:space="preserve"> 2,23</w:t>
            </w:r>
            <w:r w:rsidR="00737FAB">
              <w:t>6</w:t>
            </w:r>
            <w:r w:rsidRPr="00F331C5">
              <w:t xml:space="preserve"> </w:t>
            </w:r>
          </w:p>
        </w:tc>
        <w:tc>
          <w:tcPr>
            <w:tcW w:w="794" w:type="dxa"/>
            <w:vAlign w:val="center"/>
          </w:tcPr>
          <w:p w14:paraId="74B1FC4A" w14:textId="77777777" w:rsidR="00295984" w:rsidRPr="00295984" w:rsidRDefault="00295984" w:rsidP="003A454A">
            <w:pPr>
              <w:pStyle w:val="TableTextRight"/>
              <w:spacing w:before="26" w:after="26"/>
            </w:pPr>
            <w:r w:rsidRPr="00295984">
              <w:t>5,141</w:t>
            </w:r>
          </w:p>
        </w:tc>
        <w:tc>
          <w:tcPr>
            <w:tcW w:w="1701" w:type="dxa"/>
            <w:vAlign w:val="center"/>
          </w:tcPr>
          <w:p w14:paraId="6B28949F" w14:textId="77777777" w:rsidR="00295984" w:rsidRPr="00A14C27" w:rsidRDefault="006549D6" w:rsidP="003A454A">
            <w:pPr>
              <w:pStyle w:val="TableTextRight"/>
              <w:spacing w:before="26" w:after="26"/>
              <w:ind w:left="-57" w:right="-57"/>
            </w:pPr>
            <w:r>
              <w:t>100</w:t>
            </w:r>
          </w:p>
        </w:tc>
        <w:tc>
          <w:tcPr>
            <w:tcW w:w="794" w:type="dxa"/>
            <w:vAlign w:val="center"/>
          </w:tcPr>
          <w:p w14:paraId="0EDA8DA1" w14:textId="77777777" w:rsidR="00295984" w:rsidRPr="000C4F4A" w:rsidRDefault="00295984" w:rsidP="003A454A">
            <w:pPr>
              <w:pStyle w:val="TableTextRight"/>
              <w:spacing w:before="26" w:after="26"/>
            </w:pPr>
            <w:r w:rsidRPr="000C4F4A">
              <w:t xml:space="preserve"> 7,4</w:t>
            </w:r>
            <w:r w:rsidR="006549D6">
              <w:t>90</w:t>
            </w:r>
            <w:r w:rsidRPr="000C4F4A">
              <w:t xml:space="preserve"> </w:t>
            </w:r>
          </w:p>
        </w:tc>
        <w:tc>
          <w:tcPr>
            <w:tcW w:w="1191" w:type="dxa"/>
            <w:vAlign w:val="center"/>
          </w:tcPr>
          <w:p w14:paraId="71780252" w14:textId="77777777" w:rsidR="00295984" w:rsidRPr="000C4F4A" w:rsidRDefault="00295984" w:rsidP="003A454A">
            <w:pPr>
              <w:pStyle w:val="TableTextRight"/>
              <w:spacing w:before="26" w:after="26"/>
            </w:pPr>
            <w:r w:rsidRPr="000C4F4A">
              <w:t>0.12</w:t>
            </w:r>
          </w:p>
        </w:tc>
      </w:tr>
      <w:tr w:rsidR="009616A2" w:rsidRPr="00742ABA" w14:paraId="2EA74FAA" w14:textId="77777777" w:rsidTr="0048020A">
        <w:tc>
          <w:tcPr>
            <w:tcW w:w="1021" w:type="dxa"/>
            <w:vAlign w:val="center"/>
          </w:tcPr>
          <w:p w14:paraId="62E35955" w14:textId="77777777" w:rsidR="00295984" w:rsidRPr="003522F6" w:rsidRDefault="00295984" w:rsidP="003A454A">
            <w:pPr>
              <w:pStyle w:val="TableTextLeft"/>
              <w:spacing w:before="26" w:after="26"/>
              <w:ind w:right="-80"/>
            </w:pPr>
            <w:r w:rsidRPr="003522F6">
              <w:t>2044</w:t>
            </w:r>
            <w:r>
              <w:noBreakHyphen/>
            </w:r>
            <w:r w:rsidRPr="003522F6">
              <w:t>45</w:t>
            </w:r>
          </w:p>
        </w:tc>
        <w:tc>
          <w:tcPr>
            <w:tcW w:w="794" w:type="dxa"/>
            <w:vAlign w:val="center"/>
          </w:tcPr>
          <w:p w14:paraId="46E6F7A2" w14:textId="77777777" w:rsidR="00295984" w:rsidRPr="00321B9A" w:rsidRDefault="00295984" w:rsidP="003A454A">
            <w:pPr>
              <w:pStyle w:val="TableTextRight"/>
              <w:spacing w:before="26" w:after="26"/>
            </w:pPr>
            <w:r>
              <w:t>8</w:t>
            </w:r>
          </w:p>
        </w:tc>
        <w:tc>
          <w:tcPr>
            <w:tcW w:w="851" w:type="dxa"/>
            <w:vAlign w:val="center"/>
          </w:tcPr>
          <w:p w14:paraId="25B6CEF4" w14:textId="77777777" w:rsidR="00295984" w:rsidRPr="00F331C5" w:rsidRDefault="00295984" w:rsidP="003A454A">
            <w:pPr>
              <w:pStyle w:val="TableTextRight"/>
              <w:spacing w:before="26" w:after="26"/>
            </w:pPr>
            <w:r w:rsidRPr="00F331C5">
              <w:t xml:space="preserve"> 2,14</w:t>
            </w:r>
            <w:r w:rsidR="00737FAB">
              <w:t>8</w:t>
            </w:r>
            <w:r w:rsidRPr="00F331C5">
              <w:t xml:space="preserve"> </w:t>
            </w:r>
          </w:p>
        </w:tc>
        <w:tc>
          <w:tcPr>
            <w:tcW w:w="794" w:type="dxa"/>
            <w:vAlign w:val="center"/>
          </w:tcPr>
          <w:p w14:paraId="712E3CF5" w14:textId="77777777" w:rsidR="00295984" w:rsidRPr="00295984" w:rsidRDefault="00295984" w:rsidP="003A454A">
            <w:pPr>
              <w:pStyle w:val="TableTextRight"/>
              <w:spacing w:before="26" w:after="26"/>
            </w:pPr>
            <w:r w:rsidRPr="00295984">
              <w:t>7,133</w:t>
            </w:r>
          </w:p>
        </w:tc>
        <w:tc>
          <w:tcPr>
            <w:tcW w:w="1701" w:type="dxa"/>
            <w:vAlign w:val="center"/>
          </w:tcPr>
          <w:p w14:paraId="15E56670" w14:textId="77777777" w:rsidR="00295984" w:rsidRPr="00A14C27" w:rsidRDefault="006549D6" w:rsidP="003A454A">
            <w:pPr>
              <w:pStyle w:val="TableTextRight"/>
              <w:spacing w:before="26" w:after="26"/>
              <w:ind w:left="-57" w:right="-57"/>
            </w:pPr>
            <w:r>
              <w:t>122</w:t>
            </w:r>
          </w:p>
        </w:tc>
        <w:tc>
          <w:tcPr>
            <w:tcW w:w="794" w:type="dxa"/>
            <w:vAlign w:val="center"/>
          </w:tcPr>
          <w:p w14:paraId="1C978BAA" w14:textId="77777777" w:rsidR="00295984" w:rsidRPr="000C4F4A" w:rsidRDefault="00295984" w:rsidP="003A454A">
            <w:pPr>
              <w:pStyle w:val="TableTextRight"/>
              <w:spacing w:before="26" w:after="26"/>
            </w:pPr>
            <w:r w:rsidRPr="000C4F4A">
              <w:t xml:space="preserve"> 9,</w:t>
            </w:r>
            <w:r w:rsidR="006549D6">
              <w:t>410</w:t>
            </w:r>
            <w:r w:rsidRPr="000C4F4A">
              <w:t xml:space="preserve"> </w:t>
            </w:r>
          </w:p>
        </w:tc>
        <w:tc>
          <w:tcPr>
            <w:tcW w:w="1191" w:type="dxa"/>
            <w:vAlign w:val="center"/>
          </w:tcPr>
          <w:p w14:paraId="7CD5BC57" w14:textId="77777777" w:rsidR="00295984" w:rsidRPr="000C4F4A" w:rsidRDefault="00295984" w:rsidP="003A454A">
            <w:pPr>
              <w:pStyle w:val="TableTextRight"/>
              <w:spacing w:before="26" w:after="26"/>
            </w:pPr>
            <w:r w:rsidRPr="000C4F4A">
              <w:t>0.11</w:t>
            </w:r>
          </w:p>
        </w:tc>
      </w:tr>
      <w:tr w:rsidR="002F13EB" w:rsidRPr="00742ABA" w14:paraId="4739DF00" w14:textId="77777777" w:rsidTr="0048020A">
        <w:tc>
          <w:tcPr>
            <w:tcW w:w="1021" w:type="dxa"/>
            <w:vAlign w:val="center"/>
          </w:tcPr>
          <w:p w14:paraId="63A8028D" w14:textId="77777777" w:rsidR="00295984" w:rsidRPr="003522F6" w:rsidRDefault="00295984" w:rsidP="003A454A">
            <w:pPr>
              <w:pStyle w:val="TableTextLeft"/>
              <w:spacing w:before="26" w:after="26"/>
              <w:ind w:right="-80"/>
            </w:pPr>
            <w:r>
              <w:t>2049-50</w:t>
            </w:r>
          </w:p>
        </w:tc>
        <w:tc>
          <w:tcPr>
            <w:tcW w:w="794" w:type="dxa"/>
            <w:vAlign w:val="center"/>
          </w:tcPr>
          <w:p w14:paraId="3F76B43D" w14:textId="77777777" w:rsidR="00295984" w:rsidRDefault="00295984" w:rsidP="003A454A">
            <w:pPr>
              <w:pStyle w:val="TableTextRight"/>
              <w:spacing w:before="26" w:after="26"/>
            </w:pPr>
            <w:r>
              <w:t>4</w:t>
            </w:r>
          </w:p>
        </w:tc>
        <w:tc>
          <w:tcPr>
            <w:tcW w:w="851" w:type="dxa"/>
            <w:vAlign w:val="center"/>
          </w:tcPr>
          <w:p w14:paraId="47ED59E8" w14:textId="77777777" w:rsidR="00295984" w:rsidRPr="00F331C5" w:rsidRDefault="00295984" w:rsidP="003A454A">
            <w:pPr>
              <w:pStyle w:val="TableTextRight"/>
              <w:spacing w:before="26" w:after="26"/>
            </w:pPr>
            <w:r w:rsidRPr="00F331C5">
              <w:t xml:space="preserve"> 1,92</w:t>
            </w:r>
            <w:r w:rsidR="00737FAB">
              <w:t>5</w:t>
            </w:r>
            <w:r w:rsidRPr="00F331C5">
              <w:t xml:space="preserve"> </w:t>
            </w:r>
          </w:p>
        </w:tc>
        <w:tc>
          <w:tcPr>
            <w:tcW w:w="794" w:type="dxa"/>
            <w:vAlign w:val="center"/>
          </w:tcPr>
          <w:p w14:paraId="779EF9A3" w14:textId="77777777" w:rsidR="00295984" w:rsidRPr="00295984" w:rsidRDefault="00295984" w:rsidP="003A454A">
            <w:pPr>
              <w:pStyle w:val="TableTextRight"/>
              <w:spacing w:before="26" w:after="26"/>
            </w:pPr>
            <w:r w:rsidRPr="00295984">
              <w:t>9,565</w:t>
            </w:r>
          </w:p>
        </w:tc>
        <w:tc>
          <w:tcPr>
            <w:tcW w:w="1701" w:type="dxa"/>
            <w:vAlign w:val="center"/>
          </w:tcPr>
          <w:p w14:paraId="28DBD2AF" w14:textId="77777777" w:rsidR="00295984" w:rsidRPr="00A14C27" w:rsidRDefault="00295984" w:rsidP="003A454A">
            <w:pPr>
              <w:pStyle w:val="TableTextRight"/>
              <w:spacing w:before="26" w:after="26"/>
              <w:ind w:left="-57" w:right="-57"/>
            </w:pPr>
            <w:r>
              <w:t>1</w:t>
            </w:r>
            <w:r w:rsidR="006549D6">
              <w:t>4</w:t>
            </w:r>
            <w:r w:rsidR="007B3DE9">
              <w:t>8</w:t>
            </w:r>
          </w:p>
        </w:tc>
        <w:tc>
          <w:tcPr>
            <w:tcW w:w="794" w:type="dxa"/>
            <w:vAlign w:val="center"/>
          </w:tcPr>
          <w:p w14:paraId="142E4FC7" w14:textId="2A2A94BF" w:rsidR="00295984" w:rsidRPr="000C4F4A" w:rsidRDefault="00295984" w:rsidP="003A454A">
            <w:pPr>
              <w:pStyle w:val="TableTextRight"/>
              <w:spacing w:before="26" w:after="26"/>
            </w:pPr>
            <w:r w:rsidRPr="000C4F4A">
              <w:t>11,6</w:t>
            </w:r>
            <w:r w:rsidR="006549D6">
              <w:t>44</w:t>
            </w:r>
            <w:r w:rsidRPr="000C4F4A">
              <w:t xml:space="preserve"> </w:t>
            </w:r>
          </w:p>
        </w:tc>
        <w:tc>
          <w:tcPr>
            <w:tcW w:w="1191" w:type="dxa"/>
            <w:vAlign w:val="center"/>
          </w:tcPr>
          <w:p w14:paraId="4FB754B7" w14:textId="77777777" w:rsidR="00295984" w:rsidRPr="000C4F4A" w:rsidRDefault="00295984" w:rsidP="003A454A">
            <w:pPr>
              <w:pStyle w:val="TableTextRight"/>
              <w:spacing w:before="26" w:after="26"/>
            </w:pPr>
            <w:r w:rsidRPr="000C4F4A">
              <w:t>0.11</w:t>
            </w:r>
          </w:p>
        </w:tc>
      </w:tr>
      <w:tr w:rsidR="009616A2" w:rsidRPr="00742ABA" w14:paraId="04C1F233" w14:textId="77777777" w:rsidTr="0048020A">
        <w:tc>
          <w:tcPr>
            <w:tcW w:w="1021" w:type="dxa"/>
            <w:tcBorders>
              <w:bottom w:val="single" w:sz="2" w:space="0" w:color="auto"/>
            </w:tcBorders>
            <w:vAlign w:val="center"/>
          </w:tcPr>
          <w:p w14:paraId="122CD9C5" w14:textId="77777777" w:rsidR="00295984" w:rsidRPr="00660890" w:rsidRDefault="00295984" w:rsidP="003A454A">
            <w:pPr>
              <w:pStyle w:val="TableTextLeft"/>
              <w:spacing w:before="26" w:after="26"/>
              <w:ind w:right="-80"/>
            </w:pPr>
            <w:r w:rsidRPr="00660890">
              <w:t>20</w:t>
            </w:r>
            <w:r>
              <w:t>54</w:t>
            </w:r>
            <w:r>
              <w:noBreakHyphen/>
              <w:t>55</w:t>
            </w:r>
          </w:p>
        </w:tc>
        <w:tc>
          <w:tcPr>
            <w:tcW w:w="794" w:type="dxa"/>
            <w:tcBorders>
              <w:bottom w:val="single" w:sz="2" w:space="0" w:color="auto"/>
            </w:tcBorders>
            <w:vAlign w:val="center"/>
          </w:tcPr>
          <w:p w14:paraId="5DAB1B14" w14:textId="77777777" w:rsidR="00295984" w:rsidRPr="00321B9A" w:rsidRDefault="00295984" w:rsidP="003A454A">
            <w:pPr>
              <w:pStyle w:val="TableTextRight"/>
              <w:spacing w:before="26" w:after="26"/>
            </w:pPr>
            <w:r>
              <w:t>2</w:t>
            </w:r>
          </w:p>
        </w:tc>
        <w:tc>
          <w:tcPr>
            <w:tcW w:w="851" w:type="dxa"/>
            <w:tcBorders>
              <w:bottom w:val="single" w:sz="2" w:space="0" w:color="auto"/>
            </w:tcBorders>
            <w:vAlign w:val="center"/>
          </w:tcPr>
          <w:p w14:paraId="083AB72B" w14:textId="77777777" w:rsidR="00295984" w:rsidRDefault="00295984" w:rsidP="003A454A">
            <w:pPr>
              <w:pStyle w:val="TableTextRight"/>
              <w:spacing w:before="26" w:after="26"/>
            </w:pPr>
            <w:r w:rsidRPr="00F331C5">
              <w:t xml:space="preserve"> 1,57</w:t>
            </w:r>
            <w:r w:rsidR="00737FAB">
              <w:t>7</w:t>
            </w:r>
            <w:r w:rsidRPr="00F331C5">
              <w:t xml:space="preserve"> </w:t>
            </w:r>
          </w:p>
        </w:tc>
        <w:tc>
          <w:tcPr>
            <w:tcW w:w="794" w:type="dxa"/>
            <w:tcBorders>
              <w:bottom w:val="single" w:sz="2" w:space="0" w:color="auto"/>
            </w:tcBorders>
            <w:vAlign w:val="center"/>
          </w:tcPr>
          <w:p w14:paraId="4F91AB7C" w14:textId="77777777" w:rsidR="00295984" w:rsidRPr="00295984" w:rsidRDefault="00295984" w:rsidP="003A454A">
            <w:pPr>
              <w:pStyle w:val="TableTextRight"/>
              <w:spacing w:before="26" w:after="26"/>
            </w:pPr>
            <w:r w:rsidRPr="00295984">
              <w:t>12,334</w:t>
            </w:r>
          </w:p>
        </w:tc>
        <w:tc>
          <w:tcPr>
            <w:tcW w:w="1701" w:type="dxa"/>
            <w:tcBorders>
              <w:bottom w:val="single" w:sz="2" w:space="0" w:color="auto"/>
            </w:tcBorders>
            <w:vAlign w:val="center"/>
          </w:tcPr>
          <w:p w14:paraId="226C9D19" w14:textId="77777777" w:rsidR="00295984" w:rsidRPr="00A14C27" w:rsidRDefault="00295984" w:rsidP="003A454A">
            <w:pPr>
              <w:pStyle w:val="TableTextRight"/>
              <w:spacing w:before="26" w:after="26"/>
              <w:ind w:left="-57" w:right="-57"/>
            </w:pPr>
            <w:r>
              <w:t>1</w:t>
            </w:r>
            <w:r w:rsidR="006549D6">
              <w:t>81</w:t>
            </w:r>
          </w:p>
        </w:tc>
        <w:tc>
          <w:tcPr>
            <w:tcW w:w="794" w:type="dxa"/>
            <w:tcBorders>
              <w:bottom w:val="single" w:sz="2" w:space="0" w:color="auto"/>
            </w:tcBorders>
            <w:vAlign w:val="center"/>
          </w:tcPr>
          <w:p w14:paraId="3BD394E2" w14:textId="7733EA85" w:rsidR="00295984" w:rsidRPr="000C4F4A" w:rsidRDefault="00295984" w:rsidP="003A454A">
            <w:pPr>
              <w:pStyle w:val="TableTextRight"/>
              <w:spacing w:before="26" w:after="26"/>
            </w:pPr>
            <w:r w:rsidRPr="000C4F4A">
              <w:t>14,0</w:t>
            </w:r>
            <w:r w:rsidR="006549D6">
              <w:t>94</w:t>
            </w:r>
            <w:r w:rsidRPr="000C4F4A">
              <w:t xml:space="preserve"> </w:t>
            </w:r>
          </w:p>
        </w:tc>
        <w:tc>
          <w:tcPr>
            <w:tcW w:w="1191" w:type="dxa"/>
            <w:tcBorders>
              <w:bottom w:val="single" w:sz="2" w:space="0" w:color="auto"/>
            </w:tcBorders>
            <w:vAlign w:val="center"/>
          </w:tcPr>
          <w:p w14:paraId="3F0382E9" w14:textId="77777777" w:rsidR="00295984" w:rsidRDefault="00295984" w:rsidP="003A454A">
            <w:pPr>
              <w:pStyle w:val="TableTextRight"/>
              <w:spacing w:before="26" w:after="26"/>
            </w:pPr>
            <w:r w:rsidRPr="000C4F4A">
              <w:t>0.10</w:t>
            </w:r>
          </w:p>
        </w:tc>
      </w:tr>
    </w:tbl>
    <w:p w14:paraId="1F7541EE" w14:textId="46F33168" w:rsidR="00C00C2F" w:rsidRDefault="00C00C2F" w:rsidP="00C00C2F">
      <w:pPr>
        <w:pStyle w:val="TableMainHeading"/>
      </w:pPr>
      <w:r>
        <w:lastRenderedPageBreak/>
        <w:t xml:space="preserve">Actual and projected Commonwealth </w:t>
      </w:r>
      <w:proofErr w:type="gramStart"/>
      <w:r>
        <w:t>outlays</w:t>
      </w:r>
      <w:proofErr w:type="gramEnd"/>
      <w:r w:rsidR="002F13EB">
        <w:br/>
      </w:r>
      <w:r>
        <w:t xml:space="preserve">(MSBS </w:t>
      </w:r>
      <w:r w:rsidR="00E106D9">
        <w:t xml:space="preserve">closed </w:t>
      </w:r>
      <w:r>
        <w:t>from 1 July 2016)</w:t>
      </w:r>
      <w:r>
        <w:rPr>
          <w:rFonts w:cs="Arial"/>
        </w:rPr>
        <w:t>¹</w:t>
      </w:r>
    </w:p>
    <w:tbl>
      <w:tblPr>
        <w:tblW w:w="7146" w:type="dxa"/>
        <w:tblInd w:w="675" w:type="dxa"/>
        <w:tblLayout w:type="fixed"/>
        <w:tblLook w:val="01E0" w:firstRow="1" w:lastRow="1" w:firstColumn="1" w:lastColumn="1" w:noHBand="0" w:noVBand="0"/>
      </w:tblPr>
      <w:tblGrid>
        <w:gridCol w:w="1029"/>
        <w:gridCol w:w="784"/>
        <w:gridCol w:w="854"/>
        <w:gridCol w:w="798"/>
        <w:gridCol w:w="1693"/>
        <w:gridCol w:w="798"/>
        <w:gridCol w:w="1190"/>
      </w:tblGrid>
      <w:tr w:rsidR="00C00C2F" w14:paraId="296360D4" w14:textId="77777777" w:rsidTr="003A454A">
        <w:tc>
          <w:tcPr>
            <w:tcW w:w="1029" w:type="dxa"/>
            <w:tcBorders>
              <w:top w:val="single" w:sz="2" w:space="0" w:color="auto"/>
              <w:bottom w:val="single" w:sz="12" w:space="0" w:color="auto"/>
            </w:tcBorders>
            <w:shd w:val="clear" w:color="auto" w:fill="E6E6E6"/>
          </w:tcPr>
          <w:p w14:paraId="706F1229" w14:textId="77777777" w:rsidR="00C00C2F" w:rsidRDefault="00C00C2F" w:rsidP="001B2B11">
            <w:pPr>
              <w:pStyle w:val="TableColumnHeadingLeft"/>
              <w:spacing w:before="30" w:after="30"/>
            </w:pPr>
            <w:r w:rsidRPr="00660890">
              <w:t>Year</w:t>
            </w:r>
          </w:p>
        </w:tc>
        <w:tc>
          <w:tcPr>
            <w:tcW w:w="784" w:type="dxa"/>
            <w:tcBorders>
              <w:top w:val="single" w:sz="2" w:space="0" w:color="auto"/>
              <w:bottom w:val="single" w:sz="12" w:space="0" w:color="auto"/>
            </w:tcBorders>
            <w:shd w:val="clear" w:color="auto" w:fill="E6E6E6"/>
          </w:tcPr>
          <w:p w14:paraId="7018B2C4" w14:textId="77777777" w:rsidR="00C00C2F" w:rsidRPr="00660890" w:rsidRDefault="00C00C2F" w:rsidP="00556353">
            <w:pPr>
              <w:pStyle w:val="TableColumnHeadingRight"/>
              <w:spacing w:before="30" w:after="30"/>
              <w:ind w:left="-11" w:right="-11"/>
            </w:pPr>
            <w:r>
              <w:t>DFRB</w:t>
            </w:r>
            <w:r>
              <w:rPr>
                <w:rFonts w:cs="Arial"/>
              </w:rPr>
              <w:t>²</w:t>
            </w:r>
            <w:r>
              <w:br/>
              <w:t>($m)</w:t>
            </w:r>
          </w:p>
        </w:tc>
        <w:tc>
          <w:tcPr>
            <w:tcW w:w="854" w:type="dxa"/>
            <w:tcBorders>
              <w:top w:val="single" w:sz="2" w:space="0" w:color="auto"/>
              <w:bottom w:val="single" w:sz="12" w:space="0" w:color="auto"/>
            </w:tcBorders>
            <w:shd w:val="clear" w:color="auto" w:fill="E6E6E6"/>
          </w:tcPr>
          <w:p w14:paraId="7E8EFD6A" w14:textId="77777777" w:rsidR="00C00C2F" w:rsidRDefault="00C00C2F" w:rsidP="001B2B11">
            <w:pPr>
              <w:pStyle w:val="TableColumnHeadingRight"/>
              <w:spacing w:before="30" w:after="30"/>
            </w:pPr>
            <w:r w:rsidRPr="00660890">
              <w:t>DFRDB</w:t>
            </w:r>
            <w:r>
              <w:t xml:space="preserve"> </w:t>
            </w:r>
            <w:r>
              <w:br/>
            </w:r>
            <w:r w:rsidRPr="00660890">
              <w:t>($m)</w:t>
            </w:r>
          </w:p>
        </w:tc>
        <w:tc>
          <w:tcPr>
            <w:tcW w:w="798" w:type="dxa"/>
            <w:tcBorders>
              <w:top w:val="single" w:sz="2" w:space="0" w:color="auto"/>
              <w:bottom w:val="single" w:sz="12" w:space="0" w:color="auto"/>
            </w:tcBorders>
            <w:shd w:val="clear" w:color="auto" w:fill="E6E6E6"/>
          </w:tcPr>
          <w:p w14:paraId="4E9CC138" w14:textId="77777777" w:rsidR="00C00C2F" w:rsidRDefault="00C00C2F" w:rsidP="00556353">
            <w:pPr>
              <w:pStyle w:val="TableColumnHeadingRight"/>
              <w:spacing w:before="30" w:after="30"/>
              <w:ind w:left="-11" w:right="-11"/>
            </w:pPr>
            <w:r w:rsidRPr="00660890">
              <w:t>MSBS</w:t>
            </w:r>
            <w:r>
              <w:rPr>
                <w:rFonts w:cs="Arial"/>
              </w:rPr>
              <w:t>³</w:t>
            </w:r>
            <w:r>
              <w:t xml:space="preserve"> </w:t>
            </w:r>
            <w:r>
              <w:br/>
            </w:r>
            <w:r w:rsidRPr="00660890">
              <w:t>($m)</w:t>
            </w:r>
          </w:p>
        </w:tc>
        <w:tc>
          <w:tcPr>
            <w:tcW w:w="1693" w:type="dxa"/>
            <w:tcBorders>
              <w:top w:val="single" w:sz="2" w:space="0" w:color="auto"/>
              <w:bottom w:val="single" w:sz="12" w:space="0" w:color="auto"/>
            </w:tcBorders>
            <w:shd w:val="clear" w:color="auto" w:fill="E6E6E6"/>
          </w:tcPr>
          <w:p w14:paraId="6EAD68F8" w14:textId="77777777" w:rsidR="00C00C2F" w:rsidRDefault="00C00C2F" w:rsidP="003A454A">
            <w:pPr>
              <w:pStyle w:val="TableColumnHeadingRight"/>
              <w:spacing w:before="30" w:after="30"/>
              <w:ind w:left="-57" w:right="-57"/>
            </w:pPr>
            <w:r>
              <w:t>SG contributions</w:t>
            </w:r>
            <w:r w:rsidRPr="00F16893">
              <w:rPr>
                <w:rFonts w:cs="Arial"/>
                <w:vertAlign w:val="superscript"/>
              </w:rPr>
              <w:t>4</w:t>
            </w:r>
            <w:r>
              <w:br/>
              <w:t>($m)</w:t>
            </w:r>
          </w:p>
        </w:tc>
        <w:tc>
          <w:tcPr>
            <w:tcW w:w="798" w:type="dxa"/>
            <w:tcBorders>
              <w:top w:val="single" w:sz="2" w:space="0" w:color="auto"/>
              <w:bottom w:val="single" w:sz="12" w:space="0" w:color="auto"/>
            </w:tcBorders>
            <w:shd w:val="clear" w:color="auto" w:fill="E6E6E6"/>
          </w:tcPr>
          <w:p w14:paraId="0DA0D3F4" w14:textId="77777777" w:rsidR="00C00C2F" w:rsidRDefault="00C00C2F" w:rsidP="001B2B11">
            <w:pPr>
              <w:pStyle w:val="TableColumnHeadingRight"/>
              <w:spacing w:before="30" w:after="30"/>
            </w:pPr>
            <w:r w:rsidRPr="00660890">
              <w:t>Total</w:t>
            </w:r>
            <w:r>
              <w:br/>
            </w:r>
            <w:r w:rsidRPr="00660890">
              <w:t>($m)</w:t>
            </w:r>
          </w:p>
        </w:tc>
        <w:tc>
          <w:tcPr>
            <w:tcW w:w="1190" w:type="dxa"/>
            <w:tcBorders>
              <w:top w:val="single" w:sz="2" w:space="0" w:color="auto"/>
              <w:bottom w:val="single" w:sz="12" w:space="0" w:color="auto"/>
            </w:tcBorders>
            <w:shd w:val="clear" w:color="auto" w:fill="E6E6E6"/>
          </w:tcPr>
          <w:p w14:paraId="6DEFF3A8" w14:textId="77777777" w:rsidR="00C00C2F" w:rsidRDefault="00C00C2F" w:rsidP="001B2B11">
            <w:pPr>
              <w:pStyle w:val="TableColumnHeadingRight"/>
              <w:spacing w:before="30" w:after="30"/>
            </w:pPr>
            <w:r w:rsidRPr="00660890">
              <w:t xml:space="preserve">As a percentage </w:t>
            </w:r>
            <w:r>
              <w:br/>
            </w:r>
            <w:r w:rsidRPr="00660890">
              <w:t>of GDP</w:t>
            </w:r>
          </w:p>
        </w:tc>
      </w:tr>
      <w:tr w:rsidR="00C00C2F" w14:paraId="54CF6A69" w14:textId="77777777" w:rsidTr="003A454A">
        <w:tc>
          <w:tcPr>
            <w:tcW w:w="1029" w:type="dxa"/>
            <w:tcBorders>
              <w:top w:val="single" w:sz="12" w:space="0" w:color="auto"/>
              <w:bottom w:val="single" w:sz="4" w:space="0" w:color="auto"/>
            </w:tcBorders>
            <w:shd w:val="clear" w:color="auto" w:fill="D9D9D9" w:themeFill="background1" w:themeFillShade="D9"/>
          </w:tcPr>
          <w:p w14:paraId="648674F6" w14:textId="77777777" w:rsidR="00C00C2F" w:rsidRDefault="00C00C2F" w:rsidP="001B2B11">
            <w:pPr>
              <w:pStyle w:val="TableColumnHeadingLeft"/>
              <w:spacing w:before="30" w:afterLines="20" w:after="48"/>
            </w:pPr>
            <w:r w:rsidRPr="00B94444">
              <w:t>Actual</w:t>
            </w:r>
            <w:r w:rsidRPr="00F16893">
              <w:rPr>
                <w:vertAlign w:val="superscript"/>
              </w:rPr>
              <w:t>5</w:t>
            </w:r>
          </w:p>
        </w:tc>
        <w:tc>
          <w:tcPr>
            <w:tcW w:w="784" w:type="dxa"/>
            <w:tcBorders>
              <w:top w:val="single" w:sz="12" w:space="0" w:color="auto"/>
              <w:bottom w:val="single" w:sz="4" w:space="0" w:color="auto"/>
            </w:tcBorders>
            <w:shd w:val="clear" w:color="auto" w:fill="D9D9D9" w:themeFill="background1" w:themeFillShade="D9"/>
          </w:tcPr>
          <w:p w14:paraId="1541FA4E" w14:textId="77777777" w:rsidR="00C00C2F" w:rsidRDefault="00C00C2F" w:rsidP="001B2B11">
            <w:pPr>
              <w:pStyle w:val="TableTextLeft"/>
              <w:spacing w:before="30" w:afterLines="20" w:after="48"/>
              <w:jc w:val="right"/>
            </w:pPr>
          </w:p>
        </w:tc>
        <w:tc>
          <w:tcPr>
            <w:tcW w:w="854" w:type="dxa"/>
            <w:tcBorders>
              <w:top w:val="single" w:sz="12" w:space="0" w:color="auto"/>
              <w:bottom w:val="single" w:sz="4" w:space="0" w:color="auto"/>
            </w:tcBorders>
            <w:shd w:val="clear" w:color="auto" w:fill="D9D9D9" w:themeFill="background1" w:themeFillShade="D9"/>
          </w:tcPr>
          <w:p w14:paraId="1F2C3C42" w14:textId="77777777" w:rsidR="00C00C2F" w:rsidRDefault="00C00C2F" w:rsidP="001B2B11">
            <w:pPr>
              <w:pStyle w:val="TableTextLeft"/>
              <w:spacing w:before="30" w:afterLines="20" w:after="48"/>
              <w:jc w:val="right"/>
            </w:pPr>
          </w:p>
        </w:tc>
        <w:tc>
          <w:tcPr>
            <w:tcW w:w="798" w:type="dxa"/>
            <w:tcBorders>
              <w:top w:val="single" w:sz="12" w:space="0" w:color="auto"/>
              <w:bottom w:val="single" w:sz="4" w:space="0" w:color="auto"/>
            </w:tcBorders>
            <w:shd w:val="clear" w:color="auto" w:fill="D9D9D9" w:themeFill="background1" w:themeFillShade="D9"/>
          </w:tcPr>
          <w:p w14:paraId="7F10731C" w14:textId="77777777" w:rsidR="00C00C2F" w:rsidRDefault="00C00C2F" w:rsidP="001B2B11">
            <w:pPr>
              <w:pStyle w:val="TableTextLeft"/>
              <w:spacing w:before="30" w:afterLines="20" w:after="48"/>
              <w:jc w:val="right"/>
            </w:pPr>
          </w:p>
        </w:tc>
        <w:tc>
          <w:tcPr>
            <w:tcW w:w="1693" w:type="dxa"/>
            <w:tcBorders>
              <w:top w:val="single" w:sz="12" w:space="0" w:color="auto"/>
              <w:bottom w:val="single" w:sz="4" w:space="0" w:color="auto"/>
            </w:tcBorders>
            <w:shd w:val="clear" w:color="auto" w:fill="D9D9D9" w:themeFill="background1" w:themeFillShade="D9"/>
          </w:tcPr>
          <w:p w14:paraId="351CEFC9" w14:textId="77777777" w:rsidR="00C00C2F" w:rsidRDefault="00C00C2F" w:rsidP="003A454A">
            <w:pPr>
              <w:pStyle w:val="TableTextLeft"/>
              <w:spacing w:before="30" w:afterLines="20" w:after="48"/>
              <w:ind w:left="-57" w:right="-57"/>
              <w:jc w:val="right"/>
            </w:pPr>
          </w:p>
        </w:tc>
        <w:tc>
          <w:tcPr>
            <w:tcW w:w="798" w:type="dxa"/>
            <w:tcBorders>
              <w:top w:val="single" w:sz="12" w:space="0" w:color="auto"/>
              <w:bottom w:val="single" w:sz="4" w:space="0" w:color="auto"/>
            </w:tcBorders>
            <w:shd w:val="clear" w:color="auto" w:fill="D9D9D9" w:themeFill="background1" w:themeFillShade="D9"/>
          </w:tcPr>
          <w:p w14:paraId="3227BA2D" w14:textId="77777777" w:rsidR="00C00C2F" w:rsidRDefault="00C00C2F" w:rsidP="001B2B11">
            <w:pPr>
              <w:pStyle w:val="TableTextLeft"/>
              <w:spacing w:before="30" w:afterLines="20" w:after="48"/>
              <w:jc w:val="right"/>
            </w:pPr>
          </w:p>
        </w:tc>
        <w:tc>
          <w:tcPr>
            <w:tcW w:w="1190" w:type="dxa"/>
            <w:tcBorders>
              <w:top w:val="single" w:sz="12" w:space="0" w:color="auto"/>
              <w:bottom w:val="single" w:sz="4" w:space="0" w:color="auto"/>
            </w:tcBorders>
            <w:shd w:val="clear" w:color="auto" w:fill="D9D9D9" w:themeFill="background1" w:themeFillShade="D9"/>
          </w:tcPr>
          <w:p w14:paraId="391E271E" w14:textId="77777777" w:rsidR="00C00C2F" w:rsidRDefault="00C00C2F" w:rsidP="001B2B11">
            <w:pPr>
              <w:pStyle w:val="TableTextLeft"/>
              <w:spacing w:before="30" w:afterLines="20" w:after="48"/>
              <w:jc w:val="right"/>
            </w:pPr>
          </w:p>
        </w:tc>
      </w:tr>
      <w:tr w:rsidR="00C00C2F" w:rsidRPr="00742ABA" w14:paraId="5545DCDF" w14:textId="77777777" w:rsidTr="003A454A">
        <w:tc>
          <w:tcPr>
            <w:tcW w:w="1029" w:type="dxa"/>
            <w:tcBorders>
              <w:top w:val="single" w:sz="4" w:space="0" w:color="auto"/>
            </w:tcBorders>
            <w:shd w:val="clear" w:color="auto" w:fill="F2F2F2" w:themeFill="background1" w:themeFillShade="F2"/>
            <w:vAlign w:val="center"/>
          </w:tcPr>
          <w:p w14:paraId="3432270C" w14:textId="77777777" w:rsidR="00C00C2F" w:rsidRPr="00B94444" w:rsidRDefault="00C00C2F" w:rsidP="001B2B11">
            <w:pPr>
              <w:pStyle w:val="TableTextLeft"/>
              <w:spacing w:before="30" w:after="30"/>
            </w:pPr>
            <w:r w:rsidRPr="00660890">
              <w:t>1991</w:t>
            </w:r>
            <w:r>
              <w:noBreakHyphen/>
            </w:r>
            <w:r w:rsidRPr="00660890">
              <w:t>92</w:t>
            </w:r>
          </w:p>
        </w:tc>
        <w:tc>
          <w:tcPr>
            <w:tcW w:w="784" w:type="dxa"/>
            <w:tcBorders>
              <w:top w:val="single" w:sz="4" w:space="0" w:color="auto"/>
            </w:tcBorders>
            <w:shd w:val="clear" w:color="auto" w:fill="F2F2F2" w:themeFill="background1" w:themeFillShade="F2"/>
            <w:vAlign w:val="center"/>
          </w:tcPr>
          <w:p w14:paraId="0310B63A" w14:textId="77777777" w:rsidR="00C00C2F" w:rsidRPr="00660890" w:rsidRDefault="00C00C2F" w:rsidP="001B2B11">
            <w:pPr>
              <w:pStyle w:val="TableTextRight"/>
              <w:spacing w:before="30" w:after="30"/>
            </w:pPr>
          </w:p>
        </w:tc>
        <w:tc>
          <w:tcPr>
            <w:tcW w:w="854" w:type="dxa"/>
            <w:tcBorders>
              <w:top w:val="single" w:sz="4" w:space="0" w:color="auto"/>
            </w:tcBorders>
            <w:shd w:val="clear" w:color="auto" w:fill="F2F2F2" w:themeFill="background1" w:themeFillShade="F2"/>
            <w:vAlign w:val="center"/>
          </w:tcPr>
          <w:p w14:paraId="332B91C2" w14:textId="77777777" w:rsidR="00C00C2F" w:rsidRPr="00660890" w:rsidRDefault="00C00C2F" w:rsidP="001B2B11">
            <w:pPr>
              <w:pStyle w:val="TableTextRight"/>
              <w:spacing w:before="30" w:after="30"/>
            </w:pPr>
            <w:r w:rsidRPr="00660890">
              <w:t>600</w:t>
            </w:r>
          </w:p>
        </w:tc>
        <w:tc>
          <w:tcPr>
            <w:tcW w:w="798" w:type="dxa"/>
            <w:tcBorders>
              <w:top w:val="single" w:sz="4" w:space="0" w:color="auto"/>
            </w:tcBorders>
            <w:shd w:val="clear" w:color="auto" w:fill="F2F2F2" w:themeFill="background1" w:themeFillShade="F2"/>
            <w:vAlign w:val="center"/>
          </w:tcPr>
          <w:p w14:paraId="29838C48" w14:textId="77777777" w:rsidR="00C00C2F" w:rsidRPr="00660890" w:rsidRDefault="00C00C2F" w:rsidP="001B2B11">
            <w:pPr>
              <w:pStyle w:val="TableTextRight"/>
              <w:spacing w:before="30" w:after="30"/>
            </w:pPr>
            <w:r w:rsidRPr="00660890">
              <w:t>32</w:t>
            </w:r>
          </w:p>
        </w:tc>
        <w:tc>
          <w:tcPr>
            <w:tcW w:w="1693" w:type="dxa"/>
            <w:tcBorders>
              <w:top w:val="single" w:sz="4" w:space="0" w:color="auto"/>
            </w:tcBorders>
            <w:shd w:val="clear" w:color="auto" w:fill="F2F2F2" w:themeFill="background1" w:themeFillShade="F2"/>
            <w:vAlign w:val="center"/>
          </w:tcPr>
          <w:p w14:paraId="36A9779B" w14:textId="77777777" w:rsidR="00C00C2F" w:rsidRPr="00660890" w:rsidRDefault="00C00C2F" w:rsidP="003A454A">
            <w:pPr>
              <w:pStyle w:val="TableTextRight"/>
              <w:spacing w:before="30" w:after="30"/>
              <w:ind w:left="-57"/>
            </w:pPr>
            <w:r>
              <w:noBreakHyphen/>
            </w:r>
          </w:p>
        </w:tc>
        <w:tc>
          <w:tcPr>
            <w:tcW w:w="798" w:type="dxa"/>
            <w:tcBorders>
              <w:top w:val="single" w:sz="4" w:space="0" w:color="auto"/>
            </w:tcBorders>
            <w:shd w:val="clear" w:color="auto" w:fill="F2F2F2" w:themeFill="background1" w:themeFillShade="F2"/>
            <w:vAlign w:val="center"/>
          </w:tcPr>
          <w:p w14:paraId="1E5E39CC" w14:textId="77777777" w:rsidR="00C00C2F" w:rsidRPr="00660890" w:rsidRDefault="00C00C2F" w:rsidP="001B2B11">
            <w:pPr>
              <w:pStyle w:val="TableTextRight"/>
              <w:spacing w:before="30" w:after="30"/>
            </w:pPr>
            <w:r w:rsidRPr="00660890">
              <w:t>632</w:t>
            </w:r>
          </w:p>
        </w:tc>
        <w:tc>
          <w:tcPr>
            <w:tcW w:w="1190" w:type="dxa"/>
            <w:tcBorders>
              <w:top w:val="single" w:sz="4" w:space="0" w:color="auto"/>
            </w:tcBorders>
            <w:shd w:val="clear" w:color="auto" w:fill="F2F2F2" w:themeFill="background1" w:themeFillShade="F2"/>
            <w:vAlign w:val="center"/>
          </w:tcPr>
          <w:p w14:paraId="1FDBFB56" w14:textId="77777777" w:rsidR="00C00C2F" w:rsidRPr="00660890" w:rsidRDefault="00C00C2F" w:rsidP="001B2B11">
            <w:pPr>
              <w:pStyle w:val="TableTextRight"/>
              <w:spacing w:before="30" w:after="30"/>
            </w:pPr>
            <w:r w:rsidRPr="00660890">
              <w:t>0.16</w:t>
            </w:r>
          </w:p>
        </w:tc>
      </w:tr>
      <w:tr w:rsidR="00C00C2F" w:rsidRPr="00742ABA" w14:paraId="5AD8BCAC" w14:textId="77777777" w:rsidTr="003A454A">
        <w:tc>
          <w:tcPr>
            <w:tcW w:w="1029" w:type="dxa"/>
            <w:shd w:val="clear" w:color="auto" w:fill="F2F2F2" w:themeFill="background1" w:themeFillShade="F2"/>
            <w:vAlign w:val="center"/>
          </w:tcPr>
          <w:p w14:paraId="74372D8D" w14:textId="77777777" w:rsidR="00C00C2F" w:rsidRPr="00660890" w:rsidRDefault="00C00C2F" w:rsidP="001B2B11">
            <w:pPr>
              <w:pStyle w:val="TableTextLeft"/>
              <w:spacing w:before="30" w:after="30"/>
            </w:pPr>
            <w:r w:rsidRPr="00660890">
              <w:t>1992</w:t>
            </w:r>
            <w:r>
              <w:noBreakHyphen/>
            </w:r>
            <w:r w:rsidRPr="00660890">
              <w:t>93</w:t>
            </w:r>
          </w:p>
        </w:tc>
        <w:tc>
          <w:tcPr>
            <w:tcW w:w="784" w:type="dxa"/>
            <w:shd w:val="clear" w:color="auto" w:fill="F2F2F2" w:themeFill="background1" w:themeFillShade="F2"/>
            <w:vAlign w:val="center"/>
          </w:tcPr>
          <w:p w14:paraId="03DB7290" w14:textId="77777777" w:rsidR="00C00C2F" w:rsidRPr="00660890" w:rsidRDefault="00C00C2F" w:rsidP="001B2B11">
            <w:pPr>
              <w:pStyle w:val="TableTextRight"/>
              <w:spacing w:before="30" w:after="30"/>
            </w:pPr>
          </w:p>
        </w:tc>
        <w:tc>
          <w:tcPr>
            <w:tcW w:w="854" w:type="dxa"/>
            <w:shd w:val="clear" w:color="auto" w:fill="F2F2F2" w:themeFill="background1" w:themeFillShade="F2"/>
            <w:vAlign w:val="center"/>
          </w:tcPr>
          <w:p w14:paraId="14C6A6DA" w14:textId="77777777" w:rsidR="00C00C2F" w:rsidRPr="00660890" w:rsidRDefault="00C00C2F" w:rsidP="001B2B11">
            <w:pPr>
              <w:pStyle w:val="TableTextRight"/>
              <w:spacing w:before="30" w:after="30"/>
            </w:pPr>
            <w:r w:rsidRPr="00660890">
              <w:t>703</w:t>
            </w:r>
          </w:p>
        </w:tc>
        <w:tc>
          <w:tcPr>
            <w:tcW w:w="798" w:type="dxa"/>
            <w:shd w:val="clear" w:color="auto" w:fill="F2F2F2" w:themeFill="background1" w:themeFillShade="F2"/>
            <w:vAlign w:val="center"/>
          </w:tcPr>
          <w:p w14:paraId="23FBB6F0" w14:textId="77777777" w:rsidR="00C00C2F" w:rsidRPr="00660890" w:rsidRDefault="00C00C2F" w:rsidP="001B2B11">
            <w:pPr>
              <w:pStyle w:val="TableTextRight"/>
              <w:spacing w:before="30" w:after="30"/>
            </w:pPr>
            <w:r w:rsidRPr="00660890">
              <w:t>139</w:t>
            </w:r>
          </w:p>
        </w:tc>
        <w:tc>
          <w:tcPr>
            <w:tcW w:w="1693" w:type="dxa"/>
            <w:shd w:val="clear" w:color="auto" w:fill="F2F2F2" w:themeFill="background1" w:themeFillShade="F2"/>
            <w:vAlign w:val="center"/>
          </w:tcPr>
          <w:p w14:paraId="0AA5E271" w14:textId="77777777" w:rsidR="00C00C2F" w:rsidRPr="00660890" w:rsidRDefault="00C00C2F" w:rsidP="003A454A">
            <w:pPr>
              <w:pStyle w:val="TableTextRight"/>
              <w:spacing w:before="30" w:after="30"/>
              <w:ind w:left="-57"/>
            </w:pPr>
            <w:r>
              <w:noBreakHyphen/>
            </w:r>
          </w:p>
        </w:tc>
        <w:tc>
          <w:tcPr>
            <w:tcW w:w="798" w:type="dxa"/>
            <w:shd w:val="clear" w:color="auto" w:fill="F2F2F2" w:themeFill="background1" w:themeFillShade="F2"/>
            <w:vAlign w:val="center"/>
          </w:tcPr>
          <w:p w14:paraId="18ECC6F2" w14:textId="77777777" w:rsidR="00C00C2F" w:rsidRPr="00660890" w:rsidRDefault="00C00C2F" w:rsidP="001B2B11">
            <w:pPr>
              <w:pStyle w:val="TableTextRight"/>
              <w:spacing w:before="30" w:after="30"/>
            </w:pPr>
            <w:r w:rsidRPr="00660890">
              <w:t>842</w:t>
            </w:r>
          </w:p>
        </w:tc>
        <w:tc>
          <w:tcPr>
            <w:tcW w:w="1190" w:type="dxa"/>
            <w:shd w:val="clear" w:color="auto" w:fill="F2F2F2" w:themeFill="background1" w:themeFillShade="F2"/>
            <w:vAlign w:val="center"/>
          </w:tcPr>
          <w:p w14:paraId="4E98E6BD" w14:textId="77777777" w:rsidR="00C00C2F" w:rsidRPr="00660890" w:rsidRDefault="00C00C2F" w:rsidP="001B2B11">
            <w:pPr>
              <w:pStyle w:val="TableTextRight"/>
              <w:spacing w:before="30" w:after="30"/>
            </w:pPr>
            <w:r w:rsidRPr="00660890">
              <w:t>0.21</w:t>
            </w:r>
          </w:p>
        </w:tc>
      </w:tr>
      <w:tr w:rsidR="00C00C2F" w:rsidRPr="00742ABA" w14:paraId="06BA1724" w14:textId="77777777" w:rsidTr="003A454A">
        <w:tc>
          <w:tcPr>
            <w:tcW w:w="1029" w:type="dxa"/>
            <w:shd w:val="clear" w:color="auto" w:fill="F2F2F2" w:themeFill="background1" w:themeFillShade="F2"/>
            <w:vAlign w:val="center"/>
          </w:tcPr>
          <w:p w14:paraId="47CAEE6C" w14:textId="77777777" w:rsidR="00C00C2F" w:rsidRPr="00660890" w:rsidRDefault="00C00C2F" w:rsidP="001B2B11">
            <w:pPr>
              <w:pStyle w:val="TableTextLeft"/>
              <w:spacing w:before="30" w:after="30"/>
            </w:pPr>
            <w:r w:rsidRPr="00660890">
              <w:t>1995</w:t>
            </w:r>
            <w:r>
              <w:noBreakHyphen/>
            </w:r>
            <w:r w:rsidRPr="00660890">
              <w:t>96</w:t>
            </w:r>
          </w:p>
        </w:tc>
        <w:tc>
          <w:tcPr>
            <w:tcW w:w="784" w:type="dxa"/>
            <w:shd w:val="clear" w:color="auto" w:fill="F2F2F2" w:themeFill="background1" w:themeFillShade="F2"/>
            <w:vAlign w:val="center"/>
          </w:tcPr>
          <w:p w14:paraId="4F297A34" w14:textId="77777777" w:rsidR="00C00C2F" w:rsidRPr="00660890" w:rsidRDefault="00C00C2F" w:rsidP="001B2B11">
            <w:pPr>
              <w:pStyle w:val="TableTextRight"/>
              <w:spacing w:before="30" w:after="30"/>
            </w:pPr>
          </w:p>
        </w:tc>
        <w:tc>
          <w:tcPr>
            <w:tcW w:w="854" w:type="dxa"/>
            <w:shd w:val="clear" w:color="auto" w:fill="F2F2F2" w:themeFill="background1" w:themeFillShade="F2"/>
            <w:vAlign w:val="center"/>
          </w:tcPr>
          <w:p w14:paraId="0541F5FC" w14:textId="77777777" w:rsidR="00C00C2F" w:rsidRPr="00660890" w:rsidRDefault="00C00C2F" w:rsidP="001B2B11">
            <w:pPr>
              <w:pStyle w:val="TableTextRight"/>
              <w:spacing w:before="30" w:after="30"/>
            </w:pPr>
            <w:r w:rsidRPr="00660890">
              <w:t>801</w:t>
            </w:r>
          </w:p>
        </w:tc>
        <w:tc>
          <w:tcPr>
            <w:tcW w:w="798" w:type="dxa"/>
            <w:shd w:val="clear" w:color="auto" w:fill="F2F2F2" w:themeFill="background1" w:themeFillShade="F2"/>
            <w:vAlign w:val="center"/>
          </w:tcPr>
          <w:p w14:paraId="4E8676E6" w14:textId="77777777" w:rsidR="00C00C2F" w:rsidRPr="00660890" w:rsidRDefault="00C00C2F" w:rsidP="001B2B11">
            <w:pPr>
              <w:pStyle w:val="TableTextRight"/>
              <w:spacing w:before="30" w:after="30"/>
            </w:pPr>
            <w:r w:rsidRPr="00660890">
              <w:t>153</w:t>
            </w:r>
          </w:p>
        </w:tc>
        <w:tc>
          <w:tcPr>
            <w:tcW w:w="1693" w:type="dxa"/>
            <w:shd w:val="clear" w:color="auto" w:fill="F2F2F2" w:themeFill="background1" w:themeFillShade="F2"/>
            <w:vAlign w:val="center"/>
          </w:tcPr>
          <w:p w14:paraId="178C31CB" w14:textId="77777777" w:rsidR="00C00C2F" w:rsidRPr="00660890" w:rsidRDefault="00C00C2F" w:rsidP="003A454A">
            <w:pPr>
              <w:pStyle w:val="TableTextRight"/>
              <w:spacing w:before="30" w:after="30"/>
              <w:ind w:left="-57"/>
            </w:pPr>
            <w:r>
              <w:noBreakHyphen/>
            </w:r>
          </w:p>
        </w:tc>
        <w:tc>
          <w:tcPr>
            <w:tcW w:w="798" w:type="dxa"/>
            <w:shd w:val="clear" w:color="auto" w:fill="F2F2F2" w:themeFill="background1" w:themeFillShade="F2"/>
            <w:vAlign w:val="center"/>
          </w:tcPr>
          <w:p w14:paraId="785F0339" w14:textId="77777777" w:rsidR="00C00C2F" w:rsidRPr="00660890" w:rsidRDefault="00C00C2F" w:rsidP="001B2B11">
            <w:pPr>
              <w:pStyle w:val="TableTextRight"/>
              <w:spacing w:before="30" w:after="30"/>
            </w:pPr>
            <w:r w:rsidRPr="00660890">
              <w:t>954</w:t>
            </w:r>
          </w:p>
        </w:tc>
        <w:tc>
          <w:tcPr>
            <w:tcW w:w="1190" w:type="dxa"/>
            <w:shd w:val="clear" w:color="auto" w:fill="F2F2F2" w:themeFill="background1" w:themeFillShade="F2"/>
            <w:vAlign w:val="center"/>
          </w:tcPr>
          <w:p w14:paraId="700B90AC" w14:textId="77777777" w:rsidR="00C00C2F" w:rsidRPr="00660890" w:rsidRDefault="00C00C2F" w:rsidP="001B2B11">
            <w:pPr>
              <w:pStyle w:val="TableTextRight"/>
              <w:spacing w:before="30" w:after="30"/>
            </w:pPr>
            <w:r w:rsidRPr="00660890">
              <w:t>0.20</w:t>
            </w:r>
          </w:p>
        </w:tc>
      </w:tr>
      <w:tr w:rsidR="00C00C2F" w:rsidRPr="00742ABA" w14:paraId="43457031" w14:textId="77777777" w:rsidTr="003A454A">
        <w:tc>
          <w:tcPr>
            <w:tcW w:w="1029" w:type="dxa"/>
            <w:shd w:val="clear" w:color="auto" w:fill="F2F2F2" w:themeFill="background1" w:themeFillShade="F2"/>
            <w:vAlign w:val="center"/>
          </w:tcPr>
          <w:p w14:paraId="2C166EE9" w14:textId="77777777" w:rsidR="00C00C2F" w:rsidRPr="00660890" w:rsidRDefault="00C00C2F" w:rsidP="001B2B11">
            <w:pPr>
              <w:pStyle w:val="TableTextLeft"/>
              <w:spacing w:before="30" w:after="30"/>
            </w:pPr>
            <w:r w:rsidRPr="00660890">
              <w:t>1998</w:t>
            </w:r>
            <w:r>
              <w:noBreakHyphen/>
            </w:r>
            <w:r w:rsidRPr="00660890">
              <w:t>99</w:t>
            </w:r>
          </w:p>
        </w:tc>
        <w:tc>
          <w:tcPr>
            <w:tcW w:w="784" w:type="dxa"/>
            <w:shd w:val="clear" w:color="auto" w:fill="F2F2F2" w:themeFill="background1" w:themeFillShade="F2"/>
            <w:vAlign w:val="center"/>
          </w:tcPr>
          <w:p w14:paraId="73A9A846" w14:textId="77777777" w:rsidR="00C00C2F" w:rsidRPr="00660890" w:rsidRDefault="00C00C2F" w:rsidP="001B2B11">
            <w:pPr>
              <w:pStyle w:val="TableTextRight"/>
              <w:spacing w:before="30" w:after="30"/>
            </w:pPr>
          </w:p>
        </w:tc>
        <w:tc>
          <w:tcPr>
            <w:tcW w:w="854" w:type="dxa"/>
            <w:shd w:val="clear" w:color="auto" w:fill="F2F2F2" w:themeFill="background1" w:themeFillShade="F2"/>
            <w:vAlign w:val="center"/>
          </w:tcPr>
          <w:p w14:paraId="4EA97825" w14:textId="77777777" w:rsidR="00C00C2F" w:rsidRPr="00660890" w:rsidRDefault="00C00C2F" w:rsidP="001B2B11">
            <w:pPr>
              <w:pStyle w:val="TableTextRight"/>
              <w:spacing w:before="30" w:after="30"/>
            </w:pPr>
            <w:r w:rsidRPr="00660890">
              <w:t>986</w:t>
            </w:r>
          </w:p>
        </w:tc>
        <w:tc>
          <w:tcPr>
            <w:tcW w:w="798" w:type="dxa"/>
            <w:shd w:val="clear" w:color="auto" w:fill="F2F2F2" w:themeFill="background1" w:themeFillShade="F2"/>
            <w:vAlign w:val="center"/>
          </w:tcPr>
          <w:p w14:paraId="567300E0" w14:textId="77777777" w:rsidR="00C00C2F" w:rsidRPr="00660890" w:rsidRDefault="00C00C2F" w:rsidP="001B2B11">
            <w:pPr>
              <w:pStyle w:val="TableTextRight"/>
              <w:spacing w:before="30" w:after="30"/>
            </w:pPr>
            <w:r w:rsidRPr="00660890">
              <w:t>158</w:t>
            </w:r>
          </w:p>
        </w:tc>
        <w:tc>
          <w:tcPr>
            <w:tcW w:w="1693" w:type="dxa"/>
            <w:shd w:val="clear" w:color="auto" w:fill="F2F2F2" w:themeFill="background1" w:themeFillShade="F2"/>
            <w:vAlign w:val="center"/>
          </w:tcPr>
          <w:p w14:paraId="14F57EA0" w14:textId="77777777" w:rsidR="00C00C2F" w:rsidRPr="00660890" w:rsidRDefault="00C00C2F" w:rsidP="003A454A">
            <w:pPr>
              <w:pStyle w:val="TableTextRight"/>
              <w:spacing w:before="30" w:after="30"/>
              <w:ind w:left="-57"/>
            </w:pPr>
            <w:r>
              <w:noBreakHyphen/>
            </w:r>
          </w:p>
        </w:tc>
        <w:tc>
          <w:tcPr>
            <w:tcW w:w="798" w:type="dxa"/>
            <w:shd w:val="clear" w:color="auto" w:fill="F2F2F2" w:themeFill="background1" w:themeFillShade="F2"/>
            <w:vAlign w:val="center"/>
          </w:tcPr>
          <w:p w14:paraId="29076D29" w14:textId="77777777" w:rsidR="00C00C2F" w:rsidRPr="00660890" w:rsidRDefault="00C00C2F" w:rsidP="001B2B11">
            <w:pPr>
              <w:pStyle w:val="TableTextRight"/>
              <w:spacing w:before="30" w:after="30"/>
            </w:pPr>
            <w:r w:rsidRPr="00660890">
              <w:t>1,144</w:t>
            </w:r>
          </w:p>
        </w:tc>
        <w:tc>
          <w:tcPr>
            <w:tcW w:w="1190" w:type="dxa"/>
            <w:shd w:val="clear" w:color="auto" w:fill="F2F2F2" w:themeFill="background1" w:themeFillShade="F2"/>
            <w:vAlign w:val="center"/>
          </w:tcPr>
          <w:p w14:paraId="1CF377BE" w14:textId="77777777" w:rsidR="00C00C2F" w:rsidRPr="00660890" w:rsidRDefault="00C00C2F" w:rsidP="001B2B11">
            <w:pPr>
              <w:pStyle w:val="TableTextRight"/>
              <w:spacing w:before="30" w:after="30"/>
            </w:pPr>
            <w:r w:rsidRPr="00660890">
              <w:t>0.19</w:t>
            </w:r>
          </w:p>
        </w:tc>
      </w:tr>
      <w:tr w:rsidR="00C00C2F" w:rsidRPr="00742ABA" w14:paraId="519CFC79" w14:textId="77777777" w:rsidTr="00E6557A">
        <w:tc>
          <w:tcPr>
            <w:tcW w:w="1029" w:type="dxa"/>
            <w:shd w:val="clear" w:color="auto" w:fill="F2F2F2" w:themeFill="background1" w:themeFillShade="F2"/>
            <w:vAlign w:val="center"/>
          </w:tcPr>
          <w:p w14:paraId="59EDDC2B" w14:textId="77777777" w:rsidR="00C00C2F" w:rsidRPr="00660890" w:rsidRDefault="00C00C2F" w:rsidP="001B2B11">
            <w:pPr>
              <w:pStyle w:val="TableTextLeft"/>
              <w:spacing w:before="30" w:after="30"/>
            </w:pPr>
            <w:r w:rsidRPr="00660890">
              <w:t>2001</w:t>
            </w:r>
            <w:r>
              <w:noBreakHyphen/>
            </w:r>
            <w:r w:rsidRPr="00660890">
              <w:t>02</w:t>
            </w:r>
          </w:p>
        </w:tc>
        <w:tc>
          <w:tcPr>
            <w:tcW w:w="784" w:type="dxa"/>
            <w:shd w:val="clear" w:color="auto" w:fill="F2F2F2" w:themeFill="background1" w:themeFillShade="F2"/>
            <w:vAlign w:val="center"/>
          </w:tcPr>
          <w:p w14:paraId="15244BB2" w14:textId="77777777" w:rsidR="00C00C2F" w:rsidRPr="00660890" w:rsidRDefault="00C00C2F" w:rsidP="001B2B11">
            <w:pPr>
              <w:pStyle w:val="TableTextRight"/>
              <w:spacing w:before="30" w:after="30"/>
            </w:pPr>
          </w:p>
        </w:tc>
        <w:tc>
          <w:tcPr>
            <w:tcW w:w="854" w:type="dxa"/>
            <w:shd w:val="clear" w:color="auto" w:fill="F2F2F2" w:themeFill="background1" w:themeFillShade="F2"/>
            <w:vAlign w:val="center"/>
          </w:tcPr>
          <w:p w14:paraId="2C78989F" w14:textId="77777777" w:rsidR="00C00C2F" w:rsidRPr="00660890" w:rsidRDefault="00C00C2F" w:rsidP="001B2B11">
            <w:pPr>
              <w:pStyle w:val="TableTextRight"/>
              <w:spacing w:before="30" w:after="30"/>
            </w:pPr>
            <w:r w:rsidRPr="00660890">
              <w:t>1,160</w:t>
            </w:r>
          </w:p>
        </w:tc>
        <w:tc>
          <w:tcPr>
            <w:tcW w:w="798" w:type="dxa"/>
            <w:shd w:val="clear" w:color="auto" w:fill="F2F2F2" w:themeFill="background1" w:themeFillShade="F2"/>
            <w:vAlign w:val="center"/>
          </w:tcPr>
          <w:p w14:paraId="2983E501" w14:textId="77777777" w:rsidR="00C00C2F" w:rsidRPr="00660890" w:rsidRDefault="00C00C2F" w:rsidP="001B2B11">
            <w:pPr>
              <w:pStyle w:val="TableTextRight"/>
              <w:spacing w:before="30" w:after="30"/>
            </w:pPr>
            <w:r w:rsidRPr="00660890">
              <w:t>171</w:t>
            </w:r>
          </w:p>
        </w:tc>
        <w:tc>
          <w:tcPr>
            <w:tcW w:w="1693" w:type="dxa"/>
            <w:shd w:val="clear" w:color="auto" w:fill="F2F2F2" w:themeFill="background1" w:themeFillShade="F2"/>
            <w:vAlign w:val="center"/>
          </w:tcPr>
          <w:p w14:paraId="43F517A7" w14:textId="77777777" w:rsidR="00C00C2F" w:rsidRPr="00660890" w:rsidRDefault="00C00C2F" w:rsidP="003A454A">
            <w:pPr>
              <w:pStyle w:val="TableTextRight"/>
              <w:spacing w:before="30" w:after="30"/>
              <w:ind w:left="-57"/>
            </w:pPr>
            <w:r>
              <w:noBreakHyphen/>
            </w:r>
          </w:p>
        </w:tc>
        <w:tc>
          <w:tcPr>
            <w:tcW w:w="798" w:type="dxa"/>
            <w:shd w:val="clear" w:color="auto" w:fill="F2F2F2" w:themeFill="background1" w:themeFillShade="F2"/>
            <w:vAlign w:val="center"/>
          </w:tcPr>
          <w:p w14:paraId="2C9935AA" w14:textId="77777777" w:rsidR="00C00C2F" w:rsidRPr="00660890" w:rsidRDefault="00C00C2F" w:rsidP="001B2B11">
            <w:pPr>
              <w:pStyle w:val="TableTextRight"/>
              <w:spacing w:before="30" w:after="30"/>
            </w:pPr>
            <w:r w:rsidRPr="00660890">
              <w:t>1,331</w:t>
            </w:r>
          </w:p>
        </w:tc>
        <w:tc>
          <w:tcPr>
            <w:tcW w:w="1190" w:type="dxa"/>
            <w:shd w:val="clear" w:color="auto" w:fill="F2F2F2" w:themeFill="background1" w:themeFillShade="F2"/>
            <w:vAlign w:val="center"/>
          </w:tcPr>
          <w:p w14:paraId="0CAC85FD" w14:textId="77777777" w:rsidR="00C00C2F" w:rsidRPr="00660890" w:rsidRDefault="00C00C2F" w:rsidP="001B2B11">
            <w:pPr>
              <w:pStyle w:val="TableTextRight"/>
              <w:spacing w:before="30" w:after="30"/>
            </w:pPr>
            <w:r w:rsidRPr="00660890">
              <w:t>0.1</w:t>
            </w:r>
            <w:r>
              <w:t>8</w:t>
            </w:r>
          </w:p>
        </w:tc>
      </w:tr>
      <w:tr w:rsidR="00C00C2F" w:rsidRPr="00742ABA" w14:paraId="6C840850" w14:textId="77777777" w:rsidTr="00E6557A">
        <w:tc>
          <w:tcPr>
            <w:tcW w:w="1029" w:type="dxa"/>
            <w:tcBorders>
              <w:bottom w:val="single" w:sz="4" w:space="0" w:color="auto"/>
            </w:tcBorders>
            <w:shd w:val="clear" w:color="auto" w:fill="F2F2F2" w:themeFill="background1" w:themeFillShade="F2"/>
            <w:vAlign w:val="center"/>
          </w:tcPr>
          <w:p w14:paraId="0E8E8554" w14:textId="77777777" w:rsidR="00C00C2F" w:rsidRPr="00660890" w:rsidRDefault="00C00C2F" w:rsidP="001B2B11">
            <w:pPr>
              <w:pStyle w:val="TableTextLeft"/>
              <w:spacing w:before="30" w:after="30"/>
            </w:pPr>
            <w:r w:rsidRPr="00660890">
              <w:t>200</w:t>
            </w:r>
            <w:r>
              <w:t>4</w:t>
            </w:r>
            <w:r>
              <w:noBreakHyphen/>
            </w:r>
            <w:r w:rsidRPr="00660890">
              <w:t>0</w:t>
            </w:r>
            <w:r>
              <w:t>5</w:t>
            </w:r>
          </w:p>
        </w:tc>
        <w:tc>
          <w:tcPr>
            <w:tcW w:w="784" w:type="dxa"/>
            <w:tcBorders>
              <w:bottom w:val="single" w:sz="4" w:space="0" w:color="auto"/>
            </w:tcBorders>
            <w:shd w:val="clear" w:color="auto" w:fill="F2F2F2" w:themeFill="background1" w:themeFillShade="F2"/>
            <w:vAlign w:val="center"/>
          </w:tcPr>
          <w:p w14:paraId="0C9D930D" w14:textId="77777777" w:rsidR="00C00C2F" w:rsidRPr="00660890" w:rsidRDefault="00C00C2F" w:rsidP="001B2B11">
            <w:pPr>
              <w:pStyle w:val="TableTextRight"/>
              <w:spacing w:before="30" w:after="30"/>
            </w:pPr>
          </w:p>
        </w:tc>
        <w:tc>
          <w:tcPr>
            <w:tcW w:w="854" w:type="dxa"/>
            <w:tcBorders>
              <w:bottom w:val="single" w:sz="4" w:space="0" w:color="auto"/>
            </w:tcBorders>
            <w:shd w:val="clear" w:color="auto" w:fill="F2F2F2" w:themeFill="background1" w:themeFillShade="F2"/>
            <w:vAlign w:val="center"/>
          </w:tcPr>
          <w:p w14:paraId="141F21A8" w14:textId="77777777" w:rsidR="00C00C2F" w:rsidRPr="00660890" w:rsidRDefault="00C00C2F" w:rsidP="001B2B11">
            <w:pPr>
              <w:pStyle w:val="TableTextRight"/>
              <w:spacing w:before="30" w:after="30"/>
            </w:pPr>
            <w:r w:rsidRPr="00660890">
              <w:t>1,222</w:t>
            </w:r>
          </w:p>
        </w:tc>
        <w:tc>
          <w:tcPr>
            <w:tcW w:w="798" w:type="dxa"/>
            <w:tcBorders>
              <w:bottom w:val="single" w:sz="4" w:space="0" w:color="auto"/>
            </w:tcBorders>
            <w:shd w:val="clear" w:color="auto" w:fill="F2F2F2" w:themeFill="background1" w:themeFillShade="F2"/>
            <w:vAlign w:val="center"/>
          </w:tcPr>
          <w:p w14:paraId="095AEBE6" w14:textId="77777777" w:rsidR="00C00C2F" w:rsidRPr="00660890" w:rsidRDefault="00C00C2F" w:rsidP="001B2B11">
            <w:pPr>
              <w:pStyle w:val="TableTextRight"/>
              <w:spacing w:before="30" w:after="30"/>
            </w:pPr>
            <w:r w:rsidRPr="00660890">
              <w:t>202</w:t>
            </w:r>
          </w:p>
        </w:tc>
        <w:tc>
          <w:tcPr>
            <w:tcW w:w="1693" w:type="dxa"/>
            <w:tcBorders>
              <w:bottom w:val="single" w:sz="4" w:space="0" w:color="auto"/>
            </w:tcBorders>
            <w:shd w:val="clear" w:color="auto" w:fill="F2F2F2" w:themeFill="background1" w:themeFillShade="F2"/>
            <w:vAlign w:val="center"/>
          </w:tcPr>
          <w:p w14:paraId="00187D12" w14:textId="77777777" w:rsidR="00C00C2F" w:rsidRPr="00660890" w:rsidRDefault="00C00C2F" w:rsidP="003A454A">
            <w:pPr>
              <w:pStyle w:val="TableTextRight"/>
              <w:spacing w:before="30" w:after="30"/>
              <w:ind w:left="-57"/>
            </w:pPr>
            <w:r>
              <w:noBreakHyphen/>
            </w:r>
          </w:p>
        </w:tc>
        <w:tc>
          <w:tcPr>
            <w:tcW w:w="798" w:type="dxa"/>
            <w:tcBorders>
              <w:bottom w:val="single" w:sz="4" w:space="0" w:color="auto"/>
            </w:tcBorders>
            <w:shd w:val="clear" w:color="auto" w:fill="F2F2F2" w:themeFill="background1" w:themeFillShade="F2"/>
            <w:vAlign w:val="center"/>
          </w:tcPr>
          <w:p w14:paraId="4682DCF4" w14:textId="77777777" w:rsidR="00C00C2F" w:rsidRPr="00660890" w:rsidRDefault="00C00C2F" w:rsidP="001B2B11">
            <w:pPr>
              <w:pStyle w:val="TableTextRight"/>
              <w:spacing w:before="30" w:after="30"/>
            </w:pPr>
            <w:r w:rsidRPr="00660890">
              <w:t>1,424</w:t>
            </w:r>
          </w:p>
        </w:tc>
        <w:tc>
          <w:tcPr>
            <w:tcW w:w="1190" w:type="dxa"/>
            <w:tcBorders>
              <w:bottom w:val="single" w:sz="4" w:space="0" w:color="auto"/>
            </w:tcBorders>
            <w:shd w:val="clear" w:color="auto" w:fill="F2F2F2" w:themeFill="background1" w:themeFillShade="F2"/>
            <w:vAlign w:val="center"/>
          </w:tcPr>
          <w:p w14:paraId="25634613" w14:textId="77777777" w:rsidR="00C00C2F" w:rsidRPr="00660890" w:rsidRDefault="00C00C2F" w:rsidP="001B2B11">
            <w:pPr>
              <w:pStyle w:val="TableTextRight"/>
              <w:spacing w:before="30" w:after="30"/>
            </w:pPr>
            <w:r w:rsidRPr="00660890">
              <w:t>0.16</w:t>
            </w:r>
          </w:p>
        </w:tc>
      </w:tr>
      <w:tr w:rsidR="00C00C2F" w:rsidRPr="00742ABA" w14:paraId="068509D4" w14:textId="77777777" w:rsidTr="00E6557A">
        <w:tc>
          <w:tcPr>
            <w:tcW w:w="1029" w:type="dxa"/>
            <w:tcBorders>
              <w:top w:val="single" w:sz="4" w:space="0" w:color="auto"/>
            </w:tcBorders>
            <w:shd w:val="clear" w:color="auto" w:fill="auto"/>
            <w:vAlign w:val="center"/>
          </w:tcPr>
          <w:p w14:paraId="203FD4DC" w14:textId="77777777" w:rsidR="00C00C2F" w:rsidRDefault="00C00C2F" w:rsidP="001B2B11">
            <w:pPr>
              <w:pStyle w:val="TableTextLeft"/>
              <w:spacing w:before="30" w:after="30"/>
            </w:pPr>
            <w:r>
              <w:t>2007-08</w:t>
            </w:r>
          </w:p>
        </w:tc>
        <w:tc>
          <w:tcPr>
            <w:tcW w:w="784" w:type="dxa"/>
            <w:tcBorders>
              <w:top w:val="single" w:sz="4" w:space="0" w:color="auto"/>
            </w:tcBorders>
            <w:shd w:val="clear" w:color="auto" w:fill="auto"/>
            <w:vAlign w:val="center"/>
          </w:tcPr>
          <w:p w14:paraId="4BD5AFB2" w14:textId="77777777" w:rsidR="00C00C2F" w:rsidRDefault="00C00C2F" w:rsidP="001B2B11">
            <w:pPr>
              <w:pStyle w:val="TableTextRight"/>
              <w:spacing w:before="30" w:after="30"/>
            </w:pPr>
          </w:p>
        </w:tc>
        <w:tc>
          <w:tcPr>
            <w:tcW w:w="854" w:type="dxa"/>
            <w:tcBorders>
              <w:top w:val="single" w:sz="4" w:space="0" w:color="auto"/>
            </w:tcBorders>
            <w:shd w:val="clear" w:color="auto" w:fill="auto"/>
            <w:vAlign w:val="center"/>
          </w:tcPr>
          <w:p w14:paraId="5FC22D35" w14:textId="77777777" w:rsidR="00C00C2F" w:rsidRDefault="00C00C2F" w:rsidP="001B2B11">
            <w:pPr>
              <w:pStyle w:val="TableTextRight"/>
              <w:spacing w:before="30" w:after="30"/>
            </w:pPr>
            <w:r>
              <w:t>1,295</w:t>
            </w:r>
          </w:p>
        </w:tc>
        <w:tc>
          <w:tcPr>
            <w:tcW w:w="798" w:type="dxa"/>
            <w:tcBorders>
              <w:top w:val="single" w:sz="4" w:space="0" w:color="auto"/>
            </w:tcBorders>
            <w:shd w:val="clear" w:color="auto" w:fill="auto"/>
            <w:vAlign w:val="center"/>
          </w:tcPr>
          <w:p w14:paraId="374D3986" w14:textId="77777777" w:rsidR="00C00C2F" w:rsidRDefault="00C00C2F" w:rsidP="001B2B11">
            <w:pPr>
              <w:pStyle w:val="TableTextRight"/>
              <w:spacing w:before="30" w:after="30"/>
            </w:pPr>
            <w:r>
              <w:t>249</w:t>
            </w:r>
          </w:p>
        </w:tc>
        <w:tc>
          <w:tcPr>
            <w:tcW w:w="1693" w:type="dxa"/>
            <w:tcBorders>
              <w:top w:val="single" w:sz="4" w:space="0" w:color="auto"/>
            </w:tcBorders>
            <w:shd w:val="clear" w:color="auto" w:fill="auto"/>
            <w:vAlign w:val="center"/>
          </w:tcPr>
          <w:p w14:paraId="28A49968" w14:textId="77777777" w:rsidR="00C00C2F" w:rsidRDefault="00C00C2F" w:rsidP="003A454A">
            <w:pPr>
              <w:pStyle w:val="TableTextRight"/>
              <w:spacing w:before="30" w:after="30"/>
              <w:ind w:left="-57"/>
            </w:pPr>
            <w:r>
              <w:t>-</w:t>
            </w:r>
          </w:p>
        </w:tc>
        <w:tc>
          <w:tcPr>
            <w:tcW w:w="798" w:type="dxa"/>
            <w:tcBorders>
              <w:top w:val="single" w:sz="4" w:space="0" w:color="auto"/>
            </w:tcBorders>
            <w:shd w:val="clear" w:color="auto" w:fill="auto"/>
            <w:vAlign w:val="center"/>
          </w:tcPr>
          <w:p w14:paraId="4D9DE872" w14:textId="77777777" w:rsidR="00C00C2F" w:rsidRDefault="00C00C2F" w:rsidP="001B2B11">
            <w:pPr>
              <w:pStyle w:val="TableTextRight"/>
              <w:spacing w:before="30" w:after="30"/>
            </w:pPr>
            <w:r>
              <w:t>1,543</w:t>
            </w:r>
          </w:p>
        </w:tc>
        <w:tc>
          <w:tcPr>
            <w:tcW w:w="1190" w:type="dxa"/>
            <w:tcBorders>
              <w:top w:val="single" w:sz="4" w:space="0" w:color="auto"/>
            </w:tcBorders>
            <w:shd w:val="clear" w:color="auto" w:fill="auto"/>
            <w:vAlign w:val="center"/>
          </w:tcPr>
          <w:p w14:paraId="3DEB4A0F" w14:textId="77777777" w:rsidR="00C00C2F" w:rsidRPr="00B54474" w:rsidRDefault="00C00C2F" w:rsidP="001B2B11">
            <w:pPr>
              <w:pStyle w:val="TableTextRight"/>
              <w:spacing w:before="30" w:after="30"/>
            </w:pPr>
            <w:r w:rsidRPr="00B54474">
              <w:t>0.14</w:t>
            </w:r>
          </w:p>
        </w:tc>
      </w:tr>
      <w:tr w:rsidR="00C00C2F" w:rsidRPr="00742ABA" w14:paraId="766633D6" w14:textId="77777777" w:rsidTr="003A454A">
        <w:tc>
          <w:tcPr>
            <w:tcW w:w="1029" w:type="dxa"/>
            <w:shd w:val="clear" w:color="auto" w:fill="auto"/>
            <w:vAlign w:val="center"/>
          </w:tcPr>
          <w:p w14:paraId="38D6BE77" w14:textId="77777777" w:rsidR="00C00C2F" w:rsidRDefault="00C00C2F" w:rsidP="001B2B11">
            <w:pPr>
              <w:pStyle w:val="TableTextLeft"/>
              <w:spacing w:before="30" w:after="30"/>
            </w:pPr>
            <w:r>
              <w:t>2008-09</w:t>
            </w:r>
          </w:p>
        </w:tc>
        <w:tc>
          <w:tcPr>
            <w:tcW w:w="784" w:type="dxa"/>
            <w:shd w:val="clear" w:color="auto" w:fill="auto"/>
            <w:vAlign w:val="center"/>
          </w:tcPr>
          <w:p w14:paraId="2155BAC4" w14:textId="77777777" w:rsidR="00C00C2F" w:rsidRDefault="00C00C2F" w:rsidP="001B2B11">
            <w:pPr>
              <w:pStyle w:val="TableTextRight"/>
              <w:spacing w:before="30" w:after="30"/>
            </w:pPr>
            <w:r>
              <w:t>66</w:t>
            </w:r>
          </w:p>
        </w:tc>
        <w:tc>
          <w:tcPr>
            <w:tcW w:w="854" w:type="dxa"/>
            <w:shd w:val="clear" w:color="auto" w:fill="auto"/>
            <w:vAlign w:val="center"/>
          </w:tcPr>
          <w:p w14:paraId="70EABB61" w14:textId="77777777" w:rsidR="00C00C2F" w:rsidRPr="00321B9A" w:rsidRDefault="00C00C2F" w:rsidP="001B2B11">
            <w:pPr>
              <w:pStyle w:val="TableTextRight"/>
              <w:spacing w:before="30" w:after="30"/>
            </w:pPr>
            <w:r>
              <w:t>1,325</w:t>
            </w:r>
          </w:p>
        </w:tc>
        <w:tc>
          <w:tcPr>
            <w:tcW w:w="798" w:type="dxa"/>
            <w:shd w:val="clear" w:color="auto" w:fill="auto"/>
            <w:vAlign w:val="center"/>
          </w:tcPr>
          <w:p w14:paraId="782371B2" w14:textId="77777777" w:rsidR="00C00C2F" w:rsidRPr="00321B9A" w:rsidRDefault="00C00C2F" w:rsidP="001B2B11">
            <w:pPr>
              <w:pStyle w:val="TableTextRight"/>
              <w:spacing w:before="30" w:after="30"/>
            </w:pPr>
            <w:r>
              <w:t>281</w:t>
            </w:r>
          </w:p>
        </w:tc>
        <w:tc>
          <w:tcPr>
            <w:tcW w:w="1693" w:type="dxa"/>
            <w:shd w:val="clear" w:color="auto" w:fill="auto"/>
            <w:vAlign w:val="center"/>
          </w:tcPr>
          <w:p w14:paraId="02CDA471" w14:textId="77777777" w:rsidR="00C00C2F" w:rsidRPr="00321B9A" w:rsidRDefault="00C00C2F" w:rsidP="003A454A">
            <w:pPr>
              <w:pStyle w:val="TableTextRight"/>
              <w:spacing w:before="30" w:after="30"/>
              <w:ind w:left="-57"/>
            </w:pPr>
            <w:r>
              <w:t>31</w:t>
            </w:r>
          </w:p>
        </w:tc>
        <w:tc>
          <w:tcPr>
            <w:tcW w:w="798" w:type="dxa"/>
            <w:shd w:val="clear" w:color="auto" w:fill="auto"/>
            <w:vAlign w:val="center"/>
          </w:tcPr>
          <w:p w14:paraId="262A3062" w14:textId="77777777" w:rsidR="00C00C2F" w:rsidRPr="00321B9A" w:rsidRDefault="00C00C2F" w:rsidP="001B2B11">
            <w:pPr>
              <w:pStyle w:val="TableTextRight"/>
              <w:spacing w:before="30" w:after="30"/>
            </w:pPr>
            <w:r>
              <w:t>1,703</w:t>
            </w:r>
          </w:p>
        </w:tc>
        <w:tc>
          <w:tcPr>
            <w:tcW w:w="1190" w:type="dxa"/>
            <w:shd w:val="clear" w:color="auto" w:fill="auto"/>
            <w:vAlign w:val="center"/>
          </w:tcPr>
          <w:p w14:paraId="3B8EF553" w14:textId="77777777" w:rsidR="00C00C2F" w:rsidRPr="00B54474" w:rsidRDefault="00C00C2F" w:rsidP="001B2B11">
            <w:pPr>
              <w:pStyle w:val="TableTextRight"/>
              <w:spacing w:before="30" w:after="30"/>
            </w:pPr>
            <w:r w:rsidRPr="00B54474">
              <w:t>0.13</w:t>
            </w:r>
          </w:p>
        </w:tc>
      </w:tr>
      <w:tr w:rsidR="00C00C2F" w:rsidRPr="00742ABA" w14:paraId="1AE79ECB" w14:textId="77777777" w:rsidTr="003A454A">
        <w:tc>
          <w:tcPr>
            <w:tcW w:w="1029" w:type="dxa"/>
            <w:shd w:val="clear" w:color="auto" w:fill="auto"/>
            <w:vAlign w:val="center"/>
          </w:tcPr>
          <w:p w14:paraId="49DF8BE8" w14:textId="77777777" w:rsidR="00C00C2F" w:rsidRDefault="00C00C2F" w:rsidP="001B2B11">
            <w:pPr>
              <w:pStyle w:val="TableTextLeft"/>
              <w:spacing w:before="30" w:after="30"/>
            </w:pPr>
            <w:r>
              <w:t>2009-10</w:t>
            </w:r>
          </w:p>
        </w:tc>
        <w:tc>
          <w:tcPr>
            <w:tcW w:w="784" w:type="dxa"/>
            <w:shd w:val="clear" w:color="auto" w:fill="auto"/>
            <w:vAlign w:val="center"/>
          </w:tcPr>
          <w:p w14:paraId="2007242A" w14:textId="77777777" w:rsidR="00C00C2F" w:rsidRDefault="00C00C2F" w:rsidP="001B2B11">
            <w:pPr>
              <w:pStyle w:val="TableTextRight"/>
              <w:spacing w:before="30" w:after="30"/>
            </w:pPr>
            <w:r>
              <w:t>64</w:t>
            </w:r>
          </w:p>
        </w:tc>
        <w:tc>
          <w:tcPr>
            <w:tcW w:w="854" w:type="dxa"/>
            <w:shd w:val="clear" w:color="auto" w:fill="auto"/>
            <w:vAlign w:val="center"/>
          </w:tcPr>
          <w:p w14:paraId="4D0333C7" w14:textId="77777777" w:rsidR="00C00C2F" w:rsidRPr="00321B9A" w:rsidRDefault="00C00C2F" w:rsidP="001B2B11">
            <w:pPr>
              <w:pStyle w:val="TableTextRight"/>
              <w:spacing w:before="30" w:after="30"/>
            </w:pPr>
            <w:r>
              <w:t>1,321</w:t>
            </w:r>
          </w:p>
        </w:tc>
        <w:tc>
          <w:tcPr>
            <w:tcW w:w="798" w:type="dxa"/>
            <w:shd w:val="clear" w:color="auto" w:fill="auto"/>
            <w:vAlign w:val="center"/>
          </w:tcPr>
          <w:p w14:paraId="0EE62EF0" w14:textId="77777777" w:rsidR="00C00C2F" w:rsidRPr="00321B9A" w:rsidRDefault="00C00C2F" w:rsidP="001B2B11">
            <w:pPr>
              <w:pStyle w:val="TableTextRight"/>
              <w:spacing w:before="30" w:after="30"/>
            </w:pPr>
            <w:r>
              <w:t>313</w:t>
            </w:r>
          </w:p>
        </w:tc>
        <w:tc>
          <w:tcPr>
            <w:tcW w:w="1693" w:type="dxa"/>
            <w:shd w:val="clear" w:color="auto" w:fill="auto"/>
            <w:vAlign w:val="center"/>
          </w:tcPr>
          <w:p w14:paraId="2FA37844" w14:textId="77777777" w:rsidR="00C00C2F" w:rsidRPr="00321B9A" w:rsidRDefault="00C00C2F" w:rsidP="003A454A">
            <w:pPr>
              <w:pStyle w:val="TableTextRight"/>
              <w:spacing w:before="30" w:after="30"/>
              <w:ind w:left="-57"/>
            </w:pPr>
            <w:r>
              <w:t>55</w:t>
            </w:r>
          </w:p>
        </w:tc>
        <w:tc>
          <w:tcPr>
            <w:tcW w:w="798" w:type="dxa"/>
            <w:shd w:val="clear" w:color="auto" w:fill="auto"/>
            <w:vAlign w:val="center"/>
          </w:tcPr>
          <w:p w14:paraId="2D49A2B2" w14:textId="77777777" w:rsidR="00C00C2F" w:rsidRPr="00321B9A" w:rsidRDefault="00C00C2F" w:rsidP="001B2B11">
            <w:pPr>
              <w:pStyle w:val="TableTextRight"/>
              <w:spacing w:before="30" w:after="30"/>
            </w:pPr>
            <w:r>
              <w:t>1,753</w:t>
            </w:r>
          </w:p>
        </w:tc>
        <w:tc>
          <w:tcPr>
            <w:tcW w:w="1190" w:type="dxa"/>
            <w:shd w:val="clear" w:color="auto" w:fill="auto"/>
            <w:vAlign w:val="center"/>
          </w:tcPr>
          <w:p w14:paraId="7CF33FE8" w14:textId="77777777" w:rsidR="00C00C2F" w:rsidRPr="00B54474" w:rsidRDefault="00C00C2F" w:rsidP="001B2B11">
            <w:pPr>
              <w:pStyle w:val="TableTextRight"/>
              <w:spacing w:before="30" w:after="30"/>
            </w:pPr>
            <w:r w:rsidRPr="00B54474">
              <w:t>0.13</w:t>
            </w:r>
          </w:p>
        </w:tc>
      </w:tr>
      <w:tr w:rsidR="00C00C2F" w:rsidRPr="00742ABA" w14:paraId="4E1F45C8" w14:textId="77777777" w:rsidTr="003A454A">
        <w:tc>
          <w:tcPr>
            <w:tcW w:w="1029" w:type="dxa"/>
            <w:shd w:val="clear" w:color="auto" w:fill="auto"/>
            <w:vAlign w:val="center"/>
          </w:tcPr>
          <w:p w14:paraId="42C3A0CC" w14:textId="77777777" w:rsidR="00C00C2F" w:rsidRDefault="00C00C2F" w:rsidP="001B2B11">
            <w:pPr>
              <w:pStyle w:val="TableTextLeft"/>
              <w:spacing w:before="30" w:after="30"/>
            </w:pPr>
            <w:r>
              <w:t>2010-11</w:t>
            </w:r>
            <w:r>
              <w:rPr>
                <w:vertAlign w:val="superscript"/>
              </w:rPr>
              <w:t>6</w:t>
            </w:r>
          </w:p>
        </w:tc>
        <w:tc>
          <w:tcPr>
            <w:tcW w:w="784" w:type="dxa"/>
            <w:shd w:val="clear" w:color="auto" w:fill="auto"/>
            <w:vAlign w:val="center"/>
          </w:tcPr>
          <w:p w14:paraId="65FC7DC9" w14:textId="77777777" w:rsidR="00C00C2F" w:rsidRDefault="00C00C2F" w:rsidP="001B2B11">
            <w:pPr>
              <w:pStyle w:val="TableTextRight"/>
              <w:spacing w:before="30" w:after="30"/>
            </w:pPr>
            <w:r>
              <w:t>65</w:t>
            </w:r>
          </w:p>
        </w:tc>
        <w:tc>
          <w:tcPr>
            <w:tcW w:w="854" w:type="dxa"/>
            <w:shd w:val="clear" w:color="auto" w:fill="auto"/>
            <w:vAlign w:val="center"/>
          </w:tcPr>
          <w:p w14:paraId="22727365" w14:textId="77777777" w:rsidR="00C00C2F" w:rsidRPr="00321B9A" w:rsidRDefault="00C00C2F" w:rsidP="001B2B11">
            <w:pPr>
              <w:pStyle w:val="TableTextRight"/>
              <w:spacing w:before="30" w:after="30"/>
            </w:pPr>
            <w:r>
              <w:t>1,423</w:t>
            </w:r>
          </w:p>
        </w:tc>
        <w:tc>
          <w:tcPr>
            <w:tcW w:w="798" w:type="dxa"/>
            <w:shd w:val="clear" w:color="auto" w:fill="auto"/>
            <w:vAlign w:val="center"/>
          </w:tcPr>
          <w:p w14:paraId="1BC1A856" w14:textId="77777777" w:rsidR="00C00C2F" w:rsidRPr="00321B9A" w:rsidRDefault="00C00C2F" w:rsidP="001B2B11">
            <w:pPr>
              <w:pStyle w:val="TableTextRight"/>
              <w:spacing w:before="30" w:after="30"/>
            </w:pPr>
            <w:r>
              <w:t>386</w:t>
            </w:r>
          </w:p>
        </w:tc>
        <w:tc>
          <w:tcPr>
            <w:tcW w:w="1693" w:type="dxa"/>
            <w:shd w:val="clear" w:color="auto" w:fill="auto"/>
            <w:vAlign w:val="center"/>
          </w:tcPr>
          <w:p w14:paraId="6F639905" w14:textId="77777777" w:rsidR="00C00C2F" w:rsidRPr="00321B9A" w:rsidRDefault="00C00C2F" w:rsidP="003A454A">
            <w:pPr>
              <w:pStyle w:val="TableTextRight"/>
              <w:spacing w:before="30" w:after="30"/>
              <w:ind w:left="-57"/>
            </w:pPr>
            <w:r>
              <w:t>44</w:t>
            </w:r>
          </w:p>
        </w:tc>
        <w:tc>
          <w:tcPr>
            <w:tcW w:w="798" w:type="dxa"/>
            <w:shd w:val="clear" w:color="auto" w:fill="auto"/>
            <w:vAlign w:val="center"/>
          </w:tcPr>
          <w:p w14:paraId="5AF25458" w14:textId="77777777" w:rsidR="00C00C2F" w:rsidRPr="00321B9A" w:rsidRDefault="00C00C2F" w:rsidP="001B2B11">
            <w:pPr>
              <w:pStyle w:val="TableTextRight"/>
              <w:spacing w:before="30" w:after="30"/>
            </w:pPr>
            <w:r>
              <w:t>1,918</w:t>
            </w:r>
          </w:p>
        </w:tc>
        <w:tc>
          <w:tcPr>
            <w:tcW w:w="1190" w:type="dxa"/>
            <w:shd w:val="clear" w:color="auto" w:fill="auto"/>
            <w:vAlign w:val="center"/>
          </w:tcPr>
          <w:p w14:paraId="1D9A93A8" w14:textId="77777777" w:rsidR="00C00C2F" w:rsidRPr="00B54474" w:rsidRDefault="00C00C2F" w:rsidP="001B2B11">
            <w:pPr>
              <w:pStyle w:val="TableTextRight"/>
              <w:spacing w:before="30" w:after="30"/>
            </w:pPr>
            <w:r w:rsidRPr="00B54474">
              <w:t>0.13</w:t>
            </w:r>
          </w:p>
        </w:tc>
      </w:tr>
      <w:tr w:rsidR="00C00C2F" w:rsidRPr="00742ABA" w14:paraId="5DE5C7D5" w14:textId="77777777" w:rsidTr="003A454A">
        <w:tc>
          <w:tcPr>
            <w:tcW w:w="1029" w:type="dxa"/>
            <w:shd w:val="clear" w:color="auto" w:fill="auto"/>
            <w:vAlign w:val="center"/>
          </w:tcPr>
          <w:p w14:paraId="20C4FAE0" w14:textId="77777777" w:rsidR="00C00C2F" w:rsidRDefault="00C00C2F" w:rsidP="001B2B11">
            <w:pPr>
              <w:pStyle w:val="TableTextLeft"/>
              <w:spacing w:before="30" w:after="30"/>
            </w:pPr>
            <w:r>
              <w:t>2011-12</w:t>
            </w:r>
          </w:p>
        </w:tc>
        <w:tc>
          <w:tcPr>
            <w:tcW w:w="784" w:type="dxa"/>
            <w:shd w:val="clear" w:color="auto" w:fill="auto"/>
            <w:vAlign w:val="center"/>
          </w:tcPr>
          <w:p w14:paraId="3FD92876" w14:textId="77777777" w:rsidR="00C00C2F" w:rsidRDefault="00C00C2F" w:rsidP="001B2B11">
            <w:pPr>
              <w:pStyle w:val="TableTextRight"/>
              <w:spacing w:before="30" w:after="30"/>
            </w:pPr>
            <w:r>
              <w:t>59</w:t>
            </w:r>
          </w:p>
        </w:tc>
        <w:tc>
          <w:tcPr>
            <w:tcW w:w="854" w:type="dxa"/>
            <w:shd w:val="clear" w:color="auto" w:fill="auto"/>
            <w:vAlign w:val="center"/>
          </w:tcPr>
          <w:p w14:paraId="08F1FC7B" w14:textId="77777777" w:rsidR="00C00C2F" w:rsidRDefault="00C00C2F" w:rsidP="001B2B11">
            <w:pPr>
              <w:pStyle w:val="TableTextRight"/>
              <w:spacing w:before="30" w:after="30"/>
            </w:pPr>
            <w:r>
              <w:t>1,445</w:t>
            </w:r>
          </w:p>
        </w:tc>
        <w:tc>
          <w:tcPr>
            <w:tcW w:w="798" w:type="dxa"/>
            <w:shd w:val="clear" w:color="auto" w:fill="auto"/>
            <w:vAlign w:val="center"/>
          </w:tcPr>
          <w:p w14:paraId="466FA458" w14:textId="77777777" w:rsidR="00C00C2F" w:rsidRDefault="00C00C2F" w:rsidP="001B2B11">
            <w:pPr>
              <w:pStyle w:val="TableTextRight"/>
              <w:spacing w:before="30" w:after="30"/>
            </w:pPr>
            <w:r>
              <w:t>405</w:t>
            </w:r>
          </w:p>
        </w:tc>
        <w:tc>
          <w:tcPr>
            <w:tcW w:w="1693" w:type="dxa"/>
            <w:shd w:val="clear" w:color="auto" w:fill="auto"/>
            <w:vAlign w:val="center"/>
          </w:tcPr>
          <w:p w14:paraId="44009D82" w14:textId="77777777" w:rsidR="00C00C2F" w:rsidRDefault="00C00C2F" w:rsidP="003A454A">
            <w:pPr>
              <w:pStyle w:val="TableTextRight"/>
              <w:spacing w:before="30" w:after="30"/>
              <w:ind w:left="-57"/>
            </w:pPr>
            <w:r>
              <w:t>41</w:t>
            </w:r>
          </w:p>
        </w:tc>
        <w:tc>
          <w:tcPr>
            <w:tcW w:w="798" w:type="dxa"/>
            <w:shd w:val="clear" w:color="auto" w:fill="auto"/>
            <w:vAlign w:val="center"/>
          </w:tcPr>
          <w:p w14:paraId="66A76063" w14:textId="77777777" w:rsidR="00C00C2F" w:rsidRDefault="00C00C2F" w:rsidP="001B2B11">
            <w:pPr>
              <w:pStyle w:val="TableTextRight"/>
              <w:spacing w:before="30" w:after="30"/>
            </w:pPr>
            <w:r>
              <w:t>1,950</w:t>
            </w:r>
          </w:p>
        </w:tc>
        <w:tc>
          <w:tcPr>
            <w:tcW w:w="1190" w:type="dxa"/>
            <w:shd w:val="clear" w:color="auto" w:fill="auto"/>
            <w:vAlign w:val="center"/>
          </w:tcPr>
          <w:p w14:paraId="3E299FD7" w14:textId="77777777" w:rsidR="00C00C2F" w:rsidRPr="00B54474" w:rsidRDefault="00C00C2F" w:rsidP="001B2B11">
            <w:pPr>
              <w:pStyle w:val="TableTextRight"/>
              <w:spacing w:before="30" w:after="30"/>
            </w:pPr>
            <w:r w:rsidRPr="00B54474">
              <w:t>0.13</w:t>
            </w:r>
          </w:p>
        </w:tc>
      </w:tr>
      <w:tr w:rsidR="00C00C2F" w:rsidRPr="00742ABA" w14:paraId="1E3B6D96" w14:textId="77777777" w:rsidTr="003A454A">
        <w:tc>
          <w:tcPr>
            <w:tcW w:w="1029" w:type="dxa"/>
            <w:shd w:val="clear" w:color="auto" w:fill="auto"/>
            <w:vAlign w:val="center"/>
          </w:tcPr>
          <w:p w14:paraId="53301038" w14:textId="77777777" w:rsidR="00C00C2F" w:rsidRDefault="00C00C2F" w:rsidP="001B2B11">
            <w:pPr>
              <w:pStyle w:val="TableTextLeft"/>
              <w:spacing w:before="30" w:after="30"/>
            </w:pPr>
            <w:r>
              <w:t>2012-13</w:t>
            </w:r>
          </w:p>
        </w:tc>
        <w:tc>
          <w:tcPr>
            <w:tcW w:w="784" w:type="dxa"/>
            <w:shd w:val="clear" w:color="auto" w:fill="auto"/>
            <w:vAlign w:val="center"/>
          </w:tcPr>
          <w:p w14:paraId="75EB0603" w14:textId="77777777" w:rsidR="00C00C2F" w:rsidRDefault="00C00C2F" w:rsidP="001B2B11">
            <w:pPr>
              <w:pStyle w:val="TableTextRight"/>
              <w:spacing w:before="30" w:after="30"/>
            </w:pPr>
            <w:r>
              <w:t>5</w:t>
            </w:r>
            <w:r w:rsidR="00B54474">
              <w:t>5</w:t>
            </w:r>
          </w:p>
        </w:tc>
        <w:tc>
          <w:tcPr>
            <w:tcW w:w="854" w:type="dxa"/>
            <w:shd w:val="clear" w:color="auto" w:fill="auto"/>
            <w:vAlign w:val="center"/>
          </w:tcPr>
          <w:p w14:paraId="5452A0D7" w14:textId="77777777" w:rsidR="00C00C2F" w:rsidRDefault="00C00C2F" w:rsidP="001B2B11">
            <w:pPr>
              <w:pStyle w:val="TableTextRight"/>
              <w:spacing w:before="30" w:after="30"/>
            </w:pPr>
            <w:r>
              <w:t>1,434</w:t>
            </w:r>
          </w:p>
        </w:tc>
        <w:tc>
          <w:tcPr>
            <w:tcW w:w="798" w:type="dxa"/>
            <w:shd w:val="clear" w:color="auto" w:fill="auto"/>
            <w:vAlign w:val="center"/>
          </w:tcPr>
          <w:p w14:paraId="00F14CC6" w14:textId="77777777" w:rsidR="00C00C2F" w:rsidRDefault="00C00C2F" w:rsidP="001B2B11">
            <w:pPr>
              <w:pStyle w:val="TableTextRight"/>
              <w:spacing w:before="30" w:after="30"/>
            </w:pPr>
            <w:r>
              <w:t>446</w:t>
            </w:r>
          </w:p>
        </w:tc>
        <w:tc>
          <w:tcPr>
            <w:tcW w:w="1693" w:type="dxa"/>
            <w:shd w:val="clear" w:color="auto" w:fill="auto"/>
            <w:vAlign w:val="center"/>
          </w:tcPr>
          <w:p w14:paraId="441AF44A" w14:textId="77777777" w:rsidR="00C00C2F" w:rsidRDefault="00B54474" w:rsidP="003A454A">
            <w:pPr>
              <w:pStyle w:val="TableTextRight"/>
              <w:spacing w:before="30" w:after="30"/>
              <w:ind w:left="-57"/>
            </w:pPr>
            <w:r>
              <w:t>40</w:t>
            </w:r>
          </w:p>
        </w:tc>
        <w:tc>
          <w:tcPr>
            <w:tcW w:w="798" w:type="dxa"/>
            <w:shd w:val="clear" w:color="auto" w:fill="auto"/>
            <w:vAlign w:val="center"/>
          </w:tcPr>
          <w:p w14:paraId="591A82BD" w14:textId="77777777" w:rsidR="00C00C2F" w:rsidRDefault="00C00C2F" w:rsidP="001B2B11">
            <w:pPr>
              <w:pStyle w:val="TableTextRight"/>
              <w:spacing w:before="30" w:after="30"/>
            </w:pPr>
            <w:r>
              <w:t>1,975</w:t>
            </w:r>
          </w:p>
        </w:tc>
        <w:tc>
          <w:tcPr>
            <w:tcW w:w="1190" w:type="dxa"/>
            <w:shd w:val="clear" w:color="auto" w:fill="auto"/>
            <w:vAlign w:val="center"/>
          </w:tcPr>
          <w:p w14:paraId="69167961" w14:textId="77777777" w:rsidR="00C00C2F" w:rsidRPr="00B54474" w:rsidRDefault="00C00C2F" w:rsidP="001B2B11">
            <w:pPr>
              <w:pStyle w:val="TableTextRight"/>
              <w:spacing w:before="30" w:after="30"/>
            </w:pPr>
            <w:r w:rsidRPr="00B54474">
              <w:t>0.13</w:t>
            </w:r>
          </w:p>
        </w:tc>
      </w:tr>
      <w:tr w:rsidR="00C00C2F" w:rsidRPr="00742ABA" w14:paraId="5EC7A8FA" w14:textId="77777777" w:rsidTr="003A454A">
        <w:tc>
          <w:tcPr>
            <w:tcW w:w="1029" w:type="dxa"/>
            <w:tcBorders>
              <w:bottom w:val="single" w:sz="12" w:space="0" w:color="auto"/>
            </w:tcBorders>
            <w:shd w:val="clear" w:color="auto" w:fill="auto"/>
            <w:vAlign w:val="center"/>
          </w:tcPr>
          <w:p w14:paraId="68E7C3D2" w14:textId="77777777" w:rsidR="00C00C2F" w:rsidRDefault="00C00C2F" w:rsidP="001B2B11">
            <w:pPr>
              <w:pStyle w:val="TableTextLeft"/>
              <w:spacing w:before="30" w:after="30"/>
            </w:pPr>
            <w:r>
              <w:t>2013-14</w:t>
            </w:r>
          </w:p>
        </w:tc>
        <w:tc>
          <w:tcPr>
            <w:tcW w:w="784" w:type="dxa"/>
            <w:tcBorders>
              <w:bottom w:val="single" w:sz="12" w:space="0" w:color="auto"/>
            </w:tcBorders>
            <w:shd w:val="clear" w:color="auto" w:fill="auto"/>
            <w:vAlign w:val="center"/>
          </w:tcPr>
          <w:p w14:paraId="1E502F33" w14:textId="77777777" w:rsidR="00C00C2F" w:rsidRDefault="00C00C2F" w:rsidP="001B2B11">
            <w:pPr>
              <w:pStyle w:val="TableTextRight"/>
              <w:spacing w:before="30" w:after="30"/>
            </w:pPr>
            <w:r>
              <w:t>53</w:t>
            </w:r>
          </w:p>
        </w:tc>
        <w:tc>
          <w:tcPr>
            <w:tcW w:w="854" w:type="dxa"/>
            <w:tcBorders>
              <w:bottom w:val="single" w:sz="12" w:space="0" w:color="auto"/>
            </w:tcBorders>
            <w:shd w:val="clear" w:color="auto" w:fill="auto"/>
            <w:vAlign w:val="center"/>
          </w:tcPr>
          <w:p w14:paraId="052F7E30" w14:textId="77777777" w:rsidR="00C00C2F" w:rsidRDefault="00C00C2F" w:rsidP="001B2B11">
            <w:pPr>
              <w:pStyle w:val="TableTextRight"/>
              <w:spacing w:before="30" w:after="30"/>
            </w:pPr>
            <w:r>
              <w:t>1,455</w:t>
            </w:r>
          </w:p>
        </w:tc>
        <w:tc>
          <w:tcPr>
            <w:tcW w:w="798" w:type="dxa"/>
            <w:tcBorders>
              <w:bottom w:val="single" w:sz="12" w:space="0" w:color="auto"/>
            </w:tcBorders>
            <w:shd w:val="clear" w:color="auto" w:fill="auto"/>
            <w:vAlign w:val="center"/>
          </w:tcPr>
          <w:p w14:paraId="0A08B5EE" w14:textId="77777777" w:rsidR="00C00C2F" w:rsidRDefault="00C00C2F" w:rsidP="001B2B11">
            <w:pPr>
              <w:pStyle w:val="TableTextRight"/>
              <w:spacing w:before="30" w:after="30"/>
            </w:pPr>
            <w:r>
              <w:t>505</w:t>
            </w:r>
          </w:p>
        </w:tc>
        <w:tc>
          <w:tcPr>
            <w:tcW w:w="1693" w:type="dxa"/>
            <w:tcBorders>
              <w:bottom w:val="single" w:sz="12" w:space="0" w:color="auto"/>
            </w:tcBorders>
            <w:shd w:val="clear" w:color="auto" w:fill="auto"/>
            <w:vAlign w:val="center"/>
          </w:tcPr>
          <w:p w14:paraId="0B3831AC" w14:textId="77777777" w:rsidR="00C00C2F" w:rsidRDefault="00C00C2F" w:rsidP="003A454A">
            <w:pPr>
              <w:pStyle w:val="TableTextRight"/>
              <w:spacing w:before="30" w:after="30"/>
              <w:ind w:left="-57"/>
            </w:pPr>
            <w:r>
              <w:t>28</w:t>
            </w:r>
          </w:p>
        </w:tc>
        <w:tc>
          <w:tcPr>
            <w:tcW w:w="798" w:type="dxa"/>
            <w:tcBorders>
              <w:bottom w:val="single" w:sz="12" w:space="0" w:color="auto"/>
            </w:tcBorders>
            <w:shd w:val="clear" w:color="auto" w:fill="auto"/>
            <w:vAlign w:val="center"/>
          </w:tcPr>
          <w:p w14:paraId="05D64E88" w14:textId="77777777" w:rsidR="00C00C2F" w:rsidRDefault="00C00C2F" w:rsidP="001B2B11">
            <w:pPr>
              <w:pStyle w:val="TableTextRight"/>
              <w:spacing w:before="30" w:after="30"/>
            </w:pPr>
            <w:r>
              <w:t>2,041</w:t>
            </w:r>
          </w:p>
        </w:tc>
        <w:tc>
          <w:tcPr>
            <w:tcW w:w="1190" w:type="dxa"/>
            <w:tcBorders>
              <w:bottom w:val="single" w:sz="12" w:space="0" w:color="auto"/>
            </w:tcBorders>
            <w:shd w:val="clear" w:color="auto" w:fill="auto"/>
            <w:vAlign w:val="center"/>
          </w:tcPr>
          <w:p w14:paraId="098F6FFB" w14:textId="77777777" w:rsidR="00C00C2F" w:rsidRPr="00B54474" w:rsidRDefault="00C00C2F" w:rsidP="001B2B11">
            <w:pPr>
              <w:pStyle w:val="TableTextRight"/>
              <w:spacing w:before="30" w:after="30"/>
            </w:pPr>
            <w:r w:rsidRPr="00B54474">
              <w:t>0.13</w:t>
            </w:r>
          </w:p>
        </w:tc>
      </w:tr>
      <w:tr w:rsidR="00C00C2F" w:rsidRPr="00742ABA" w14:paraId="1A34056F" w14:textId="77777777" w:rsidTr="003A454A">
        <w:tc>
          <w:tcPr>
            <w:tcW w:w="1029" w:type="dxa"/>
            <w:tcBorders>
              <w:top w:val="single" w:sz="12" w:space="0" w:color="auto"/>
              <w:bottom w:val="single" w:sz="4" w:space="0" w:color="auto"/>
            </w:tcBorders>
            <w:shd w:val="clear" w:color="auto" w:fill="D9D9D9" w:themeFill="background1" w:themeFillShade="D9"/>
            <w:vAlign w:val="center"/>
          </w:tcPr>
          <w:p w14:paraId="2CAA72E3" w14:textId="77777777" w:rsidR="00C00C2F" w:rsidRPr="00B94444" w:rsidRDefault="00C00C2F" w:rsidP="00556353">
            <w:pPr>
              <w:pStyle w:val="TableColumnHeadingLeft"/>
              <w:spacing w:before="30" w:afterLines="20" w:after="48"/>
              <w:ind w:right="-57"/>
            </w:pPr>
            <w:r w:rsidRPr="00B94444">
              <w:t>Projected</w:t>
            </w:r>
          </w:p>
        </w:tc>
        <w:tc>
          <w:tcPr>
            <w:tcW w:w="784" w:type="dxa"/>
            <w:tcBorders>
              <w:top w:val="single" w:sz="12" w:space="0" w:color="auto"/>
              <w:bottom w:val="single" w:sz="4" w:space="0" w:color="auto"/>
            </w:tcBorders>
            <w:shd w:val="clear" w:color="auto" w:fill="D9D9D9" w:themeFill="background1" w:themeFillShade="D9"/>
            <w:vAlign w:val="center"/>
          </w:tcPr>
          <w:p w14:paraId="22062FCE" w14:textId="77777777" w:rsidR="00C00C2F" w:rsidRPr="00660890" w:rsidRDefault="00C00C2F" w:rsidP="001B2B11">
            <w:pPr>
              <w:pStyle w:val="TableTextRight"/>
              <w:spacing w:before="30" w:afterLines="20" w:after="48"/>
            </w:pPr>
          </w:p>
        </w:tc>
        <w:tc>
          <w:tcPr>
            <w:tcW w:w="854" w:type="dxa"/>
            <w:tcBorders>
              <w:top w:val="single" w:sz="12" w:space="0" w:color="auto"/>
              <w:bottom w:val="single" w:sz="4" w:space="0" w:color="auto"/>
            </w:tcBorders>
            <w:shd w:val="clear" w:color="auto" w:fill="D9D9D9" w:themeFill="background1" w:themeFillShade="D9"/>
            <w:vAlign w:val="center"/>
          </w:tcPr>
          <w:p w14:paraId="6264B44C" w14:textId="77777777" w:rsidR="00C00C2F" w:rsidRPr="00660890" w:rsidRDefault="00C00C2F" w:rsidP="001B2B11">
            <w:pPr>
              <w:pStyle w:val="TableTextRight"/>
              <w:spacing w:before="30" w:afterLines="20" w:after="48"/>
            </w:pPr>
          </w:p>
        </w:tc>
        <w:tc>
          <w:tcPr>
            <w:tcW w:w="798" w:type="dxa"/>
            <w:tcBorders>
              <w:top w:val="single" w:sz="12" w:space="0" w:color="auto"/>
              <w:bottom w:val="single" w:sz="4" w:space="0" w:color="auto"/>
            </w:tcBorders>
            <w:shd w:val="clear" w:color="auto" w:fill="D9D9D9" w:themeFill="background1" w:themeFillShade="D9"/>
            <w:vAlign w:val="center"/>
          </w:tcPr>
          <w:p w14:paraId="4C65A5DE" w14:textId="77777777" w:rsidR="00C00C2F" w:rsidRPr="00660890" w:rsidRDefault="00C00C2F" w:rsidP="001B2B11">
            <w:pPr>
              <w:pStyle w:val="TableTextRight"/>
              <w:spacing w:before="30" w:afterLines="20" w:after="48"/>
            </w:pPr>
          </w:p>
        </w:tc>
        <w:tc>
          <w:tcPr>
            <w:tcW w:w="1693" w:type="dxa"/>
            <w:tcBorders>
              <w:top w:val="single" w:sz="12" w:space="0" w:color="auto"/>
              <w:bottom w:val="single" w:sz="4" w:space="0" w:color="auto"/>
            </w:tcBorders>
            <w:shd w:val="clear" w:color="auto" w:fill="D9D9D9" w:themeFill="background1" w:themeFillShade="D9"/>
            <w:vAlign w:val="center"/>
          </w:tcPr>
          <w:p w14:paraId="729922D1" w14:textId="77777777" w:rsidR="00C00C2F" w:rsidRPr="00660890" w:rsidRDefault="00C00C2F" w:rsidP="003A454A">
            <w:pPr>
              <w:pStyle w:val="TableTextRight"/>
              <w:spacing w:before="30" w:afterLines="20" w:after="48"/>
              <w:ind w:left="-57"/>
            </w:pPr>
          </w:p>
        </w:tc>
        <w:tc>
          <w:tcPr>
            <w:tcW w:w="798" w:type="dxa"/>
            <w:tcBorders>
              <w:top w:val="single" w:sz="12" w:space="0" w:color="auto"/>
              <w:bottom w:val="single" w:sz="4" w:space="0" w:color="auto"/>
            </w:tcBorders>
            <w:shd w:val="clear" w:color="auto" w:fill="D9D9D9" w:themeFill="background1" w:themeFillShade="D9"/>
            <w:vAlign w:val="center"/>
          </w:tcPr>
          <w:p w14:paraId="77D99EB6" w14:textId="77777777" w:rsidR="00C00C2F" w:rsidRPr="00660890" w:rsidRDefault="00C00C2F" w:rsidP="001B2B11">
            <w:pPr>
              <w:pStyle w:val="TableTextRight"/>
              <w:spacing w:before="30" w:afterLines="20" w:after="48"/>
            </w:pPr>
          </w:p>
        </w:tc>
        <w:tc>
          <w:tcPr>
            <w:tcW w:w="1190" w:type="dxa"/>
            <w:tcBorders>
              <w:top w:val="single" w:sz="12" w:space="0" w:color="auto"/>
              <w:bottom w:val="single" w:sz="4" w:space="0" w:color="auto"/>
            </w:tcBorders>
            <w:shd w:val="clear" w:color="auto" w:fill="D9D9D9" w:themeFill="background1" w:themeFillShade="D9"/>
            <w:vAlign w:val="center"/>
          </w:tcPr>
          <w:p w14:paraId="72AAB6CF" w14:textId="77777777" w:rsidR="00C00C2F" w:rsidRPr="00660890" w:rsidRDefault="00C00C2F" w:rsidP="001B2B11">
            <w:pPr>
              <w:pStyle w:val="TableTextRight"/>
              <w:spacing w:before="30" w:afterLines="20" w:after="48"/>
            </w:pPr>
          </w:p>
        </w:tc>
      </w:tr>
      <w:tr w:rsidR="00C00C2F" w:rsidRPr="00742ABA" w14:paraId="56B1F7E2" w14:textId="77777777" w:rsidTr="003A454A">
        <w:tc>
          <w:tcPr>
            <w:tcW w:w="1029" w:type="dxa"/>
            <w:tcBorders>
              <w:top w:val="single" w:sz="4" w:space="0" w:color="auto"/>
            </w:tcBorders>
            <w:shd w:val="clear" w:color="auto" w:fill="F2F2F2" w:themeFill="background1" w:themeFillShade="F2"/>
            <w:vAlign w:val="center"/>
          </w:tcPr>
          <w:p w14:paraId="58C12BE5" w14:textId="77777777" w:rsidR="00C00C2F" w:rsidRPr="003522F6" w:rsidRDefault="00C00C2F" w:rsidP="001B2B11">
            <w:pPr>
              <w:pStyle w:val="TableTextLeft"/>
              <w:spacing w:before="30" w:after="30"/>
            </w:pPr>
            <w:r w:rsidRPr="003522F6">
              <w:t>20</w:t>
            </w:r>
            <w:r>
              <w:t>14</w:t>
            </w:r>
            <w:r>
              <w:noBreakHyphen/>
              <w:t>15</w:t>
            </w:r>
          </w:p>
        </w:tc>
        <w:tc>
          <w:tcPr>
            <w:tcW w:w="784" w:type="dxa"/>
            <w:tcBorders>
              <w:top w:val="single" w:sz="4" w:space="0" w:color="auto"/>
            </w:tcBorders>
            <w:shd w:val="clear" w:color="auto" w:fill="F2F2F2" w:themeFill="background1" w:themeFillShade="F2"/>
            <w:vAlign w:val="center"/>
          </w:tcPr>
          <w:p w14:paraId="05BDCF5B" w14:textId="77777777" w:rsidR="00C00C2F" w:rsidRPr="00321B9A" w:rsidRDefault="00C00C2F" w:rsidP="001B2B11">
            <w:pPr>
              <w:pStyle w:val="TableTextRight"/>
              <w:spacing w:before="30" w:after="30"/>
            </w:pPr>
            <w:r>
              <w:t>50</w:t>
            </w:r>
          </w:p>
        </w:tc>
        <w:tc>
          <w:tcPr>
            <w:tcW w:w="854" w:type="dxa"/>
            <w:tcBorders>
              <w:top w:val="single" w:sz="4" w:space="0" w:color="auto"/>
            </w:tcBorders>
            <w:shd w:val="clear" w:color="auto" w:fill="F2F2F2" w:themeFill="background1" w:themeFillShade="F2"/>
            <w:vAlign w:val="center"/>
          </w:tcPr>
          <w:p w14:paraId="5DC87D65" w14:textId="77777777" w:rsidR="00C00C2F" w:rsidRPr="00F331C5" w:rsidRDefault="002030C5" w:rsidP="001B2B11">
            <w:pPr>
              <w:pStyle w:val="TableTextRight"/>
              <w:spacing w:before="30" w:after="30"/>
            </w:pPr>
            <w:r>
              <w:t xml:space="preserve"> 1,541</w:t>
            </w:r>
            <w:r w:rsidR="00C00C2F" w:rsidRPr="00F331C5">
              <w:t xml:space="preserve"> </w:t>
            </w:r>
          </w:p>
        </w:tc>
        <w:tc>
          <w:tcPr>
            <w:tcW w:w="798" w:type="dxa"/>
            <w:tcBorders>
              <w:top w:val="single" w:sz="4" w:space="0" w:color="auto"/>
            </w:tcBorders>
            <w:shd w:val="clear" w:color="auto" w:fill="F2F2F2" w:themeFill="background1" w:themeFillShade="F2"/>
            <w:vAlign w:val="center"/>
          </w:tcPr>
          <w:p w14:paraId="6F7F7364" w14:textId="77777777" w:rsidR="00C00C2F" w:rsidRPr="00295984" w:rsidRDefault="00C00C2F" w:rsidP="001B2B11">
            <w:pPr>
              <w:pStyle w:val="TableTextRight"/>
              <w:spacing w:before="30" w:after="30"/>
            </w:pPr>
            <w:r w:rsidRPr="00295984">
              <w:t>594</w:t>
            </w:r>
          </w:p>
        </w:tc>
        <w:tc>
          <w:tcPr>
            <w:tcW w:w="1693" w:type="dxa"/>
            <w:tcBorders>
              <w:top w:val="single" w:sz="4" w:space="0" w:color="auto"/>
            </w:tcBorders>
            <w:shd w:val="clear" w:color="auto" w:fill="F2F2F2" w:themeFill="background1" w:themeFillShade="F2"/>
            <w:vAlign w:val="center"/>
          </w:tcPr>
          <w:p w14:paraId="077AAC28" w14:textId="77777777" w:rsidR="00C00C2F" w:rsidRPr="00321B9A" w:rsidRDefault="00C00C2F" w:rsidP="003A454A">
            <w:pPr>
              <w:pStyle w:val="TableTextRight"/>
              <w:spacing w:before="30" w:after="30"/>
              <w:ind w:left="-57"/>
            </w:pPr>
            <w:r>
              <w:t>30</w:t>
            </w:r>
          </w:p>
        </w:tc>
        <w:tc>
          <w:tcPr>
            <w:tcW w:w="798" w:type="dxa"/>
            <w:tcBorders>
              <w:top w:val="single" w:sz="4" w:space="0" w:color="auto"/>
            </w:tcBorders>
            <w:shd w:val="clear" w:color="auto" w:fill="F2F2F2" w:themeFill="background1" w:themeFillShade="F2"/>
            <w:vAlign w:val="center"/>
          </w:tcPr>
          <w:p w14:paraId="082B3282" w14:textId="77777777" w:rsidR="00C00C2F" w:rsidRPr="000C4F4A" w:rsidRDefault="00C00C2F" w:rsidP="001B2B11">
            <w:pPr>
              <w:pStyle w:val="TableTextRight"/>
              <w:spacing w:before="30" w:after="30"/>
            </w:pPr>
            <w:r w:rsidRPr="000C4F4A">
              <w:t xml:space="preserve"> 2,2</w:t>
            </w:r>
            <w:r>
              <w:t>16</w:t>
            </w:r>
            <w:r w:rsidRPr="000C4F4A">
              <w:t xml:space="preserve"> </w:t>
            </w:r>
          </w:p>
        </w:tc>
        <w:tc>
          <w:tcPr>
            <w:tcW w:w="1190" w:type="dxa"/>
            <w:tcBorders>
              <w:top w:val="single" w:sz="4" w:space="0" w:color="auto"/>
            </w:tcBorders>
            <w:shd w:val="clear" w:color="auto" w:fill="F2F2F2" w:themeFill="background1" w:themeFillShade="F2"/>
            <w:vAlign w:val="center"/>
          </w:tcPr>
          <w:p w14:paraId="7C3D4CA3" w14:textId="77777777" w:rsidR="00C00C2F" w:rsidRPr="000C4F4A" w:rsidRDefault="00C00C2F" w:rsidP="001B2B11">
            <w:pPr>
              <w:pStyle w:val="TableTextRight"/>
              <w:spacing w:before="30" w:after="30"/>
            </w:pPr>
            <w:r w:rsidRPr="000C4F4A">
              <w:t>0.13</w:t>
            </w:r>
          </w:p>
        </w:tc>
      </w:tr>
      <w:tr w:rsidR="00C00C2F" w:rsidRPr="00742ABA" w14:paraId="6D4D98F2" w14:textId="77777777" w:rsidTr="003A454A">
        <w:tc>
          <w:tcPr>
            <w:tcW w:w="1029" w:type="dxa"/>
            <w:shd w:val="clear" w:color="auto" w:fill="F2F2F2" w:themeFill="background1" w:themeFillShade="F2"/>
            <w:vAlign w:val="center"/>
          </w:tcPr>
          <w:p w14:paraId="047F7DE2" w14:textId="77777777" w:rsidR="00C00C2F" w:rsidRPr="003522F6" w:rsidRDefault="00C00C2F" w:rsidP="001B2B11">
            <w:pPr>
              <w:pStyle w:val="TableTextLeft"/>
              <w:spacing w:before="30" w:after="30"/>
            </w:pPr>
            <w:r w:rsidRPr="003522F6">
              <w:t>20</w:t>
            </w:r>
            <w:r>
              <w:t>15</w:t>
            </w:r>
            <w:r>
              <w:noBreakHyphen/>
            </w:r>
            <w:r w:rsidRPr="003522F6">
              <w:t>1</w:t>
            </w:r>
            <w:r>
              <w:t>6</w:t>
            </w:r>
          </w:p>
        </w:tc>
        <w:tc>
          <w:tcPr>
            <w:tcW w:w="784" w:type="dxa"/>
            <w:shd w:val="clear" w:color="auto" w:fill="F2F2F2" w:themeFill="background1" w:themeFillShade="F2"/>
            <w:vAlign w:val="center"/>
          </w:tcPr>
          <w:p w14:paraId="2A0D0658" w14:textId="77777777" w:rsidR="00C00C2F" w:rsidRPr="00321B9A" w:rsidRDefault="00C00C2F" w:rsidP="001B2B11">
            <w:pPr>
              <w:pStyle w:val="TableTextRight"/>
              <w:spacing w:before="30" w:after="30"/>
            </w:pPr>
            <w:r>
              <w:t>49</w:t>
            </w:r>
          </w:p>
        </w:tc>
        <w:tc>
          <w:tcPr>
            <w:tcW w:w="854" w:type="dxa"/>
            <w:shd w:val="clear" w:color="auto" w:fill="F2F2F2" w:themeFill="background1" w:themeFillShade="F2"/>
            <w:vAlign w:val="center"/>
          </w:tcPr>
          <w:p w14:paraId="50B91D22" w14:textId="77777777" w:rsidR="00C00C2F" w:rsidRPr="00F331C5" w:rsidRDefault="00C00C2F" w:rsidP="001B2B11">
            <w:pPr>
              <w:pStyle w:val="TableTextRight"/>
              <w:spacing w:before="30" w:after="30"/>
            </w:pPr>
            <w:r w:rsidRPr="00F331C5">
              <w:t xml:space="preserve"> 1,58</w:t>
            </w:r>
            <w:r w:rsidR="002030C5">
              <w:t>7</w:t>
            </w:r>
            <w:r w:rsidRPr="00F331C5">
              <w:t xml:space="preserve"> </w:t>
            </w:r>
          </w:p>
        </w:tc>
        <w:tc>
          <w:tcPr>
            <w:tcW w:w="798" w:type="dxa"/>
            <w:shd w:val="clear" w:color="auto" w:fill="F2F2F2" w:themeFill="background1" w:themeFillShade="F2"/>
            <w:vAlign w:val="center"/>
          </w:tcPr>
          <w:p w14:paraId="689F7FE9" w14:textId="77777777" w:rsidR="00C00C2F" w:rsidRPr="00295984" w:rsidRDefault="00C00C2F" w:rsidP="001B2B11">
            <w:pPr>
              <w:pStyle w:val="TableTextRight"/>
              <w:spacing w:before="30" w:after="30"/>
            </w:pPr>
            <w:r w:rsidRPr="00295984">
              <w:t>649</w:t>
            </w:r>
          </w:p>
        </w:tc>
        <w:tc>
          <w:tcPr>
            <w:tcW w:w="1693" w:type="dxa"/>
            <w:shd w:val="clear" w:color="auto" w:fill="F2F2F2" w:themeFill="background1" w:themeFillShade="F2"/>
            <w:vAlign w:val="center"/>
          </w:tcPr>
          <w:p w14:paraId="49FAF053" w14:textId="77777777" w:rsidR="00C00C2F" w:rsidRPr="00A14C27" w:rsidRDefault="00C00C2F" w:rsidP="003A454A">
            <w:pPr>
              <w:pStyle w:val="TableTextRight"/>
              <w:spacing w:before="30" w:after="30"/>
              <w:ind w:left="-57"/>
            </w:pPr>
            <w:r>
              <w:t>31</w:t>
            </w:r>
          </w:p>
        </w:tc>
        <w:tc>
          <w:tcPr>
            <w:tcW w:w="798" w:type="dxa"/>
            <w:shd w:val="clear" w:color="auto" w:fill="F2F2F2" w:themeFill="background1" w:themeFillShade="F2"/>
            <w:vAlign w:val="center"/>
          </w:tcPr>
          <w:p w14:paraId="3AE28275" w14:textId="77777777" w:rsidR="00C00C2F" w:rsidRPr="000C4F4A" w:rsidRDefault="00C00C2F" w:rsidP="001B2B11">
            <w:pPr>
              <w:pStyle w:val="TableTextRight"/>
              <w:spacing w:before="30" w:after="30"/>
            </w:pPr>
            <w:r w:rsidRPr="000C4F4A">
              <w:t xml:space="preserve"> 2,3</w:t>
            </w:r>
            <w:r>
              <w:t>16</w:t>
            </w:r>
            <w:r w:rsidRPr="000C4F4A">
              <w:t xml:space="preserve"> </w:t>
            </w:r>
          </w:p>
        </w:tc>
        <w:tc>
          <w:tcPr>
            <w:tcW w:w="1190" w:type="dxa"/>
            <w:shd w:val="clear" w:color="auto" w:fill="F2F2F2" w:themeFill="background1" w:themeFillShade="F2"/>
            <w:vAlign w:val="center"/>
          </w:tcPr>
          <w:p w14:paraId="1EB3A855" w14:textId="77777777" w:rsidR="00C00C2F" w:rsidRPr="000C4F4A" w:rsidRDefault="00C00C2F" w:rsidP="001B2B11">
            <w:pPr>
              <w:pStyle w:val="TableTextRight"/>
              <w:spacing w:before="30" w:after="30"/>
            </w:pPr>
            <w:r w:rsidRPr="000C4F4A">
              <w:t>0.13</w:t>
            </w:r>
          </w:p>
        </w:tc>
      </w:tr>
      <w:tr w:rsidR="00C00C2F" w:rsidRPr="00742ABA" w14:paraId="46E277DE" w14:textId="77777777" w:rsidTr="003A454A">
        <w:tc>
          <w:tcPr>
            <w:tcW w:w="1029" w:type="dxa"/>
            <w:shd w:val="clear" w:color="auto" w:fill="F2F2F2" w:themeFill="background1" w:themeFillShade="F2"/>
            <w:vAlign w:val="center"/>
          </w:tcPr>
          <w:p w14:paraId="54F17479" w14:textId="77777777" w:rsidR="00C00C2F" w:rsidRPr="003522F6" w:rsidRDefault="00C00C2F" w:rsidP="001B2B11">
            <w:pPr>
              <w:pStyle w:val="TableTextLeft"/>
              <w:spacing w:before="30" w:after="30"/>
            </w:pPr>
            <w:r w:rsidRPr="003522F6">
              <w:t>201</w:t>
            </w:r>
            <w:r>
              <w:t>6</w:t>
            </w:r>
            <w:r>
              <w:noBreakHyphen/>
            </w:r>
            <w:r w:rsidRPr="003522F6">
              <w:t>1</w:t>
            </w:r>
            <w:r>
              <w:t>7</w:t>
            </w:r>
          </w:p>
        </w:tc>
        <w:tc>
          <w:tcPr>
            <w:tcW w:w="784" w:type="dxa"/>
            <w:shd w:val="clear" w:color="auto" w:fill="F2F2F2" w:themeFill="background1" w:themeFillShade="F2"/>
            <w:vAlign w:val="center"/>
          </w:tcPr>
          <w:p w14:paraId="4E0E29D6" w14:textId="77777777" w:rsidR="00C00C2F" w:rsidRPr="00321B9A" w:rsidRDefault="00C00C2F" w:rsidP="001B2B11">
            <w:pPr>
              <w:pStyle w:val="TableTextRight"/>
              <w:spacing w:before="30" w:after="30"/>
            </w:pPr>
            <w:r>
              <w:t>47</w:t>
            </w:r>
          </w:p>
        </w:tc>
        <w:tc>
          <w:tcPr>
            <w:tcW w:w="854" w:type="dxa"/>
            <w:shd w:val="clear" w:color="auto" w:fill="F2F2F2" w:themeFill="background1" w:themeFillShade="F2"/>
            <w:vAlign w:val="center"/>
          </w:tcPr>
          <w:p w14:paraId="1067D574" w14:textId="77777777" w:rsidR="00C00C2F" w:rsidRPr="00F331C5" w:rsidRDefault="00C00C2F" w:rsidP="001B2B11">
            <w:pPr>
              <w:pStyle w:val="TableTextRight"/>
              <w:spacing w:before="30" w:after="30"/>
            </w:pPr>
            <w:r w:rsidRPr="00F331C5">
              <w:t xml:space="preserve"> 1,6</w:t>
            </w:r>
            <w:r w:rsidR="002030C5">
              <w:t>33</w:t>
            </w:r>
            <w:r w:rsidRPr="00F331C5">
              <w:t xml:space="preserve"> </w:t>
            </w:r>
          </w:p>
        </w:tc>
        <w:tc>
          <w:tcPr>
            <w:tcW w:w="798" w:type="dxa"/>
            <w:shd w:val="clear" w:color="auto" w:fill="F2F2F2" w:themeFill="background1" w:themeFillShade="F2"/>
            <w:vAlign w:val="center"/>
          </w:tcPr>
          <w:p w14:paraId="7A748D64" w14:textId="77777777" w:rsidR="00C00C2F" w:rsidRPr="00295984" w:rsidRDefault="00C00C2F" w:rsidP="001B2B11">
            <w:pPr>
              <w:pStyle w:val="TableTextRight"/>
              <w:spacing w:before="30" w:after="30"/>
            </w:pPr>
            <w:r w:rsidRPr="00295984">
              <w:t>7</w:t>
            </w:r>
            <w:r>
              <w:t>0</w:t>
            </w:r>
            <w:r w:rsidR="00113889">
              <w:t>5</w:t>
            </w:r>
          </w:p>
        </w:tc>
        <w:tc>
          <w:tcPr>
            <w:tcW w:w="1693" w:type="dxa"/>
            <w:shd w:val="clear" w:color="auto" w:fill="F2F2F2" w:themeFill="background1" w:themeFillShade="F2"/>
            <w:vAlign w:val="center"/>
          </w:tcPr>
          <w:p w14:paraId="646135C1" w14:textId="77777777" w:rsidR="00C00C2F" w:rsidRPr="00A14C27" w:rsidRDefault="00C00C2F" w:rsidP="003A454A">
            <w:pPr>
              <w:pStyle w:val="TableTextRight"/>
              <w:spacing w:before="30" w:after="30"/>
              <w:ind w:left="-57"/>
            </w:pPr>
            <w:r>
              <w:t>3</w:t>
            </w:r>
            <w:r w:rsidR="00113889">
              <w:t>2</w:t>
            </w:r>
          </w:p>
        </w:tc>
        <w:tc>
          <w:tcPr>
            <w:tcW w:w="798" w:type="dxa"/>
            <w:shd w:val="clear" w:color="auto" w:fill="F2F2F2" w:themeFill="background1" w:themeFillShade="F2"/>
            <w:vAlign w:val="center"/>
          </w:tcPr>
          <w:p w14:paraId="005813B2" w14:textId="77777777" w:rsidR="00C00C2F" w:rsidRPr="000C4F4A" w:rsidRDefault="00C00C2F" w:rsidP="001B2B11">
            <w:pPr>
              <w:pStyle w:val="TableTextRight"/>
              <w:spacing w:before="30" w:after="30"/>
            </w:pPr>
            <w:r w:rsidRPr="000C4F4A">
              <w:t xml:space="preserve"> 2,4</w:t>
            </w:r>
            <w:r>
              <w:t>1</w:t>
            </w:r>
            <w:r w:rsidR="00113889">
              <w:t>7</w:t>
            </w:r>
            <w:r w:rsidRPr="000C4F4A">
              <w:t xml:space="preserve"> </w:t>
            </w:r>
          </w:p>
        </w:tc>
        <w:tc>
          <w:tcPr>
            <w:tcW w:w="1190" w:type="dxa"/>
            <w:shd w:val="clear" w:color="auto" w:fill="F2F2F2" w:themeFill="background1" w:themeFillShade="F2"/>
            <w:vAlign w:val="center"/>
          </w:tcPr>
          <w:p w14:paraId="4DF83A54" w14:textId="77777777" w:rsidR="00C00C2F" w:rsidRPr="000C4F4A" w:rsidRDefault="00C00C2F" w:rsidP="001B2B11">
            <w:pPr>
              <w:pStyle w:val="TableTextRight"/>
              <w:spacing w:before="30" w:after="30"/>
            </w:pPr>
            <w:r w:rsidRPr="000C4F4A">
              <w:t>0.13</w:t>
            </w:r>
          </w:p>
        </w:tc>
      </w:tr>
      <w:tr w:rsidR="00C00C2F" w:rsidRPr="00742ABA" w14:paraId="3F19A778" w14:textId="77777777" w:rsidTr="003A454A">
        <w:tc>
          <w:tcPr>
            <w:tcW w:w="1029" w:type="dxa"/>
            <w:shd w:val="clear" w:color="auto" w:fill="F2F2F2" w:themeFill="background1" w:themeFillShade="F2"/>
            <w:vAlign w:val="center"/>
          </w:tcPr>
          <w:p w14:paraId="791D4F38" w14:textId="77777777" w:rsidR="00C00C2F" w:rsidRPr="003522F6" w:rsidRDefault="00C00C2F" w:rsidP="001B2B11">
            <w:pPr>
              <w:pStyle w:val="TableTextLeft"/>
              <w:spacing w:before="30" w:after="30"/>
            </w:pPr>
            <w:r w:rsidRPr="003522F6">
              <w:t>201</w:t>
            </w:r>
            <w:r>
              <w:t>7</w:t>
            </w:r>
            <w:r>
              <w:noBreakHyphen/>
            </w:r>
            <w:r w:rsidRPr="003522F6">
              <w:t>1</w:t>
            </w:r>
            <w:r>
              <w:t>8</w:t>
            </w:r>
          </w:p>
        </w:tc>
        <w:tc>
          <w:tcPr>
            <w:tcW w:w="784" w:type="dxa"/>
            <w:shd w:val="clear" w:color="auto" w:fill="F2F2F2" w:themeFill="background1" w:themeFillShade="F2"/>
            <w:vAlign w:val="center"/>
          </w:tcPr>
          <w:p w14:paraId="747513CC" w14:textId="77777777" w:rsidR="00C00C2F" w:rsidRPr="00321B9A" w:rsidRDefault="00C00C2F" w:rsidP="001B2B11">
            <w:pPr>
              <w:pStyle w:val="TableTextRight"/>
              <w:spacing w:before="30" w:after="30"/>
            </w:pPr>
            <w:r>
              <w:t>45</w:t>
            </w:r>
          </w:p>
        </w:tc>
        <w:tc>
          <w:tcPr>
            <w:tcW w:w="854" w:type="dxa"/>
            <w:shd w:val="clear" w:color="auto" w:fill="F2F2F2" w:themeFill="background1" w:themeFillShade="F2"/>
            <w:vAlign w:val="center"/>
          </w:tcPr>
          <w:p w14:paraId="4A856E12" w14:textId="77777777" w:rsidR="00C00C2F" w:rsidRPr="00F331C5" w:rsidRDefault="00C00C2F" w:rsidP="001B2B11">
            <w:pPr>
              <w:pStyle w:val="TableTextRight"/>
              <w:spacing w:before="30" w:after="30"/>
            </w:pPr>
            <w:r w:rsidRPr="00F331C5">
              <w:t xml:space="preserve"> 1,6</w:t>
            </w:r>
            <w:r w:rsidR="002030C5">
              <w:t>84</w:t>
            </w:r>
            <w:r w:rsidRPr="00F331C5">
              <w:t xml:space="preserve"> </w:t>
            </w:r>
          </w:p>
        </w:tc>
        <w:tc>
          <w:tcPr>
            <w:tcW w:w="798" w:type="dxa"/>
            <w:shd w:val="clear" w:color="auto" w:fill="F2F2F2" w:themeFill="background1" w:themeFillShade="F2"/>
            <w:vAlign w:val="center"/>
          </w:tcPr>
          <w:p w14:paraId="7BDC9734" w14:textId="77777777" w:rsidR="00C00C2F" w:rsidRPr="00295984" w:rsidRDefault="00C00C2F" w:rsidP="001B2B11">
            <w:pPr>
              <w:pStyle w:val="TableTextRight"/>
              <w:spacing w:before="30" w:after="30"/>
            </w:pPr>
            <w:r w:rsidRPr="00295984">
              <w:t>7</w:t>
            </w:r>
            <w:r>
              <w:t>7</w:t>
            </w:r>
            <w:r w:rsidR="00113889">
              <w:t>6</w:t>
            </w:r>
          </w:p>
        </w:tc>
        <w:tc>
          <w:tcPr>
            <w:tcW w:w="1693" w:type="dxa"/>
            <w:shd w:val="clear" w:color="auto" w:fill="F2F2F2" w:themeFill="background1" w:themeFillShade="F2"/>
            <w:vAlign w:val="center"/>
          </w:tcPr>
          <w:p w14:paraId="58A1B0F5" w14:textId="77777777" w:rsidR="00C00C2F" w:rsidRPr="00A14C27" w:rsidRDefault="00C00C2F" w:rsidP="003A454A">
            <w:pPr>
              <w:pStyle w:val="TableTextRight"/>
              <w:spacing w:before="30" w:after="30"/>
              <w:ind w:left="-57"/>
            </w:pPr>
            <w:r>
              <w:t>3</w:t>
            </w:r>
            <w:r w:rsidR="00113889">
              <w:t>1</w:t>
            </w:r>
          </w:p>
        </w:tc>
        <w:tc>
          <w:tcPr>
            <w:tcW w:w="798" w:type="dxa"/>
            <w:shd w:val="clear" w:color="auto" w:fill="F2F2F2" w:themeFill="background1" w:themeFillShade="F2"/>
            <w:vAlign w:val="center"/>
          </w:tcPr>
          <w:p w14:paraId="4E0E85A3" w14:textId="77777777" w:rsidR="00C00C2F" w:rsidRPr="000C4F4A" w:rsidRDefault="00C00C2F" w:rsidP="001B2B11">
            <w:pPr>
              <w:pStyle w:val="TableTextRight"/>
              <w:spacing w:before="30" w:after="30"/>
            </w:pPr>
            <w:r w:rsidRPr="000C4F4A">
              <w:t xml:space="preserve"> 2,5</w:t>
            </w:r>
            <w:r>
              <w:t>3</w:t>
            </w:r>
            <w:r w:rsidR="00113889">
              <w:t>6</w:t>
            </w:r>
            <w:r w:rsidRPr="000C4F4A">
              <w:t xml:space="preserve"> </w:t>
            </w:r>
          </w:p>
        </w:tc>
        <w:tc>
          <w:tcPr>
            <w:tcW w:w="1190" w:type="dxa"/>
            <w:shd w:val="clear" w:color="auto" w:fill="F2F2F2" w:themeFill="background1" w:themeFillShade="F2"/>
            <w:vAlign w:val="center"/>
          </w:tcPr>
          <w:p w14:paraId="1E29A7DE" w14:textId="77777777" w:rsidR="00C00C2F" w:rsidRPr="000C4F4A" w:rsidRDefault="00C00C2F" w:rsidP="001B2B11">
            <w:pPr>
              <w:pStyle w:val="TableTextRight"/>
              <w:spacing w:before="30" w:after="30"/>
            </w:pPr>
            <w:r w:rsidRPr="000C4F4A">
              <w:t>0.13</w:t>
            </w:r>
          </w:p>
        </w:tc>
      </w:tr>
      <w:tr w:rsidR="00C04D88" w:rsidRPr="00742ABA" w14:paraId="59F982D3" w14:textId="77777777" w:rsidTr="00E6557A">
        <w:tc>
          <w:tcPr>
            <w:tcW w:w="1029" w:type="dxa"/>
            <w:shd w:val="clear" w:color="auto" w:fill="F2F2F2" w:themeFill="background1" w:themeFillShade="F2"/>
            <w:vAlign w:val="center"/>
          </w:tcPr>
          <w:p w14:paraId="563A8CCB" w14:textId="77777777" w:rsidR="00C04D88" w:rsidRPr="003522F6" w:rsidRDefault="00C04D88" w:rsidP="001B2B11">
            <w:pPr>
              <w:pStyle w:val="TableTextLeft"/>
              <w:spacing w:before="30" w:after="30"/>
            </w:pPr>
            <w:r w:rsidRPr="003522F6">
              <w:t>201</w:t>
            </w:r>
            <w:r>
              <w:t>8</w:t>
            </w:r>
            <w:r>
              <w:noBreakHyphen/>
            </w:r>
            <w:r w:rsidRPr="003522F6">
              <w:t>1</w:t>
            </w:r>
            <w:r>
              <w:t>9</w:t>
            </w:r>
          </w:p>
        </w:tc>
        <w:tc>
          <w:tcPr>
            <w:tcW w:w="784" w:type="dxa"/>
            <w:shd w:val="clear" w:color="auto" w:fill="F2F2F2" w:themeFill="background1" w:themeFillShade="F2"/>
            <w:vAlign w:val="center"/>
          </w:tcPr>
          <w:p w14:paraId="1F383EA9" w14:textId="77777777" w:rsidR="00C04D88" w:rsidRPr="00321B9A" w:rsidRDefault="00C04D88" w:rsidP="001B2B11">
            <w:pPr>
              <w:pStyle w:val="TableTextRight"/>
              <w:spacing w:before="30" w:after="30"/>
            </w:pPr>
            <w:r>
              <w:t>4</w:t>
            </w:r>
            <w:r w:rsidR="000A12C9">
              <w:t>3</w:t>
            </w:r>
          </w:p>
        </w:tc>
        <w:tc>
          <w:tcPr>
            <w:tcW w:w="854" w:type="dxa"/>
            <w:shd w:val="clear" w:color="auto" w:fill="F2F2F2" w:themeFill="background1" w:themeFillShade="F2"/>
            <w:vAlign w:val="center"/>
          </w:tcPr>
          <w:p w14:paraId="4BC896FC" w14:textId="77777777" w:rsidR="00C04D88" w:rsidRPr="00F331C5" w:rsidRDefault="002030C5" w:rsidP="001B2B11">
            <w:pPr>
              <w:pStyle w:val="TableTextRight"/>
              <w:spacing w:before="30" w:after="30"/>
            </w:pPr>
            <w:r>
              <w:t xml:space="preserve"> 1,733</w:t>
            </w:r>
            <w:r w:rsidR="00C04D88" w:rsidRPr="00F331C5">
              <w:t xml:space="preserve"> </w:t>
            </w:r>
          </w:p>
        </w:tc>
        <w:tc>
          <w:tcPr>
            <w:tcW w:w="798" w:type="dxa"/>
            <w:shd w:val="clear" w:color="auto" w:fill="F2F2F2" w:themeFill="background1" w:themeFillShade="F2"/>
            <w:vAlign w:val="center"/>
          </w:tcPr>
          <w:p w14:paraId="69552739" w14:textId="77777777" w:rsidR="00C04D88" w:rsidRPr="00295984" w:rsidRDefault="002030C5" w:rsidP="001B2B11">
            <w:pPr>
              <w:pStyle w:val="TableTextRight"/>
              <w:spacing w:before="30" w:after="30"/>
            </w:pPr>
            <w:r>
              <w:t>8</w:t>
            </w:r>
            <w:r w:rsidR="00113889">
              <w:t>40</w:t>
            </w:r>
          </w:p>
        </w:tc>
        <w:tc>
          <w:tcPr>
            <w:tcW w:w="1693" w:type="dxa"/>
            <w:shd w:val="clear" w:color="auto" w:fill="F2F2F2" w:themeFill="background1" w:themeFillShade="F2"/>
            <w:vAlign w:val="center"/>
          </w:tcPr>
          <w:p w14:paraId="02CEA235" w14:textId="77777777" w:rsidR="00C04D88" w:rsidRPr="00A14C27" w:rsidRDefault="00113889" w:rsidP="003A454A">
            <w:pPr>
              <w:pStyle w:val="TableTextRight"/>
              <w:spacing w:before="30" w:after="30"/>
              <w:ind w:left="-57"/>
            </w:pPr>
            <w:r>
              <w:t>30</w:t>
            </w:r>
          </w:p>
        </w:tc>
        <w:tc>
          <w:tcPr>
            <w:tcW w:w="798" w:type="dxa"/>
            <w:shd w:val="clear" w:color="auto" w:fill="F2F2F2" w:themeFill="background1" w:themeFillShade="F2"/>
            <w:vAlign w:val="center"/>
          </w:tcPr>
          <w:p w14:paraId="4C317F54" w14:textId="77777777" w:rsidR="00C04D88" w:rsidRPr="000C4F4A" w:rsidRDefault="002030C5" w:rsidP="001B2B11">
            <w:pPr>
              <w:pStyle w:val="TableTextRight"/>
              <w:spacing w:before="30" w:after="30"/>
            </w:pPr>
            <w:r>
              <w:t xml:space="preserve"> 2,64</w:t>
            </w:r>
            <w:r w:rsidR="00113889">
              <w:t>6</w:t>
            </w:r>
            <w:r w:rsidR="00C04D88" w:rsidRPr="000C4F4A">
              <w:t xml:space="preserve"> </w:t>
            </w:r>
          </w:p>
        </w:tc>
        <w:tc>
          <w:tcPr>
            <w:tcW w:w="1190" w:type="dxa"/>
            <w:shd w:val="clear" w:color="auto" w:fill="F2F2F2" w:themeFill="background1" w:themeFillShade="F2"/>
            <w:vAlign w:val="center"/>
          </w:tcPr>
          <w:p w14:paraId="21EE9C93" w14:textId="77777777" w:rsidR="00C04D88" w:rsidRPr="000C4F4A" w:rsidRDefault="00C04D88" w:rsidP="001B2B11">
            <w:pPr>
              <w:pStyle w:val="TableTextRight"/>
              <w:spacing w:before="30" w:after="30"/>
            </w:pPr>
            <w:r w:rsidRPr="000C4F4A">
              <w:t>0.13</w:t>
            </w:r>
          </w:p>
        </w:tc>
      </w:tr>
      <w:tr w:rsidR="00C00C2F" w:rsidRPr="00742ABA" w14:paraId="7BE6F9E2" w14:textId="77777777" w:rsidTr="00E6557A">
        <w:tc>
          <w:tcPr>
            <w:tcW w:w="1029" w:type="dxa"/>
            <w:tcBorders>
              <w:bottom w:val="single" w:sz="4" w:space="0" w:color="auto"/>
            </w:tcBorders>
            <w:shd w:val="clear" w:color="auto" w:fill="F2F2F2" w:themeFill="background1" w:themeFillShade="F2"/>
            <w:vAlign w:val="center"/>
          </w:tcPr>
          <w:p w14:paraId="541CC72C" w14:textId="77777777" w:rsidR="00C00C2F" w:rsidRPr="003522F6" w:rsidRDefault="00C00C2F" w:rsidP="001B2B11">
            <w:pPr>
              <w:pStyle w:val="TableTextLeft"/>
              <w:spacing w:before="30" w:after="30"/>
            </w:pPr>
            <w:r w:rsidRPr="003522F6">
              <w:t>20</w:t>
            </w:r>
            <w:r>
              <w:t>19</w:t>
            </w:r>
            <w:r>
              <w:noBreakHyphen/>
            </w:r>
            <w:r w:rsidRPr="003522F6">
              <w:t>2</w:t>
            </w:r>
            <w:r>
              <w:t>0</w:t>
            </w:r>
          </w:p>
        </w:tc>
        <w:tc>
          <w:tcPr>
            <w:tcW w:w="784" w:type="dxa"/>
            <w:tcBorders>
              <w:bottom w:val="single" w:sz="4" w:space="0" w:color="auto"/>
            </w:tcBorders>
            <w:shd w:val="clear" w:color="auto" w:fill="F2F2F2" w:themeFill="background1" w:themeFillShade="F2"/>
            <w:vAlign w:val="center"/>
          </w:tcPr>
          <w:p w14:paraId="6F11B9C0" w14:textId="77777777" w:rsidR="00C00C2F" w:rsidRPr="00321B9A" w:rsidRDefault="00C00C2F" w:rsidP="001B2B11">
            <w:pPr>
              <w:pStyle w:val="TableTextRight"/>
              <w:spacing w:before="30" w:after="30"/>
            </w:pPr>
            <w:r>
              <w:t>41</w:t>
            </w:r>
          </w:p>
        </w:tc>
        <w:tc>
          <w:tcPr>
            <w:tcW w:w="854" w:type="dxa"/>
            <w:tcBorders>
              <w:bottom w:val="single" w:sz="4" w:space="0" w:color="auto"/>
            </w:tcBorders>
            <w:shd w:val="clear" w:color="auto" w:fill="F2F2F2" w:themeFill="background1" w:themeFillShade="F2"/>
            <w:vAlign w:val="center"/>
          </w:tcPr>
          <w:p w14:paraId="160FE1A1" w14:textId="77777777" w:rsidR="00C00C2F" w:rsidRPr="00F331C5" w:rsidRDefault="00C00C2F" w:rsidP="001B2B11">
            <w:pPr>
              <w:pStyle w:val="TableTextRight"/>
              <w:spacing w:before="30" w:after="30"/>
            </w:pPr>
            <w:r w:rsidRPr="00F331C5">
              <w:t xml:space="preserve"> 1,77</w:t>
            </w:r>
            <w:r>
              <w:t>7</w:t>
            </w:r>
            <w:r w:rsidRPr="00F331C5">
              <w:t xml:space="preserve"> </w:t>
            </w:r>
          </w:p>
        </w:tc>
        <w:tc>
          <w:tcPr>
            <w:tcW w:w="798" w:type="dxa"/>
            <w:tcBorders>
              <w:bottom w:val="single" w:sz="4" w:space="0" w:color="auto"/>
            </w:tcBorders>
            <w:shd w:val="clear" w:color="auto" w:fill="F2F2F2" w:themeFill="background1" w:themeFillShade="F2"/>
            <w:vAlign w:val="center"/>
          </w:tcPr>
          <w:p w14:paraId="7A4FA019" w14:textId="77777777" w:rsidR="00C00C2F" w:rsidRPr="00295984" w:rsidRDefault="00C00C2F" w:rsidP="001B2B11">
            <w:pPr>
              <w:pStyle w:val="TableTextRight"/>
              <w:spacing w:before="30" w:after="30"/>
            </w:pPr>
            <w:r>
              <w:t>9</w:t>
            </w:r>
            <w:r w:rsidR="00113889">
              <w:t>10</w:t>
            </w:r>
          </w:p>
        </w:tc>
        <w:tc>
          <w:tcPr>
            <w:tcW w:w="1693" w:type="dxa"/>
            <w:tcBorders>
              <w:bottom w:val="single" w:sz="4" w:space="0" w:color="auto"/>
            </w:tcBorders>
            <w:shd w:val="clear" w:color="auto" w:fill="F2F2F2" w:themeFill="background1" w:themeFillShade="F2"/>
            <w:vAlign w:val="center"/>
          </w:tcPr>
          <w:p w14:paraId="5BBDCB47" w14:textId="77777777" w:rsidR="00C00C2F" w:rsidRPr="00A14C27" w:rsidRDefault="00C00C2F" w:rsidP="003A454A">
            <w:pPr>
              <w:pStyle w:val="TableTextRight"/>
              <w:spacing w:before="30" w:after="30"/>
              <w:ind w:left="-57"/>
            </w:pPr>
            <w:r>
              <w:t>2</w:t>
            </w:r>
            <w:r w:rsidR="00113889">
              <w:t>9</w:t>
            </w:r>
          </w:p>
        </w:tc>
        <w:tc>
          <w:tcPr>
            <w:tcW w:w="798" w:type="dxa"/>
            <w:tcBorders>
              <w:bottom w:val="single" w:sz="4" w:space="0" w:color="auto"/>
            </w:tcBorders>
            <w:shd w:val="clear" w:color="auto" w:fill="F2F2F2" w:themeFill="background1" w:themeFillShade="F2"/>
            <w:vAlign w:val="center"/>
          </w:tcPr>
          <w:p w14:paraId="1B2C47B9" w14:textId="77777777" w:rsidR="00C00C2F" w:rsidRPr="000C4F4A" w:rsidRDefault="00C00C2F" w:rsidP="001B2B11">
            <w:pPr>
              <w:pStyle w:val="TableTextRight"/>
              <w:spacing w:before="30" w:after="30"/>
            </w:pPr>
            <w:r w:rsidRPr="000C4F4A">
              <w:t xml:space="preserve"> 2,</w:t>
            </w:r>
            <w:r w:rsidR="001F1CF7">
              <w:t>75</w:t>
            </w:r>
            <w:r w:rsidR="00113889">
              <w:t>8</w:t>
            </w:r>
            <w:r w:rsidRPr="000C4F4A">
              <w:t xml:space="preserve"> </w:t>
            </w:r>
          </w:p>
        </w:tc>
        <w:tc>
          <w:tcPr>
            <w:tcW w:w="1190" w:type="dxa"/>
            <w:tcBorders>
              <w:bottom w:val="single" w:sz="4" w:space="0" w:color="auto"/>
            </w:tcBorders>
            <w:shd w:val="clear" w:color="auto" w:fill="F2F2F2" w:themeFill="background1" w:themeFillShade="F2"/>
            <w:vAlign w:val="center"/>
          </w:tcPr>
          <w:p w14:paraId="0CC85163" w14:textId="77777777" w:rsidR="00C00C2F" w:rsidRPr="000C4F4A" w:rsidRDefault="00C00C2F" w:rsidP="001B2B11">
            <w:pPr>
              <w:pStyle w:val="TableTextRight"/>
              <w:spacing w:before="30" w:after="30"/>
            </w:pPr>
            <w:r w:rsidRPr="000C4F4A">
              <w:t>0.1</w:t>
            </w:r>
            <w:r w:rsidR="00113889">
              <w:t>3</w:t>
            </w:r>
          </w:p>
        </w:tc>
      </w:tr>
      <w:tr w:rsidR="00C00C2F" w:rsidRPr="00742ABA" w14:paraId="77356430" w14:textId="77777777" w:rsidTr="00E6557A">
        <w:tc>
          <w:tcPr>
            <w:tcW w:w="1029" w:type="dxa"/>
            <w:tcBorders>
              <w:top w:val="single" w:sz="4" w:space="0" w:color="auto"/>
            </w:tcBorders>
            <w:shd w:val="clear" w:color="auto" w:fill="auto"/>
            <w:vAlign w:val="center"/>
          </w:tcPr>
          <w:p w14:paraId="670D58C6" w14:textId="77777777" w:rsidR="00C00C2F" w:rsidRPr="003522F6" w:rsidRDefault="00C00C2F" w:rsidP="001B2B11">
            <w:pPr>
              <w:pStyle w:val="TableTextLeft"/>
              <w:spacing w:before="30" w:after="30"/>
            </w:pPr>
            <w:r w:rsidRPr="003522F6">
              <w:t>202</w:t>
            </w:r>
            <w:r>
              <w:t>4</w:t>
            </w:r>
            <w:r>
              <w:noBreakHyphen/>
            </w:r>
            <w:r w:rsidRPr="003522F6">
              <w:t>2</w:t>
            </w:r>
            <w:r>
              <w:t>5</w:t>
            </w:r>
          </w:p>
        </w:tc>
        <w:tc>
          <w:tcPr>
            <w:tcW w:w="784" w:type="dxa"/>
            <w:tcBorders>
              <w:top w:val="single" w:sz="4" w:space="0" w:color="auto"/>
            </w:tcBorders>
            <w:shd w:val="clear" w:color="auto" w:fill="auto"/>
            <w:vAlign w:val="center"/>
          </w:tcPr>
          <w:p w14:paraId="06137F92" w14:textId="77777777" w:rsidR="00C00C2F" w:rsidRPr="00321B9A" w:rsidRDefault="00C00C2F" w:rsidP="001B2B11">
            <w:pPr>
              <w:pStyle w:val="TableTextRight"/>
              <w:spacing w:before="30" w:after="30"/>
            </w:pPr>
            <w:r>
              <w:t>33</w:t>
            </w:r>
          </w:p>
        </w:tc>
        <w:tc>
          <w:tcPr>
            <w:tcW w:w="854" w:type="dxa"/>
            <w:tcBorders>
              <w:top w:val="single" w:sz="4" w:space="0" w:color="auto"/>
            </w:tcBorders>
            <w:shd w:val="clear" w:color="auto" w:fill="auto"/>
            <w:vAlign w:val="center"/>
          </w:tcPr>
          <w:p w14:paraId="3511BD23" w14:textId="77777777" w:rsidR="00C00C2F" w:rsidRPr="00F331C5" w:rsidRDefault="00C00C2F" w:rsidP="001B2B11">
            <w:pPr>
              <w:pStyle w:val="TableTextRight"/>
              <w:spacing w:before="30" w:after="30"/>
            </w:pPr>
            <w:r w:rsidRPr="00F331C5">
              <w:t xml:space="preserve"> 1,96</w:t>
            </w:r>
            <w:r>
              <w:t>7</w:t>
            </w:r>
            <w:r w:rsidRPr="00F331C5">
              <w:t xml:space="preserve"> </w:t>
            </w:r>
          </w:p>
        </w:tc>
        <w:tc>
          <w:tcPr>
            <w:tcW w:w="798" w:type="dxa"/>
            <w:tcBorders>
              <w:top w:val="single" w:sz="4" w:space="0" w:color="auto"/>
            </w:tcBorders>
            <w:shd w:val="clear" w:color="auto" w:fill="auto"/>
            <w:vAlign w:val="center"/>
          </w:tcPr>
          <w:p w14:paraId="0491AAEE" w14:textId="77777777" w:rsidR="00C00C2F" w:rsidRPr="00295984" w:rsidRDefault="00C00C2F" w:rsidP="001B2B11">
            <w:pPr>
              <w:pStyle w:val="TableTextRight"/>
              <w:spacing w:before="30" w:after="30"/>
            </w:pPr>
            <w:r>
              <w:t>1,4</w:t>
            </w:r>
            <w:r w:rsidR="00113889">
              <w:t>2</w:t>
            </w:r>
            <w:r>
              <w:t>9</w:t>
            </w:r>
          </w:p>
        </w:tc>
        <w:tc>
          <w:tcPr>
            <w:tcW w:w="1693" w:type="dxa"/>
            <w:tcBorders>
              <w:top w:val="single" w:sz="4" w:space="0" w:color="auto"/>
            </w:tcBorders>
            <w:shd w:val="clear" w:color="auto" w:fill="auto"/>
            <w:vAlign w:val="center"/>
          </w:tcPr>
          <w:p w14:paraId="63571D50" w14:textId="77777777" w:rsidR="00C00C2F" w:rsidRPr="00A14C27" w:rsidRDefault="00113889" w:rsidP="003A454A">
            <w:pPr>
              <w:pStyle w:val="TableTextRight"/>
              <w:spacing w:before="30" w:after="30"/>
              <w:ind w:left="-57"/>
            </w:pPr>
            <w:r>
              <w:t>30</w:t>
            </w:r>
          </w:p>
        </w:tc>
        <w:tc>
          <w:tcPr>
            <w:tcW w:w="798" w:type="dxa"/>
            <w:tcBorders>
              <w:top w:val="single" w:sz="4" w:space="0" w:color="auto"/>
            </w:tcBorders>
            <w:shd w:val="clear" w:color="auto" w:fill="auto"/>
            <w:vAlign w:val="center"/>
          </w:tcPr>
          <w:p w14:paraId="200C7063" w14:textId="77777777" w:rsidR="00C00C2F" w:rsidRPr="000C4F4A" w:rsidRDefault="00C00C2F" w:rsidP="001B2B11">
            <w:pPr>
              <w:pStyle w:val="TableTextRight"/>
              <w:spacing w:before="30" w:after="30"/>
            </w:pPr>
            <w:r w:rsidRPr="000C4F4A">
              <w:t xml:space="preserve"> </w:t>
            </w:r>
            <w:r w:rsidR="001F1CF7">
              <w:t>3</w:t>
            </w:r>
            <w:r w:rsidRPr="000C4F4A">
              <w:t>,</w:t>
            </w:r>
            <w:r w:rsidR="001F1CF7">
              <w:t>4</w:t>
            </w:r>
            <w:r w:rsidR="00113889">
              <w:t>5</w:t>
            </w:r>
            <w:r w:rsidR="006549D6">
              <w:t>8</w:t>
            </w:r>
            <w:r w:rsidRPr="000C4F4A">
              <w:t xml:space="preserve"> </w:t>
            </w:r>
          </w:p>
        </w:tc>
        <w:tc>
          <w:tcPr>
            <w:tcW w:w="1190" w:type="dxa"/>
            <w:tcBorders>
              <w:top w:val="single" w:sz="4" w:space="0" w:color="auto"/>
            </w:tcBorders>
            <w:shd w:val="clear" w:color="auto" w:fill="auto"/>
            <w:vAlign w:val="center"/>
          </w:tcPr>
          <w:p w14:paraId="18405624" w14:textId="77777777" w:rsidR="00C00C2F" w:rsidRPr="000C4F4A" w:rsidRDefault="00C00C2F" w:rsidP="001B2B11">
            <w:pPr>
              <w:pStyle w:val="TableTextRight"/>
              <w:spacing w:before="30" w:after="30"/>
            </w:pPr>
            <w:r w:rsidRPr="000C4F4A">
              <w:t>0.1</w:t>
            </w:r>
            <w:r w:rsidR="001F1CF7">
              <w:t>2</w:t>
            </w:r>
          </w:p>
        </w:tc>
      </w:tr>
      <w:tr w:rsidR="00C00C2F" w:rsidRPr="00742ABA" w14:paraId="030762F0" w14:textId="77777777" w:rsidTr="003A454A">
        <w:tc>
          <w:tcPr>
            <w:tcW w:w="1029" w:type="dxa"/>
            <w:shd w:val="clear" w:color="auto" w:fill="auto"/>
            <w:vAlign w:val="center"/>
          </w:tcPr>
          <w:p w14:paraId="56517FB8" w14:textId="77777777" w:rsidR="00C00C2F" w:rsidRPr="003522F6" w:rsidRDefault="00C00C2F" w:rsidP="001B2B11">
            <w:pPr>
              <w:pStyle w:val="TableTextLeft"/>
              <w:spacing w:before="30" w:after="30"/>
            </w:pPr>
            <w:r w:rsidRPr="003522F6">
              <w:t>2029</w:t>
            </w:r>
            <w:r>
              <w:noBreakHyphen/>
            </w:r>
            <w:r w:rsidRPr="003522F6">
              <w:t>30</w:t>
            </w:r>
          </w:p>
        </w:tc>
        <w:tc>
          <w:tcPr>
            <w:tcW w:w="784" w:type="dxa"/>
            <w:shd w:val="clear" w:color="auto" w:fill="auto"/>
            <w:vAlign w:val="center"/>
          </w:tcPr>
          <w:p w14:paraId="0F9DA078" w14:textId="77777777" w:rsidR="00C00C2F" w:rsidRPr="00321B9A" w:rsidRDefault="00C00C2F" w:rsidP="001B2B11">
            <w:pPr>
              <w:pStyle w:val="TableTextRight"/>
              <w:spacing w:before="30" w:after="30"/>
            </w:pPr>
            <w:r>
              <w:t>25</w:t>
            </w:r>
          </w:p>
        </w:tc>
        <w:tc>
          <w:tcPr>
            <w:tcW w:w="854" w:type="dxa"/>
            <w:shd w:val="clear" w:color="auto" w:fill="auto"/>
            <w:vAlign w:val="center"/>
          </w:tcPr>
          <w:p w14:paraId="2D21E147" w14:textId="77777777" w:rsidR="00C00C2F" w:rsidRPr="00F331C5" w:rsidRDefault="00C00C2F" w:rsidP="001B2B11">
            <w:pPr>
              <w:pStyle w:val="TableTextRight"/>
              <w:spacing w:before="30" w:after="30"/>
            </w:pPr>
            <w:r w:rsidRPr="00F331C5">
              <w:t xml:space="preserve"> 2,1</w:t>
            </w:r>
            <w:r>
              <w:t>14</w:t>
            </w:r>
            <w:r w:rsidRPr="00F331C5">
              <w:t xml:space="preserve"> </w:t>
            </w:r>
          </w:p>
        </w:tc>
        <w:tc>
          <w:tcPr>
            <w:tcW w:w="798" w:type="dxa"/>
            <w:shd w:val="clear" w:color="auto" w:fill="auto"/>
            <w:vAlign w:val="center"/>
          </w:tcPr>
          <w:p w14:paraId="07CC37CA" w14:textId="77777777" w:rsidR="00C00C2F" w:rsidRPr="00295984" w:rsidRDefault="00C00C2F" w:rsidP="001B2B11">
            <w:pPr>
              <w:pStyle w:val="TableTextRight"/>
              <w:spacing w:before="30" w:after="30"/>
            </w:pPr>
            <w:r w:rsidRPr="00295984">
              <w:t>2,</w:t>
            </w:r>
            <w:r>
              <w:t>1</w:t>
            </w:r>
            <w:r w:rsidR="00113889">
              <w:t>34</w:t>
            </w:r>
          </w:p>
        </w:tc>
        <w:tc>
          <w:tcPr>
            <w:tcW w:w="1693" w:type="dxa"/>
            <w:shd w:val="clear" w:color="auto" w:fill="auto"/>
            <w:vAlign w:val="center"/>
          </w:tcPr>
          <w:p w14:paraId="4084EF70" w14:textId="77777777" w:rsidR="00C00C2F" w:rsidRPr="00A14C27" w:rsidRDefault="006549D6" w:rsidP="003A454A">
            <w:pPr>
              <w:pStyle w:val="TableTextRight"/>
              <w:spacing w:before="30" w:after="30"/>
              <w:ind w:left="-57"/>
            </w:pPr>
            <w:r>
              <w:t>2</w:t>
            </w:r>
            <w:r w:rsidR="00113889">
              <w:t>6</w:t>
            </w:r>
          </w:p>
        </w:tc>
        <w:tc>
          <w:tcPr>
            <w:tcW w:w="798" w:type="dxa"/>
            <w:shd w:val="clear" w:color="auto" w:fill="auto"/>
            <w:vAlign w:val="center"/>
          </w:tcPr>
          <w:p w14:paraId="46E27839" w14:textId="77777777" w:rsidR="00C00C2F" w:rsidRPr="000C4F4A" w:rsidRDefault="00C00C2F" w:rsidP="001B2B11">
            <w:pPr>
              <w:pStyle w:val="TableTextRight"/>
              <w:spacing w:before="30" w:after="30"/>
            </w:pPr>
            <w:r w:rsidRPr="000C4F4A">
              <w:t xml:space="preserve"> </w:t>
            </w:r>
            <w:r w:rsidR="001F1CF7">
              <w:t>4</w:t>
            </w:r>
            <w:r w:rsidRPr="000C4F4A">
              <w:t>,</w:t>
            </w:r>
            <w:r w:rsidR="001F1CF7">
              <w:t>2</w:t>
            </w:r>
            <w:r w:rsidR="00113889">
              <w:t>98</w:t>
            </w:r>
            <w:r w:rsidRPr="000C4F4A">
              <w:t xml:space="preserve"> </w:t>
            </w:r>
          </w:p>
        </w:tc>
        <w:tc>
          <w:tcPr>
            <w:tcW w:w="1190" w:type="dxa"/>
            <w:shd w:val="clear" w:color="auto" w:fill="auto"/>
            <w:vAlign w:val="center"/>
          </w:tcPr>
          <w:p w14:paraId="792B090E" w14:textId="77777777" w:rsidR="00C00C2F" w:rsidRPr="000C4F4A" w:rsidRDefault="00C00C2F" w:rsidP="001B2B11">
            <w:pPr>
              <w:pStyle w:val="TableTextRight"/>
              <w:spacing w:before="30" w:after="30"/>
            </w:pPr>
            <w:r w:rsidRPr="000C4F4A">
              <w:t>0.1</w:t>
            </w:r>
            <w:r w:rsidR="001F1CF7">
              <w:t>1</w:t>
            </w:r>
          </w:p>
        </w:tc>
      </w:tr>
      <w:tr w:rsidR="00C00C2F" w:rsidRPr="00742ABA" w14:paraId="4F2711A1" w14:textId="77777777" w:rsidTr="003A454A">
        <w:tc>
          <w:tcPr>
            <w:tcW w:w="1029" w:type="dxa"/>
            <w:shd w:val="clear" w:color="auto" w:fill="auto"/>
            <w:vAlign w:val="center"/>
          </w:tcPr>
          <w:p w14:paraId="4D6B469C" w14:textId="77777777" w:rsidR="00C00C2F" w:rsidRPr="003522F6" w:rsidRDefault="00C00C2F" w:rsidP="001B2B11">
            <w:pPr>
              <w:pStyle w:val="TableTextLeft"/>
              <w:spacing w:before="30" w:after="30"/>
            </w:pPr>
            <w:r w:rsidRPr="003522F6">
              <w:t>2034</w:t>
            </w:r>
            <w:r>
              <w:noBreakHyphen/>
            </w:r>
            <w:r w:rsidRPr="003522F6">
              <w:t>35</w:t>
            </w:r>
          </w:p>
        </w:tc>
        <w:tc>
          <w:tcPr>
            <w:tcW w:w="784" w:type="dxa"/>
            <w:shd w:val="clear" w:color="auto" w:fill="auto"/>
            <w:vAlign w:val="center"/>
          </w:tcPr>
          <w:p w14:paraId="2780BC12" w14:textId="77777777" w:rsidR="00C00C2F" w:rsidRPr="00321B9A" w:rsidRDefault="00C00C2F" w:rsidP="001B2B11">
            <w:pPr>
              <w:pStyle w:val="TableTextRight"/>
              <w:spacing w:before="30" w:after="30"/>
            </w:pPr>
            <w:r>
              <w:t>18</w:t>
            </w:r>
          </w:p>
        </w:tc>
        <w:tc>
          <w:tcPr>
            <w:tcW w:w="854" w:type="dxa"/>
            <w:shd w:val="clear" w:color="auto" w:fill="auto"/>
            <w:vAlign w:val="center"/>
          </w:tcPr>
          <w:p w14:paraId="10BBD084" w14:textId="77777777" w:rsidR="00C00C2F" w:rsidRPr="00F331C5" w:rsidRDefault="00C00C2F" w:rsidP="001B2B11">
            <w:pPr>
              <w:pStyle w:val="TableTextRight"/>
              <w:spacing w:before="30" w:after="30"/>
            </w:pPr>
            <w:r w:rsidRPr="00F331C5">
              <w:t xml:space="preserve"> 2,20</w:t>
            </w:r>
            <w:r>
              <w:t>9</w:t>
            </w:r>
            <w:r w:rsidRPr="00F331C5">
              <w:t xml:space="preserve"> </w:t>
            </w:r>
          </w:p>
        </w:tc>
        <w:tc>
          <w:tcPr>
            <w:tcW w:w="798" w:type="dxa"/>
            <w:shd w:val="clear" w:color="auto" w:fill="auto"/>
            <w:vAlign w:val="center"/>
          </w:tcPr>
          <w:p w14:paraId="103B007E" w14:textId="77777777" w:rsidR="00C00C2F" w:rsidRPr="00295984" w:rsidRDefault="002030C5" w:rsidP="001B2B11">
            <w:pPr>
              <w:pStyle w:val="TableTextRight"/>
              <w:spacing w:before="30" w:after="30"/>
            </w:pPr>
            <w:r>
              <w:t>3,0</w:t>
            </w:r>
            <w:r w:rsidR="00113889">
              <w:t>31</w:t>
            </w:r>
          </w:p>
        </w:tc>
        <w:tc>
          <w:tcPr>
            <w:tcW w:w="1693" w:type="dxa"/>
            <w:shd w:val="clear" w:color="auto" w:fill="auto"/>
            <w:vAlign w:val="center"/>
          </w:tcPr>
          <w:p w14:paraId="428E9F84" w14:textId="77777777" w:rsidR="00C00C2F" w:rsidRPr="00A14C27" w:rsidRDefault="00113889" w:rsidP="003A454A">
            <w:pPr>
              <w:pStyle w:val="TableTextRight"/>
              <w:spacing w:before="30" w:after="30"/>
              <w:ind w:left="-57"/>
            </w:pPr>
            <w:r>
              <w:t>20</w:t>
            </w:r>
          </w:p>
        </w:tc>
        <w:tc>
          <w:tcPr>
            <w:tcW w:w="798" w:type="dxa"/>
            <w:shd w:val="clear" w:color="auto" w:fill="auto"/>
            <w:vAlign w:val="center"/>
          </w:tcPr>
          <w:p w14:paraId="748A5834" w14:textId="77777777" w:rsidR="00C00C2F" w:rsidRPr="000C4F4A" w:rsidRDefault="00C00C2F" w:rsidP="001B2B11">
            <w:pPr>
              <w:pStyle w:val="TableTextRight"/>
              <w:spacing w:before="30" w:after="30"/>
            </w:pPr>
            <w:r w:rsidRPr="000C4F4A">
              <w:t xml:space="preserve"> </w:t>
            </w:r>
            <w:r w:rsidR="001F1CF7">
              <w:t>5</w:t>
            </w:r>
            <w:r w:rsidRPr="000C4F4A">
              <w:t>,</w:t>
            </w:r>
            <w:r w:rsidR="001F1CF7">
              <w:t>2</w:t>
            </w:r>
            <w:r w:rsidR="00113889">
              <w:t>77</w:t>
            </w:r>
            <w:r w:rsidRPr="000C4F4A">
              <w:t xml:space="preserve"> </w:t>
            </w:r>
          </w:p>
        </w:tc>
        <w:tc>
          <w:tcPr>
            <w:tcW w:w="1190" w:type="dxa"/>
            <w:shd w:val="clear" w:color="auto" w:fill="auto"/>
            <w:vAlign w:val="center"/>
          </w:tcPr>
          <w:p w14:paraId="7A66A724" w14:textId="77777777" w:rsidR="00C00C2F" w:rsidRPr="000C4F4A" w:rsidRDefault="00C00C2F" w:rsidP="001B2B11">
            <w:pPr>
              <w:pStyle w:val="TableTextRight"/>
              <w:spacing w:before="30" w:after="30"/>
            </w:pPr>
            <w:r w:rsidRPr="000C4F4A">
              <w:t>0.1</w:t>
            </w:r>
            <w:r w:rsidR="001F1CF7">
              <w:t>1</w:t>
            </w:r>
          </w:p>
        </w:tc>
      </w:tr>
      <w:tr w:rsidR="00C00C2F" w:rsidRPr="00742ABA" w14:paraId="0DF896FE" w14:textId="77777777" w:rsidTr="003A454A">
        <w:tc>
          <w:tcPr>
            <w:tcW w:w="1029" w:type="dxa"/>
            <w:shd w:val="clear" w:color="auto" w:fill="auto"/>
            <w:vAlign w:val="center"/>
          </w:tcPr>
          <w:p w14:paraId="28DC2994" w14:textId="77777777" w:rsidR="00C00C2F" w:rsidRPr="003522F6" w:rsidRDefault="00C00C2F" w:rsidP="001B2B11">
            <w:pPr>
              <w:pStyle w:val="TableTextLeft"/>
              <w:spacing w:before="30" w:after="30"/>
            </w:pPr>
            <w:r w:rsidRPr="003522F6">
              <w:t>2039</w:t>
            </w:r>
            <w:r>
              <w:noBreakHyphen/>
            </w:r>
            <w:r w:rsidRPr="003522F6">
              <w:t>40</w:t>
            </w:r>
          </w:p>
        </w:tc>
        <w:tc>
          <w:tcPr>
            <w:tcW w:w="784" w:type="dxa"/>
            <w:shd w:val="clear" w:color="auto" w:fill="auto"/>
            <w:vAlign w:val="center"/>
          </w:tcPr>
          <w:p w14:paraId="2133CF4F" w14:textId="77777777" w:rsidR="00C00C2F" w:rsidRPr="00321B9A" w:rsidRDefault="00C00C2F" w:rsidP="001B2B11">
            <w:pPr>
              <w:pStyle w:val="TableTextRight"/>
              <w:spacing w:before="30" w:after="30"/>
            </w:pPr>
            <w:r>
              <w:t>13</w:t>
            </w:r>
          </w:p>
        </w:tc>
        <w:tc>
          <w:tcPr>
            <w:tcW w:w="854" w:type="dxa"/>
            <w:shd w:val="clear" w:color="auto" w:fill="auto"/>
            <w:vAlign w:val="center"/>
          </w:tcPr>
          <w:p w14:paraId="5BA4DA8C" w14:textId="77777777" w:rsidR="00C00C2F" w:rsidRPr="00F331C5" w:rsidRDefault="00C00C2F" w:rsidP="001B2B11">
            <w:pPr>
              <w:pStyle w:val="TableTextRight"/>
              <w:spacing w:before="30" w:after="30"/>
            </w:pPr>
            <w:r w:rsidRPr="00F331C5">
              <w:t xml:space="preserve"> 2,23</w:t>
            </w:r>
            <w:r>
              <w:t>6</w:t>
            </w:r>
            <w:r w:rsidRPr="00F331C5">
              <w:t xml:space="preserve"> </w:t>
            </w:r>
          </w:p>
        </w:tc>
        <w:tc>
          <w:tcPr>
            <w:tcW w:w="798" w:type="dxa"/>
            <w:shd w:val="clear" w:color="auto" w:fill="auto"/>
            <w:vAlign w:val="center"/>
          </w:tcPr>
          <w:p w14:paraId="5E610652" w14:textId="77777777" w:rsidR="00C00C2F" w:rsidRPr="00295984" w:rsidRDefault="002030C5" w:rsidP="001B2B11">
            <w:pPr>
              <w:pStyle w:val="TableTextRight"/>
              <w:spacing w:before="30" w:after="30"/>
            </w:pPr>
            <w:r>
              <w:t>4,1</w:t>
            </w:r>
            <w:r w:rsidR="00113889">
              <w:t>36</w:t>
            </w:r>
          </w:p>
        </w:tc>
        <w:tc>
          <w:tcPr>
            <w:tcW w:w="1693" w:type="dxa"/>
            <w:shd w:val="clear" w:color="auto" w:fill="auto"/>
            <w:vAlign w:val="center"/>
          </w:tcPr>
          <w:p w14:paraId="4B3C7358" w14:textId="77777777" w:rsidR="00C00C2F" w:rsidRPr="00A14C27" w:rsidRDefault="00C00C2F" w:rsidP="003A454A">
            <w:pPr>
              <w:pStyle w:val="TableTextRight"/>
              <w:spacing w:before="30" w:after="30"/>
              <w:ind w:left="-57"/>
            </w:pPr>
            <w:r>
              <w:t>1</w:t>
            </w:r>
            <w:r w:rsidR="00113889">
              <w:t>4</w:t>
            </w:r>
          </w:p>
        </w:tc>
        <w:tc>
          <w:tcPr>
            <w:tcW w:w="798" w:type="dxa"/>
            <w:shd w:val="clear" w:color="auto" w:fill="auto"/>
            <w:vAlign w:val="center"/>
          </w:tcPr>
          <w:p w14:paraId="6921E4F6" w14:textId="77777777" w:rsidR="00C00C2F" w:rsidRPr="000C4F4A" w:rsidRDefault="00C00C2F" w:rsidP="001B2B11">
            <w:pPr>
              <w:pStyle w:val="TableTextRight"/>
              <w:spacing w:before="30" w:after="30"/>
            </w:pPr>
            <w:r w:rsidRPr="000C4F4A">
              <w:t xml:space="preserve"> </w:t>
            </w:r>
            <w:r w:rsidR="001F1CF7">
              <w:t>6</w:t>
            </w:r>
            <w:r w:rsidRPr="000C4F4A">
              <w:t>,</w:t>
            </w:r>
            <w:r w:rsidR="001F1CF7">
              <w:t>3</w:t>
            </w:r>
            <w:r w:rsidR="00113889">
              <w:t>99</w:t>
            </w:r>
            <w:r w:rsidRPr="000C4F4A">
              <w:t xml:space="preserve"> </w:t>
            </w:r>
          </w:p>
        </w:tc>
        <w:tc>
          <w:tcPr>
            <w:tcW w:w="1190" w:type="dxa"/>
            <w:shd w:val="clear" w:color="auto" w:fill="auto"/>
            <w:vAlign w:val="center"/>
          </w:tcPr>
          <w:p w14:paraId="5459A415" w14:textId="77777777" w:rsidR="00C00C2F" w:rsidRPr="000C4F4A" w:rsidRDefault="00C00C2F" w:rsidP="001B2B11">
            <w:pPr>
              <w:pStyle w:val="TableTextRight"/>
              <w:spacing w:before="30" w:after="30"/>
            </w:pPr>
            <w:r w:rsidRPr="000C4F4A">
              <w:t>0.1</w:t>
            </w:r>
            <w:r w:rsidR="001F1CF7">
              <w:t>0</w:t>
            </w:r>
          </w:p>
        </w:tc>
      </w:tr>
      <w:tr w:rsidR="00C00C2F" w:rsidRPr="00742ABA" w14:paraId="4033CAC3" w14:textId="77777777" w:rsidTr="003A454A">
        <w:tc>
          <w:tcPr>
            <w:tcW w:w="1029" w:type="dxa"/>
            <w:shd w:val="clear" w:color="auto" w:fill="auto"/>
            <w:vAlign w:val="center"/>
          </w:tcPr>
          <w:p w14:paraId="14C54E31" w14:textId="77777777" w:rsidR="00C00C2F" w:rsidRPr="003522F6" w:rsidRDefault="00C00C2F" w:rsidP="001B2B11">
            <w:pPr>
              <w:pStyle w:val="TableTextLeft"/>
              <w:spacing w:before="30" w:after="30"/>
            </w:pPr>
            <w:r w:rsidRPr="003522F6">
              <w:t>2044</w:t>
            </w:r>
            <w:r>
              <w:noBreakHyphen/>
            </w:r>
            <w:r w:rsidRPr="003522F6">
              <w:t>45</w:t>
            </w:r>
          </w:p>
        </w:tc>
        <w:tc>
          <w:tcPr>
            <w:tcW w:w="784" w:type="dxa"/>
            <w:shd w:val="clear" w:color="auto" w:fill="auto"/>
            <w:vAlign w:val="center"/>
          </w:tcPr>
          <w:p w14:paraId="70555EF3" w14:textId="77777777" w:rsidR="00C00C2F" w:rsidRPr="00321B9A" w:rsidRDefault="00C00C2F" w:rsidP="001B2B11">
            <w:pPr>
              <w:pStyle w:val="TableTextRight"/>
              <w:spacing w:before="30" w:after="30"/>
            </w:pPr>
            <w:r>
              <w:t>8</w:t>
            </w:r>
          </w:p>
        </w:tc>
        <w:tc>
          <w:tcPr>
            <w:tcW w:w="854" w:type="dxa"/>
            <w:shd w:val="clear" w:color="auto" w:fill="auto"/>
            <w:vAlign w:val="center"/>
          </w:tcPr>
          <w:p w14:paraId="1628967A" w14:textId="77777777" w:rsidR="00C00C2F" w:rsidRPr="00F331C5" w:rsidRDefault="00C00C2F" w:rsidP="001B2B11">
            <w:pPr>
              <w:pStyle w:val="TableTextRight"/>
              <w:spacing w:before="30" w:after="30"/>
            </w:pPr>
            <w:r w:rsidRPr="00F331C5">
              <w:t xml:space="preserve"> 2,14</w:t>
            </w:r>
            <w:r>
              <w:t>8</w:t>
            </w:r>
            <w:r w:rsidRPr="00F331C5">
              <w:t xml:space="preserve"> </w:t>
            </w:r>
          </w:p>
        </w:tc>
        <w:tc>
          <w:tcPr>
            <w:tcW w:w="798" w:type="dxa"/>
            <w:shd w:val="clear" w:color="auto" w:fill="auto"/>
            <w:vAlign w:val="center"/>
          </w:tcPr>
          <w:p w14:paraId="2E218616" w14:textId="77777777" w:rsidR="00C00C2F" w:rsidRPr="00295984" w:rsidRDefault="002030C5" w:rsidP="001B2B11">
            <w:pPr>
              <w:pStyle w:val="TableTextRight"/>
              <w:spacing w:before="30" w:after="30"/>
            </w:pPr>
            <w:r>
              <w:t>5,</w:t>
            </w:r>
            <w:r w:rsidR="00113889">
              <w:t>443</w:t>
            </w:r>
          </w:p>
        </w:tc>
        <w:tc>
          <w:tcPr>
            <w:tcW w:w="1693" w:type="dxa"/>
            <w:shd w:val="clear" w:color="auto" w:fill="auto"/>
            <w:vAlign w:val="center"/>
          </w:tcPr>
          <w:p w14:paraId="5721C392" w14:textId="77777777" w:rsidR="00C00C2F" w:rsidRPr="00A14C27" w:rsidRDefault="006549D6" w:rsidP="003A454A">
            <w:pPr>
              <w:pStyle w:val="TableTextRight"/>
              <w:spacing w:before="30" w:after="30"/>
              <w:ind w:left="-57"/>
            </w:pPr>
            <w:r>
              <w:t>6</w:t>
            </w:r>
          </w:p>
        </w:tc>
        <w:tc>
          <w:tcPr>
            <w:tcW w:w="798" w:type="dxa"/>
            <w:shd w:val="clear" w:color="auto" w:fill="auto"/>
            <w:vAlign w:val="center"/>
          </w:tcPr>
          <w:p w14:paraId="4558A01D" w14:textId="77777777" w:rsidR="00C00C2F" w:rsidRPr="000C4F4A" w:rsidRDefault="00C00C2F" w:rsidP="001B2B11">
            <w:pPr>
              <w:pStyle w:val="TableTextRight"/>
              <w:spacing w:before="30" w:after="30"/>
            </w:pPr>
            <w:r w:rsidRPr="000C4F4A">
              <w:t xml:space="preserve"> </w:t>
            </w:r>
            <w:r w:rsidR="001F1CF7">
              <w:t>7</w:t>
            </w:r>
            <w:r w:rsidRPr="000C4F4A">
              <w:t>,</w:t>
            </w:r>
            <w:r w:rsidR="00113889">
              <w:t>606</w:t>
            </w:r>
            <w:r w:rsidRPr="000C4F4A">
              <w:t xml:space="preserve"> </w:t>
            </w:r>
          </w:p>
        </w:tc>
        <w:tc>
          <w:tcPr>
            <w:tcW w:w="1190" w:type="dxa"/>
            <w:shd w:val="clear" w:color="auto" w:fill="auto"/>
            <w:vAlign w:val="center"/>
          </w:tcPr>
          <w:p w14:paraId="74035DD6" w14:textId="77777777" w:rsidR="00C00C2F" w:rsidRPr="000C4F4A" w:rsidRDefault="00C00C2F" w:rsidP="001B2B11">
            <w:pPr>
              <w:pStyle w:val="TableTextRight"/>
              <w:spacing w:before="30" w:after="30"/>
            </w:pPr>
            <w:r w:rsidRPr="000C4F4A">
              <w:t>0.</w:t>
            </w:r>
            <w:r w:rsidR="001F1CF7">
              <w:t>09</w:t>
            </w:r>
          </w:p>
        </w:tc>
      </w:tr>
      <w:tr w:rsidR="00C00C2F" w:rsidRPr="00742ABA" w14:paraId="38336F36" w14:textId="77777777" w:rsidTr="003A454A">
        <w:tc>
          <w:tcPr>
            <w:tcW w:w="1029" w:type="dxa"/>
            <w:shd w:val="clear" w:color="auto" w:fill="auto"/>
            <w:vAlign w:val="center"/>
          </w:tcPr>
          <w:p w14:paraId="1DF66399" w14:textId="77777777" w:rsidR="00C00C2F" w:rsidRPr="003522F6" w:rsidRDefault="00C00C2F" w:rsidP="001B2B11">
            <w:pPr>
              <w:pStyle w:val="TableTextLeft"/>
              <w:spacing w:before="30" w:after="30"/>
            </w:pPr>
            <w:r>
              <w:t>2049-50</w:t>
            </w:r>
          </w:p>
        </w:tc>
        <w:tc>
          <w:tcPr>
            <w:tcW w:w="784" w:type="dxa"/>
            <w:shd w:val="clear" w:color="auto" w:fill="auto"/>
            <w:vAlign w:val="center"/>
          </w:tcPr>
          <w:p w14:paraId="1057A65F" w14:textId="77777777" w:rsidR="00C00C2F" w:rsidRDefault="00C00C2F" w:rsidP="001B2B11">
            <w:pPr>
              <w:pStyle w:val="TableTextRight"/>
              <w:spacing w:before="30" w:after="30"/>
            </w:pPr>
            <w:r>
              <w:t>4</w:t>
            </w:r>
          </w:p>
        </w:tc>
        <w:tc>
          <w:tcPr>
            <w:tcW w:w="854" w:type="dxa"/>
            <w:shd w:val="clear" w:color="auto" w:fill="auto"/>
            <w:vAlign w:val="center"/>
          </w:tcPr>
          <w:p w14:paraId="0D96506C" w14:textId="77777777" w:rsidR="00C00C2F" w:rsidRPr="00F331C5" w:rsidRDefault="00C00C2F" w:rsidP="001B2B11">
            <w:pPr>
              <w:pStyle w:val="TableTextRight"/>
              <w:spacing w:before="30" w:after="30"/>
            </w:pPr>
            <w:r w:rsidRPr="00F331C5">
              <w:t xml:space="preserve"> 1,92</w:t>
            </w:r>
            <w:r>
              <w:t>5</w:t>
            </w:r>
            <w:r w:rsidRPr="00F331C5">
              <w:t xml:space="preserve"> </w:t>
            </w:r>
          </w:p>
        </w:tc>
        <w:tc>
          <w:tcPr>
            <w:tcW w:w="798" w:type="dxa"/>
            <w:shd w:val="clear" w:color="auto" w:fill="auto"/>
            <w:vAlign w:val="center"/>
          </w:tcPr>
          <w:p w14:paraId="5A9804C4" w14:textId="77777777" w:rsidR="00C00C2F" w:rsidRPr="00295984" w:rsidRDefault="002030C5" w:rsidP="001B2B11">
            <w:pPr>
              <w:pStyle w:val="TableTextRight"/>
              <w:spacing w:before="30" w:after="30"/>
            </w:pPr>
            <w:r>
              <w:t>6,</w:t>
            </w:r>
            <w:r w:rsidR="00113889">
              <w:t>747</w:t>
            </w:r>
          </w:p>
        </w:tc>
        <w:tc>
          <w:tcPr>
            <w:tcW w:w="1693" w:type="dxa"/>
            <w:shd w:val="clear" w:color="auto" w:fill="auto"/>
            <w:vAlign w:val="center"/>
          </w:tcPr>
          <w:p w14:paraId="14FBC2A0" w14:textId="77777777" w:rsidR="00C00C2F" w:rsidRPr="00A14C27" w:rsidRDefault="00C00C2F" w:rsidP="003A454A">
            <w:pPr>
              <w:pStyle w:val="TableTextRight"/>
              <w:spacing w:before="30" w:after="30"/>
              <w:ind w:left="-57"/>
            </w:pPr>
            <w:r>
              <w:t>-</w:t>
            </w:r>
          </w:p>
        </w:tc>
        <w:tc>
          <w:tcPr>
            <w:tcW w:w="798" w:type="dxa"/>
            <w:shd w:val="clear" w:color="auto" w:fill="auto"/>
            <w:vAlign w:val="center"/>
          </w:tcPr>
          <w:p w14:paraId="19662B6D" w14:textId="77777777" w:rsidR="00C00C2F" w:rsidRPr="000C4F4A" w:rsidRDefault="00C00C2F" w:rsidP="001B2B11">
            <w:pPr>
              <w:pStyle w:val="TableTextRight"/>
              <w:spacing w:before="30" w:after="30"/>
            </w:pPr>
            <w:r w:rsidRPr="000C4F4A">
              <w:t xml:space="preserve"> </w:t>
            </w:r>
            <w:r w:rsidR="001F1CF7">
              <w:t>8</w:t>
            </w:r>
            <w:r w:rsidRPr="000C4F4A">
              <w:t>,</w:t>
            </w:r>
            <w:r w:rsidR="00113889">
              <w:t>677</w:t>
            </w:r>
            <w:r w:rsidRPr="000C4F4A">
              <w:t xml:space="preserve"> </w:t>
            </w:r>
          </w:p>
        </w:tc>
        <w:tc>
          <w:tcPr>
            <w:tcW w:w="1190" w:type="dxa"/>
            <w:shd w:val="clear" w:color="auto" w:fill="auto"/>
            <w:vAlign w:val="center"/>
          </w:tcPr>
          <w:p w14:paraId="7F9CAA05" w14:textId="77777777" w:rsidR="00C00C2F" w:rsidRPr="000C4F4A" w:rsidRDefault="00C00C2F" w:rsidP="001B2B11">
            <w:pPr>
              <w:pStyle w:val="TableTextRight"/>
              <w:spacing w:before="30" w:after="30"/>
            </w:pPr>
            <w:r w:rsidRPr="000C4F4A">
              <w:t>0.</w:t>
            </w:r>
            <w:r w:rsidR="001F1CF7">
              <w:t>08</w:t>
            </w:r>
          </w:p>
        </w:tc>
      </w:tr>
      <w:tr w:rsidR="00C00C2F" w:rsidRPr="00742ABA" w14:paraId="2E6C49AF" w14:textId="77777777" w:rsidTr="003A454A">
        <w:tc>
          <w:tcPr>
            <w:tcW w:w="1029" w:type="dxa"/>
            <w:tcBorders>
              <w:bottom w:val="single" w:sz="2" w:space="0" w:color="auto"/>
            </w:tcBorders>
            <w:shd w:val="clear" w:color="auto" w:fill="auto"/>
            <w:vAlign w:val="center"/>
          </w:tcPr>
          <w:p w14:paraId="283E4BF3" w14:textId="77777777" w:rsidR="00C00C2F" w:rsidRPr="00660890" w:rsidRDefault="00C00C2F" w:rsidP="001B2B11">
            <w:pPr>
              <w:pStyle w:val="TableTextLeft"/>
              <w:spacing w:before="30" w:after="30"/>
            </w:pPr>
            <w:r w:rsidRPr="00660890">
              <w:t>20</w:t>
            </w:r>
            <w:r>
              <w:t>54</w:t>
            </w:r>
            <w:r>
              <w:noBreakHyphen/>
              <w:t>55</w:t>
            </w:r>
          </w:p>
        </w:tc>
        <w:tc>
          <w:tcPr>
            <w:tcW w:w="784" w:type="dxa"/>
            <w:tcBorders>
              <w:bottom w:val="single" w:sz="2" w:space="0" w:color="auto"/>
            </w:tcBorders>
            <w:shd w:val="clear" w:color="auto" w:fill="auto"/>
            <w:vAlign w:val="center"/>
          </w:tcPr>
          <w:p w14:paraId="78F4813D" w14:textId="77777777" w:rsidR="00C00C2F" w:rsidRPr="00321B9A" w:rsidRDefault="00C00C2F" w:rsidP="001B2B11">
            <w:pPr>
              <w:pStyle w:val="TableTextRight"/>
              <w:spacing w:before="30" w:after="30"/>
            </w:pPr>
            <w:r>
              <w:t>2</w:t>
            </w:r>
          </w:p>
        </w:tc>
        <w:tc>
          <w:tcPr>
            <w:tcW w:w="854" w:type="dxa"/>
            <w:tcBorders>
              <w:bottom w:val="single" w:sz="2" w:space="0" w:color="auto"/>
            </w:tcBorders>
            <w:shd w:val="clear" w:color="auto" w:fill="auto"/>
            <w:vAlign w:val="center"/>
          </w:tcPr>
          <w:p w14:paraId="570F0ACD" w14:textId="77777777" w:rsidR="00C00C2F" w:rsidRDefault="00C00C2F" w:rsidP="001B2B11">
            <w:pPr>
              <w:pStyle w:val="TableTextRight"/>
              <w:spacing w:before="30" w:after="30"/>
            </w:pPr>
            <w:r w:rsidRPr="00F331C5">
              <w:t xml:space="preserve"> 1,57</w:t>
            </w:r>
            <w:r>
              <w:t>7</w:t>
            </w:r>
            <w:r w:rsidRPr="00F331C5">
              <w:t xml:space="preserve"> </w:t>
            </w:r>
          </w:p>
        </w:tc>
        <w:tc>
          <w:tcPr>
            <w:tcW w:w="798" w:type="dxa"/>
            <w:tcBorders>
              <w:bottom w:val="single" w:sz="2" w:space="0" w:color="auto"/>
            </w:tcBorders>
            <w:shd w:val="clear" w:color="auto" w:fill="auto"/>
            <w:vAlign w:val="center"/>
          </w:tcPr>
          <w:p w14:paraId="771E4E3C" w14:textId="77777777" w:rsidR="00C00C2F" w:rsidRPr="001C1F72" w:rsidRDefault="002030C5" w:rsidP="001B2B11">
            <w:pPr>
              <w:pStyle w:val="TableTextRight"/>
              <w:spacing w:before="30" w:after="30"/>
            </w:pPr>
            <w:r w:rsidRPr="001C1F72">
              <w:t>7,</w:t>
            </w:r>
            <w:r w:rsidR="00113889" w:rsidRPr="001C1F72">
              <w:t>4</w:t>
            </w:r>
            <w:r w:rsidR="001C1F72" w:rsidRPr="001C1F72">
              <w:t>95</w:t>
            </w:r>
          </w:p>
        </w:tc>
        <w:tc>
          <w:tcPr>
            <w:tcW w:w="1693" w:type="dxa"/>
            <w:tcBorders>
              <w:bottom w:val="single" w:sz="2" w:space="0" w:color="auto"/>
            </w:tcBorders>
            <w:shd w:val="clear" w:color="auto" w:fill="auto"/>
            <w:vAlign w:val="center"/>
          </w:tcPr>
          <w:p w14:paraId="60AC45FC" w14:textId="77777777" w:rsidR="00C00C2F" w:rsidRPr="001C1F72" w:rsidRDefault="00C00C2F" w:rsidP="003A454A">
            <w:pPr>
              <w:pStyle w:val="TableTextRight"/>
              <w:spacing w:before="30" w:after="30"/>
              <w:ind w:left="-57"/>
            </w:pPr>
            <w:r w:rsidRPr="001C1F72">
              <w:t>-</w:t>
            </w:r>
          </w:p>
        </w:tc>
        <w:tc>
          <w:tcPr>
            <w:tcW w:w="798" w:type="dxa"/>
            <w:tcBorders>
              <w:bottom w:val="single" w:sz="2" w:space="0" w:color="auto"/>
            </w:tcBorders>
            <w:shd w:val="clear" w:color="auto" w:fill="auto"/>
            <w:vAlign w:val="center"/>
          </w:tcPr>
          <w:p w14:paraId="4C05CDDB" w14:textId="77777777" w:rsidR="00C00C2F" w:rsidRPr="001C1F72" w:rsidRDefault="00C00C2F" w:rsidP="001B2B11">
            <w:pPr>
              <w:pStyle w:val="TableTextRight"/>
              <w:spacing w:before="30" w:after="30"/>
            </w:pPr>
            <w:r w:rsidRPr="001C1F72">
              <w:t xml:space="preserve"> </w:t>
            </w:r>
            <w:r w:rsidR="00113889" w:rsidRPr="001C1F72">
              <w:t>9</w:t>
            </w:r>
            <w:r w:rsidRPr="001C1F72">
              <w:t>,</w:t>
            </w:r>
            <w:r w:rsidR="00DD714D" w:rsidRPr="001C1F72">
              <w:t>074</w:t>
            </w:r>
            <w:r w:rsidRPr="001C1F72">
              <w:t xml:space="preserve"> </w:t>
            </w:r>
          </w:p>
        </w:tc>
        <w:tc>
          <w:tcPr>
            <w:tcW w:w="1190" w:type="dxa"/>
            <w:tcBorders>
              <w:bottom w:val="single" w:sz="2" w:space="0" w:color="auto"/>
            </w:tcBorders>
            <w:shd w:val="clear" w:color="auto" w:fill="auto"/>
            <w:vAlign w:val="center"/>
          </w:tcPr>
          <w:p w14:paraId="15B72753" w14:textId="77777777" w:rsidR="00C00C2F" w:rsidRDefault="00C00C2F" w:rsidP="001B2B11">
            <w:pPr>
              <w:pStyle w:val="TableTextRight"/>
              <w:spacing w:before="30" w:after="30"/>
            </w:pPr>
            <w:r w:rsidRPr="000C4F4A">
              <w:t>0.</w:t>
            </w:r>
            <w:r w:rsidR="001F1CF7">
              <w:t>07</w:t>
            </w:r>
          </w:p>
        </w:tc>
      </w:tr>
    </w:tbl>
    <w:p w14:paraId="0B5390B3" w14:textId="77777777" w:rsidR="008D7616" w:rsidRDefault="008D7616" w:rsidP="002F13EB">
      <w:pPr>
        <w:pStyle w:val="ChartorTableNote"/>
      </w:pPr>
      <w:r>
        <w:t>Note: The components may not add exactly to the total due to rounding.</w:t>
      </w:r>
    </w:p>
    <w:p w14:paraId="1FE2D981" w14:textId="77777777" w:rsidR="00C00C2F" w:rsidRPr="00262AC8" w:rsidRDefault="00C00C2F" w:rsidP="002F13EB">
      <w:pPr>
        <w:pStyle w:val="ChartandTableFootnoteNumeral"/>
        <w:numPr>
          <w:ilvl w:val="0"/>
          <w:numId w:val="44"/>
        </w:numPr>
      </w:pPr>
      <w:r w:rsidRPr="00262AC8">
        <w:t xml:space="preserve">These figures have </w:t>
      </w:r>
      <w:r w:rsidRPr="002F13EB">
        <w:rPr>
          <w:b/>
        </w:rPr>
        <w:t>not</w:t>
      </w:r>
      <w:r w:rsidRPr="00262AC8">
        <w:t xml:space="preserve"> been adjusted to 20</w:t>
      </w:r>
      <w:r>
        <w:t>14</w:t>
      </w:r>
      <w:r w:rsidRPr="00262AC8">
        <w:t xml:space="preserve"> dollars</w:t>
      </w:r>
      <w:r w:rsidR="001F1CF7">
        <w:t xml:space="preserve"> and do not include cash outlays relating to the proposed new accumulation superannuation scheme ADF Super</w:t>
      </w:r>
      <w:r w:rsidR="000A12C9">
        <w:t xml:space="preserve"> or the associated scheme for death and invalidity cover, ADF Cover</w:t>
      </w:r>
      <w:r w:rsidRPr="00262AC8">
        <w:t>.</w:t>
      </w:r>
    </w:p>
    <w:p w14:paraId="5CBEDF5C" w14:textId="77777777" w:rsidR="00C00C2F" w:rsidRDefault="00C00C2F" w:rsidP="002F13EB">
      <w:pPr>
        <w:pStyle w:val="ChartandTableFootnoteNumeral"/>
      </w:pPr>
      <w:r>
        <w:t>Prior to 2008-09, DFRB outlays were included in the DFRDB figures.</w:t>
      </w:r>
    </w:p>
    <w:p w14:paraId="218BC0CA" w14:textId="77777777" w:rsidR="00C00C2F" w:rsidRDefault="001F1CF7" w:rsidP="002F13EB">
      <w:pPr>
        <w:pStyle w:val="ChartandTableFootnoteNumeral"/>
      </w:pPr>
      <w:r>
        <w:t>These figures a</w:t>
      </w:r>
      <w:r w:rsidR="00C00C2F">
        <w:t>ssume</w:t>
      </w:r>
      <w:r>
        <w:t xml:space="preserve"> the</w:t>
      </w:r>
      <w:r w:rsidR="00C00C2F">
        <w:t xml:space="preserve"> MSBS is closed to new members from 1 July 2016 with no transfers from MSBS to ADF Super.</w:t>
      </w:r>
    </w:p>
    <w:p w14:paraId="096FBC3C" w14:textId="77777777" w:rsidR="00C00C2F" w:rsidRDefault="00C00C2F" w:rsidP="002F13EB">
      <w:pPr>
        <w:pStyle w:val="ChartandTableFootnoteNumeral"/>
      </w:pPr>
      <w:r>
        <w:t>The SG contributions paid in 2008-09 only covered three quarterly payments whereas 2009-10 covered five quarterly payments. Subsequent years include four quarterly payments.</w:t>
      </w:r>
    </w:p>
    <w:p w14:paraId="1E94FBC7" w14:textId="77777777" w:rsidR="00C00C2F" w:rsidRDefault="00C00C2F" w:rsidP="002F13EB">
      <w:pPr>
        <w:pStyle w:val="ChartandTableFootnoteNumeral"/>
      </w:pPr>
      <w:r w:rsidRPr="00262AC8">
        <w:t>The figures up to 20</w:t>
      </w:r>
      <w:r>
        <w:t>13</w:t>
      </w:r>
      <w:r>
        <w:noBreakHyphen/>
        <w:t>14</w:t>
      </w:r>
      <w:r w:rsidRPr="00262AC8">
        <w:t xml:space="preserve"> reflect the actual expenditure in those years.</w:t>
      </w:r>
    </w:p>
    <w:p w14:paraId="548BBAB0" w14:textId="77777777" w:rsidR="000A12C9" w:rsidRDefault="00C00C2F" w:rsidP="002F13EB">
      <w:pPr>
        <w:pStyle w:val="ChartandTableFootnoteNumeral"/>
      </w:pPr>
      <w:r>
        <w:t>2010-11 was a 27 pension pay day year and hence had higher expenditure than normal.</w:t>
      </w:r>
      <w:r w:rsidR="00C81B76">
        <w:t xml:space="preserve"> No allowance is made for future 27 payday years in the projections</w:t>
      </w:r>
    </w:p>
    <w:p w14:paraId="0F85D106" w14:textId="77777777" w:rsidR="00C00C2F" w:rsidRDefault="00C00C2F" w:rsidP="002F13EB">
      <w:pPr>
        <w:pStyle w:val="SingleParagraph"/>
      </w:pPr>
    </w:p>
    <w:p w14:paraId="1BB099EA" w14:textId="1D334301" w:rsidR="00052A87" w:rsidRPr="00857BB6" w:rsidRDefault="00052A87" w:rsidP="00E27038">
      <w:pPr>
        <w:pStyle w:val="BodyText"/>
      </w:pPr>
      <w:r w:rsidRPr="00857BB6">
        <w:lastRenderedPageBreak/>
        <w:t xml:space="preserve">The </w:t>
      </w:r>
      <w:r>
        <w:t>chart</w:t>
      </w:r>
      <w:r w:rsidRPr="00857BB6">
        <w:t xml:space="preserve"> below shows total projected outlays as a pe</w:t>
      </w:r>
      <w:r>
        <w:t>rcentage of GDP over the next 4</w:t>
      </w:r>
      <w:r w:rsidR="001608FA">
        <w:t>1</w:t>
      </w:r>
      <w:r w:rsidR="00DF4AD2">
        <w:t> </w:t>
      </w:r>
      <w:r w:rsidRPr="00857BB6">
        <w:t>years</w:t>
      </w:r>
      <w:r>
        <w:t xml:space="preserve">. </w:t>
      </w:r>
      <w:r w:rsidRPr="00857BB6">
        <w:t xml:space="preserve">For comparison purposes, </w:t>
      </w:r>
      <w:r>
        <w:t>actual outlays since 199</w:t>
      </w:r>
      <w:r w:rsidR="00BF521A">
        <w:t>9</w:t>
      </w:r>
      <w:r>
        <w:t xml:space="preserve"> and the</w:t>
      </w:r>
      <w:r w:rsidRPr="00857BB6">
        <w:t xml:space="preserve"> projection of the equivalent figures </w:t>
      </w:r>
      <w:r>
        <w:t>taken</w:t>
      </w:r>
      <w:r w:rsidRPr="00857BB6">
        <w:t xml:space="preserve"> from the 20</w:t>
      </w:r>
      <w:r w:rsidR="00FA445D">
        <w:t>11</w:t>
      </w:r>
      <w:r w:rsidRPr="00857BB6">
        <w:t xml:space="preserve"> Report </w:t>
      </w:r>
      <w:r>
        <w:t>are</w:t>
      </w:r>
      <w:r w:rsidRPr="00857BB6">
        <w:t xml:space="preserve"> </w:t>
      </w:r>
      <w:r>
        <w:t xml:space="preserve">also </w:t>
      </w:r>
      <w:r w:rsidRPr="00857BB6">
        <w:t>shown.</w:t>
      </w:r>
    </w:p>
    <w:p w14:paraId="610D6B77" w14:textId="05E678D3" w:rsidR="00052A87" w:rsidRPr="002F13EB" w:rsidRDefault="00052A87" w:rsidP="002F13EB">
      <w:pPr>
        <w:pStyle w:val="ChartMainHeading"/>
      </w:pPr>
      <w:r w:rsidRPr="002F13EB">
        <w:t>Actual and projected Commonwealth outlays as a percentage of GDP</w:t>
      </w:r>
    </w:p>
    <w:p w14:paraId="5AE09CAE" w14:textId="77777777" w:rsidR="00FA445D" w:rsidRPr="00FA445D" w:rsidRDefault="00763C0D" w:rsidP="002F13EB">
      <w:pPr>
        <w:pStyle w:val="ChartGraphic"/>
        <w:ind w:left="567"/>
      </w:pPr>
      <w:r w:rsidRPr="00763C0D">
        <w:rPr>
          <w:noProof/>
          <w:lang w:val="en-US" w:eastAsia="en-US"/>
        </w:rPr>
        <w:drawing>
          <wp:inline distT="0" distB="0" distL="0" distR="0" wp14:anchorId="0E51951C" wp14:editId="08FBF3E7">
            <wp:extent cx="4536000" cy="2986702"/>
            <wp:effectExtent l="0" t="0" r="0" b="4445"/>
            <wp:docPr id="7" name="Picture 7" descr="This chart shows actual and projected cash costs of the military superannuation schemes as a percentage of GDP from 1999 to 2055.  Actual costs decreased from 0.18 per cent at 30 June 1999 to 0.13 per cent at 30 June 2014.  Costs are projected to decrease to around 0.07 per cent of GDP by 30 June 2055 under MSBS closure from 1 July 2016 (compared with 0.10 per cent of GDP assuming MSBS remains open)." title="Actual and projected Commonwealth outlays as a percentage of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299" t="1995" r="5904" b="4240"/>
                    <a:stretch/>
                  </pic:blipFill>
                  <pic:spPr bwMode="auto">
                    <a:xfrm>
                      <a:off x="0" y="0"/>
                      <a:ext cx="4536000" cy="2986702"/>
                    </a:xfrm>
                    <a:prstGeom prst="rect">
                      <a:avLst/>
                    </a:prstGeom>
                    <a:noFill/>
                    <a:ln>
                      <a:noFill/>
                    </a:ln>
                    <a:extLst>
                      <a:ext uri="{53640926-AAD7-44D8-BBD7-CCE9431645EC}">
                        <a14:shadowObscured xmlns:a14="http://schemas.microsoft.com/office/drawing/2010/main"/>
                      </a:ext>
                    </a:extLst>
                  </pic:spPr>
                </pic:pic>
              </a:graphicData>
            </a:graphic>
          </wp:inline>
        </w:drawing>
      </w:r>
    </w:p>
    <w:p w14:paraId="3066D106" w14:textId="77777777" w:rsidR="002F13EB" w:rsidRDefault="002F13EB" w:rsidP="002F13EB">
      <w:pPr>
        <w:pStyle w:val="SingleParagraph"/>
      </w:pPr>
    </w:p>
    <w:p w14:paraId="75E7A0FD" w14:textId="77777777" w:rsidR="00052A87" w:rsidRDefault="00A16B0C" w:rsidP="00004D12">
      <w:pPr>
        <w:pStyle w:val="BodyText"/>
        <w:spacing w:before="0"/>
      </w:pPr>
      <w:r>
        <w:t>O</w:t>
      </w:r>
      <w:r w:rsidR="00052A87" w:rsidRPr="00857BB6">
        <w:t>utlays as a percentage of GDP gradually decline over the projection period</w:t>
      </w:r>
      <w:r w:rsidR="00AB1DDA" w:rsidRPr="00AB1DDA">
        <w:t xml:space="preserve"> </w:t>
      </w:r>
      <w:r w:rsidR="00AB1DDA">
        <w:t>under the scenario where the MSBS remains open to new ADF personnel</w:t>
      </w:r>
      <w:r w:rsidR="00052A87">
        <w:t xml:space="preserve">. </w:t>
      </w:r>
      <w:r w:rsidR="00052A87" w:rsidRPr="00857BB6">
        <w:t>The</w:t>
      </w:r>
      <w:r w:rsidR="00B63EA8">
        <w:t xml:space="preserve"> main reason</w:t>
      </w:r>
      <w:r w:rsidR="00052A87" w:rsidRPr="00857BB6">
        <w:t xml:space="preserve"> for this reduction</w:t>
      </w:r>
      <w:r w:rsidR="00B63EA8">
        <w:t xml:space="preserve"> is that </w:t>
      </w:r>
      <w:r w:rsidR="00052A87" w:rsidRPr="00857BB6">
        <w:t xml:space="preserve">the number of </w:t>
      </w:r>
      <w:r w:rsidR="00052A87">
        <w:t>ADF</w:t>
      </w:r>
      <w:r w:rsidR="00052A87" w:rsidRPr="00857BB6">
        <w:t xml:space="preserve"> personnel is assumed to remain constant at the 30</w:t>
      </w:r>
      <w:r w:rsidR="00052A87">
        <w:t> J</w:t>
      </w:r>
      <w:r w:rsidR="00052A87" w:rsidRPr="00857BB6">
        <w:t>une</w:t>
      </w:r>
      <w:r w:rsidR="00052A87">
        <w:t> 2</w:t>
      </w:r>
      <w:r w:rsidR="00052A87" w:rsidRPr="00857BB6">
        <w:t>0</w:t>
      </w:r>
      <w:r w:rsidR="00B63EA8">
        <w:t>1</w:t>
      </w:r>
      <w:r w:rsidR="00FA445D">
        <w:t>4</w:t>
      </w:r>
      <w:r w:rsidR="00052A87" w:rsidRPr="00857BB6">
        <w:t xml:space="preserve"> level, and so to fall as a percentage of the total population</w:t>
      </w:r>
      <w:r w:rsidR="00B63EA8">
        <w:t>.</w:t>
      </w:r>
      <w:r w:rsidR="00052A87">
        <w:t xml:space="preserve"> </w:t>
      </w:r>
    </w:p>
    <w:p w14:paraId="52180BAF" w14:textId="4880813A" w:rsidR="00BA1AA1" w:rsidRDefault="000D62B8" w:rsidP="00BA1AA1">
      <w:pPr>
        <w:pStyle w:val="BodyText"/>
      </w:pPr>
      <w:r>
        <w:t>In GDP terms</w:t>
      </w:r>
      <w:r w:rsidR="005C5B77">
        <w:t>, t</w:t>
      </w:r>
      <w:r w:rsidR="00A16B0C">
        <w:t>he projection as at June 201</w:t>
      </w:r>
      <w:r w:rsidR="00C1566A">
        <w:t>4</w:t>
      </w:r>
      <w:r w:rsidR="001302C6">
        <w:t xml:space="preserve"> is</w:t>
      </w:r>
      <w:r w:rsidR="00C1566A">
        <w:t xml:space="preserve"> </w:t>
      </w:r>
      <w:r w:rsidR="001302C6">
        <w:t>higher</w:t>
      </w:r>
      <w:r w:rsidR="00A16B0C">
        <w:t xml:space="preserve"> than the projection as at June</w:t>
      </w:r>
      <w:r w:rsidR="00DF4AD2">
        <w:t> </w:t>
      </w:r>
      <w:r w:rsidR="00A16B0C">
        <w:t>20</w:t>
      </w:r>
      <w:r w:rsidR="00C1566A">
        <w:t>11</w:t>
      </w:r>
      <w:r w:rsidR="001302C6">
        <w:t xml:space="preserve"> except for the later years of the projection period</w:t>
      </w:r>
      <w:r w:rsidR="00A16B0C">
        <w:t xml:space="preserve">. </w:t>
      </w:r>
      <w:r w:rsidR="00910FCC">
        <w:t>In the medium term, t</w:t>
      </w:r>
      <w:r w:rsidR="00FE6BCA">
        <w:t xml:space="preserve">his </w:t>
      </w:r>
      <w:r w:rsidR="00501C86">
        <w:t xml:space="preserve">increase in outlays </w:t>
      </w:r>
      <w:r w:rsidR="00FE6BCA">
        <w:t xml:space="preserve">is mostly due to the changed indexation arrangements for DFRB and DFRDB pensioners </w:t>
      </w:r>
      <w:r w:rsidR="00501C86">
        <w:t>and</w:t>
      </w:r>
      <w:r w:rsidR="00303EB5">
        <w:t>,</w:t>
      </w:r>
      <w:r w:rsidR="00501C86">
        <w:t xml:space="preserve"> to a lesser degree</w:t>
      </w:r>
      <w:r w:rsidR="00303EB5">
        <w:t>,</w:t>
      </w:r>
      <w:r w:rsidR="00501C86">
        <w:t xml:space="preserve"> </w:t>
      </w:r>
      <w:r w:rsidR="00976409">
        <w:t xml:space="preserve">due to </w:t>
      </w:r>
      <w:r w:rsidR="00501C86">
        <w:t>the increased invalidity</w:t>
      </w:r>
      <w:r w:rsidR="00303EB5">
        <w:t xml:space="preserve"> exit</w:t>
      </w:r>
      <w:r w:rsidR="00501C86">
        <w:t xml:space="preserve"> rates for MSBS contributors. </w:t>
      </w:r>
      <w:r>
        <w:t>In the very long term, the impact of the improved pension indexation arrangements for DFRB and DFRDB diminishes as pensioner numbers decline due to death and the effect of assuming higher GDP gr</w:t>
      </w:r>
      <w:r w:rsidR="00EB28DD">
        <w:t>owth rates for the current long-</w:t>
      </w:r>
      <w:r>
        <w:t xml:space="preserve">term cost report </w:t>
      </w:r>
      <w:r w:rsidR="00BA1AA1">
        <w:t xml:space="preserve">relative to the 2011 Report </w:t>
      </w:r>
      <w:r>
        <w:t xml:space="preserve">results in a slight reduction in </w:t>
      </w:r>
      <w:r w:rsidR="00214898">
        <w:t xml:space="preserve">projected </w:t>
      </w:r>
      <w:r>
        <w:t>cash outlays expressed as a percentage of GDP.</w:t>
      </w:r>
    </w:p>
    <w:p w14:paraId="7F85297D" w14:textId="77777777" w:rsidR="00BA1AA1" w:rsidRDefault="00BA1AA1" w:rsidP="00BA1AA1">
      <w:pPr>
        <w:pStyle w:val="BodyText"/>
      </w:pPr>
      <w:r>
        <w:lastRenderedPageBreak/>
        <w:t xml:space="preserve">A further factor behind the increase in </w:t>
      </w:r>
      <w:r w:rsidR="00CC4723">
        <w:t xml:space="preserve">short term </w:t>
      </w:r>
      <w:r>
        <w:t>cash outlays expressed as a percentage of GDP was that o</w:t>
      </w:r>
      <w:r w:rsidRPr="00287303">
        <w:t>ver the three years to 2014, GDP was lower than that projected in 2011.</w:t>
      </w:r>
      <w:r>
        <w:t xml:space="preserve"> </w:t>
      </w:r>
    </w:p>
    <w:p w14:paraId="32959659" w14:textId="261683F9" w:rsidR="00052A87" w:rsidRDefault="00052A87" w:rsidP="00E27038">
      <w:pPr>
        <w:pStyle w:val="BodyText"/>
      </w:pPr>
      <w:r w:rsidRPr="00BF0B98">
        <w:t>Actual expenditure</w:t>
      </w:r>
      <w:r w:rsidR="00BB6BDD">
        <w:t xml:space="preserve">, both in </w:t>
      </w:r>
      <w:r w:rsidR="000D62B8">
        <w:t>GDP terms</w:t>
      </w:r>
      <w:r w:rsidR="000D62B8" w:rsidRPr="000D62B8">
        <w:t xml:space="preserve"> </w:t>
      </w:r>
      <w:r w:rsidR="00BB6BDD">
        <w:t xml:space="preserve">and </w:t>
      </w:r>
      <w:r w:rsidR="000D62B8">
        <w:t>dollar terms</w:t>
      </w:r>
      <w:r w:rsidR="00BB6BDD">
        <w:t>,</w:t>
      </w:r>
      <w:r w:rsidRPr="00BF0B98">
        <w:t xml:space="preserve"> in 20</w:t>
      </w:r>
      <w:r w:rsidR="00501C86">
        <w:t>12</w:t>
      </w:r>
      <w:r>
        <w:noBreakHyphen/>
      </w:r>
      <w:r w:rsidR="00501C86">
        <w:t>13</w:t>
      </w:r>
      <w:r w:rsidRPr="00BF0B98">
        <w:t xml:space="preserve"> and 20</w:t>
      </w:r>
      <w:r w:rsidR="00501C86">
        <w:t>13</w:t>
      </w:r>
      <w:r>
        <w:noBreakHyphen/>
      </w:r>
      <w:r w:rsidR="00C41931">
        <w:t>1</w:t>
      </w:r>
      <w:r w:rsidR="00501C86">
        <w:t>4</w:t>
      </w:r>
      <w:r w:rsidRPr="00BF0B98">
        <w:t xml:space="preserve"> was </w:t>
      </w:r>
      <w:r w:rsidR="00DE2E06">
        <w:t>slightly</w:t>
      </w:r>
      <w:r w:rsidR="00C41931">
        <w:t xml:space="preserve"> lower than </w:t>
      </w:r>
      <w:r w:rsidRPr="00BF0B98">
        <w:t>the projections made in the 20</w:t>
      </w:r>
      <w:r w:rsidR="00501C86">
        <w:t>11</w:t>
      </w:r>
      <w:r w:rsidRPr="00BF0B98">
        <w:t xml:space="preserve"> Report. </w:t>
      </w:r>
      <w:r w:rsidR="00C41931">
        <w:t xml:space="preserve">This </w:t>
      </w:r>
      <w:r w:rsidR="00850814">
        <w:t>can be largely attributed</w:t>
      </w:r>
      <w:r w:rsidR="00C41931">
        <w:t xml:space="preserve"> to the low</w:t>
      </w:r>
      <w:r w:rsidR="00DE2E06">
        <w:t>er than expected</w:t>
      </w:r>
      <w:r w:rsidR="00C41931">
        <w:t xml:space="preserve"> exit rates from DFRDB</w:t>
      </w:r>
      <w:r w:rsidR="005C5B77">
        <w:t xml:space="preserve"> (discussed in Chapter 4)</w:t>
      </w:r>
      <w:r w:rsidR="00C41931">
        <w:t xml:space="preserve"> wh</w:t>
      </w:r>
      <w:r w:rsidR="00F55CC0">
        <w:t>ic</w:t>
      </w:r>
      <w:r w:rsidR="00C41931">
        <w:t xml:space="preserve">h </w:t>
      </w:r>
      <w:r w:rsidR="00DE2E06">
        <w:t>has the effect of</w:t>
      </w:r>
      <w:r w:rsidR="00C41931">
        <w:t xml:space="preserve"> reduc</w:t>
      </w:r>
      <w:r w:rsidR="00DE2E06">
        <w:t>ing</w:t>
      </w:r>
      <w:r w:rsidR="00C41931">
        <w:t xml:space="preserve"> lump sum </w:t>
      </w:r>
      <w:r w:rsidR="0057379F">
        <w:t>payments arising from commutation of pensions and the 3</w:t>
      </w:r>
      <w:r w:rsidR="00976409">
        <w:t> per cent productivity benefit</w:t>
      </w:r>
      <w:r w:rsidR="00303EB5">
        <w:t xml:space="preserve">. </w:t>
      </w:r>
    </w:p>
    <w:p w14:paraId="2FB5AA6D" w14:textId="77777777" w:rsidR="00E46EF3" w:rsidRPr="00E46EF3" w:rsidRDefault="00052A87" w:rsidP="00E27038">
      <w:pPr>
        <w:pStyle w:val="BodyText"/>
      </w:pPr>
      <w:r>
        <w:t xml:space="preserve">Overall, the projected outlays </w:t>
      </w:r>
      <w:r w:rsidR="008E2AD3">
        <w:t xml:space="preserve">in nominal dollar terms </w:t>
      </w:r>
      <w:r>
        <w:t>for the next 4</w:t>
      </w:r>
      <w:r w:rsidR="001608FA">
        <w:t>1</w:t>
      </w:r>
      <w:r>
        <w:t xml:space="preserve"> years</w:t>
      </w:r>
      <w:r w:rsidR="00303EB5">
        <w:t>,</w:t>
      </w:r>
      <w:r>
        <w:t xml:space="preserve"> </w:t>
      </w:r>
      <w:r w:rsidR="00303EB5">
        <w:t xml:space="preserve">assuming the MSBS remains open, </w:t>
      </w:r>
      <w:r>
        <w:t>are higher than the projections from the 20</w:t>
      </w:r>
      <w:r w:rsidR="00854C9F">
        <w:t>11</w:t>
      </w:r>
      <w:r>
        <w:t xml:space="preserve"> Report, </w:t>
      </w:r>
      <w:r w:rsidR="00852ECA">
        <w:t xml:space="preserve">reaching around 10 per </w:t>
      </w:r>
      <w:r w:rsidR="00573637">
        <w:t xml:space="preserve">cent higher in 15 to 25 years. </w:t>
      </w:r>
      <w:r w:rsidR="008E2AD3">
        <w:t>The same</w:t>
      </w:r>
      <w:r>
        <w:t xml:space="preserve"> </w:t>
      </w:r>
      <w:r w:rsidR="003B5792">
        <w:t>two main</w:t>
      </w:r>
      <w:r>
        <w:t xml:space="preserve"> fact</w:t>
      </w:r>
      <w:r w:rsidR="00BB6BDD">
        <w:t xml:space="preserve">ors </w:t>
      </w:r>
      <w:r w:rsidR="008E2AD3">
        <w:t>behind the outcome in GDP terms</w:t>
      </w:r>
      <w:r w:rsidR="001608FA">
        <w:t>, namely improved pension indexation arrangements for DFRB and DFRDB,</w:t>
      </w:r>
      <w:r w:rsidR="00EF1201">
        <w:t xml:space="preserve"> and</w:t>
      </w:r>
      <w:r w:rsidR="001608FA">
        <w:t xml:space="preserve"> increased invalidity exit rates for MSBS contributors,</w:t>
      </w:r>
      <w:r w:rsidR="008E2AD3">
        <w:t xml:space="preserve"> apply here as well.</w:t>
      </w:r>
    </w:p>
    <w:p w14:paraId="6757E61F" w14:textId="5574FCDE" w:rsidR="00303EB5" w:rsidRDefault="00303EB5" w:rsidP="00E27038">
      <w:pPr>
        <w:pStyle w:val="BodyText"/>
      </w:pPr>
      <w:r>
        <w:t>Were the MSBS to be closed to new members in 2016, there would be a reduction in cash outlays for the MSBS. However, it does take some time for the reduction to become significant. This is because in the short to medium t</w:t>
      </w:r>
      <w:r w:rsidR="00604980">
        <w:t>erm most of the cash outlays are</w:t>
      </w:r>
      <w:r>
        <w:t xml:space="preserve"> locked in as they reside with the current MSBS membership. </w:t>
      </w:r>
      <w:r w:rsidR="007864F5">
        <w:t>T</w:t>
      </w:r>
      <w:r>
        <w:t>he projected Commonwealth outlays</w:t>
      </w:r>
      <w:r w:rsidR="00604980">
        <w:t xml:space="preserve"> shown</w:t>
      </w:r>
      <w:r w:rsidR="00EF1201">
        <w:t xml:space="preserve"> in paragraph</w:t>
      </w:r>
      <w:r>
        <w:t xml:space="preserve"> 6.1 with the MSBS closed to new members from 2016 do not include any Commonwealth outlays for the new ADF Super and ADF Cover.</w:t>
      </w:r>
    </w:p>
    <w:p w14:paraId="32241AE4" w14:textId="7CA7A4A7" w:rsidR="00052A87" w:rsidRDefault="00052A87" w:rsidP="00052A87">
      <w:pPr>
        <w:pStyle w:val="BodyText"/>
      </w:pPr>
      <w:r>
        <w:t xml:space="preserve">Given the projected decline in costs as a percentage of GDP, the </w:t>
      </w:r>
      <w:r w:rsidR="001608FA">
        <w:t>existence</w:t>
      </w:r>
      <w:r>
        <w:t xml:space="preserve"> of the Future Fund and the implicit Commonwealth guarantee to pay benefits, </w:t>
      </w:r>
      <w:r w:rsidR="00757432">
        <w:t>I</w:t>
      </w:r>
      <w:r w:rsidR="00556353">
        <w:t> </w:t>
      </w:r>
      <w:r>
        <w:t>believe that the current method of funding benefits is adequate from the perspective of the continuing financial viability of the schemes.</w:t>
      </w:r>
      <w:bookmarkStart w:id="88" w:name="_Toc135119211"/>
      <w:bookmarkStart w:id="89" w:name="_Toc136856499"/>
    </w:p>
    <w:p w14:paraId="2E285853" w14:textId="77777777" w:rsidR="001C502B" w:rsidRPr="001C502B" w:rsidRDefault="001C502B" w:rsidP="001C502B"/>
    <w:p w14:paraId="5CD1242B" w14:textId="77777777" w:rsidR="001C502B" w:rsidRPr="001C502B" w:rsidRDefault="001C502B" w:rsidP="001C502B"/>
    <w:p w14:paraId="5E65726A" w14:textId="77777777" w:rsidR="001C502B" w:rsidRPr="001C502B" w:rsidRDefault="001C502B" w:rsidP="001C502B">
      <w:pPr>
        <w:sectPr w:rsidR="001C502B" w:rsidRPr="001C502B" w:rsidSect="000E6C41">
          <w:headerReference w:type="default" r:id="rId48"/>
          <w:headerReference w:type="first" r:id="rId49"/>
          <w:footerReference w:type="first" r:id="rId50"/>
          <w:type w:val="oddPage"/>
          <w:pgSz w:w="11906" w:h="16838" w:code="9"/>
          <w:pgMar w:top="2466" w:right="2098" w:bottom="2466" w:left="2098" w:header="1899" w:footer="1899" w:gutter="0"/>
          <w:cols w:space="708"/>
          <w:titlePg/>
          <w:docGrid w:linePitch="360"/>
        </w:sectPr>
      </w:pPr>
    </w:p>
    <w:p w14:paraId="74E342D1" w14:textId="77777777" w:rsidR="00052A87" w:rsidRPr="00490A07" w:rsidRDefault="00052A87" w:rsidP="001F546B">
      <w:pPr>
        <w:pStyle w:val="Heading1"/>
      </w:pPr>
      <w:bookmarkStart w:id="90" w:name="_Toc232828406"/>
      <w:bookmarkStart w:id="91" w:name="_Toc425770494"/>
      <w:r w:rsidRPr="00490A07">
        <w:lastRenderedPageBreak/>
        <w:t>Unfunded liabilities</w:t>
      </w:r>
      <w:bookmarkEnd w:id="88"/>
      <w:bookmarkEnd w:id="89"/>
      <w:bookmarkEnd w:id="90"/>
      <w:bookmarkEnd w:id="91"/>
    </w:p>
    <w:p w14:paraId="4D8744DC" w14:textId="77777777" w:rsidR="00052A87" w:rsidRPr="00857BB6" w:rsidRDefault="00052A87" w:rsidP="00C52707">
      <w:pPr>
        <w:pStyle w:val="BodyText"/>
      </w:pPr>
      <w:r w:rsidRPr="00857BB6">
        <w:t xml:space="preserve">The unfunded liabilities are the liabilities for superannuation entitlements in respect of service already rendered to the </w:t>
      </w:r>
      <w:r>
        <w:t>ADF</w:t>
      </w:r>
      <w:r w:rsidRPr="00857BB6">
        <w:t xml:space="preserve"> for which no assets are held</w:t>
      </w:r>
      <w:r>
        <w:t xml:space="preserve">. </w:t>
      </w:r>
      <w:r w:rsidR="0005760D">
        <w:t xml:space="preserve">For this purpose, as discussed in paragraph </w:t>
      </w:r>
      <w:r w:rsidR="0005760D">
        <w:fldChar w:fldCharType="begin"/>
      </w:r>
      <w:r w:rsidR="0005760D">
        <w:instrText xml:space="preserve"> REF _Ref324516707 \r \h </w:instrText>
      </w:r>
      <w:r w:rsidR="0005760D">
        <w:fldChar w:fldCharType="separate"/>
      </w:r>
      <w:r w:rsidR="00B82BC4">
        <w:t>1.9</w:t>
      </w:r>
      <w:r w:rsidR="0005760D">
        <w:fldChar w:fldCharType="end"/>
      </w:r>
      <w:r w:rsidR="0005760D">
        <w:t xml:space="preserve">, assets held in the Future Fund are not considered to be held against the scheme liabilities. </w:t>
      </w:r>
      <w:r w:rsidRPr="00857BB6">
        <w:t>These liabilities do not fall due until the rules of the schemes provide for benefits to be payable, which is generally when members retire, and so they are spread over many years into the future</w:t>
      </w:r>
      <w:r>
        <w:t xml:space="preserve">. </w:t>
      </w:r>
      <w:r w:rsidRPr="00857BB6">
        <w:t xml:space="preserve">They have been calculated as the present value of all of the liabilities accrued in respect of </w:t>
      </w:r>
      <w:r>
        <w:t>past service</w:t>
      </w:r>
      <w:r w:rsidRPr="00857BB6">
        <w:t xml:space="preserve"> less the value of the assets held in the MSBS</w:t>
      </w:r>
      <w:r>
        <w:t xml:space="preserve"> Fund</w:t>
      </w:r>
      <w:r w:rsidR="00C42EBC">
        <w:t>. The assets attributable to</w:t>
      </w:r>
      <w:r w:rsidR="00CB46B1">
        <w:t xml:space="preserve"> the </w:t>
      </w:r>
      <w:r w:rsidR="00C42EBC">
        <w:t xml:space="preserve">fully funded </w:t>
      </w:r>
      <w:r w:rsidR="00CB46B1">
        <w:t xml:space="preserve">ancillary section </w:t>
      </w:r>
      <w:r w:rsidR="00C42EBC">
        <w:t>of MSBS and the associated accumulation benefit liabilities are excluded from this calculation.</w:t>
      </w:r>
    </w:p>
    <w:p w14:paraId="59698C34" w14:textId="74AE9008" w:rsidR="00052A87" w:rsidRDefault="00052A87" w:rsidP="00C52707">
      <w:pPr>
        <w:pStyle w:val="BodyText"/>
      </w:pPr>
      <w:r w:rsidRPr="00857BB6">
        <w:t>The net present value of unfunded liab</w:t>
      </w:r>
      <w:r>
        <w:t>ilities was calculated to be $</w:t>
      </w:r>
      <w:r w:rsidR="006573EA">
        <w:t>57</w:t>
      </w:r>
      <w:r w:rsidR="003546ED">
        <w:t>.</w:t>
      </w:r>
      <w:r w:rsidR="000D4BE7">
        <w:t>5</w:t>
      </w:r>
      <w:r w:rsidR="00FF0A0B">
        <w:t> </w:t>
      </w:r>
      <w:r>
        <w:t>billion as at 30</w:t>
      </w:r>
      <w:r w:rsidR="00DF4AD2">
        <w:t> </w:t>
      </w:r>
      <w:r>
        <w:t>June 20</w:t>
      </w:r>
      <w:r w:rsidR="00A14330">
        <w:t>1</w:t>
      </w:r>
      <w:r w:rsidR="006573EA">
        <w:t>4</w:t>
      </w:r>
      <w:r>
        <w:t xml:space="preserve">. This </w:t>
      </w:r>
      <w:r w:rsidR="00A14330">
        <w:t>is</w:t>
      </w:r>
      <w:r>
        <w:t xml:space="preserve"> </w:t>
      </w:r>
      <w:r w:rsidR="003546ED">
        <w:t>3.</w:t>
      </w:r>
      <w:r w:rsidR="006573EA">
        <w:t>6</w:t>
      </w:r>
      <w:r>
        <w:t xml:space="preserve"> per cent</w:t>
      </w:r>
      <w:r w:rsidR="00D01D62">
        <w:t xml:space="preserve"> of</w:t>
      </w:r>
      <w:r w:rsidR="00A14330">
        <w:t xml:space="preserve"> </w:t>
      </w:r>
      <w:r w:rsidRPr="00857BB6">
        <w:t>GDP</w:t>
      </w:r>
      <w:r>
        <w:t xml:space="preserve">. </w:t>
      </w:r>
      <w:r w:rsidRPr="00857BB6">
        <w:t>The net present value of unfunde</w:t>
      </w:r>
      <w:r>
        <w:t>d liabilities reported as at 30 June 20</w:t>
      </w:r>
      <w:r w:rsidR="006573EA">
        <w:t>11</w:t>
      </w:r>
      <w:r>
        <w:t xml:space="preserve"> was $</w:t>
      </w:r>
      <w:r w:rsidR="006573EA">
        <w:t>45</w:t>
      </w:r>
      <w:r w:rsidR="00A14330" w:rsidRPr="00A14330">
        <w:t>.</w:t>
      </w:r>
      <w:r w:rsidR="006573EA">
        <w:t>2</w:t>
      </w:r>
      <w:r w:rsidR="00FF0A0B">
        <w:t> </w:t>
      </w:r>
      <w:r>
        <w:t xml:space="preserve">billion or </w:t>
      </w:r>
      <w:r w:rsidRPr="00A14330">
        <w:t>3.</w:t>
      </w:r>
      <w:r w:rsidR="006573EA">
        <w:t>3</w:t>
      </w:r>
      <w:r>
        <w:t xml:space="preserve"> per cent</w:t>
      </w:r>
      <w:r w:rsidRPr="00857BB6">
        <w:t xml:space="preserve"> of GDP</w:t>
      </w:r>
      <w:r>
        <w:t xml:space="preserve">. </w:t>
      </w:r>
    </w:p>
    <w:p w14:paraId="41349064" w14:textId="6E8AFF4A" w:rsidR="00052A87" w:rsidRPr="000D4BE7" w:rsidRDefault="00052A87" w:rsidP="00C52707">
      <w:pPr>
        <w:pStyle w:val="BodyText"/>
      </w:pPr>
      <w:r w:rsidRPr="000D4BE7">
        <w:t>The 20</w:t>
      </w:r>
      <w:r w:rsidR="00AC3871" w:rsidRPr="000D4BE7">
        <w:t>11</w:t>
      </w:r>
      <w:r w:rsidRPr="000D4BE7">
        <w:t xml:space="preserve"> Report projected that unfunded liabilities would be $</w:t>
      </w:r>
      <w:r w:rsidR="00AC3871" w:rsidRPr="000D4BE7">
        <w:t>51</w:t>
      </w:r>
      <w:r w:rsidR="00A14330" w:rsidRPr="000D4BE7">
        <w:t>.</w:t>
      </w:r>
      <w:r w:rsidR="00AC3871" w:rsidRPr="000D4BE7">
        <w:t>9</w:t>
      </w:r>
      <w:r w:rsidR="00A14330" w:rsidRPr="000D4BE7">
        <w:t xml:space="preserve"> </w:t>
      </w:r>
      <w:r w:rsidRPr="000D4BE7">
        <w:t>billion as at</w:t>
      </w:r>
      <w:r w:rsidR="00DF4AD2">
        <w:br/>
      </w:r>
      <w:r w:rsidRPr="000D4BE7">
        <w:t>30 June 20</w:t>
      </w:r>
      <w:r w:rsidR="00A14330" w:rsidRPr="000D4BE7">
        <w:t>1</w:t>
      </w:r>
      <w:r w:rsidR="00AC3871" w:rsidRPr="000D4BE7">
        <w:t>4</w:t>
      </w:r>
      <w:r w:rsidRPr="000D4BE7">
        <w:t>, or 3.</w:t>
      </w:r>
      <w:r w:rsidR="00CB46B1">
        <w:t>2</w:t>
      </w:r>
      <w:r w:rsidRPr="000D4BE7">
        <w:t xml:space="preserve"> per cent of GDP for 20</w:t>
      </w:r>
      <w:r w:rsidR="00B63EA8" w:rsidRPr="000D4BE7">
        <w:t>1</w:t>
      </w:r>
      <w:r w:rsidR="00AC3871" w:rsidRPr="000D4BE7">
        <w:t>4</w:t>
      </w:r>
      <w:r w:rsidRPr="000D4BE7">
        <w:t>. Liabilities are therefore higher than w</w:t>
      </w:r>
      <w:r w:rsidR="00CC4723">
        <w:t>as</w:t>
      </w:r>
      <w:r w:rsidRPr="000D4BE7">
        <w:t xml:space="preserve"> projected at the last report in dollar </w:t>
      </w:r>
      <w:r w:rsidR="00AC3871" w:rsidRPr="000D4BE7">
        <w:t>and GDP terms</w:t>
      </w:r>
      <w:r w:rsidRPr="000D4BE7">
        <w:t xml:space="preserve">. The change in the </w:t>
      </w:r>
      <w:r w:rsidR="00AC3871" w:rsidRPr="000D4BE7">
        <w:t xml:space="preserve">DFRB and DFRDB pension indexation arrangements has been the key driver </w:t>
      </w:r>
      <w:r w:rsidR="007864F5">
        <w:t>of</w:t>
      </w:r>
      <w:r w:rsidR="00AC3871" w:rsidRPr="000D4BE7">
        <w:t xml:space="preserve"> this outcome. </w:t>
      </w:r>
      <w:r w:rsidR="00CB46B1">
        <w:t>This has added around $5 billion to the unfunded liability which is equivalent to 0.3 per cent of GDP.</w:t>
      </w:r>
      <w:r w:rsidR="00AC3871" w:rsidRPr="000D4BE7">
        <w:t xml:space="preserve"> </w:t>
      </w:r>
      <w:r w:rsidR="003546ED" w:rsidRPr="000D4BE7">
        <w:t xml:space="preserve">The </w:t>
      </w:r>
      <w:r w:rsidR="00AC3871" w:rsidRPr="000D4BE7">
        <w:t xml:space="preserve">increased invalidity </w:t>
      </w:r>
      <w:r w:rsidR="00CB46B1">
        <w:t xml:space="preserve">exit </w:t>
      </w:r>
      <w:r w:rsidR="00AC3871" w:rsidRPr="000D4BE7">
        <w:t xml:space="preserve">rates </w:t>
      </w:r>
      <w:r w:rsidR="00CB46B1">
        <w:t xml:space="preserve">assumed </w:t>
      </w:r>
      <w:r w:rsidR="00AC3871" w:rsidRPr="000D4BE7">
        <w:t xml:space="preserve">for MSBS contributors </w:t>
      </w:r>
      <w:r w:rsidR="00C42EBC">
        <w:t>are a lesser, but still significant,</w:t>
      </w:r>
      <w:r w:rsidR="003546ED" w:rsidRPr="000D4BE7">
        <w:t xml:space="preserve"> </w:t>
      </w:r>
      <w:r w:rsidR="00C42EBC">
        <w:t xml:space="preserve">contributory </w:t>
      </w:r>
      <w:r w:rsidR="003546ED" w:rsidRPr="000D4BE7">
        <w:t>factor</w:t>
      </w:r>
      <w:r w:rsidRPr="000D4BE7">
        <w:t>.</w:t>
      </w:r>
      <w:r w:rsidR="00AC3871" w:rsidRPr="000D4BE7">
        <w:t xml:space="preserve"> </w:t>
      </w:r>
      <w:r w:rsidRPr="000D4BE7">
        <w:t>Had the assumptions used for the 20</w:t>
      </w:r>
      <w:r w:rsidR="00AC3871" w:rsidRPr="000D4BE7">
        <w:t>11</w:t>
      </w:r>
      <w:r w:rsidR="00DA35E1">
        <w:t xml:space="preserve"> Report been retained for this r</w:t>
      </w:r>
      <w:r w:rsidRPr="000D4BE7">
        <w:t>eport</w:t>
      </w:r>
      <w:r w:rsidR="00D01D62" w:rsidRPr="000D4BE7">
        <w:t>,</w:t>
      </w:r>
      <w:r w:rsidRPr="000D4BE7">
        <w:t xml:space="preserve"> the unfunded liabilities would have been $</w:t>
      </w:r>
      <w:r w:rsidR="00E87E74" w:rsidRPr="000D4BE7">
        <w:t>5</w:t>
      </w:r>
      <w:r w:rsidR="00CB46B1">
        <w:t>6.9</w:t>
      </w:r>
      <w:r w:rsidRPr="000D4BE7">
        <w:t xml:space="preserve"> billion.</w:t>
      </w:r>
    </w:p>
    <w:p w14:paraId="18941C94" w14:textId="2E93BC6B" w:rsidR="00052A87" w:rsidRPr="003546ED" w:rsidRDefault="00052A87" w:rsidP="00C52707">
      <w:pPr>
        <w:pStyle w:val="BodyText"/>
      </w:pPr>
      <w:r w:rsidRPr="00506820">
        <w:t>The unfunded liability for</w:t>
      </w:r>
      <w:r w:rsidR="00B63EA8" w:rsidRPr="00506820">
        <w:t xml:space="preserve"> the DFRB is $0.5 billion, for</w:t>
      </w:r>
      <w:r w:rsidRPr="00506820">
        <w:t xml:space="preserve"> the DFRDB is $</w:t>
      </w:r>
      <w:r w:rsidR="00506820" w:rsidRPr="00506820">
        <w:t>30</w:t>
      </w:r>
      <w:r w:rsidRPr="00506820">
        <w:t>.</w:t>
      </w:r>
      <w:r w:rsidR="001C6647">
        <w:t>3</w:t>
      </w:r>
      <w:r w:rsidR="00FF0A0B">
        <w:t> </w:t>
      </w:r>
      <w:r w:rsidRPr="00506820">
        <w:t>billion and the equivalent figure for the MSBS is $</w:t>
      </w:r>
      <w:r w:rsidR="00506820" w:rsidRPr="00506820">
        <w:t>26</w:t>
      </w:r>
      <w:r w:rsidR="003546ED" w:rsidRPr="00506820">
        <w:t>.</w:t>
      </w:r>
      <w:r w:rsidR="000D4BE7">
        <w:t>7</w:t>
      </w:r>
      <w:r w:rsidRPr="00506820">
        <w:t xml:space="preserve"> billion. These figures are </w:t>
      </w:r>
      <w:r w:rsidR="00B63EA8" w:rsidRPr="00506820">
        <w:t>lower</w:t>
      </w:r>
      <w:r w:rsidRPr="00506820">
        <w:t xml:space="preserve"> than the estimates used for the Financial Statements for the Departm</w:t>
      </w:r>
      <w:r w:rsidR="00BB6BDD" w:rsidRPr="00506820">
        <w:t>ent of Defence as at 30</w:t>
      </w:r>
      <w:r w:rsidR="00DF4AD2">
        <w:t> </w:t>
      </w:r>
      <w:r w:rsidR="00BB6BDD" w:rsidRPr="00506820">
        <w:t>June 20</w:t>
      </w:r>
      <w:r w:rsidR="00B63EA8" w:rsidRPr="00506820">
        <w:t>1</w:t>
      </w:r>
      <w:r w:rsidR="00506820" w:rsidRPr="00506820">
        <w:t>4</w:t>
      </w:r>
      <w:r w:rsidR="00BF521A" w:rsidRPr="00506820">
        <w:t xml:space="preserve"> </w:t>
      </w:r>
      <w:r w:rsidRPr="00506820">
        <w:t xml:space="preserve">of </w:t>
      </w:r>
      <w:r w:rsidR="00145C7A" w:rsidRPr="00506820">
        <w:t>$0.6</w:t>
      </w:r>
      <w:r w:rsidR="00B63EA8" w:rsidRPr="00506820">
        <w:t xml:space="preserve"> billion for the DFRB, of </w:t>
      </w:r>
      <w:r w:rsidRPr="00506820">
        <w:t>$</w:t>
      </w:r>
      <w:r w:rsidR="00506820" w:rsidRPr="00506820">
        <w:t>40</w:t>
      </w:r>
      <w:r w:rsidR="00145C7A" w:rsidRPr="00506820">
        <w:t>.</w:t>
      </w:r>
      <w:r w:rsidR="00506820" w:rsidRPr="00506820">
        <w:t>7</w:t>
      </w:r>
      <w:r w:rsidRPr="00506820">
        <w:t xml:space="preserve"> billion for the DFRDB and $</w:t>
      </w:r>
      <w:r w:rsidR="00506820" w:rsidRPr="00506820">
        <w:t>41</w:t>
      </w:r>
      <w:r w:rsidR="003546ED" w:rsidRPr="00506820">
        <w:t>.</w:t>
      </w:r>
      <w:r w:rsidR="00506820" w:rsidRPr="00506820">
        <w:t>6</w:t>
      </w:r>
      <w:r w:rsidR="00DF4AD2">
        <w:t> </w:t>
      </w:r>
      <w:r w:rsidRPr="00506820">
        <w:t xml:space="preserve">billion for MSBS. The major </w:t>
      </w:r>
      <w:r w:rsidR="00B96B0D">
        <w:t xml:space="preserve">reason for this </w:t>
      </w:r>
      <w:r w:rsidRPr="00506820">
        <w:t>is</w:t>
      </w:r>
      <w:r w:rsidRPr="003546ED">
        <w:t xml:space="preserve"> the discount rate which is required to be used under the relevant</w:t>
      </w:r>
      <w:r w:rsidR="00BB6BDD">
        <w:t xml:space="preserve"> accounting standard,</w:t>
      </w:r>
      <w:r w:rsidRPr="003546ED">
        <w:t xml:space="preserve"> AASB 119</w:t>
      </w:r>
      <w:r w:rsidR="00BB6BDD">
        <w:t>,</w:t>
      </w:r>
      <w:r w:rsidRPr="003546ED">
        <w:t xml:space="preserve"> to value the liabilities for Financial Statement purposes. The </w:t>
      </w:r>
      <w:r w:rsidR="00C42EBC">
        <w:t xml:space="preserve">nominal </w:t>
      </w:r>
      <w:r w:rsidRPr="003546ED">
        <w:t xml:space="preserve">discount rate used for AASB 119 reporting was </w:t>
      </w:r>
      <w:r w:rsidR="00506820">
        <w:t>4</w:t>
      </w:r>
      <w:r w:rsidR="00A0157E" w:rsidRPr="003546ED">
        <w:t>.</w:t>
      </w:r>
      <w:r w:rsidR="00506820">
        <w:t>1</w:t>
      </w:r>
      <w:r w:rsidRPr="003546ED">
        <w:t xml:space="preserve"> per cent </w:t>
      </w:r>
      <w:r w:rsidR="00B96B0D">
        <w:t xml:space="preserve">per annum </w:t>
      </w:r>
      <w:r w:rsidRPr="003546ED">
        <w:t xml:space="preserve">compared with the </w:t>
      </w:r>
      <w:r w:rsidR="00C42EBC">
        <w:t xml:space="preserve">nominal </w:t>
      </w:r>
      <w:r w:rsidRPr="003546ED">
        <w:t xml:space="preserve">6 per cent </w:t>
      </w:r>
      <w:r w:rsidR="00B96B0D">
        <w:t xml:space="preserve">per annum </w:t>
      </w:r>
      <w:r w:rsidRPr="003546ED">
        <w:t xml:space="preserve">used for this report. The </w:t>
      </w:r>
      <w:r w:rsidR="00A0157E" w:rsidRPr="003546ED">
        <w:t>lower</w:t>
      </w:r>
      <w:r w:rsidRPr="003546ED">
        <w:t xml:space="preserve"> the discount rate used, the </w:t>
      </w:r>
      <w:r w:rsidR="00A0157E" w:rsidRPr="003546ED">
        <w:t xml:space="preserve">higher </w:t>
      </w:r>
      <w:r w:rsidRPr="003546ED">
        <w:t xml:space="preserve">the unfunded liability. The issues associated with reporting under AASB 119 are discussed further, later in this chapter. </w:t>
      </w:r>
    </w:p>
    <w:p w14:paraId="70E09627" w14:textId="77777777" w:rsidR="00094377" w:rsidRDefault="00094377">
      <w:pPr>
        <w:spacing w:before="0" w:after="0" w:line="240" w:lineRule="auto"/>
        <w:jc w:val="left"/>
      </w:pPr>
      <w:r>
        <w:br w:type="page"/>
      </w:r>
    </w:p>
    <w:p w14:paraId="535B110C" w14:textId="60993705" w:rsidR="002F13EB" w:rsidRPr="0009519F" w:rsidRDefault="00052A87" w:rsidP="0009519F">
      <w:pPr>
        <w:pStyle w:val="BodyText"/>
      </w:pPr>
      <w:r w:rsidRPr="003546ED">
        <w:lastRenderedPageBreak/>
        <w:t>A breakdown of the unfunded liabilities between contributors, pensioners and preserved members by scheme is shown in the following table.</w:t>
      </w:r>
    </w:p>
    <w:p w14:paraId="622C787C" w14:textId="300E51E9" w:rsidR="00052A87" w:rsidRPr="003546ED" w:rsidRDefault="00052A87" w:rsidP="00052A87">
      <w:pPr>
        <w:pStyle w:val="TableMainHeading"/>
      </w:pPr>
      <w:r w:rsidRPr="003546ED">
        <w:t>Estimate of unfunded liabilities as at 30 June 20</w:t>
      </w:r>
      <w:r w:rsidR="00C52707" w:rsidRPr="003546ED">
        <w:t>1</w:t>
      </w:r>
      <w:r w:rsidR="00506820">
        <w:t>4</w:t>
      </w:r>
    </w:p>
    <w:tbl>
      <w:tblPr>
        <w:tblW w:w="0" w:type="auto"/>
        <w:tblInd w:w="674" w:type="dxa"/>
        <w:tblBorders>
          <w:top w:val="single" w:sz="2" w:space="0" w:color="000000"/>
          <w:bottom w:val="single" w:sz="2" w:space="0" w:color="000000"/>
        </w:tblBorders>
        <w:tblLayout w:type="fixed"/>
        <w:tblCellMar>
          <w:left w:w="107" w:type="dxa"/>
          <w:right w:w="107" w:type="dxa"/>
        </w:tblCellMar>
        <w:tblLook w:val="0000" w:firstRow="0" w:lastRow="0" w:firstColumn="0" w:lastColumn="0" w:noHBand="0" w:noVBand="0"/>
      </w:tblPr>
      <w:tblGrid>
        <w:gridCol w:w="3062"/>
        <w:gridCol w:w="1361"/>
        <w:gridCol w:w="1361"/>
        <w:gridCol w:w="1361"/>
      </w:tblGrid>
      <w:tr w:rsidR="00C52707" w:rsidRPr="003546ED" w14:paraId="2EEB2759" w14:textId="77777777" w:rsidTr="003A454A">
        <w:tc>
          <w:tcPr>
            <w:tcW w:w="3062" w:type="dxa"/>
            <w:tcBorders>
              <w:top w:val="single" w:sz="2" w:space="0" w:color="000000"/>
              <w:bottom w:val="single" w:sz="2" w:space="0" w:color="000000"/>
            </w:tcBorders>
            <w:shd w:val="clear" w:color="auto" w:fill="E6E6E6"/>
          </w:tcPr>
          <w:p w14:paraId="5F171592" w14:textId="77777777" w:rsidR="00C52707" w:rsidRPr="003546ED" w:rsidRDefault="00C52707" w:rsidP="00052A87">
            <w:pPr>
              <w:pStyle w:val="TableColumnHeadingLeft"/>
            </w:pPr>
            <w:r w:rsidRPr="003546ED">
              <w:t>Category of members</w:t>
            </w:r>
          </w:p>
        </w:tc>
        <w:tc>
          <w:tcPr>
            <w:tcW w:w="1361" w:type="dxa"/>
            <w:tcBorders>
              <w:top w:val="single" w:sz="2" w:space="0" w:color="000000"/>
              <w:bottom w:val="single" w:sz="2" w:space="0" w:color="000000"/>
            </w:tcBorders>
            <w:shd w:val="clear" w:color="auto" w:fill="E6E6E6"/>
          </w:tcPr>
          <w:p w14:paraId="13A36ACB" w14:textId="77777777" w:rsidR="00C52707" w:rsidRPr="003546ED" w:rsidRDefault="00D01D62" w:rsidP="00052A87">
            <w:pPr>
              <w:pStyle w:val="TableColumnHeadingRight"/>
            </w:pPr>
            <w:r>
              <w:t>DFR</w:t>
            </w:r>
            <w:r w:rsidR="00C52707" w:rsidRPr="003546ED">
              <w:t>B</w:t>
            </w:r>
            <w:r w:rsidR="00C52707" w:rsidRPr="003546ED">
              <w:br/>
              <w:t>($b)</w:t>
            </w:r>
          </w:p>
        </w:tc>
        <w:tc>
          <w:tcPr>
            <w:tcW w:w="1361" w:type="dxa"/>
            <w:tcBorders>
              <w:top w:val="single" w:sz="2" w:space="0" w:color="000000"/>
              <w:bottom w:val="single" w:sz="2" w:space="0" w:color="000000"/>
            </w:tcBorders>
            <w:shd w:val="clear" w:color="auto" w:fill="E6E6E6"/>
          </w:tcPr>
          <w:p w14:paraId="7F449EAC" w14:textId="77777777" w:rsidR="00C52707" w:rsidRPr="003546ED" w:rsidRDefault="00C52707" w:rsidP="00052A87">
            <w:pPr>
              <w:pStyle w:val="TableColumnHeadingRight"/>
            </w:pPr>
            <w:r w:rsidRPr="003546ED">
              <w:t>DFRDB</w:t>
            </w:r>
            <w:r w:rsidRPr="003546ED">
              <w:br/>
              <w:t>($b)</w:t>
            </w:r>
          </w:p>
        </w:tc>
        <w:tc>
          <w:tcPr>
            <w:tcW w:w="1361" w:type="dxa"/>
            <w:tcBorders>
              <w:top w:val="single" w:sz="2" w:space="0" w:color="000000"/>
              <w:bottom w:val="single" w:sz="2" w:space="0" w:color="000000"/>
            </w:tcBorders>
            <w:shd w:val="clear" w:color="auto" w:fill="E6E6E6"/>
          </w:tcPr>
          <w:p w14:paraId="06881DC8" w14:textId="77777777" w:rsidR="00C52707" w:rsidRPr="003546ED" w:rsidRDefault="00C52707" w:rsidP="00052A87">
            <w:pPr>
              <w:pStyle w:val="TableColumnHeadingRight"/>
            </w:pPr>
            <w:r w:rsidRPr="003546ED">
              <w:t>MSBS</w:t>
            </w:r>
            <w:r w:rsidRPr="003546ED">
              <w:br/>
              <w:t>($b)</w:t>
            </w:r>
          </w:p>
        </w:tc>
      </w:tr>
      <w:tr w:rsidR="00C52707" w:rsidRPr="003546ED" w14:paraId="3DBD06B2" w14:textId="77777777" w:rsidTr="003A454A">
        <w:tc>
          <w:tcPr>
            <w:tcW w:w="3062" w:type="dxa"/>
            <w:tcBorders>
              <w:top w:val="single" w:sz="2" w:space="0" w:color="000000"/>
            </w:tcBorders>
          </w:tcPr>
          <w:p w14:paraId="0E5142D3" w14:textId="77777777" w:rsidR="00C52707" w:rsidRPr="003546ED" w:rsidRDefault="00C52707" w:rsidP="00052A87">
            <w:pPr>
              <w:pStyle w:val="TableTextLeft"/>
            </w:pPr>
            <w:r w:rsidRPr="003546ED">
              <w:t>Contributors</w:t>
            </w:r>
          </w:p>
        </w:tc>
        <w:tc>
          <w:tcPr>
            <w:tcW w:w="1361" w:type="dxa"/>
            <w:tcBorders>
              <w:top w:val="single" w:sz="2" w:space="0" w:color="000000"/>
            </w:tcBorders>
          </w:tcPr>
          <w:p w14:paraId="5E7D42B0" w14:textId="77777777" w:rsidR="00C52707" w:rsidRPr="003546ED" w:rsidRDefault="00A0157E" w:rsidP="00052A87">
            <w:pPr>
              <w:pStyle w:val="TableTextRight"/>
            </w:pPr>
            <w:r w:rsidRPr="003546ED">
              <w:t>-</w:t>
            </w:r>
          </w:p>
        </w:tc>
        <w:tc>
          <w:tcPr>
            <w:tcW w:w="1361" w:type="dxa"/>
            <w:tcBorders>
              <w:top w:val="single" w:sz="2" w:space="0" w:color="000000"/>
            </w:tcBorders>
            <w:shd w:val="clear" w:color="auto" w:fill="auto"/>
          </w:tcPr>
          <w:p w14:paraId="06742FF6" w14:textId="77777777" w:rsidR="00C52707" w:rsidRPr="003546ED" w:rsidRDefault="00A0157E" w:rsidP="00506820">
            <w:pPr>
              <w:pStyle w:val="TableTextRight"/>
            </w:pPr>
            <w:r w:rsidRPr="003546ED">
              <w:t>3.</w:t>
            </w:r>
            <w:r w:rsidR="00506820">
              <w:t>8</w:t>
            </w:r>
          </w:p>
        </w:tc>
        <w:tc>
          <w:tcPr>
            <w:tcW w:w="1361" w:type="dxa"/>
            <w:tcBorders>
              <w:top w:val="single" w:sz="2" w:space="0" w:color="000000"/>
            </w:tcBorders>
            <w:shd w:val="clear" w:color="auto" w:fill="auto"/>
          </w:tcPr>
          <w:p w14:paraId="32609190" w14:textId="77777777" w:rsidR="00C52707" w:rsidRPr="003546ED" w:rsidRDefault="003546ED" w:rsidP="00506820">
            <w:pPr>
              <w:pStyle w:val="TableTextRight"/>
            </w:pPr>
            <w:r w:rsidRPr="003546ED">
              <w:t>1</w:t>
            </w:r>
            <w:r w:rsidR="00506820">
              <w:t>3</w:t>
            </w:r>
            <w:r w:rsidRPr="003546ED">
              <w:t>.1</w:t>
            </w:r>
          </w:p>
        </w:tc>
      </w:tr>
      <w:tr w:rsidR="00C52707" w:rsidRPr="003546ED" w14:paraId="0BD362A8" w14:textId="77777777" w:rsidTr="003A454A">
        <w:tc>
          <w:tcPr>
            <w:tcW w:w="3062" w:type="dxa"/>
            <w:shd w:val="clear" w:color="auto" w:fill="F2F2F2" w:themeFill="background1" w:themeFillShade="F2"/>
          </w:tcPr>
          <w:p w14:paraId="17B6BC26" w14:textId="77777777" w:rsidR="00C52707" w:rsidRPr="003546ED" w:rsidRDefault="00C52707" w:rsidP="00052A87">
            <w:pPr>
              <w:pStyle w:val="TableTextLeft"/>
            </w:pPr>
            <w:r w:rsidRPr="003546ED">
              <w:t>Pensioners</w:t>
            </w:r>
          </w:p>
        </w:tc>
        <w:tc>
          <w:tcPr>
            <w:tcW w:w="1361" w:type="dxa"/>
            <w:shd w:val="clear" w:color="auto" w:fill="F2F2F2" w:themeFill="background1" w:themeFillShade="F2"/>
          </w:tcPr>
          <w:p w14:paraId="585CBD58" w14:textId="77777777" w:rsidR="00C52707" w:rsidRPr="003546ED" w:rsidRDefault="00A0157E" w:rsidP="00052A87">
            <w:pPr>
              <w:pStyle w:val="TableTextRight"/>
            </w:pPr>
            <w:r w:rsidRPr="003546ED">
              <w:t>0.5</w:t>
            </w:r>
          </w:p>
        </w:tc>
        <w:tc>
          <w:tcPr>
            <w:tcW w:w="1361" w:type="dxa"/>
            <w:shd w:val="clear" w:color="auto" w:fill="F2F2F2" w:themeFill="background1" w:themeFillShade="F2"/>
          </w:tcPr>
          <w:p w14:paraId="78D8B401" w14:textId="77777777" w:rsidR="00C52707" w:rsidRPr="003546ED" w:rsidRDefault="00506820" w:rsidP="00506820">
            <w:pPr>
              <w:pStyle w:val="TableTextRight"/>
            </w:pPr>
            <w:r>
              <w:t>26</w:t>
            </w:r>
            <w:r w:rsidR="00A0157E" w:rsidRPr="003546ED">
              <w:t>.</w:t>
            </w:r>
            <w:r>
              <w:t>5</w:t>
            </w:r>
          </w:p>
        </w:tc>
        <w:tc>
          <w:tcPr>
            <w:tcW w:w="1361" w:type="dxa"/>
            <w:shd w:val="clear" w:color="auto" w:fill="F2F2F2" w:themeFill="background1" w:themeFillShade="F2"/>
          </w:tcPr>
          <w:p w14:paraId="2C7E7ECE" w14:textId="77777777" w:rsidR="00C52707" w:rsidRPr="003546ED" w:rsidRDefault="00506820" w:rsidP="000D4BE7">
            <w:pPr>
              <w:pStyle w:val="TableTextRight"/>
            </w:pPr>
            <w:r>
              <w:t>6</w:t>
            </w:r>
            <w:r w:rsidR="003546ED" w:rsidRPr="003546ED">
              <w:t>.</w:t>
            </w:r>
            <w:r w:rsidR="000D4BE7">
              <w:t>8</w:t>
            </w:r>
          </w:p>
        </w:tc>
      </w:tr>
      <w:tr w:rsidR="00C52707" w:rsidRPr="003546ED" w14:paraId="625F883B" w14:textId="77777777" w:rsidTr="00235B96">
        <w:tc>
          <w:tcPr>
            <w:tcW w:w="3062" w:type="dxa"/>
            <w:tcBorders>
              <w:bottom w:val="single" w:sz="4" w:space="0" w:color="auto"/>
            </w:tcBorders>
          </w:tcPr>
          <w:p w14:paraId="477C74E3" w14:textId="77777777" w:rsidR="00C52707" w:rsidRPr="003546ED" w:rsidRDefault="00C52707" w:rsidP="00052A87">
            <w:pPr>
              <w:pStyle w:val="TableTextLeft"/>
            </w:pPr>
            <w:r w:rsidRPr="003546ED">
              <w:t>Preserved members</w:t>
            </w:r>
          </w:p>
        </w:tc>
        <w:tc>
          <w:tcPr>
            <w:tcW w:w="1361" w:type="dxa"/>
            <w:tcBorders>
              <w:bottom w:val="single" w:sz="4" w:space="0" w:color="auto"/>
            </w:tcBorders>
          </w:tcPr>
          <w:p w14:paraId="0C9D089A" w14:textId="77777777" w:rsidR="00C52707" w:rsidRPr="003546ED" w:rsidRDefault="00A0157E" w:rsidP="00052A87">
            <w:pPr>
              <w:pStyle w:val="TableTextRight"/>
            </w:pPr>
            <w:r w:rsidRPr="003546ED">
              <w:t>-</w:t>
            </w:r>
          </w:p>
        </w:tc>
        <w:tc>
          <w:tcPr>
            <w:tcW w:w="1361" w:type="dxa"/>
            <w:tcBorders>
              <w:bottom w:val="single" w:sz="4" w:space="0" w:color="auto"/>
            </w:tcBorders>
            <w:shd w:val="clear" w:color="auto" w:fill="auto"/>
          </w:tcPr>
          <w:p w14:paraId="7F5FB124" w14:textId="77777777" w:rsidR="00C52707" w:rsidRPr="003546ED" w:rsidRDefault="00C52707" w:rsidP="00052A87">
            <w:pPr>
              <w:pStyle w:val="TableTextRight"/>
            </w:pPr>
            <w:r w:rsidRPr="003546ED">
              <w:t>0.0</w:t>
            </w:r>
          </w:p>
        </w:tc>
        <w:tc>
          <w:tcPr>
            <w:tcW w:w="1361" w:type="dxa"/>
            <w:tcBorders>
              <w:bottom w:val="single" w:sz="4" w:space="0" w:color="auto"/>
            </w:tcBorders>
            <w:shd w:val="clear" w:color="auto" w:fill="auto"/>
          </w:tcPr>
          <w:p w14:paraId="151BB0EF" w14:textId="77777777" w:rsidR="00C52707" w:rsidRPr="003546ED" w:rsidRDefault="00506820" w:rsidP="00506820">
            <w:pPr>
              <w:pStyle w:val="TableTextRight"/>
            </w:pPr>
            <w:r>
              <w:t>6</w:t>
            </w:r>
            <w:r w:rsidR="003546ED" w:rsidRPr="003546ED">
              <w:t>.</w:t>
            </w:r>
            <w:r>
              <w:t>9</w:t>
            </w:r>
          </w:p>
        </w:tc>
      </w:tr>
      <w:tr w:rsidR="00C52707" w:rsidRPr="00A14330" w14:paraId="5CBAB167" w14:textId="77777777" w:rsidTr="00235B96">
        <w:tc>
          <w:tcPr>
            <w:tcW w:w="3062" w:type="dxa"/>
            <w:tcBorders>
              <w:top w:val="single" w:sz="4" w:space="0" w:color="auto"/>
              <w:bottom w:val="single" w:sz="2" w:space="0" w:color="000000"/>
            </w:tcBorders>
          </w:tcPr>
          <w:p w14:paraId="05FA1D3F" w14:textId="77777777" w:rsidR="00C52707" w:rsidRPr="003546ED" w:rsidRDefault="00C52707" w:rsidP="00052A87">
            <w:pPr>
              <w:pStyle w:val="TableColumnHeadingLeft"/>
            </w:pPr>
            <w:r w:rsidRPr="003546ED">
              <w:t>Total</w:t>
            </w:r>
          </w:p>
        </w:tc>
        <w:tc>
          <w:tcPr>
            <w:tcW w:w="1361" w:type="dxa"/>
            <w:tcBorders>
              <w:top w:val="single" w:sz="4" w:space="0" w:color="auto"/>
              <w:bottom w:val="single" w:sz="2" w:space="0" w:color="000000"/>
            </w:tcBorders>
          </w:tcPr>
          <w:p w14:paraId="6740BD3F" w14:textId="77777777" w:rsidR="00C52707" w:rsidRPr="003546ED" w:rsidRDefault="00A0157E" w:rsidP="00052A87">
            <w:pPr>
              <w:pStyle w:val="TableColumnHeadingRight"/>
            </w:pPr>
            <w:r w:rsidRPr="003546ED">
              <w:t>0.5</w:t>
            </w:r>
          </w:p>
        </w:tc>
        <w:tc>
          <w:tcPr>
            <w:tcW w:w="1361" w:type="dxa"/>
            <w:tcBorders>
              <w:top w:val="single" w:sz="4" w:space="0" w:color="auto"/>
              <w:bottom w:val="single" w:sz="2" w:space="0" w:color="000000"/>
            </w:tcBorders>
            <w:shd w:val="clear" w:color="auto" w:fill="auto"/>
          </w:tcPr>
          <w:p w14:paraId="39A8FF0A" w14:textId="77777777" w:rsidR="00C52707" w:rsidRPr="003546ED" w:rsidRDefault="00506820" w:rsidP="00052A87">
            <w:pPr>
              <w:pStyle w:val="TableColumnHeadingRight"/>
            </w:pPr>
            <w:r>
              <w:t>30</w:t>
            </w:r>
            <w:r w:rsidR="00C52707" w:rsidRPr="003546ED">
              <w:t>.</w:t>
            </w:r>
            <w:r w:rsidR="00A0157E" w:rsidRPr="003546ED">
              <w:t>3</w:t>
            </w:r>
          </w:p>
        </w:tc>
        <w:tc>
          <w:tcPr>
            <w:tcW w:w="1361" w:type="dxa"/>
            <w:tcBorders>
              <w:top w:val="single" w:sz="4" w:space="0" w:color="auto"/>
              <w:bottom w:val="single" w:sz="2" w:space="0" w:color="000000"/>
            </w:tcBorders>
            <w:shd w:val="clear" w:color="auto" w:fill="auto"/>
          </w:tcPr>
          <w:p w14:paraId="234D04B7" w14:textId="77777777" w:rsidR="00C52707" w:rsidRPr="003546ED" w:rsidRDefault="00506820" w:rsidP="000D4BE7">
            <w:pPr>
              <w:pStyle w:val="TableColumnHeadingRight"/>
            </w:pPr>
            <w:r>
              <w:t>26</w:t>
            </w:r>
            <w:r w:rsidR="003546ED" w:rsidRPr="003546ED">
              <w:t>.</w:t>
            </w:r>
            <w:r w:rsidR="000D4BE7">
              <w:t>7</w:t>
            </w:r>
          </w:p>
        </w:tc>
      </w:tr>
    </w:tbl>
    <w:p w14:paraId="01349CDB" w14:textId="77777777" w:rsidR="00145C7A" w:rsidRDefault="008D7616" w:rsidP="002F13EB">
      <w:pPr>
        <w:pStyle w:val="ChartorTableNote"/>
      </w:pPr>
      <w:r>
        <w:t>Note: C</w:t>
      </w:r>
      <w:r w:rsidR="00145C7A">
        <w:t>omponents may not add up to totals due to rounding.</w:t>
      </w:r>
    </w:p>
    <w:p w14:paraId="3BB16FD8" w14:textId="77777777" w:rsidR="002F13EB" w:rsidRDefault="002F13EB" w:rsidP="002F13EB">
      <w:pPr>
        <w:pStyle w:val="SingleParagraph"/>
      </w:pPr>
    </w:p>
    <w:p w14:paraId="5A722844" w14:textId="61566FEA" w:rsidR="00052A87" w:rsidRPr="003546ED" w:rsidRDefault="00052A87" w:rsidP="00C52707">
      <w:pPr>
        <w:pStyle w:val="BodyText"/>
      </w:pPr>
      <w:r w:rsidRPr="003546ED">
        <w:t xml:space="preserve">The table below shows the projected unfunded liability for the </w:t>
      </w:r>
      <w:r w:rsidR="00A0157E" w:rsidRPr="003546ED">
        <w:t xml:space="preserve">DFRB, </w:t>
      </w:r>
      <w:r w:rsidR="00514A0A">
        <w:t xml:space="preserve">the </w:t>
      </w:r>
      <w:r w:rsidRPr="003546ED">
        <w:t xml:space="preserve">DFRDB, </w:t>
      </w:r>
      <w:proofErr w:type="gramStart"/>
      <w:r w:rsidRPr="003546ED">
        <w:t>the</w:t>
      </w:r>
      <w:proofErr w:type="gramEnd"/>
      <w:r w:rsidRPr="003546ED">
        <w:t xml:space="preserve"> MSBS and for the </w:t>
      </w:r>
      <w:r w:rsidR="00BF521A">
        <w:t>three</w:t>
      </w:r>
      <w:r w:rsidRPr="003546ED">
        <w:t xml:space="preserve"> schemes combined. The projections are in nominal dollars and have </w:t>
      </w:r>
      <w:r w:rsidRPr="003546ED">
        <w:rPr>
          <w:b/>
        </w:rPr>
        <w:t>not</w:t>
      </w:r>
      <w:r w:rsidRPr="003546ED">
        <w:t xml:space="preserve"> been adjusted to 20</w:t>
      </w:r>
      <w:r w:rsidR="00C52707" w:rsidRPr="003546ED">
        <w:t>1</w:t>
      </w:r>
      <w:r w:rsidR="00506820">
        <w:t>4</w:t>
      </w:r>
      <w:r w:rsidRPr="003546ED">
        <w:t xml:space="preserve"> dollars. To enable a proper comparison of the projected liabilities with the position in 20</w:t>
      </w:r>
      <w:r w:rsidR="00C52707" w:rsidRPr="003546ED">
        <w:t>1</w:t>
      </w:r>
      <w:r w:rsidR="00506820">
        <w:t>4</w:t>
      </w:r>
      <w:r w:rsidRPr="003546ED">
        <w:t xml:space="preserve">, projections of the combined unfunded liability as a percentage of GDP are also shown. </w:t>
      </w:r>
      <w:r w:rsidR="00B96B0D">
        <w:t>T</w:t>
      </w:r>
      <w:r w:rsidRPr="003546ED">
        <w:t xml:space="preserve">he projections </w:t>
      </w:r>
      <w:r w:rsidR="000D4BE7">
        <w:t>are presented separately under the two scenarios of the MSB</w:t>
      </w:r>
      <w:r w:rsidR="00CB46B1">
        <w:t>S remaining open to new members</w:t>
      </w:r>
      <w:r w:rsidR="000D4BE7">
        <w:t xml:space="preserve"> and the MSBS closing to new members from 1</w:t>
      </w:r>
      <w:r w:rsidR="002F13EB">
        <w:t> </w:t>
      </w:r>
      <w:r w:rsidR="000D4BE7">
        <w:t xml:space="preserve">July 2016. </w:t>
      </w:r>
    </w:p>
    <w:p w14:paraId="687FA712" w14:textId="79FC33FC" w:rsidR="00FF0A0B" w:rsidRDefault="00052A87" w:rsidP="00FF0A0B">
      <w:pPr>
        <w:pStyle w:val="TableMainHeading"/>
      </w:pPr>
      <w:r w:rsidRPr="003546ED">
        <w:t>Projected Unfunded Liabilities</w:t>
      </w:r>
      <w:r w:rsidR="000D4BE7">
        <w:t xml:space="preserve"> (MSBS</w:t>
      </w:r>
      <w:r w:rsidR="00E106D9">
        <w:t xml:space="preserve"> remains open</w:t>
      </w:r>
      <w:proofErr w:type="gramStart"/>
      <w:r w:rsidR="000D4BE7">
        <w:t>)</w:t>
      </w:r>
      <w:r w:rsidR="00FF0A0B">
        <w:rPr>
          <w:rFonts w:cs="Arial"/>
        </w:rPr>
        <w:t>¹</w:t>
      </w:r>
      <w:proofErr w:type="gramEnd"/>
    </w:p>
    <w:tbl>
      <w:tblPr>
        <w:tblW w:w="0" w:type="auto"/>
        <w:tblInd w:w="675" w:type="dxa"/>
        <w:tblBorders>
          <w:top w:val="single" w:sz="2" w:space="0" w:color="000000"/>
          <w:bottom w:val="single" w:sz="2" w:space="0" w:color="000000"/>
        </w:tblBorders>
        <w:tblLayout w:type="fixed"/>
        <w:tblLook w:val="0000" w:firstRow="0" w:lastRow="0" w:firstColumn="0" w:lastColumn="0" w:noHBand="0" w:noVBand="0"/>
      </w:tblPr>
      <w:tblGrid>
        <w:gridCol w:w="1361"/>
        <w:gridCol w:w="1134"/>
        <w:gridCol w:w="1134"/>
        <w:gridCol w:w="1134"/>
        <w:gridCol w:w="1134"/>
        <w:gridCol w:w="1247"/>
      </w:tblGrid>
      <w:tr w:rsidR="00C52707" w:rsidRPr="003546ED" w14:paraId="3950E43E" w14:textId="77777777" w:rsidTr="001336C8">
        <w:tc>
          <w:tcPr>
            <w:tcW w:w="1361" w:type="dxa"/>
            <w:tcBorders>
              <w:top w:val="single" w:sz="2" w:space="0" w:color="000000"/>
              <w:bottom w:val="single" w:sz="2" w:space="0" w:color="000000"/>
            </w:tcBorders>
            <w:shd w:val="clear" w:color="auto" w:fill="E6E6E6"/>
          </w:tcPr>
          <w:p w14:paraId="04395833" w14:textId="1D274605" w:rsidR="00C52707" w:rsidRPr="003546ED" w:rsidRDefault="00C52707" w:rsidP="0009519F">
            <w:pPr>
              <w:pStyle w:val="TableColumnHeadingLeft"/>
            </w:pPr>
            <w:r w:rsidRPr="003546ED">
              <w:t>Year ending</w:t>
            </w:r>
            <w:r w:rsidR="0009519F">
              <w:br/>
            </w:r>
            <w:r w:rsidRPr="003546ED">
              <w:t>30 June</w:t>
            </w:r>
          </w:p>
        </w:tc>
        <w:tc>
          <w:tcPr>
            <w:tcW w:w="1134" w:type="dxa"/>
            <w:tcBorders>
              <w:top w:val="single" w:sz="2" w:space="0" w:color="000000"/>
              <w:bottom w:val="single" w:sz="2" w:space="0" w:color="000000"/>
            </w:tcBorders>
            <w:shd w:val="clear" w:color="auto" w:fill="E6E6E6"/>
          </w:tcPr>
          <w:p w14:paraId="26F95D44" w14:textId="77777777" w:rsidR="00C52707" w:rsidRPr="003546ED" w:rsidRDefault="00C52707" w:rsidP="00052A87">
            <w:pPr>
              <w:pStyle w:val="TableColumnHeadingRight"/>
            </w:pPr>
            <w:r w:rsidRPr="003546ED">
              <w:t>DFRB</w:t>
            </w:r>
            <w:r w:rsidRPr="003546ED">
              <w:br/>
              <w:t>($b)</w:t>
            </w:r>
          </w:p>
        </w:tc>
        <w:tc>
          <w:tcPr>
            <w:tcW w:w="1134" w:type="dxa"/>
            <w:tcBorders>
              <w:top w:val="single" w:sz="2" w:space="0" w:color="000000"/>
              <w:bottom w:val="single" w:sz="2" w:space="0" w:color="000000"/>
            </w:tcBorders>
            <w:shd w:val="clear" w:color="auto" w:fill="E6E6E6"/>
          </w:tcPr>
          <w:p w14:paraId="477BD125" w14:textId="77777777" w:rsidR="00C52707" w:rsidRPr="003546ED" w:rsidRDefault="00C52707" w:rsidP="00052A87">
            <w:pPr>
              <w:pStyle w:val="TableColumnHeadingRight"/>
            </w:pPr>
            <w:r w:rsidRPr="003546ED">
              <w:t xml:space="preserve">DFRDB </w:t>
            </w:r>
            <w:r w:rsidRPr="003546ED">
              <w:br/>
              <w:t>($b)</w:t>
            </w:r>
          </w:p>
        </w:tc>
        <w:tc>
          <w:tcPr>
            <w:tcW w:w="1134" w:type="dxa"/>
            <w:tcBorders>
              <w:top w:val="single" w:sz="2" w:space="0" w:color="000000"/>
              <w:bottom w:val="single" w:sz="2" w:space="0" w:color="000000"/>
            </w:tcBorders>
            <w:shd w:val="clear" w:color="auto" w:fill="E6E6E6"/>
          </w:tcPr>
          <w:p w14:paraId="7413514E" w14:textId="77777777" w:rsidR="00C52707" w:rsidRPr="003546ED" w:rsidRDefault="00C52707" w:rsidP="00052A87">
            <w:pPr>
              <w:pStyle w:val="TableColumnHeadingRight"/>
            </w:pPr>
            <w:r w:rsidRPr="003546ED">
              <w:t>MSBS</w:t>
            </w:r>
            <w:r w:rsidRPr="003546ED">
              <w:br/>
              <w:t>($b)</w:t>
            </w:r>
          </w:p>
        </w:tc>
        <w:tc>
          <w:tcPr>
            <w:tcW w:w="1134" w:type="dxa"/>
            <w:tcBorders>
              <w:top w:val="single" w:sz="2" w:space="0" w:color="000000"/>
              <w:bottom w:val="single" w:sz="2" w:space="0" w:color="000000"/>
            </w:tcBorders>
            <w:shd w:val="clear" w:color="auto" w:fill="E6E6E6"/>
          </w:tcPr>
          <w:p w14:paraId="24230783" w14:textId="77777777" w:rsidR="00C52707" w:rsidRPr="003546ED" w:rsidRDefault="00C52707" w:rsidP="00052A87">
            <w:pPr>
              <w:pStyle w:val="TableColumnHeadingRight"/>
            </w:pPr>
            <w:r w:rsidRPr="003546ED">
              <w:t>Total</w:t>
            </w:r>
            <w:r w:rsidRPr="003546ED">
              <w:br/>
              <w:t>($b)</w:t>
            </w:r>
          </w:p>
        </w:tc>
        <w:tc>
          <w:tcPr>
            <w:tcW w:w="1247" w:type="dxa"/>
            <w:tcBorders>
              <w:top w:val="single" w:sz="2" w:space="0" w:color="000000"/>
              <w:bottom w:val="single" w:sz="2" w:space="0" w:color="000000"/>
            </w:tcBorders>
            <w:shd w:val="clear" w:color="auto" w:fill="E6E6E6"/>
          </w:tcPr>
          <w:p w14:paraId="6EE3EEE6" w14:textId="553C7C44" w:rsidR="00C52707" w:rsidRPr="003546ED" w:rsidRDefault="00C52707" w:rsidP="001336C8">
            <w:pPr>
              <w:pStyle w:val="TableColumnHeadingRight"/>
            </w:pPr>
            <w:r w:rsidRPr="003546ED">
              <w:t>As a</w:t>
            </w:r>
            <w:r w:rsidR="0009519F">
              <w:t xml:space="preserve"> </w:t>
            </w:r>
            <w:r w:rsidR="001336C8">
              <w:t>percentage</w:t>
            </w:r>
            <w:r w:rsidR="0009519F">
              <w:t xml:space="preserve"> </w:t>
            </w:r>
            <w:r w:rsidRPr="003546ED">
              <w:t>of GDP</w:t>
            </w:r>
          </w:p>
        </w:tc>
      </w:tr>
      <w:tr w:rsidR="00BF521A" w:rsidRPr="003546ED" w14:paraId="3D2EA2F5" w14:textId="77777777" w:rsidTr="001336C8">
        <w:tc>
          <w:tcPr>
            <w:tcW w:w="1361" w:type="dxa"/>
            <w:tcBorders>
              <w:top w:val="single" w:sz="2" w:space="0" w:color="000000"/>
            </w:tcBorders>
            <w:shd w:val="clear" w:color="auto" w:fill="F2F2F2" w:themeFill="background1" w:themeFillShade="F2"/>
            <w:vAlign w:val="center"/>
          </w:tcPr>
          <w:p w14:paraId="6F50ED92" w14:textId="77777777" w:rsidR="00BF521A" w:rsidRPr="005877BF" w:rsidRDefault="00BF521A" w:rsidP="00CA3144">
            <w:pPr>
              <w:pStyle w:val="TableTextLeft"/>
            </w:pPr>
            <w:r w:rsidRPr="005877BF">
              <w:t>201</w:t>
            </w:r>
            <w:r w:rsidR="00506820" w:rsidRPr="005877BF">
              <w:t>4</w:t>
            </w:r>
          </w:p>
        </w:tc>
        <w:tc>
          <w:tcPr>
            <w:tcW w:w="1134" w:type="dxa"/>
            <w:tcBorders>
              <w:top w:val="single" w:sz="2" w:space="0" w:color="000000"/>
            </w:tcBorders>
            <w:shd w:val="clear" w:color="auto" w:fill="F2F2F2" w:themeFill="background1" w:themeFillShade="F2"/>
            <w:vAlign w:val="center"/>
          </w:tcPr>
          <w:p w14:paraId="0EB6EC15" w14:textId="77777777" w:rsidR="00BF521A" w:rsidRPr="005877BF" w:rsidRDefault="00BF521A" w:rsidP="00CA3144">
            <w:pPr>
              <w:pStyle w:val="TableTextRight"/>
            </w:pPr>
            <w:r w:rsidRPr="005877BF">
              <w:t>0.5</w:t>
            </w:r>
          </w:p>
        </w:tc>
        <w:tc>
          <w:tcPr>
            <w:tcW w:w="1134" w:type="dxa"/>
            <w:tcBorders>
              <w:top w:val="single" w:sz="2" w:space="0" w:color="000000"/>
            </w:tcBorders>
            <w:shd w:val="clear" w:color="auto" w:fill="F2F2F2" w:themeFill="background1" w:themeFillShade="F2"/>
            <w:vAlign w:val="center"/>
          </w:tcPr>
          <w:p w14:paraId="1A8BA6A4" w14:textId="77777777" w:rsidR="00BF521A" w:rsidRPr="005877BF" w:rsidRDefault="00506820" w:rsidP="00CA3144">
            <w:pPr>
              <w:pStyle w:val="TableTextRight"/>
            </w:pPr>
            <w:r w:rsidRPr="005877BF">
              <w:t>30.</w:t>
            </w:r>
            <w:r w:rsidR="001C6647" w:rsidRPr="005877BF">
              <w:t>3</w:t>
            </w:r>
          </w:p>
        </w:tc>
        <w:tc>
          <w:tcPr>
            <w:tcW w:w="1134" w:type="dxa"/>
            <w:tcBorders>
              <w:top w:val="single" w:sz="2" w:space="0" w:color="000000"/>
            </w:tcBorders>
            <w:shd w:val="clear" w:color="auto" w:fill="F2F2F2" w:themeFill="background1" w:themeFillShade="F2"/>
            <w:vAlign w:val="center"/>
          </w:tcPr>
          <w:p w14:paraId="7A84A037" w14:textId="77777777" w:rsidR="00BF521A" w:rsidRPr="005877BF" w:rsidRDefault="00506820" w:rsidP="00CA3144">
            <w:pPr>
              <w:pStyle w:val="TableTextRight"/>
            </w:pPr>
            <w:r w:rsidRPr="005877BF">
              <w:t>26</w:t>
            </w:r>
            <w:r w:rsidR="00BF521A" w:rsidRPr="005877BF">
              <w:t>.</w:t>
            </w:r>
            <w:r w:rsidRPr="005877BF">
              <w:t>7</w:t>
            </w:r>
          </w:p>
        </w:tc>
        <w:tc>
          <w:tcPr>
            <w:tcW w:w="1134" w:type="dxa"/>
            <w:tcBorders>
              <w:top w:val="single" w:sz="2" w:space="0" w:color="000000"/>
            </w:tcBorders>
            <w:shd w:val="clear" w:color="auto" w:fill="F2F2F2" w:themeFill="background1" w:themeFillShade="F2"/>
            <w:vAlign w:val="center"/>
          </w:tcPr>
          <w:p w14:paraId="4D03587D" w14:textId="77777777" w:rsidR="00BF521A" w:rsidRPr="005877BF" w:rsidRDefault="00084B29" w:rsidP="00CA3144">
            <w:pPr>
              <w:pStyle w:val="TableTextRight"/>
            </w:pPr>
            <w:r w:rsidRPr="005877BF">
              <w:t>57.</w:t>
            </w:r>
            <w:r w:rsidR="001C6647" w:rsidRPr="005877BF">
              <w:t>5</w:t>
            </w:r>
          </w:p>
        </w:tc>
        <w:tc>
          <w:tcPr>
            <w:tcW w:w="1247" w:type="dxa"/>
            <w:tcBorders>
              <w:top w:val="single" w:sz="2" w:space="0" w:color="000000"/>
            </w:tcBorders>
            <w:shd w:val="clear" w:color="auto" w:fill="F2F2F2" w:themeFill="background1" w:themeFillShade="F2"/>
            <w:vAlign w:val="center"/>
          </w:tcPr>
          <w:p w14:paraId="14668CA7" w14:textId="77777777" w:rsidR="00BF521A" w:rsidRPr="005877BF" w:rsidRDefault="00BF521A" w:rsidP="00CA3144">
            <w:pPr>
              <w:pStyle w:val="TableTextRight"/>
            </w:pPr>
            <w:r w:rsidRPr="005877BF">
              <w:t>3.</w:t>
            </w:r>
            <w:r w:rsidR="00084B29" w:rsidRPr="005877BF">
              <w:t>6</w:t>
            </w:r>
          </w:p>
        </w:tc>
      </w:tr>
      <w:tr w:rsidR="00BF521A" w:rsidRPr="003546ED" w14:paraId="62106B4A" w14:textId="77777777" w:rsidTr="001336C8">
        <w:tc>
          <w:tcPr>
            <w:tcW w:w="1361" w:type="dxa"/>
            <w:shd w:val="clear" w:color="auto" w:fill="F2F2F2" w:themeFill="background1" w:themeFillShade="F2"/>
            <w:vAlign w:val="center"/>
          </w:tcPr>
          <w:p w14:paraId="412E6500" w14:textId="77777777" w:rsidR="00BF521A" w:rsidRPr="005877BF" w:rsidRDefault="00BF521A" w:rsidP="00CA3144">
            <w:pPr>
              <w:pStyle w:val="TableTextLeft"/>
            </w:pPr>
            <w:r w:rsidRPr="005877BF">
              <w:t>201</w:t>
            </w:r>
            <w:r w:rsidR="00506820" w:rsidRPr="005877BF">
              <w:t>5</w:t>
            </w:r>
          </w:p>
        </w:tc>
        <w:tc>
          <w:tcPr>
            <w:tcW w:w="1134" w:type="dxa"/>
            <w:shd w:val="clear" w:color="auto" w:fill="F2F2F2" w:themeFill="background1" w:themeFillShade="F2"/>
            <w:vAlign w:val="center"/>
          </w:tcPr>
          <w:p w14:paraId="2BE57C3B" w14:textId="77777777" w:rsidR="00BF521A" w:rsidRPr="005877BF" w:rsidRDefault="00BF521A" w:rsidP="00CA3144">
            <w:pPr>
              <w:pStyle w:val="TableTextRight"/>
            </w:pPr>
            <w:r w:rsidRPr="005877BF">
              <w:t>0.5</w:t>
            </w:r>
          </w:p>
        </w:tc>
        <w:tc>
          <w:tcPr>
            <w:tcW w:w="1134" w:type="dxa"/>
            <w:shd w:val="clear" w:color="auto" w:fill="F2F2F2" w:themeFill="background1" w:themeFillShade="F2"/>
            <w:vAlign w:val="center"/>
          </w:tcPr>
          <w:p w14:paraId="1DDBA500" w14:textId="77777777" w:rsidR="00BF521A" w:rsidRPr="005877BF" w:rsidRDefault="00506820" w:rsidP="00CA3144">
            <w:pPr>
              <w:pStyle w:val="TableTextRight"/>
            </w:pPr>
            <w:r w:rsidRPr="005877BF">
              <w:t>30.</w:t>
            </w:r>
            <w:r w:rsidR="001C6647" w:rsidRPr="005877BF">
              <w:t>6</w:t>
            </w:r>
          </w:p>
        </w:tc>
        <w:tc>
          <w:tcPr>
            <w:tcW w:w="1134" w:type="dxa"/>
            <w:shd w:val="clear" w:color="auto" w:fill="F2F2F2" w:themeFill="background1" w:themeFillShade="F2"/>
            <w:vAlign w:val="center"/>
          </w:tcPr>
          <w:p w14:paraId="0E55A202" w14:textId="77777777" w:rsidR="00BF521A" w:rsidRPr="005877BF" w:rsidRDefault="00BF521A" w:rsidP="00CA3144">
            <w:pPr>
              <w:pStyle w:val="TableTextRight"/>
            </w:pPr>
            <w:r w:rsidRPr="005877BF">
              <w:t>2</w:t>
            </w:r>
            <w:r w:rsidR="00506820" w:rsidRPr="005877BF">
              <w:t>9</w:t>
            </w:r>
            <w:r w:rsidRPr="005877BF">
              <w:t>.</w:t>
            </w:r>
            <w:r w:rsidR="00506820" w:rsidRPr="005877BF">
              <w:t>3</w:t>
            </w:r>
          </w:p>
        </w:tc>
        <w:tc>
          <w:tcPr>
            <w:tcW w:w="1134" w:type="dxa"/>
            <w:shd w:val="clear" w:color="auto" w:fill="F2F2F2" w:themeFill="background1" w:themeFillShade="F2"/>
            <w:vAlign w:val="center"/>
          </w:tcPr>
          <w:p w14:paraId="0634D244" w14:textId="77777777" w:rsidR="00BF521A" w:rsidRPr="005877BF" w:rsidRDefault="00084B29" w:rsidP="00CA3144">
            <w:pPr>
              <w:pStyle w:val="TableTextRight"/>
            </w:pPr>
            <w:r w:rsidRPr="005877BF">
              <w:t>60.</w:t>
            </w:r>
            <w:r w:rsidR="00D55CDB" w:rsidRPr="005877BF">
              <w:t>4</w:t>
            </w:r>
          </w:p>
        </w:tc>
        <w:tc>
          <w:tcPr>
            <w:tcW w:w="1247" w:type="dxa"/>
            <w:shd w:val="clear" w:color="auto" w:fill="F2F2F2" w:themeFill="background1" w:themeFillShade="F2"/>
            <w:vAlign w:val="center"/>
          </w:tcPr>
          <w:p w14:paraId="33731C46" w14:textId="77777777" w:rsidR="00BF521A" w:rsidRPr="005877BF" w:rsidRDefault="00BF521A" w:rsidP="00CA3144">
            <w:pPr>
              <w:pStyle w:val="TableTextRight"/>
            </w:pPr>
            <w:r w:rsidRPr="005877BF">
              <w:t>3.</w:t>
            </w:r>
            <w:r w:rsidR="00084B29" w:rsidRPr="005877BF">
              <w:t>6</w:t>
            </w:r>
          </w:p>
        </w:tc>
      </w:tr>
      <w:tr w:rsidR="00BF521A" w:rsidRPr="003546ED" w14:paraId="47FB7F90" w14:textId="77777777" w:rsidTr="001336C8">
        <w:tc>
          <w:tcPr>
            <w:tcW w:w="1361" w:type="dxa"/>
            <w:tcBorders>
              <w:bottom w:val="nil"/>
            </w:tcBorders>
            <w:shd w:val="clear" w:color="auto" w:fill="F2F2F2" w:themeFill="background1" w:themeFillShade="F2"/>
            <w:vAlign w:val="center"/>
          </w:tcPr>
          <w:p w14:paraId="2AF0E920" w14:textId="77777777" w:rsidR="00BF521A" w:rsidRPr="005877BF" w:rsidRDefault="00BF521A" w:rsidP="00CA3144">
            <w:pPr>
              <w:pStyle w:val="TableTextLeft"/>
            </w:pPr>
            <w:r w:rsidRPr="005877BF">
              <w:t>201</w:t>
            </w:r>
            <w:r w:rsidR="00506820" w:rsidRPr="005877BF">
              <w:t>6</w:t>
            </w:r>
          </w:p>
        </w:tc>
        <w:tc>
          <w:tcPr>
            <w:tcW w:w="1134" w:type="dxa"/>
            <w:tcBorders>
              <w:bottom w:val="nil"/>
            </w:tcBorders>
            <w:shd w:val="clear" w:color="auto" w:fill="F2F2F2" w:themeFill="background1" w:themeFillShade="F2"/>
            <w:vAlign w:val="center"/>
          </w:tcPr>
          <w:p w14:paraId="772C3209" w14:textId="77777777" w:rsidR="00BF521A" w:rsidRPr="005877BF" w:rsidRDefault="00BF521A" w:rsidP="00CA3144">
            <w:pPr>
              <w:pStyle w:val="TableTextRight"/>
            </w:pPr>
            <w:r w:rsidRPr="005877BF">
              <w:t>0.</w:t>
            </w:r>
            <w:r w:rsidR="00506820" w:rsidRPr="005877BF">
              <w:t>4</w:t>
            </w:r>
          </w:p>
        </w:tc>
        <w:tc>
          <w:tcPr>
            <w:tcW w:w="1134" w:type="dxa"/>
            <w:tcBorders>
              <w:bottom w:val="nil"/>
            </w:tcBorders>
            <w:shd w:val="clear" w:color="auto" w:fill="F2F2F2" w:themeFill="background1" w:themeFillShade="F2"/>
            <w:vAlign w:val="center"/>
          </w:tcPr>
          <w:p w14:paraId="7588730F" w14:textId="77777777" w:rsidR="00506820" w:rsidRPr="005877BF" w:rsidRDefault="00506820" w:rsidP="00CA3144">
            <w:pPr>
              <w:pStyle w:val="TableTextRight"/>
            </w:pPr>
            <w:r w:rsidRPr="005877BF">
              <w:t>3</w:t>
            </w:r>
            <w:r w:rsidR="001C6647" w:rsidRPr="005877BF">
              <w:t>0</w:t>
            </w:r>
            <w:r w:rsidRPr="005877BF">
              <w:t>.</w:t>
            </w:r>
            <w:r w:rsidR="001C6647" w:rsidRPr="005877BF">
              <w:t>9</w:t>
            </w:r>
          </w:p>
        </w:tc>
        <w:tc>
          <w:tcPr>
            <w:tcW w:w="1134" w:type="dxa"/>
            <w:tcBorders>
              <w:bottom w:val="nil"/>
            </w:tcBorders>
            <w:shd w:val="clear" w:color="auto" w:fill="F2F2F2" w:themeFill="background1" w:themeFillShade="F2"/>
            <w:vAlign w:val="center"/>
          </w:tcPr>
          <w:p w14:paraId="0EB306F4" w14:textId="77777777" w:rsidR="00BF521A" w:rsidRPr="005877BF" w:rsidRDefault="00506820" w:rsidP="00CA3144">
            <w:pPr>
              <w:pStyle w:val="TableTextRight"/>
            </w:pPr>
            <w:r w:rsidRPr="005877BF">
              <w:t>31</w:t>
            </w:r>
            <w:r w:rsidR="00BF521A" w:rsidRPr="005877BF">
              <w:t>.</w:t>
            </w:r>
            <w:r w:rsidRPr="005877BF">
              <w:t>9</w:t>
            </w:r>
          </w:p>
        </w:tc>
        <w:tc>
          <w:tcPr>
            <w:tcW w:w="1134" w:type="dxa"/>
            <w:tcBorders>
              <w:bottom w:val="nil"/>
            </w:tcBorders>
            <w:shd w:val="clear" w:color="auto" w:fill="F2F2F2" w:themeFill="background1" w:themeFillShade="F2"/>
            <w:vAlign w:val="center"/>
          </w:tcPr>
          <w:p w14:paraId="051E85E7" w14:textId="77777777" w:rsidR="00BF521A" w:rsidRPr="005877BF" w:rsidRDefault="00084B29" w:rsidP="00CA3144">
            <w:pPr>
              <w:pStyle w:val="TableTextRight"/>
            </w:pPr>
            <w:r w:rsidRPr="005877BF">
              <w:t>63.</w:t>
            </w:r>
            <w:r w:rsidR="001C6647" w:rsidRPr="005877BF">
              <w:t>3</w:t>
            </w:r>
          </w:p>
        </w:tc>
        <w:tc>
          <w:tcPr>
            <w:tcW w:w="1247" w:type="dxa"/>
            <w:tcBorders>
              <w:bottom w:val="nil"/>
            </w:tcBorders>
            <w:shd w:val="clear" w:color="auto" w:fill="F2F2F2" w:themeFill="background1" w:themeFillShade="F2"/>
            <w:vAlign w:val="center"/>
          </w:tcPr>
          <w:p w14:paraId="7F03986D" w14:textId="77777777" w:rsidR="00BF521A" w:rsidRPr="005877BF" w:rsidRDefault="00BF521A" w:rsidP="00CA3144">
            <w:pPr>
              <w:pStyle w:val="TableTextRight"/>
            </w:pPr>
            <w:r w:rsidRPr="005877BF">
              <w:t>3.</w:t>
            </w:r>
            <w:r w:rsidR="00084B29" w:rsidRPr="005877BF">
              <w:t>6</w:t>
            </w:r>
          </w:p>
        </w:tc>
      </w:tr>
      <w:tr w:rsidR="00BF521A" w:rsidRPr="003546ED" w14:paraId="63477AFC" w14:textId="77777777" w:rsidTr="001336C8">
        <w:tc>
          <w:tcPr>
            <w:tcW w:w="1361" w:type="dxa"/>
            <w:tcBorders>
              <w:top w:val="nil"/>
              <w:bottom w:val="nil"/>
            </w:tcBorders>
            <w:shd w:val="clear" w:color="auto" w:fill="F2F2F2" w:themeFill="background1" w:themeFillShade="F2"/>
            <w:vAlign w:val="center"/>
          </w:tcPr>
          <w:p w14:paraId="16599BCB" w14:textId="77777777" w:rsidR="00BF521A" w:rsidRPr="005877BF" w:rsidRDefault="00BF521A" w:rsidP="00CA3144">
            <w:pPr>
              <w:pStyle w:val="TableTextLeft"/>
            </w:pPr>
            <w:r w:rsidRPr="005877BF">
              <w:t>201</w:t>
            </w:r>
            <w:r w:rsidR="00506820" w:rsidRPr="005877BF">
              <w:t>7</w:t>
            </w:r>
          </w:p>
        </w:tc>
        <w:tc>
          <w:tcPr>
            <w:tcW w:w="1134" w:type="dxa"/>
            <w:tcBorders>
              <w:top w:val="nil"/>
              <w:bottom w:val="nil"/>
            </w:tcBorders>
            <w:shd w:val="clear" w:color="auto" w:fill="F2F2F2" w:themeFill="background1" w:themeFillShade="F2"/>
            <w:vAlign w:val="center"/>
          </w:tcPr>
          <w:p w14:paraId="06BA847B" w14:textId="77777777" w:rsidR="00BF521A" w:rsidRPr="005877BF" w:rsidRDefault="00BF521A" w:rsidP="00CA3144">
            <w:pPr>
              <w:pStyle w:val="TableTextRight"/>
            </w:pPr>
            <w:r w:rsidRPr="005877BF">
              <w:t>0.</w:t>
            </w:r>
            <w:r w:rsidR="00506820" w:rsidRPr="005877BF">
              <w:t>4</w:t>
            </w:r>
          </w:p>
        </w:tc>
        <w:tc>
          <w:tcPr>
            <w:tcW w:w="1134" w:type="dxa"/>
            <w:tcBorders>
              <w:top w:val="nil"/>
              <w:bottom w:val="nil"/>
            </w:tcBorders>
            <w:shd w:val="clear" w:color="auto" w:fill="F2F2F2" w:themeFill="background1" w:themeFillShade="F2"/>
            <w:vAlign w:val="center"/>
          </w:tcPr>
          <w:p w14:paraId="3C790BF8" w14:textId="77777777" w:rsidR="00BF521A" w:rsidRPr="005877BF" w:rsidRDefault="00506820" w:rsidP="00CA3144">
            <w:pPr>
              <w:pStyle w:val="TableTextRight"/>
            </w:pPr>
            <w:r w:rsidRPr="005877BF">
              <w:t>31.</w:t>
            </w:r>
            <w:r w:rsidR="001C6647" w:rsidRPr="005877BF">
              <w:t>2</w:t>
            </w:r>
          </w:p>
        </w:tc>
        <w:tc>
          <w:tcPr>
            <w:tcW w:w="1134" w:type="dxa"/>
            <w:tcBorders>
              <w:top w:val="nil"/>
              <w:bottom w:val="nil"/>
            </w:tcBorders>
            <w:shd w:val="clear" w:color="auto" w:fill="F2F2F2" w:themeFill="background1" w:themeFillShade="F2"/>
            <w:vAlign w:val="center"/>
          </w:tcPr>
          <w:p w14:paraId="0ACD0629" w14:textId="77777777" w:rsidR="00BF521A" w:rsidRPr="005877BF" w:rsidRDefault="00506820" w:rsidP="00CA3144">
            <w:pPr>
              <w:pStyle w:val="TableTextRight"/>
            </w:pPr>
            <w:r w:rsidRPr="005877BF">
              <w:t>34</w:t>
            </w:r>
            <w:r w:rsidR="00BF521A" w:rsidRPr="005877BF">
              <w:t>.</w:t>
            </w:r>
            <w:r w:rsidRPr="005877BF">
              <w:t>8</w:t>
            </w:r>
          </w:p>
        </w:tc>
        <w:tc>
          <w:tcPr>
            <w:tcW w:w="1134" w:type="dxa"/>
            <w:tcBorders>
              <w:top w:val="nil"/>
              <w:bottom w:val="nil"/>
            </w:tcBorders>
            <w:shd w:val="clear" w:color="auto" w:fill="F2F2F2" w:themeFill="background1" w:themeFillShade="F2"/>
            <w:vAlign w:val="center"/>
          </w:tcPr>
          <w:p w14:paraId="7671F6EF" w14:textId="77777777" w:rsidR="00BF521A" w:rsidRPr="005877BF" w:rsidRDefault="00084B29" w:rsidP="00CA3144">
            <w:pPr>
              <w:pStyle w:val="TableTextRight"/>
            </w:pPr>
            <w:r w:rsidRPr="005877BF">
              <w:t>66.</w:t>
            </w:r>
            <w:r w:rsidR="001C6647" w:rsidRPr="005877BF">
              <w:t>4</w:t>
            </w:r>
          </w:p>
        </w:tc>
        <w:tc>
          <w:tcPr>
            <w:tcW w:w="1247" w:type="dxa"/>
            <w:tcBorders>
              <w:top w:val="nil"/>
              <w:bottom w:val="nil"/>
            </w:tcBorders>
            <w:shd w:val="clear" w:color="auto" w:fill="F2F2F2" w:themeFill="background1" w:themeFillShade="F2"/>
            <w:vAlign w:val="center"/>
          </w:tcPr>
          <w:p w14:paraId="0D1B16D4" w14:textId="77777777" w:rsidR="00BF521A" w:rsidRPr="005877BF" w:rsidRDefault="00BF521A" w:rsidP="00CA3144">
            <w:pPr>
              <w:pStyle w:val="TableTextRight"/>
            </w:pPr>
            <w:r w:rsidRPr="005877BF">
              <w:t>3.</w:t>
            </w:r>
            <w:r w:rsidR="00084B29" w:rsidRPr="005877BF">
              <w:t>6</w:t>
            </w:r>
          </w:p>
        </w:tc>
      </w:tr>
      <w:tr w:rsidR="00BF521A" w:rsidRPr="003546ED" w14:paraId="7F50B904" w14:textId="77777777" w:rsidTr="001336C8">
        <w:tc>
          <w:tcPr>
            <w:tcW w:w="1361" w:type="dxa"/>
            <w:tcBorders>
              <w:top w:val="nil"/>
              <w:bottom w:val="nil"/>
            </w:tcBorders>
            <w:shd w:val="clear" w:color="auto" w:fill="F2F2F2" w:themeFill="background1" w:themeFillShade="F2"/>
            <w:vAlign w:val="center"/>
          </w:tcPr>
          <w:p w14:paraId="484609AF" w14:textId="77777777" w:rsidR="00BF521A" w:rsidRPr="005877BF" w:rsidRDefault="00BF521A" w:rsidP="00CA3144">
            <w:pPr>
              <w:pStyle w:val="TableTextLeft"/>
            </w:pPr>
            <w:r w:rsidRPr="005877BF">
              <w:t>201</w:t>
            </w:r>
            <w:r w:rsidR="00506820" w:rsidRPr="005877BF">
              <w:t>8</w:t>
            </w:r>
          </w:p>
        </w:tc>
        <w:tc>
          <w:tcPr>
            <w:tcW w:w="1134" w:type="dxa"/>
            <w:tcBorders>
              <w:top w:val="nil"/>
              <w:bottom w:val="nil"/>
            </w:tcBorders>
            <w:shd w:val="clear" w:color="auto" w:fill="F2F2F2" w:themeFill="background1" w:themeFillShade="F2"/>
            <w:vAlign w:val="center"/>
          </w:tcPr>
          <w:p w14:paraId="41EE6D3E" w14:textId="77777777" w:rsidR="00BF521A" w:rsidRPr="005877BF" w:rsidRDefault="00BF521A" w:rsidP="00CA3144">
            <w:pPr>
              <w:pStyle w:val="TableTextRight"/>
            </w:pPr>
            <w:r w:rsidRPr="005877BF">
              <w:t>0.</w:t>
            </w:r>
            <w:r w:rsidR="00506820" w:rsidRPr="005877BF">
              <w:t>4</w:t>
            </w:r>
          </w:p>
        </w:tc>
        <w:tc>
          <w:tcPr>
            <w:tcW w:w="1134" w:type="dxa"/>
            <w:tcBorders>
              <w:top w:val="nil"/>
              <w:bottom w:val="nil"/>
            </w:tcBorders>
            <w:shd w:val="clear" w:color="auto" w:fill="F2F2F2" w:themeFill="background1" w:themeFillShade="F2"/>
            <w:vAlign w:val="center"/>
          </w:tcPr>
          <w:p w14:paraId="72E1C839" w14:textId="77777777" w:rsidR="00BF521A" w:rsidRPr="005877BF" w:rsidRDefault="00506820" w:rsidP="00CA3144">
            <w:pPr>
              <w:pStyle w:val="TableTextRight"/>
            </w:pPr>
            <w:r w:rsidRPr="005877BF">
              <w:t>31.</w:t>
            </w:r>
            <w:r w:rsidR="001C6647" w:rsidRPr="005877BF">
              <w:t>4</w:t>
            </w:r>
          </w:p>
        </w:tc>
        <w:tc>
          <w:tcPr>
            <w:tcW w:w="1134" w:type="dxa"/>
            <w:tcBorders>
              <w:top w:val="nil"/>
              <w:bottom w:val="nil"/>
            </w:tcBorders>
            <w:shd w:val="clear" w:color="auto" w:fill="F2F2F2" w:themeFill="background1" w:themeFillShade="F2"/>
            <w:vAlign w:val="center"/>
          </w:tcPr>
          <w:p w14:paraId="5ACB37B4" w14:textId="77777777" w:rsidR="00BF521A" w:rsidRPr="005877BF" w:rsidRDefault="00506820" w:rsidP="00CA3144">
            <w:pPr>
              <w:pStyle w:val="TableTextRight"/>
            </w:pPr>
            <w:r w:rsidRPr="005877BF">
              <w:t>37</w:t>
            </w:r>
            <w:r w:rsidR="00BF521A" w:rsidRPr="005877BF">
              <w:t>.</w:t>
            </w:r>
            <w:r w:rsidRPr="005877BF">
              <w:t>8</w:t>
            </w:r>
          </w:p>
        </w:tc>
        <w:tc>
          <w:tcPr>
            <w:tcW w:w="1134" w:type="dxa"/>
            <w:tcBorders>
              <w:top w:val="nil"/>
              <w:bottom w:val="nil"/>
            </w:tcBorders>
            <w:shd w:val="clear" w:color="auto" w:fill="F2F2F2" w:themeFill="background1" w:themeFillShade="F2"/>
            <w:vAlign w:val="center"/>
          </w:tcPr>
          <w:p w14:paraId="4124DE1D" w14:textId="77777777" w:rsidR="00BF521A" w:rsidRPr="005877BF" w:rsidRDefault="00084B29" w:rsidP="00CA3144">
            <w:pPr>
              <w:pStyle w:val="TableTextRight"/>
            </w:pPr>
            <w:r w:rsidRPr="005877BF">
              <w:t>69.</w:t>
            </w:r>
            <w:r w:rsidR="001C6647" w:rsidRPr="005877BF">
              <w:t>6</w:t>
            </w:r>
          </w:p>
        </w:tc>
        <w:tc>
          <w:tcPr>
            <w:tcW w:w="1247" w:type="dxa"/>
            <w:tcBorders>
              <w:top w:val="nil"/>
              <w:bottom w:val="nil"/>
            </w:tcBorders>
            <w:shd w:val="clear" w:color="auto" w:fill="F2F2F2" w:themeFill="background1" w:themeFillShade="F2"/>
            <w:vAlign w:val="center"/>
          </w:tcPr>
          <w:p w14:paraId="3E69E3B0" w14:textId="77777777" w:rsidR="00BF521A" w:rsidRPr="005877BF" w:rsidRDefault="00BF521A" w:rsidP="00CA3144">
            <w:pPr>
              <w:pStyle w:val="TableTextRight"/>
            </w:pPr>
            <w:r w:rsidRPr="005877BF">
              <w:t>3.</w:t>
            </w:r>
            <w:r w:rsidR="00084B29" w:rsidRPr="005877BF">
              <w:t>5</w:t>
            </w:r>
          </w:p>
        </w:tc>
      </w:tr>
      <w:tr w:rsidR="00BF521A" w:rsidRPr="003546ED" w14:paraId="35586446" w14:textId="77777777" w:rsidTr="001336C8">
        <w:tc>
          <w:tcPr>
            <w:tcW w:w="1361" w:type="dxa"/>
            <w:tcBorders>
              <w:top w:val="nil"/>
              <w:bottom w:val="nil"/>
            </w:tcBorders>
            <w:shd w:val="clear" w:color="auto" w:fill="F2F2F2" w:themeFill="background1" w:themeFillShade="F2"/>
            <w:vAlign w:val="center"/>
          </w:tcPr>
          <w:p w14:paraId="56D6C5BD" w14:textId="77777777" w:rsidR="00BF521A" w:rsidRPr="005877BF" w:rsidRDefault="00BF521A" w:rsidP="00CA3144">
            <w:pPr>
              <w:pStyle w:val="TableTextLeft"/>
            </w:pPr>
            <w:r w:rsidRPr="005877BF">
              <w:t>20</w:t>
            </w:r>
            <w:r w:rsidR="00CB46B1" w:rsidRPr="005877BF">
              <w:t>19</w:t>
            </w:r>
          </w:p>
        </w:tc>
        <w:tc>
          <w:tcPr>
            <w:tcW w:w="1134" w:type="dxa"/>
            <w:tcBorders>
              <w:top w:val="nil"/>
              <w:bottom w:val="nil"/>
            </w:tcBorders>
            <w:shd w:val="clear" w:color="auto" w:fill="F2F2F2" w:themeFill="background1" w:themeFillShade="F2"/>
            <w:vAlign w:val="center"/>
          </w:tcPr>
          <w:p w14:paraId="086CC419" w14:textId="77777777" w:rsidR="00BF521A" w:rsidRPr="005877BF" w:rsidRDefault="00BF521A" w:rsidP="00CA3144">
            <w:pPr>
              <w:pStyle w:val="TableTextRight"/>
            </w:pPr>
            <w:r w:rsidRPr="005877BF">
              <w:t>0.</w:t>
            </w:r>
            <w:r w:rsidR="00506820" w:rsidRPr="005877BF">
              <w:t>4</w:t>
            </w:r>
          </w:p>
        </w:tc>
        <w:tc>
          <w:tcPr>
            <w:tcW w:w="1134" w:type="dxa"/>
            <w:tcBorders>
              <w:top w:val="nil"/>
              <w:bottom w:val="nil"/>
            </w:tcBorders>
            <w:shd w:val="clear" w:color="auto" w:fill="F2F2F2" w:themeFill="background1" w:themeFillShade="F2"/>
            <w:vAlign w:val="center"/>
          </w:tcPr>
          <w:p w14:paraId="4FAB9DCA" w14:textId="77777777" w:rsidR="00BF521A" w:rsidRPr="005877BF" w:rsidRDefault="00506820" w:rsidP="00CA3144">
            <w:pPr>
              <w:pStyle w:val="TableTextRight"/>
            </w:pPr>
            <w:r w:rsidRPr="005877BF">
              <w:t>31.</w:t>
            </w:r>
            <w:r w:rsidR="001C6647" w:rsidRPr="005877BF">
              <w:t>6</w:t>
            </w:r>
          </w:p>
        </w:tc>
        <w:tc>
          <w:tcPr>
            <w:tcW w:w="1134" w:type="dxa"/>
            <w:tcBorders>
              <w:top w:val="nil"/>
              <w:bottom w:val="nil"/>
            </w:tcBorders>
            <w:shd w:val="clear" w:color="auto" w:fill="F2F2F2" w:themeFill="background1" w:themeFillShade="F2"/>
            <w:vAlign w:val="center"/>
          </w:tcPr>
          <w:p w14:paraId="05D13CC2" w14:textId="77777777" w:rsidR="00BF521A" w:rsidRPr="005877BF" w:rsidRDefault="00BF521A" w:rsidP="00CA3144">
            <w:pPr>
              <w:pStyle w:val="TableTextRight"/>
            </w:pPr>
            <w:r w:rsidRPr="005877BF">
              <w:t>4</w:t>
            </w:r>
            <w:r w:rsidR="00084B29" w:rsidRPr="005877BF">
              <w:t>1</w:t>
            </w:r>
            <w:r w:rsidRPr="005877BF">
              <w:t>.</w:t>
            </w:r>
            <w:r w:rsidR="00084B29" w:rsidRPr="005877BF">
              <w:t>0</w:t>
            </w:r>
          </w:p>
        </w:tc>
        <w:tc>
          <w:tcPr>
            <w:tcW w:w="1134" w:type="dxa"/>
            <w:tcBorders>
              <w:top w:val="nil"/>
              <w:bottom w:val="nil"/>
            </w:tcBorders>
            <w:shd w:val="clear" w:color="auto" w:fill="F2F2F2" w:themeFill="background1" w:themeFillShade="F2"/>
            <w:vAlign w:val="center"/>
          </w:tcPr>
          <w:p w14:paraId="471480F2" w14:textId="77777777" w:rsidR="00BF521A" w:rsidRPr="005877BF" w:rsidRDefault="00084B29" w:rsidP="00CA3144">
            <w:pPr>
              <w:pStyle w:val="TableTextRight"/>
            </w:pPr>
            <w:r w:rsidRPr="005877BF">
              <w:t>7</w:t>
            </w:r>
            <w:r w:rsidR="001C6647" w:rsidRPr="005877BF">
              <w:t>2</w:t>
            </w:r>
            <w:r w:rsidRPr="005877BF">
              <w:t>.</w:t>
            </w:r>
            <w:r w:rsidR="001C6647" w:rsidRPr="005877BF">
              <w:t>9</w:t>
            </w:r>
          </w:p>
        </w:tc>
        <w:tc>
          <w:tcPr>
            <w:tcW w:w="1247" w:type="dxa"/>
            <w:tcBorders>
              <w:top w:val="nil"/>
              <w:bottom w:val="nil"/>
            </w:tcBorders>
            <w:shd w:val="clear" w:color="auto" w:fill="F2F2F2" w:themeFill="background1" w:themeFillShade="F2"/>
            <w:vAlign w:val="center"/>
          </w:tcPr>
          <w:p w14:paraId="78A38CAB" w14:textId="77777777" w:rsidR="00BF521A" w:rsidRPr="005877BF" w:rsidRDefault="00BF521A" w:rsidP="00CA3144">
            <w:pPr>
              <w:pStyle w:val="TableTextRight"/>
            </w:pPr>
            <w:r w:rsidRPr="005877BF">
              <w:t>3.</w:t>
            </w:r>
            <w:r w:rsidR="00084B29" w:rsidRPr="005877BF">
              <w:t>5</w:t>
            </w:r>
          </w:p>
        </w:tc>
      </w:tr>
      <w:tr w:rsidR="00CB46B1" w:rsidRPr="003546ED" w14:paraId="5E6B08C4" w14:textId="77777777" w:rsidTr="001336C8">
        <w:tc>
          <w:tcPr>
            <w:tcW w:w="1361" w:type="dxa"/>
            <w:tcBorders>
              <w:top w:val="nil"/>
              <w:bottom w:val="single" w:sz="4" w:space="0" w:color="auto"/>
            </w:tcBorders>
            <w:shd w:val="clear" w:color="auto" w:fill="F2F2F2" w:themeFill="background1" w:themeFillShade="F2"/>
            <w:vAlign w:val="center"/>
          </w:tcPr>
          <w:p w14:paraId="1B0B9757" w14:textId="77777777" w:rsidR="00CB46B1" w:rsidRPr="005877BF" w:rsidRDefault="00CB46B1" w:rsidP="00CA3144">
            <w:pPr>
              <w:pStyle w:val="TableTextLeft"/>
            </w:pPr>
            <w:r w:rsidRPr="005877BF">
              <w:t>2020</w:t>
            </w:r>
          </w:p>
        </w:tc>
        <w:tc>
          <w:tcPr>
            <w:tcW w:w="1134" w:type="dxa"/>
            <w:tcBorders>
              <w:top w:val="nil"/>
              <w:bottom w:val="single" w:sz="4" w:space="0" w:color="auto"/>
            </w:tcBorders>
            <w:shd w:val="clear" w:color="auto" w:fill="F2F2F2" w:themeFill="background1" w:themeFillShade="F2"/>
            <w:vAlign w:val="center"/>
          </w:tcPr>
          <w:p w14:paraId="26B9AA24" w14:textId="77777777" w:rsidR="00CB46B1" w:rsidRPr="005877BF" w:rsidRDefault="00CB46B1" w:rsidP="00CA3144">
            <w:pPr>
              <w:pStyle w:val="TableTextRight"/>
            </w:pPr>
            <w:r w:rsidRPr="005877BF">
              <w:t>0.3</w:t>
            </w:r>
          </w:p>
        </w:tc>
        <w:tc>
          <w:tcPr>
            <w:tcW w:w="1134" w:type="dxa"/>
            <w:tcBorders>
              <w:top w:val="nil"/>
              <w:bottom w:val="single" w:sz="4" w:space="0" w:color="auto"/>
            </w:tcBorders>
            <w:shd w:val="clear" w:color="auto" w:fill="F2F2F2" w:themeFill="background1" w:themeFillShade="F2"/>
            <w:vAlign w:val="center"/>
          </w:tcPr>
          <w:p w14:paraId="3BC0F022" w14:textId="77777777" w:rsidR="00CB46B1" w:rsidRPr="005877BF" w:rsidRDefault="00CB46B1" w:rsidP="00CA3144">
            <w:pPr>
              <w:pStyle w:val="TableTextRight"/>
            </w:pPr>
            <w:r w:rsidRPr="005877BF">
              <w:t>31.7</w:t>
            </w:r>
          </w:p>
        </w:tc>
        <w:tc>
          <w:tcPr>
            <w:tcW w:w="1134" w:type="dxa"/>
            <w:tcBorders>
              <w:top w:val="nil"/>
              <w:bottom w:val="single" w:sz="4" w:space="0" w:color="auto"/>
            </w:tcBorders>
            <w:shd w:val="clear" w:color="auto" w:fill="F2F2F2" w:themeFill="background1" w:themeFillShade="F2"/>
            <w:vAlign w:val="center"/>
          </w:tcPr>
          <w:p w14:paraId="73C92602" w14:textId="77777777" w:rsidR="00CB46B1" w:rsidRPr="005877BF" w:rsidRDefault="00CB46B1" w:rsidP="00CA3144">
            <w:pPr>
              <w:pStyle w:val="TableTextRight"/>
            </w:pPr>
            <w:r w:rsidRPr="005877BF">
              <w:t>44.4</w:t>
            </w:r>
          </w:p>
        </w:tc>
        <w:tc>
          <w:tcPr>
            <w:tcW w:w="1134" w:type="dxa"/>
            <w:tcBorders>
              <w:top w:val="nil"/>
              <w:bottom w:val="single" w:sz="4" w:space="0" w:color="auto"/>
            </w:tcBorders>
            <w:shd w:val="clear" w:color="auto" w:fill="F2F2F2" w:themeFill="background1" w:themeFillShade="F2"/>
            <w:vAlign w:val="center"/>
          </w:tcPr>
          <w:p w14:paraId="06C41CE1" w14:textId="77777777" w:rsidR="00CB46B1" w:rsidRPr="005877BF" w:rsidRDefault="00CB46B1" w:rsidP="00CA3144">
            <w:pPr>
              <w:pStyle w:val="TableTextRight"/>
            </w:pPr>
            <w:r w:rsidRPr="005877BF">
              <w:t>76.4</w:t>
            </w:r>
          </w:p>
        </w:tc>
        <w:tc>
          <w:tcPr>
            <w:tcW w:w="1247" w:type="dxa"/>
            <w:tcBorders>
              <w:top w:val="nil"/>
              <w:bottom w:val="single" w:sz="4" w:space="0" w:color="auto"/>
            </w:tcBorders>
            <w:shd w:val="clear" w:color="auto" w:fill="F2F2F2" w:themeFill="background1" w:themeFillShade="F2"/>
            <w:vAlign w:val="center"/>
          </w:tcPr>
          <w:p w14:paraId="2C94AAD9" w14:textId="77777777" w:rsidR="00CB46B1" w:rsidRPr="005877BF" w:rsidRDefault="00CB46B1" w:rsidP="00CA3144">
            <w:pPr>
              <w:pStyle w:val="TableTextRight"/>
            </w:pPr>
            <w:r w:rsidRPr="005877BF">
              <w:t>3.5</w:t>
            </w:r>
          </w:p>
        </w:tc>
      </w:tr>
      <w:tr w:rsidR="00CB46B1" w:rsidRPr="003546ED" w14:paraId="0146750D" w14:textId="77777777" w:rsidTr="001336C8">
        <w:tc>
          <w:tcPr>
            <w:tcW w:w="1361" w:type="dxa"/>
            <w:tcBorders>
              <w:top w:val="single" w:sz="4" w:space="0" w:color="auto"/>
              <w:bottom w:val="nil"/>
            </w:tcBorders>
            <w:shd w:val="clear" w:color="auto" w:fill="auto"/>
            <w:vAlign w:val="center"/>
          </w:tcPr>
          <w:p w14:paraId="4B3C4169" w14:textId="77777777" w:rsidR="00CB46B1" w:rsidRPr="005877BF" w:rsidRDefault="00CB46B1" w:rsidP="00CA3144">
            <w:pPr>
              <w:pStyle w:val="TableTextLeft"/>
            </w:pPr>
            <w:r w:rsidRPr="005877BF">
              <w:t>2025</w:t>
            </w:r>
          </w:p>
        </w:tc>
        <w:tc>
          <w:tcPr>
            <w:tcW w:w="1134" w:type="dxa"/>
            <w:tcBorders>
              <w:top w:val="single" w:sz="4" w:space="0" w:color="auto"/>
              <w:bottom w:val="nil"/>
            </w:tcBorders>
            <w:shd w:val="clear" w:color="auto" w:fill="auto"/>
            <w:vAlign w:val="center"/>
          </w:tcPr>
          <w:p w14:paraId="61A63CCC" w14:textId="77777777" w:rsidR="00CB46B1" w:rsidRPr="005877BF" w:rsidRDefault="00CB46B1" w:rsidP="00CA3144">
            <w:pPr>
              <w:pStyle w:val="TableTextRight"/>
            </w:pPr>
            <w:r w:rsidRPr="005877BF">
              <w:t>0.3</w:t>
            </w:r>
          </w:p>
        </w:tc>
        <w:tc>
          <w:tcPr>
            <w:tcW w:w="1134" w:type="dxa"/>
            <w:tcBorders>
              <w:top w:val="single" w:sz="4" w:space="0" w:color="auto"/>
              <w:bottom w:val="nil"/>
            </w:tcBorders>
            <w:shd w:val="clear" w:color="auto" w:fill="auto"/>
            <w:vAlign w:val="center"/>
          </w:tcPr>
          <w:p w14:paraId="41774E47" w14:textId="77777777" w:rsidR="00CB46B1" w:rsidRPr="005877BF" w:rsidRDefault="00CB46B1" w:rsidP="00CA3144">
            <w:pPr>
              <w:pStyle w:val="TableTextRight"/>
            </w:pPr>
            <w:r w:rsidRPr="005877BF">
              <w:t>31.6</w:t>
            </w:r>
          </w:p>
        </w:tc>
        <w:tc>
          <w:tcPr>
            <w:tcW w:w="1134" w:type="dxa"/>
            <w:tcBorders>
              <w:top w:val="single" w:sz="4" w:space="0" w:color="auto"/>
              <w:bottom w:val="nil"/>
            </w:tcBorders>
            <w:shd w:val="clear" w:color="auto" w:fill="auto"/>
            <w:vAlign w:val="center"/>
          </w:tcPr>
          <w:p w14:paraId="1902D06A" w14:textId="77777777" w:rsidR="00CB46B1" w:rsidRPr="005877BF" w:rsidRDefault="00CB46B1" w:rsidP="00CA3144">
            <w:pPr>
              <w:pStyle w:val="TableTextRight"/>
            </w:pPr>
            <w:r w:rsidRPr="005877BF">
              <w:t>64.0</w:t>
            </w:r>
          </w:p>
        </w:tc>
        <w:tc>
          <w:tcPr>
            <w:tcW w:w="1134" w:type="dxa"/>
            <w:tcBorders>
              <w:top w:val="single" w:sz="4" w:space="0" w:color="auto"/>
              <w:bottom w:val="nil"/>
            </w:tcBorders>
            <w:shd w:val="clear" w:color="auto" w:fill="auto"/>
            <w:vAlign w:val="center"/>
          </w:tcPr>
          <w:p w14:paraId="1C022516" w14:textId="77777777" w:rsidR="00CB46B1" w:rsidRPr="005877BF" w:rsidRDefault="00CB46B1" w:rsidP="00CA3144">
            <w:pPr>
              <w:pStyle w:val="TableTextRight"/>
            </w:pPr>
            <w:r w:rsidRPr="005877BF">
              <w:t>95.8</w:t>
            </w:r>
          </w:p>
        </w:tc>
        <w:tc>
          <w:tcPr>
            <w:tcW w:w="1247" w:type="dxa"/>
            <w:tcBorders>
              <w:top w:val="single" w:sz="4" w:space="0" w:color="auto"/>
              <w:bottom w:val="nil"/>
            </w:tcBorders>
            <w:shd w:val="clear" w:color="auto" w:fill="auto"/>
            <w:vAlign w:val="center"/>
          </w:tcPr>
          <w:p w14:paraId="195587C6" w14:textId="77777777" w:rsidR="00CB46B1" w:rsidRPr="005877BF" w:rsidRDefault="00CB46B1" w:rsidP="00CA3144">
            <w:pPr>
              <w:pStyle w:val="TableTextRight"/>
            </w:pPr>
            <w:r w:rsidRPr="005877BF">
              <w:t>3.3</w:t>
            </w:r>
          </w:p>
        </w:tc>
      </w:tr>
      <w:tr w:rsidR="00CB46B1" w:rsidRPr="003546ED" w14:paraId="69563642" w14:textId="77777777" w:rsidTr="001336C8">
        <w:tc>
          <w:tcPr>
            <w:tcW w:w="1361" w:type="dxa"/>
            <w:tcBorders>
              <w:top w:val="nil"/>
            </w:tcBorders>
            <w:shd w:val="clear" w:color="auto" w:fill="auto"/>
            <w:vAlign w:val="center"/>
          </w:tcPr>
          <w:p w14:paraId="07051718" w14:textId="77777777" w:rsidR="00CB46B1" w:rsidRPr="005877BF" w:rsidRDefault="00CB46B1" w:rsidP="00CA3144">
            <w:pPr>
              <w:pStyle w:val="TableTextLeft"/>
            </w:pPr>
            <w:r w:rsidRPr="005877BF">
              <w:t>2030</w:t>
            </w:r>
          </w:p>
        </w:tc>
        <w:tc>
          <w:tcPr>
            <w:tcW w:w="1134" w:type="dxa"/>
            <w:tcBorders>
              <w:top w:val="nil"/>
            </w:tcBorders>
            <w:shd w:val="clear" w:color="auto" w:fill="auto"/>
            <w:vAlign w:val="center"/>
          </w:tcPr>
          <w:p w14:paraId="69539D01" w14:textId="77777777" w:rsidR="00CB46B1" w:rsidRPr="005877BF" w:rsidRDefault="00CB46B1" w:rsidP="00CA3144">
            <w:pPr>
              <w:pStyle w:val="TableTextRight"/>
            </w:pPr>
            <w:r w:rsidRPr="005877BF">
              <w:t>0.2</w:t>
            </w:r>
          </w:p>
        </w:tc>
        <w:tc>
          <w:tcPr>
            <w:tcW w:w="1134" w:type="dxa"/>
            <w:tcBorders>
              <w:top w:val="nil"/>
            </w:tcBorders>
            <w:shd w:val="clear" w:color="auto" w:fill="auto"/>
            <w:vAlign w:val="center"/>
          </w:tcPr>
          <w:p w14:paraId="47BB17ED" w14:textId="77777777" w:rsidR="00CB46B1" w:rsidRPr="005877BF" w:rsidRDefault="00CB46B1" w:rsidP="00CA3144">
            <w:pPr>
              <w:pStyle w:val="TableTextRight"/>
            </w:pPr>
            <w:r w:rsidRPr="005877BF">
              <w:t>30.4</w:t>
            </w:r>
          </w:p>
        </w:tc>
        <w:tc>
          <w:tcPr>
            <w:tcW w:w="1134" w:type="dxa"/>
            <w:tcBorders>
              <w:top w:val="nil"/>
            </w:tcBorders>
            <w:shd w:val="clear" w:color="auto" w:fill="auto"/>
            <w:vAlign w:val="center"/>
          </w:tcPr>
          <w:p w14:paraId="6F91B82F" w14:textId="77777777" w:rsidR="00CB46B1" w:rsidRPr="005877BF" w:rsidRDefault="00CB46B1" w:rsidP="00CA3144">
            <w:pPr>
              <w:pStyle w:val="TableTextRight"/>
            </w:pPr>
            <w:r w:rsidRPr="005877BF">
              <w:t>88.5</w:t>
            </w:r>
          </w:p>
        </w:tc>
        <w:tc>
          <w:tcPr>
            <w:tcW w:w="1134" w:type="dxa"/>
            <w:tcBorders>
              <w:top w:val="nil"/>
            </w:tcBorders>
            <w:shd w:val="clear" w:color="auto" w:fill="auto"/>
            <w:vAlign w:val="center"/>
          </w:tcPr>
          <w:p w14:paraId="4453E227" w14:textId="77777777" w:rsidR="00CB46B1" w:rsidRPr="005877BF" w:rsidRDefault="00CB46B1" w:rsidP="00CA3144">
            <w:pPr>
              <w:pStyle w:val="TableTextRight"/>
            </w:pPr>
            <w:r w:rsidRPr="005877BF">
              <w:t>119.1</w:t>
            </w:r>
          </w:p>
        </w:tc>
        <w:tc>
          <w:tcPr>
            <w:tcW w:w="1247" w:type="dxa"/>
            <w:tcBorders>
              <w:top w:val="nil"/>
            </w:tcBorders>
            <w:shd w:val="clear" w:color="auto" w:fill="auto"/>
            <w:vAlign w:val="center"/>
          </w:tcPr>
          <w:p w14:paraId="6117CE67" w14:textId="77777777" w:rsidR="00CB46B1" w:rsidRPr="005877BF" w:rsidRDefault="00CB46B1" w:rsidP="00CA3144">
            <w:pPr>
              <w:pStyle w:val="TableTextRight"/>
            </w:pPr>
            <w:r w:rsidRPr="005877BF">
              <w:t>3.2</w:t>
            </w:r>
          </w:p>
        </w:tc>
      </w:tr>
      <w:tr w:rsidR="00CB46B1" w:rsidRPr="003546ED" w14:paraId="3A081541" w14:textId="77777777" w:rsidTr="001336C8">
        <w:tc>
          <w:tcPr>
            <w:tcW w:w="1361" w:type="dxa"/>
            <w:shd w:val="clear" w:color="auto" w:fill="auto"/>
            <w:vAlign w:val="center"/>
          </w:tcPr>
          <w:p w14:paraId="2B6C70F2" w14:textId="77777777" w:rsidR="00CB46B1" w:rsidRPr="005877BF" w:rsidRDefault="00CB46B1" w:rsidP="00CA3144">
            <w:pPr>
              <w:pStyle w:val="TableTextLeft"/>
            </w:pPr>
            <w:r w:rsidRPr="005877BF">
              <w:t>2035</w:t>
            </w:r>
          </w:p>
        </w:tc>
        <w:tc>
          <w:tcPr>
            <w:tcW w:w="1134" w:type="dxa"/>
            <w:shd w:val="clear" w:color="auto" w:fill="auto"/>
            <w:vAlign w:val="center"/>
          </w:tcPr>
          <w:p w14:paraId="7A35CE20" w14:textId="77777777" w:rsidR="00CB46B1" w:rsidRPr="005877BF" w:rsidRDefault="00CB46B1" w:rsidP="00CA3144">
            <w:pPr>
              <w:pStyle w:val="TableTextRight"/>
            </w:pPr>
            <w:r w:rsidRPr="005877BF">
              <w:t>0.1</w:t>
            </w:r>
          </w:p>
        </w:tc>
        <w:tc>
          <w:tcPr>
            <w:tcW w:w="1134" w:type="dxa"/>
            <w:shd w:val="clear" w:color="auto" w:fill="auto"/>
            <w:vAlign w:val="center"/>
          </w:tcPr>
          <w:p w14:paraId="7D319623" w14:textId="77777777" w:rsidR="00CB46B1" w:rsidRPr="005877BF" w:rsidRDefault="00CB46B1" w:rsidP="00CA3144">
            <w:pPr>
              <w:pStyle w:val="TableTextRight"/>
            </w:pPr>
            <w:r w:rsidRPr="005877BF">
              <w:t>28.1</w:t>
            </w:r>
          </w:p>
        </w:tc>
        <w:tc>
          <w:tcPr>
            <w:tcW w:w="1134" w:type="dxa"/>
            <w:shd w:val="clear" w:color="auto" w:fill="auto"/>
            <w:vAlign w:val="center"/>
          </w:tcPr>
          <w:p w14:paraId="7259A7EF" w14:textId="77777777" w:rsidR="00CB46B1" w:rsidRPr="005877BF" w:rsidRDefault="00CB46B1" w:rsidP="00CA3144">
            <w:pPr>
              <w:pStyle w:val="TableTextRight"/>
            </w:pPr>
            <w:r w:rsidRPr="005877BF">
              <w:t>118.8</w:t>
            </w:r>
          </w:p>
        </w:tc>
        <w:tc>
          <w:tcPr>
            <w:tcW w:w="1134" w:type="dxa"/>
            <w:shd w:val="clear" w:color="auto" w:fill="auto"/>
            <w:vAlign w:val="center"/>
          </w:tcPr>
          <w:p w14:paraId="748C7954" w14:textId="77777777" w:rsidR="00CB46B1" w:rsidRPr="005877BF" w:rsidRDefault="00CB46B1" w:rsidP="00CA3144">
            <w:pPr>
              <w:pStyle w:val="TableTextRight"/>
            </w:pPr>
            <w:r w:rsidRPr="005877BF">
              <w:t>147.0</w:t>
            </w:r>
          </w:p>
        </w:tc>
        <w:tc>
          <w:tcPr>
            <w:tcW w:w="1247" w:type="dxa"/>
            <w:shd w:val="clear" w:color="auto" w:fill="auto"/>
            <w:vAlign w:val="center"/>
          </w:tcPr>
          <w:p w14:paraId="4C176EF2" w14:textId="77777777" w:rsidR="00CB46B1" w:rsidRPr="005877BF" w:rsidRDefault="00CB46B1" w:rsidP="00CA3144">
            <w:pPr>
              <w:pStyle w:val="TableTextRight"/>
            </w:pPr>
            <w:r w:rsidRPr="005877BF">
              <w:t>3.0</w:t>
            </w:r>
          </w:p>
        </w:tc>
      </w:tr>
      <w:tr w:rsidR="00CB46B1" w:rsidRPr="003546ED" w14:paraId="416BDDB3" w14:textId="77777777" w:rsidTr="001336C8">
        <w:tc>
          <w:tcPr>
            <w:tcW w:w="1361" w:type="dxa"/>
            <w:shd w:val="clear" w:color="auto" w:fill="auto"/>
            <w:vAlign w:val="center"/>
          </w:tcPr>
          <w:p w14:paraId="63242232" w14:textId="77777777" w:rsidR="00CB46B1" w:rsidRPr="005877BF" w:rsidRDefault="00CB46B1" w:rsidP="00CA3144">
            <w:pPr>
              <w:pStyle w:val="TableTextLeft"/>
            </w:pPr>
            <w:r w:rsidRPr="005877BF">
              <w:t>2040</w:t>
            </w:r>
          </w:p>
        </w:tc>
        <w:tc>
          <w:tcPr>
            <w:tcW w:w="1134" w:type="dxa"/>
            <w:shd w:val="clear" w:color="auto" w:fill="auto"/>
            <w:vAlign w:val="center"/>
          </w:tcPr>
          <w:p w14:paraId="7C40D238" w14:textId="77777777" w:rsidR="00CB46B1" w:rsidRPr="005877BF" w:rsidRDefault="00CB46B1" w:rsidP="00CA3144">
            <w:pPr>
              <w:pStyle w:val="TableTextRight"/>
            </w:pPr>
            <w:r w:rsidRPr="005877BF">
              <w:t>0.1</w:t>
            </w:r>
          </w:p>
        </w:tc>
        <w:tc>
          <w:tcPr>
            <w:tcW w:w="1134" w:type="dxa"/>
            <w:shd w:val="clear" w:color="auto" w:fill="auto"/>
            <w:vAlign w:val="center"/>
          </w:tcPr>
          <w:p w14:paraId="5DCDAA6C" w14:textId="77777777" w:rsidR="00CB46B1" w:rsidRPr="005877BF" w:rsidRDefault="00CB46B1" w:rsidP="00CA3144">
            <w:pPr>
              <w:pStyle w:val="TableTextRight"/>
            </w:pPr>
            <w:r w:rsidRPr="005877BF">
              <w:t>24.6</w:t>
            </w:r>
          </w:p>
        </w:tc>
        <w:tc>
          <w:tcPr>
            <w:tcW w:w="1134" w:type="dxa"/>
            <w:shd w:val="clear" w:color="auto" w:fill="auto"/>
            <w:vAlign w:val="center"/>
          </w:tcPr>
          <w:p w14:paraId="360FE9A5" w14:textId="77777777" w:rsidR="00CB46B1" w:rsidRPr="005877BF" w:rsidRDefault="00CB46B1" w:rsidP="00CA3144">
            <w:pPr>
              <w:pStyle w:val="TableTextRight"/>
            </w:pPr>
            <w:r w:rsidRPr="005877BF">
              <w:t>155.4</w:t>
            </w:r>
          </w:p>
        </w:tc>
        <w:tc>
          <w:tcPr>
            <w:tcW w:w="1134" w:type="dxa"/>
            <w:shd w:val="clear" w:color="auto" w:fill="auto"/>
            <w:vAlign w:val="center"/>
          </w:tcPr>
          <w:p w14:paraId="1B8334D0" w14:textId="77777777" w:rsidR="00CB46B1" w:rsidRPr="005877BF" w:rsidRDefault="00CB46B1" w:rsidP="00CA3144">
            <w:pPr>
              <w:pStyle w:val="TableTextRight"/>
            </w:pPr>
            <w:r w:rsidRPr="005877BF">
              <w:t>180.0</w:t>
            </w:r>
          </w:p>
        </w:tc>
        <w:tc>
          <w:tcPr>
            <w:tcW w:w="1247" w:type="dxa"/>
            <w:shd w:val="clear" w:color="auto" w:fill="auto"/>
            <w:vAlign w:val="center"/>
          </w:tcPr>
          <w:p w14:paraId="138DC92F" w14:textId="77777777" w:rsidR="00CB46B1" w:rsidRPr="005877BF" w:rsidRDefault="00CB46B1" w:rsidP="00CA3144">
            <w:pPr>
              <w:pStyle w:val="TableTextRight"/>
            </w:pPr>
            <w:r w:rsidRPr="005877BF">
              <w:t>2.8</w:t>
            </w:r>
          </w:p>
        </w:tc>
      </w:tr>
      <w:tr w:rsidR="00CB46B1" w:rsidRPr="003546ED" w14:paraId="28FE7923" w14:textId="77777777" w:rsidTr="001336C8">
        <w:tc>
          <w:tcPr>
            <w:tcW w:w="1361" w:type="dxa"/>
            <w:shd w:val="clear" w:color="auto" w:fill="auto"/>
            <w:vAlign w:val="center"/>
          </w:tcPr>
          <w:p w14:paraId="6224FCC2" w14:textId="77777777" w:rsidR="00CB46B1" w:rsidRPr="005877BF" w:rsidRDefault="00CB46B1" w:rsidP="00CA3144">
            <w:pPr>
              <w:pStyle w:val="TableTextLeft"/>
            </w:pPr>
            <w:r w:rsidRPr="005877BF">
              <w:t>2045</w:t>
            </w:r>
          </w:p>
        </w:tc>
        <w:tc>
          <w:tcPr>
            <w:tcW w:w="1134" w:type="dxa"/>
            <w:shd w:val="clear" w:color="auto" w:fill="auto"/>
            <w:vAlign w:val="center"/>
          </w:tcPr>
          <w:p w14:paraId="40018B6C" w14:textId="77777777" w:rsidR="00CB46B1" w:rsidRPr="005877BF" w:rsidRDefault="00CB46B1" w:rsidP="00CA3144">
            <w:pPr>
              <w:pStyle w:val="TableTextRight"/>
            </w:pPr>
            <w:r w:rsidRPr="005877BF">
              <w:t>0.0</w:t>
            </w:r>
          </w:p>
        </w:tc>
        <w:tc>
          <w:tcPr>
            <w:tcW w:w="1134" w:type="dxa"/>
            <w:shd w:val="clear" w:color="auto" w:fill="auto"/>
            <w:vAlign w:val="center"/>
          </w:tcPr>
          <w:p w14:paraId="164E8C1F" w14:textId="77777777" w:rsidR="00CB46B1" w:rsidRPr="005877BF" w:rsidRDefault="00CB46B1" w:rsidP="00CA3144">
            <w:pPr>
              <w:pStyle w:val="TableTextRight"/>
            </w:pPr>
            <w:r w:rsidRPr="005877BF">
              <w:t>20.2</w:t>
            </w:r>
          </w:p>
        </w:tc>
        <w:tc>
          <w:tcPr>
            <w:tcW w:w="1134" w:type="dxa"/>
            <w:shd w:val="clear" w:color="auto" w:fill="auto"/>
            <w:vAlign w:val="center"/>
          </w:tcPr>
          <w:p w14:paraId="5E624B97" w14:textId="77777777" w:rsidR="00CB46B1" w:rsidRPr="005877BF" w:rsidRDefault="00CB46B1" w:rsidP="00CA3144">
            <w:pPr>
              <w:pStyle w:val="TableTextRight"/>
            </w:pPr>
            <w:r w:rsidRPr="005877BF">
              <w:t>198.6</w:t>
            </w:r>
          </w:p>
        </w:tc>
        <w:tc>
          <w:tcPr>
            <w:tcW w:w="1134" w:type="dxa"/>
            <w:shd w:val="clear" w:color="auto" w:fill="auto"/>
            <w:vAlign w:val="center"/>
          </w:tcPr>
          <w:p w14:paraId="7BFAC0E2" w14:textId="77777777" w:rsidR="00CB46B1" w:rsidRPr="005877BF" w:rsidRDefault="00015843" w:rsidP="00CA3144">
            <w:pPr>
              <w:pStyle w:val="TableTextRight"/>
            </w:pPr>
            <w:r w:rsidRPr="005877BF">
              <w:t>218</w:t>
            </w:r>
            <w:r w:rsidR="00CB46B1" w:rsidRPr="005877BF">
              <w:t>.</w:t>
            </w:r>
            <w:r w:rsidRPr="005877BF">
              <w:t>8</w:t>
            </w:r>
          </w:p>
        </w:tc>
        <w:tc>
          <w:tcPr>
            <w:tcW w:w="1247" w:type="dxa"/>
            <w:shd w:val="clear" w:color="auto" w:fill="auto"/>
            <w:vAlign w:val="center"/>
          </w:tcPr>
          <w:p w14:paraId="5DC6A6EB" w14:textId="77777777" w:rsidR="00CB46B1" w:rsidRPr="005877BF" w:rsidRDefault="00CB46B1" w:rsidP="00CA3144">
            <w:pPr>
              <w:pStyle w:val="TableTextRight"/>
            </w:pPr>
            <w:r w:rsidRPr="005877BF">
              <w:t>2.7</w:t>
            </w:r>
          </w:p>
        </w:tc>
      </w:tr>
      <w:tr w:rsidR="00CB46B1" w:rsidRPr="003546ED" w14:paraId="6A5F5E3A" w14:textId="77777777" w:rsidTr="001336C8">
        <w:tc>
          <w:tcPr>
            <w:tcW w:w="1361" w:type="dxa"/>
            <w:shd w:val="clear" w:color="auto" w:fill="auto"/>
            <w:vAlign w:val="center"/>
          </w:tcPr>
          <w:p w14:paraId="4579FF8B" w14:textId="77777777" w:rsidR="00CB46B1" w:rsidRPr="005877BF" w:rsidRDefault="00CB46B1" w:rsidP="00CA3144">
            <w:pPr>
              <w:pStyle w:val="TableTextLeft"/>
            </w:pPr>
            <w:r w:rsidRPr="005877BF">
              <w:t>2050</w:t>
            </w:r>
          </w:p>
        </w:tc>
        <w:tc>
          <w:tcPr>
            <w:tcW w:w="1134" w:type="dxa"/>
            <w:shd w:val="clear" w:color="auto" w:fill="auto"/>
            <w:vAlign w:val="center"/>
          </w:tcPr>
          <w:p w14:paraId="744D4A70" w14:textId="77777777" w:rsidR="00CB46B1" w:rsidRPr="005877BF" w:rsidRDefault="00CB46B1" w:rsidP="00CA3144">
            <w:pPr>
              <w:pStyle w:val="TableTextRight"/>
            </w:pPr>
            <w:r w:rsidRPr="005877BF">
              <w:t>0.0</w:t>
            </w:r>
          </w:p>
        </w:tc>
        <w:tc>
          <w:tcPr>
            <w:tcW w:w="1134" w:type="dxa"/>
            <w:shd w:val="clear" w:color="auto" w:fill="auto"/>
            <w:vAlign w:val="center"/>
          </w:tcPr>
          <w:p w14:paraId="542DADD0" w14:textId="77777777" w:rsidR="00CB46B1" w:rsidRPr="005877BF" w:rsidRDefault="00015843" w:rsidP="00CA3144">
            <w:pPr>
              <w:pStyle w:val="TableTextRight"/>
            </w:pPr>
            <w:r w:rsidRPr="005877BF">
              <w:t>15</w:t>
            </w:r>
            <w:r w:rsidR="00CB46B1" w:rsidRPr="005877BF">
              <w:t>.2</w:t>
            </w:r>
          </w:p>
        </w:tc>
        <w:tc>
          <w:tcPr>
            <w:tcW w:w="1134" w:type="dxa"/>
            <w:shd w:val="clear" w:color="auto" w:fill="auto"/>
            <w:vAlign w:val="center"/>
          </w:tcPr>
          <w:p w14:paraId="7771D974" w14:textId="77777777" w:rsidR="00CB46B1" w:rsidRPr="005877BF" w:rsidRDefault="00015843" w:rsidP="00CA3144">
            <w:pPr>
              <w:pStyle w:val="TableTextRight"/>
            </w:pPr>
            <w:r w:rsidRPr="005877BF">
              <w:t>249</w:t>
            </w:r>
            <w:r w:rsidR="00CB46B1" w:rsidRPr="005877BF">
              <w:t>.</w:t>
            </w:r>
            <w:r w:rsidRPr="005877BF">
              <w:t>3</w:t>
            </w:r>
          </w:p>
        </w:tc>
        <w:tc>
          <w:tcPr>
            <w:tcW w:w="1134" w:type="dxa"/>
            <w:shd w:val="clear" w:color="auto" w:fill="auto"/>
            <w:vAlign w:val="center"/>
          </w:tcPr>
          <w:p w14:paraId="65B02FA0" w14:textId="77777777" w:rsidR="00CB46B1" w:rsidRPr="005877BF" w:rsidRDefault="00015843" w:rsidP="00CA3144">
            <w:pPr>
              <w:pStyle w:val="TableTextRight"/>
            </w:pPr>
            <w:r w:rsidRPr="005877BF">
              <w:t>26</w:t>
            </w:r>
            <w:r w:rsidR="00CB46B1" w:rsidRPr="005877BF">
              <w:t>4.</w:t>
            </w:r>
            <w:r w:rsidRPr="005877BF">
              <w:t>5</w:t>
            </w:r>
          </w:p>
        </w:tc>
        <w:tc>
          <w:tcPr>
            <w:tcW w:w="1247" w:type="dxa"/>
            <w:shd w:val="clear" w:color="auto" w:fill="auto"/>
            <w:vAlign w:val="center"/>
          </w:tcPr>
          <w:p w14:paraId="331FE9F6" w14:textId="77777777" w:rsidR="00CB46B1" w:rsidRPr="005877BF" w:rsidRDefault="00CB46B1" w:rsidP="00CA3144">
            <w:pPr>
              <w:pStyle w:val="TableTextRight"/>
            </w:pPr>
            <w:r w:rsidRPr="005877BF">
              <w:t>2.5</w:t>
            </w:r>
          </w:p>
        </w:tc>
      </w:tr>
      <w:tr w:rsidR="00CB46B1" w:rsidRPr="003546ED" w14:paraId="035E55AE" w14:textId="77777777" w:rsidTr="001336C8">
        <w:tc>
          <w:tcPr>
            <w:tcW w:w="1361" w:type="dxa"/>
            <w:shd w:val="clear" w:color="auto" w:fill="auto"/>
            <w:vAlign w:val="center"/>
          </w:tcPr>
          <w:p w14:paraId="67AECB6F" w14:textId="77777777" w:rsidR="00CB46B1" w:rsidRPr="005877BF" w:rsidRDefault="00CB46B1" w:rsidP="00CA3144">
            <w:pPr>
              <w:pStyle w:val="TableTextLeft"/>
            </w:pPr>
            <w:r w:rsidRPr="005877BF">
              <w:t>2055</w:t>
            </w:r>
          </w:p>
        </w:tc>
        <w:tc>
          <w:tcPr>
            <w:tcW w:w="1134" w:type="dxa"/>
            <w:shd w:val="clear" w:color="auto" w:fill="auto"/>
            <w:vAlign w:val="center"/>
          </w:tcPr>
          <w:p w14:paraId="37BF3E89" w14:textId="77777777" w:rsidR="00CB46B1" w:rsidRPr="005877BF" w:rsidRDefault="00CB46B1" w:rsidP="00CA3144">
            <w:pPr>
              <w:pStyle w:val="TableTextRight"/>
            </w:pPr>
            <w:r w:rsidRPr="005877BF">
              <w:t>0.0</w:t>
            </w:r>
          </w:p>
        </w:tc>
        <w:tc>
          <w:tcPr>
            <w:tcW w:w="1134" w:type="dxa"/>
            <w:shd w:val="clear" w:color="auto" w:fill="auto"/>
            <w:vAlign w:val="center"/>
          </w:tcPr>
          <w:p w14:paraId="3ECEE61C" w14:textId="77777777" w:rsidR="00CB46B1" w:rsidRPr="005877BF" w:rsidRDefault="00CB46B1" w:rsidP="00CA3144">
            <w:pPr>
              <w:pStyle w:val="TableTextRight"/>
            </w:pPr>
            <w:r w:rsidRPr="005877BF">
              <w:t>1</w:t>
            </w:r>
            <w:r w:rsidR="00015843" w:rsidRPr="005877BF">
              <w:t>0.3</w:t>
            </w:r>
          </w:p>
        </w:tc>
        <w:tc>
          <w:tcPr>
            <w:tcW w:w="1134" w:type="dxa"/>
            <w:shd w:val="clear" w:color="auto" w:fill="auto"/>
            <w:vAlign w:val="center"/>
          </w:tcPr>
          <w:p w14:paraId="225E9FEF" w14:textId="77777777" w:rsidR="00CB46B1" w:rsidRPr="005877BF" w:rsidRDefault="00015843" w:rsidP="00CA3144">
            <w:pPr>
              <w:pStyle w:val="TableTextRight"/>
            </w:pPr>
            <w:r w:rsidRPr="005877BF">
              <w:t>309</w:t>
            </w:r>
            <w:r w:rsidR="00CB46B1" w:rsidRPr="005877BF">
              <w:t>.</w:t>
            </w:r>
            <w:r w:rsidRPr="005877BF">
              <w:t>4</w:t>
            </w:r>
          </w:p>
        </w:tc>
        <w:tc>
          <w:tcPr>
            <w:tcW w:w="1134" w:type="dxa"/>
            <w:shd w:val="clear" w:color="auto" w:fill="auto"/>
            <w:vAlign w:val="center"/>
          </w:tcPr>
          <w:p w14:paraId="232A4C8C" w14:textId="77777777" w:rsidR="00CB46B1" w:rsidRPr="005877BF" w:rsidRDefault="00015843" w:rsidP="00CA3144">
            <w:pPr>
              <w:pStyle w:val="TableTextRight"/>
            </w:pPr>
            <w:r w:rsidRPr="005877BF">
              <w:t>319</w:t>
            </w:r>
            <w:r w:rsidR="00CB46B1" w:rsidRPr="005877BF">
              <w:t>.</w:t>
            </w:r>
            <w:r w:rsidRPr="005877BF">
              <w:t>7</w:t>
            </w:r>
          </w:p>
        </w:tc>
        <w:tc>
          <w:tcPr>
            <w:tcW w:w="1247" w:type="dxa"/>
            <w:shd w:val="clear" w:color="auto" w:fill="auto"/>
            <w:vAlign w:val="center"/>
          </w:tcPr>
          <w:p w14:paraId="28C75D98" w14:textId="77777777" w:rsidR="00CB46B1" w:rsidRPr="005877BF" w:rsidRDefault="00CB46B1" w:rsidP="00CA3144">
            <w:pPr>
              <w:pStyle w:val="TableTextRight"/>
            </w:pPr>
            <w:r w:rsidRPr="005877BF">
              <w:t>2.4</w:t>
            </w:r>
          </w:p>
        </w:tc>
      </w:tr>
    </w:tbl>
    <w:p w14:paraId="5509B64C" w14:textId="77777777" w:rsidR="00052A87" w:rsidRDefault="00052A87" w:rsidP="002F13EB">
      <w:pPr>
        <w:pStyle w:val="ChartorTableNote"/>
      </w:pPr>
      <w:r w:rsidRPr="003546ED">
        <w:t>Note:</w:t>
      </w:r>
      <w:r w:rsidRPr="003546ED">
        <w:tab/>
        <w:t xml:space="preserve">Totals may differ from the sum of </w:t>
      </w:r>
      <w:r w:rsidR="00A0157E" w:rsidRPr="003546ED">
        <w:t xml:space="preserve">DFRB, </w:t>
      </w:r>
      <w:r w:rsidRPr="003546ED">
        <w:t>DFRDB and MSBS due to rounding.</w:t>
      </w:r>
    </w:p>
    <w:p w14:paraId="70A36363" w14:textId="77777777" w:rsidR="008D7616" w:rsidRPr="004D29B5" w:rsidRDefault="008D7616" w:rsidP="004D29B5">
      <w:pPr>
        <w:pStyle w:val="ChartandTableFootnoteNumeral"/>
        <w:numPr>
          <w:ilvl w:val="0"/>
          <w:numId w:val="45"/>
        </w:numPr>
        <w:rPr>
          <w:bCs/>
        </w:rPr>
      </w:pPr>
      <w:r w:rsidRPr="004D29B5">
        <w:rPr>
          <w:bCs/>
        </w:rPr>
        <w:t>These figures have not been adjusted to 2014 dollars</w:t>
      </w:r>
      <w:r w:rsidR="00D26518" w:rsidRPr="004D29B5">
        <w:rPr>
          <w:bCs/>
        </w:rPr>
        <w:t>.</w:t>
      </w:r>
    </w:p>
    <w:p w14:paraId="4728CEBE" w14:textId="77777777" w:rsidR="00052A87" w:rsidRDefault="00052A87" w:rsidP="0009519F">
      <w:pPr>
        <w:pStyle w:val="SingleParagraph"/>
      </w:pPr>
    </w:p>
    <w:p w14:paraId="68395DFA" w14:textId="77777777" w:rsidR="0009519F" w:rsidRPr="004D29B5" w:rsidRDefault="0009519F" w:rsidP="0009519F">
      <w:pPr>
        <w:pStyle w:val="SingleParagraph"/>
      </w:pPr>
    </w:p>
    <w:p w14:paraId="03901995" w14:textId="77777777" w:rsidR="00D55CDB" w:rsidRPr="00E106D9" w:rsidRDefault="00D55CDB" w:rsidP="0097778E">
      <w:pPr>
        <w:pStyle w:val="TableMainHeading"/>
        <w:keepNext/>
        <w:rPr>
          <w:vertAlign w:val="superscript"/>
        </w:rPr>
      </w:pPr>
      <w:r w:rsidRPr="003546ED">
        <w:lastRenderedPageBreak/>
        <w:t>Projected Unfunded Liabilities</w:t>
      </w:r>
      <w:r>
        <w:t xml:space="preserve"> (MSBS </w:t>
      </w:r>
      <w:r w:rsidR="00E106D9">
        <w:t xml:space="preserve">closed </w:t>
      </w:r>
      <w:r>
        <w:t>from 1 July 2016)</w:t>
      </w:r>
      <w:r w:rsidR="00E106D9">
        <w:rPr>
          <w:vertAlign w:val="superscript"/>
        </w:rPr>
        <w:t>1</w:t>
      </w:r>
    </w:p>
    <w:tbl>
      <w:tblPr>
        <w:tblW w:w="7146" w:type="dxa"/>
        <w:tblInd w:w="675" w:type="dxa"/>
        <w:tblBorders>
          <w:top w:val="single" w:sz="2" w:space="0" w:color="000000"/>
          <w:bottom w:val="single" w:sz="2" w:space="0" w:color="000000"/>
        </w:tblBorders>
        <w:tblLayout w:type="fixed"/>
        <w:tblLook w:val="0000" w:firstRow="0" w:lastRow="0" w:firstColumn="0" w:lastColumn="0" w:noHBand="0" w:noVBand="0"/>
      </w:tblPr>
      <w:tblGrid>
        <w:gridCol w:w="1365"/>
        <w:gridCol w:w="1134"/>
        <w:gridCol w:w="1134"/>
        <w:gridCol w:w="1134"/>
        <w:gridCol w:w="1133"/>
        <w:gridCol w:w="1246"/>
      </w:tblGrid>
      <w:tr w:rsidR="00D55CDB" w:rsidRPr="003546ED" w14:paraId="12A8581E" w14:textId="77777777" w:rsidTr="001336C8">
        <w:tc>
          <w:tcPr>
            <w:tcW w:w="1365" w:type="dxa"/>
            <w:tcBorders>
              <w:top w:val="single" w:sz="2" w:space="0" w:color="000000"/>
              <w:bottom w:val="single" w:sz="2" w:space="0" w:color="000000"/>
            </w:tcBorders>
            <w:shd w:val="clear" w:color="auto" w:fill="E6E6E6"/>
          </w:tcPr>
          <w:p w14:paraId="4A321257" w14:textId="16951B20" w:rsidR="00D55CDB" w:rsidRPr="003546ED" w:rsidRDefault="00D55CDB" w:rsidP="0009519F">
            <w:pPr>
              <w:pStyle w:val="TableColumnHeadingLeft"/>
              <w:keepNext/>
            </w:pPr>
            <w:r w:rsidRPr="003546ED">
              <w:t>Year ending</w:t>
            </w:r>
            <w:r w:rsidR="0009519F">
              <w:br/>
            </w:r>
            <w:r w:rsidRPr="003546ED">
              <w:t>30 June</w:t>
            </w:r>
          </w:p>
        </w:tc>
        <w:tc>
          <w:tcPr>
            <w:tcW w:w="1134" w:type="dxa"/>
            <w:tcBorders>
              <w:top w:val="single" w:sz="2" w:space="0" w:color="000000"/>
              <w:bottom w:val="single" w:sz="2" w:space="0" w:color="000000"/>
            </w:tcBorders>
            <w:shd w:val="clear" w:color="auto" w:fill="E6E6E6"/>
          </w:tcPr>
          <w:p w14:paraId="7DF669B2" w14:textId="77777777" w:rsidR="00D55CDB" w:rsidRPr="003546ED" w:rsidRDefault="00D55CDB" w:rsidP="00CA3144">
            <w:pPr>
              <w:pStyle w:val="TableColumnHeadingRight"/>
              <w:keepNext/>
            </w:pPr>
            <w:r w:rsidRPr="003546ED">
              <w:t>DFRB</w:t>
            </w:r>
            <w:r w:rsidRPr="003546ED">
              <w:br/>
              <w:t>($b)</w:t>
            </w:r>
          </w:p>
        </w:tc>
        <w:tc>
          <w:tcPr>
            <w:tcW w:w="1134" w:type="dxa"/>
            <w:tcBorders>
              <w:top w:val="single" w:sz="2" w:space="0" w:color="000000"/>
              <w:bottom w:val="single" w:sz="2" w:space="0" w:color="000000"/>
            </w:tcBorders>
            <w:shd w:val="clear" w:color="auto" w:fill="E6E6E6"/>
          </w:tcPr>
          <w:p w14:paraId="7141C68D" w14:textId="77777777" w:rsidR="00D55CDB" w:rsidRPr="003546ED" w:rsidRDefault="00D55CDB" w:rsidP="00CA3144">
            <w:pPr>
              <w:pStyle w:val="TableColumnHeadingRight"/>
              <w:keepNext/>
            </w:pPr>
            <w:r w:rsidRPr="003546ED">
              <w:t xml:space="preserve">DFRDB </w:t>
            </w:r>
            <w:r w:rsidRPr="003546ED">
              <w:br/>
              <w:t>($b)</w:t>
            </w:r>
          </w:p>
        </w:tc>
        <w:tc>
          <w:tcPr>
            <w:tcW w:w="1134" w:type="dxa"/>
            <w:tcBorders>
              <w:top w:val="single" w:sz="2" w:space="0" w:color="000000"/>
              <w:bottom w:val="single" w:sz="2" w:space="0" w:color="000000"/>
            </w:tcBorders>
            <w:shd w:val="clear" w:color="auto" w:fill="E6E6E6"/>
          </w:tcPr>
          <w:p w14:paraId="036AF6DA" w14:textId="77777777" w:rsidR="00D55CDB" w:rsidRPr="003546ED" w:rsidRDefault="00D55CDB" w:rsidP="00CA3144">
            <w:pPr>
              <w:pStyle w:val="TableColumnHeadingRight"/>
              <w:keepNext/>
            </w:pPr>
            <w:r w:rsidRPr="003546ED">
              <w:t>MSBS</w:t>
            </w:r>
            <w:r w:rsidRPr="003546ED">
              <w:br/>
              <w:t>($b)</w:t>
            </w:r>
          </w:p>
        </w:tc>
        <w:tc>
          <w:tcPr>
            <w:tcW w:w="1133" w:type="dxa"/>
            <w:tcBorders>
              <w:top w:val="single" w:sz="2" w:space="0" w:color="000000"/>
              <w:bottom w:val="single" w:sz="2" w:space="0" w:color="000000"/>
            </w:tcBorders>
            <w:shd w:val="clear" w:color="auto" w:fill="E6E6E6"/>
          </w:tcPr>
          <w:p w14:paraId="398CC4C4" w14:textId="77777777" w:rsidR="00D55CDB" w:rsidRPr="003546ED" w:rsidRDefault="00D55CDB" w:rsidP="00CA3144">
            <w:pPr>
              <w:pStyle w:val="TableColumnHeadingRight"/>
              <w:keepNext/>
            </w:pPr>
            <w:r w:rsidRPr="003546ED">
              <w:t>Total</w:t>
            </w:r>
            <w:r w:rsidRPr="003546ED">
              <w:br/>
              <w:t>($b)</w:t>
            </w:r>
          </w:p>
        </w:tc>
        <w:tc>
          <w:tcPr>
            <w:tcW w:w="1246" w:type="dxa"/>
            <w:tcBorders>
              <w:top w:val="single" w:sz="2" w:space="0" w:color="000000"/>
              <w:bottom w:val="single" w:sz="2" w:space="0" w:color="000000"/>
            </w:tcBorders>
            <w:shd w:val="clear" w:color="auto" w:fill="E6E6E6"/>
          </w:tcPr>
          <w:p w14:paraId="68655630" w14:textId="465F1C67" w:rsidR="00D55CDB" w:rsidRPr="003546ED" w:rsidRDefault="00D55CDB" w:rsidP="001336C8">
            <w:pPr>
              <w:pStyle w:val="TableColumnHeadingRight"/>
              <w:keepNext/>
            </w:pPr>
            <w:r w:rsidRPr="003546ED">
              <w:t>As a</w:t>
            </w:r>
            <w:r w:rsidR="0009519F">
              <w:t xml:space="preserve"> </w:t>
            </w:r>
            <w:r w:rsidR="001336C8">
              <w:t xml:space="preserve">percentage </w:t>
            </w:r>
            <w:r w:rsidRPr="003546ED">
              <w:t>of GDP</w:t>
            </w:r>
          </w:p>
        </w:tc>
      </w:tr>
      <w:tr w:rsidR="00564058" w:rsidRPr="003546ED" w14:paraId="4F4141E5" w14:textId="77777777" w:rsidTr="00DA2ED0">
        <w:tc>
          <w:tcPr>
            <w:tcW w:w="1365" w:type="dxa"/>
            <w:tcBorders>
              <w:top w:val="single" w:sz="2" w:space="0" w:color="000000"/>
            </w:tcBorders>
            <w:shd w:val="clear" w:color="auto" w:fill="F2F2F2" w:themeFill="background1" w:themeFillShade="F2"/>
            <w:vAlign w:val="center"/>
          </w:tcPr>
          <w:p w14:paraId="5F4920DB" w14:textId="77777777" w:rsidR="00564058" w:rsidRPr="005877BF" w:rsidRDefault="00564058" w:rsidP="00CA3144">
            <w:pPr>
              <w:pStyle w:val="TableTextLeft"/>
              <w:keepNext/>
            </w:pPr>
            <w:r w:rsidRPr="005877BF">
              <w:t>2014</w:t>
            </w:r>
          </w:p>
        </w:tc>
        <w:tc>
          <w:tcPr>
            <w:tcW w:w="1134" w:type="dxa"/>
            <w:tcBorders>
              <w:top w:val="single" w:sz="2" w:space="0" w:color="000000"/>
            </w:tcBorders>
            <w:shd w:val="clear" w:color="auto" w:fill="F2F2F2" w:themeFill="background1" w:themeFillShade="F2"/>
            <w:vAlign w:val="center"/>
          </w:tcPr>
          <w:p w14:paraId="137E66F9" w14:textId="77777777" w:rsidR="00564058" w:rsidRPr="005877BF" w:rsidRDefault="00564058" w:rsidP="00CA3144">
            <w:pPr>
              <w:pStyle w:val="TableTextRight"/>
              <w:keepNext/>
            </w:pPr>
            <w:r w:rsidRPr="005877BF">
              <w:t>0.5</w:t>
            </w:r>
          </w:p>
        </w:tc>
        <w:tc>
          <w:tcPr>
            <w:tcW w:w="1134" w:type="dxa"/>
            <w:tcBorders>
              <w:top w:val="single" w:sz="2" w:space="0" w:color="000000"/>
            </w:tcBorders>
            <w:shd w:val="clear" w:color="auto" w:fill="F2F2F2" w:themeFill="background1" w:themeFillShade="F2"/>
            <w:vAlign w:val="center"/>
          </w:tcPr>
          <w:p w14:paraId="73412A22" w14:textId="77777777" w:rsidR="00564058" w:rsidRPr="005877BF" w:rsidRDefault="00564058" w:rsidP="00CA3144">
            <w:pPr>
              <w:pStyle w:val="TableTextRight"/>
              <w:keepNext/>
            </w:pPr>
            <w:r w:rsidRPr="005877BF">
              <w:t>30.3</w:t>
            </w:r>
          </w:p>
        </w:tc>
        <w:tc>
          <w:tcPr>
            <w:tcW w:w="1134" w:type="dxa"/>
            <w:tcBorders>
              <w:top w:val="single" w:sz="2" w:space="0" w:color="000000"/>
            </w:tcBorders>
            <w:shd w:val="clear" w:color="auto" w:fill="F2F2F2" w:themeFill="background1" w:themeFillShade="F2"/>
            <w:vAlign w:val="center"/>
          </w:tcPr>
          <w:p w14:paraId="25FA45BA" w14:textId="77777777" w:rsidR="00564058" w:rsidRPr="005877BF" w:rsidRDefault="00564058" w:rsidP="00CA3144">
            <w:pPr>
              <w:pStyle w:val="TableTextRight"/>
              <w:keepNext/>
            </w:pPr>
            <w:r w:rsidRPr="005877BF">
              <w:t>26.7</w:t>
            </w:r>
          </w:p>
        </w:tc>
        <w:tc>
          <w:tcPr>
            <w:tcW w:w="1133" w:type="dxa"/>
            <w:tcBorders>
              <w:top w:val="single" w:sz="2" w:space="0" w:color="000000"/>
            </w:tcBorders>
            <w:shd w:val="clear" w:color="auto" w:fill="F2F2F2" w:themeFill="background1" w:themeFillShade="F2"/>
            <w:vAlign w:val="center"/>
          </w:tcPr>
          <w:p w14:paraId="0D51AF4A" w14:textId="77777777" w:rsidR="00564058" w:rsidRPr="005877BF" w:rsidRDefault="00564058" w:rsidP="00CA3144">
            <w:pPr>
              <w:pStyle w:val="TableTextRight"/>
              <w:keepNext/>
            </w:pPr>
            <w:r w:rsidRPr="005877BF">
              <w:t>57.5</w:t>
            </w:r>
          </w:p>
        </w:tc>
        <w:tc>
          <w:tcPr>
            <w:tcW w:w="1246" w:type="dxa"/>
            <w:tcBorders>
              <w:top w:val="single" w:sz="2" w:space="0" w:color="000000"/>
            </w:tcBorders>
            <w:shd w:val="clear" w:color="auto" w:fill="F2F2F2" w:themeFill="background1" w:themeFillShade="F2"/>
            <w:vAlign w:val="center"/>
          </w:tcPr>
          <w:p w14:paraId="11BE5EA3" w14:textId="77777777" w:rsidR="00564058" w:rsidRPr="005877BF" w:rsidRDefault="00564058" w:rsidP="00CA3144">
            <w:pPr>
              <w:pStyle w:val="TableTextRight"/>
              <w:keepNext/>
            </w:pPr>
            <w:r w:rsidRPr="005877BF">
              <w:t>3.6</w:t>
            </w:r>
          </w:p>
        </w:tc>
      </w:tr>
      <w:tr w:rsidR="00564058" w:rsidRPr="003546ED" w14:paraId="6CB05DD8" w14:textId="77777777" w:rsidTr="001336C8">
        <w:tc>
          <w:tcPr>
            <w:tcW w:w="1365" w:type="dxa"/>
            <w:shd w:val="clear" w:color="auto" w:fill="F2F2F2" w:themeFill="background1" w:themeFillShade="F2"/>
            <w:vAlign w:val="center"/>
          </w:tcPr>
          <w:p w14:paraId="1589CE41" w14:textId="77777777" w:rsidR="00564058" w:rsidRPr="005877BF" w:rsidRDefault="00564058" w:rsidP="00CA3144">
            <w:pPr>
              <w:pStyle w:val="TableTextLeft"/>
              <w:keepNext/>
            </w:pPr>
            <w:r w:rsidRPr="005877BF">
              <w:t>2015</w:t>
            </w:r>
          </w:p>
        </w:tc>
        <w:tc>
          <w:tcPr>
            <w:tcW w:w="1134" w:type="dxa"/>
            <w:shd w:val="clear" w:color="auto" w:fill="F2F2F2" w:themeFill="background1" w:themeFillShade="F2"/>
            <w:vAlign w:val="center"/>
          </w:tcPr>
          <w:p w14:paraId="62BA41D8" w14:textId="77777777" w:rsidR="00564058" w:rsidRPr="005877BF" w:rsidRDefault="00564058" w:rsidP="00CA3144">
            <w:pPr>
              <w:pStyle w:val="TableTextRight"/>
              <w:keepNext/>
            </w:pPr>
            <w:r w:rsidRPr="005877BF">
              <w:t>0.5</w:t>
            </w:r>
          </w:p>
        </w:tc>
        <w:tc>
          <w:tcPr>
            <w:tcW w:w="1134" w:type="dxa"/>
            <w:shd w:val="clear" w:color="auto" w:fill="F2F2F2" w:themeFill="background1" w:themeFillShade="F2"/>
            <w:vAlign w:val="center"/>
          </w:tcPr>
          <w:p w14:paraId="1E7CD815" w14:textId="77777777" w:rsidR="00564058" w:rsidRPr="005877BF" w:rsidRDefault="00564058" w:rsidP="00CA3144">
            <w:pPr>
              <w:pStyle w:val="TableTextRight"/>
              <w:keepNext/>
            </w:pPr>
            <w:r w:rsidRPr="005877BF">
              <w:t>30.6</w:t>
            </w:r>
          </w:p>
        </w:tc>
        <w:tc>
          <w:tcPr>
            <w:tcW w:w="1134" w:type="dxa"/>
            <w:shd w:val="clear" w:color="auto" w:fill="F2F2F2" w:themeFill="background1" w:themeFillShade="F2"/>
            <w:vAlign w:val="center"/>
          </w:tcPr>
          <w:p w14:paraId="367A6496" w14:textId="77777777" w:rsidR="00564058" w:rsidRPr="005877BF" w:rsidRDefault="00564058" w:rsidP="00CA3144">
            <w:pPr>
              <w:pStyle w:val="TableTextRight"/>
              <w:keepNext/>
            </w:pPr>
            <w:r w:rsidRPr="005877BF">
              <w:t>29.3</w:t>
            </w:r>
          </w:p>
        </w:tc>
        <w:tc>
          <w:tcPr>
            <w:tcW w:w="1133" w:type="dxa"/>
            <w:shd w:val="clear" w:color="auto" w:fill="F2F2F2" w:themeFill="background1" w:themeFillShade="F2"/>
            <w:vAlign w:val="center"/>
          </w:tcPr>
          <w:p w14:paraId="1071A8DC" w14:textId="77777777" w:rsidR="00564058" w:rsidRPr="005877BF" w:rsidRDefault="00564058" w:rsidP="00CA3144">
            <w:pPr>
              <w:pStyle w:val="TableTextRight"/>
              <w:keepNext/>
            </w:pPr>
            <w:r w:rsidRPr="005877BF">
              <w:t>60.4</w:t>
            </w:r>
          </w:p>
        </w:tc>
        <w:tc>
          <w:tcPr>
            <w:tcW w:w="1246" w:type="dxa"/>
            <w:shd w:val="clear" w:color="auto" w:fill="F2F2F2" w:themeFill="background1" w:themeFillShade="F2"/>
            <w:vAlign w:val="center"/>
          </w:tcPr>
          <w:p w14:paraId="7367B5A5" w14:textId="77777777" w:rsidR="00564058" w:rsidRPr="005877BF" w:rsidRDefault="00564058" w:rsidP="00CA3144">
            <w:pPr>
              <w:pStyle w:val="TableTextRight"/>
              <w:keepNext/>
            </w:pPr>
            <w:r w:rsidRPr="005877BF">
              <w:t>3.6</w:t>
            </w:r>
          </w:p>
        </w:tc>
      </w:tr>
      <w:tr w:rsidR="00564058" w:rsidRPr="003546ED" w14:paraId="5D5FD86A" w14:textId="77777777" w:rsidTr="00DA2ED0">
        <w:tc>
          <w:tcPr>
            <w:tcW w:w="1365" w:type="dxa"/>
            <w:tcBorders>
              <w:bottom w:val="nil"/>
            </w:tcBorders>
            <w:shd w:val="clear" w:color="auto" w:fill="F2F2F2" w:themeFill="background1" w:themeFillShade="F2"/>
            <w:vAlign w:val="center"/>
          </w:tcPr>
          <w:p w14:paraId="450D1EAE" w14:textId="77777777" w:rsidR="00564058" w:rsidRPr="005877BF" w:rsidRDefault="00564058" w:rsidP="00CA3144">
            <w:pPr>
              <w:pStyle w:val="TableTextLeft"/>
              <w:keepNext/>
            </w:pPr>
            <w:r w:rsidRPr="005877BF">
              <w:t>2016</w:t>
            </w:r>
          </w:p>
        </w:tc>
        <w:tc>
          <w:tcPr>
            <w:tcW w:w="1134" w:type="dxa"/>
            <w:tcBorders>
              <w:bottom w:val="nil"/>
            </w:tcBorders>
            <w:shd w:val="clear" w:color="auto" w:fill="F2F2F2" w:themeFill="background1" w:themeFillShade="F2"/>
            <w:vAlign w:val="center"/>
          </w:tcPr>
          <w:p w14:paraId="235ED2C1" w14:textId="77777777" w:rsidR="00564058" w:rsidRPr="005877BF" w:rsidRDefault="00564058" w:rsidP="00CA3144">
            <w:pPr>
              <w:pStyle w:val="TableTextRight"/>
              <w:keepNext/>
            </w:pPr>
            <w:r w:rsidRPr="005877BF">
              <w:t>0.4</w:t>
            </w:r>
          </w:p>
        </w:tc>
        <w:tc>
          <w:tcPr>
            <w:tcW w:w="1134" w:type="dxa"/>
            <w:tcBorders>
              <w:bottom w:val="nil"/>
            </w:tcBorders>
            <w:shd w:val="clear" w:color="auto" w:fill="F2F2F2" w:themeFill="background1" w:themeFillShade="F2"/>
            <w:vAlign w:val="center"/>
          </w:tcPr>
          <w:p w14:paraId="07C7EBEA" w14:textId="77777777" w:rsidR="00564058" w:rsidRPr="005877BF" w:rsidRDefault="00564058" w:rsidP="00CA3144">
            <w:pPr>
              <w:pStyle w:val="TableTextRight"/>
              <w:keepNext/>
            </w:pPr>
            <w:r w:rsidRPr="005877BF">
              <w:t>30.9</w:t>
            </w:r>
          </w:p>
        </w:tc>
        <w:tc>
          <w:tcPr>
            <w:tcW w:w="1134" w:type="dxa"/>
            <w:tcBorders>
              <w:bottom w:val="nil"/>
            </w:tcBorders>
            <w:shd w:val="clear" w:color="auto" w:fill="F2F2F2" w:themeFill="background1" w:themeFillShade="F2"/>
            <w:vAlign w:val="center"/>
          </w:tcPr>
          <w:p w14:paraId="1BB23385" w14:textId="77777777" w:rsidR="00564058" w:rsidRPr="005877BF" w:rsidRDefault="00564058" w:rsidP="00D21BC0">
            <w:pPr>
              <w:pStyle w:val="TableTextRight"/>
              <w:keepNext/>
            </w:pPr>
            <w:r w:rsidRPr="005877BF">
              <w:t>3</w:t>
            </w:r>
            <w:r w:rsidR="00E72D2A">
              <w:t>1.9</w:t>
            </w:r>
          </w:p>
        </w:tc>
        <w:tc>
          <w:tcPr>
            <w:tcW w:w="1133" w:type="dxa"/>
            <w:tcBorders>
              <w:bottom w:val="nil"/>
            </w:tcBorders>
            <w:shd w:val="clear" w:color="auto" w:fill="F2F2F2" w:themeFill="background1" w:themeFillShade="F2"/>
            <w:vAlign w:val="center"/>
          </w:tcPr>
          <w:p w14:paraId="1E6F420C" w14:textId="77777777" w:rsidR="00564058" w:rsidRPr="005877BF" w:rsidRDefault="00564058" w:rsidP="00CA3144">
            <w:pPr>
              <w:pStyle w:val="TableTextRight"/>
              <w:keepNext/>
            </w:pPr>
            <w:r w:rsidRPr="005877BF">
              <w:t>63.3</w:t>
            </w:r>
          </w:p>
        </w:tc>
        <w:tc>
          <w:tcPr>
            <w:tcW w:w="1246" w:type="dxa"/>
            <w:tcBorders>
              <w:bottom w:val="nil"/>
            </w:tcBorders>
            <w:shd w:val="clear" w:color="auto" w:fill="F2F2F2" w:themeFill="background1" w:themeFillShade="F2"/>
            <w:vAlign w:val="center"/>
          </w:tcPr>
          <w:p w14:paraId="2D4579D6" w14:textId="77777777" w:rsidR="00564058" w:rsidRPr="005877BF" w:rsidRDefault="00564058" w:rsidP="00CA3144">
            <w:pPr>
              <w:pStyle w:val="TableTextRight"/>
              <w:keepNext/>
            </w:pPr>
            <w:r w:rsidRPr="005877BF">
              <w:t>3.6</w:t>
            </w:r>
          </w:p>
        </w:tc>
      </w:tr>
      <w:tr w:rsidR="00564058" w:rsidRPr="003546ED" w14:paraId="4E3B4436" w14:textId="77777777" w:rsidTr="001336C8">
        <w:tc>
          <w:tcPr>
            <w:tcW w:w="1365" w:type="dxa"/>
            <w:tcBorders>
              <w:top w:val="nil"/>
              <w:bottom w:val="nil"/>
            </w:tcBorders>
            <w:shd w:val="clear" w:color="auto" w:fill="F2F2F2" w:themeFill="background1" w:themeFillShade="F2"/>
            <w:vAlign w:val="center"/>
          </w:tcPr>
          <w:p w14:paraId="40FE33E6" w14:textId="77777777" w:rsidR="00564058" w:rsidRPr="005877BF" w:rsidRDefault="00564058" w:rsidP="00CA3144">
            <w:pPr>
              <w:pStyle w:val="TableTextLeft"/>
              <w:keepNext/>
            </w:pPr>
            <w:r w:rsidRPr="005877BF">
              <w:t>2017</w:t>
            </w:r>
          </w:p>
        </w:tc>
        <w:tc>
          <w:tcPr>
            <w:tcW w:w="1134" w:type="dxa"/>
            <w:tcBorders>
              <w:top w:val="nil"/>
              <w:bottom w:val="nil"/>
            </w:tcBorders>
            <w:shd w:val="clear" w:color="auto" w:fill="F2F2F2" w:themeFill="background1" w:themeFillShade="F2"/>
            <w:vAlign w:val="center"/>
          </w:tcPr>
          <w:p w14:paraId="7319CCC7" w14:textId="77777777" w:rsidR="00564058" w:rsidRPr="005877BF" w:rsidRDefault="00564058" w:rsidP="00CA3144">
            <w:pPr>
              <w:pStyle w:val="TableTextRight"/>
              <w:keepNext/>
            </w:pPr>
            <w:r w:rsidRPr="005877BF">
              <w:t>0.4</w:t>
            </w:r>
          </w:p>
        </w:tc>
        <w:tc>
          <w:tcPr>
            <w:tcW w:w="1134" w:type="dxa"/>
            <w:tcBorders>
              <w:top w:val="nil"/>
              <w:bottom w:val="nil"/>
            </w:tcBorders>
            <w:shd w:val="clear" w:color="auto" w:fill="F2F2F2" w:themeFill="background1" w:themeFillShade="F2"/>
            <w:vAlign w:val="center"/>
          </w:tcPr>
          <w:p w14:paraId="3FD1E069" w14:textId="77777777" w:rsidR="00564058" w:rsidRPr="005877BF" w:rsidRDefault="00564058" w:rsidP="00CA3144">
            <w:pPr>
              <w:pStyle w:val="TableTextRight"/>
              <w:keepNext/>
            </w:pPr>
            <w:r w:rsidRPr="005877BF">
              <w:t>31.2</w:t>
            </w:r>
          </w:p>
        </w:tc>
        <w:tc>
          <w:tcPr>
            <w:tcW w:w="1134" w:type="dxa"/>
            <w:tcBorders>
              <w:top w:val="nil"/>
              <w:bottom w:val="nil"/>
            </w:tcBorders>
            <w:shd w:val="clear" w:color="auto" w:fill="F2F2F2" w:themeFill="background1" w:themeFillShade="F2"/>
            <w:vAlign w:val="center"/>
          </w:tcPr>
          <w:p w14:paraId="719AE832" w14:textId="77777777" w:rsidR="00564058" w:rsidRPr="005877BF" w:rsidRDefault="00564058" w:rsidP="00CA3144">
            <w:pPr>
              <w:pStyle w:val="TableTextRight"/>
              <w:keepNext/>
            </w:pPr>
            <w:r w:rsidRPr="005877BF">
              <w:t>34.7</w:t>
            </w:r>
          </w:p>
        </w:tc>
        <w:tc>
          <w:tcPr>
            <w:tcW w:w="1133" w:type="dxa"/>
            <w:tcBorders>
              <w:top w:val="nil"/>
              <w:bottom w:val="nil"/>
            </w:tcBorders>
            <w:shd w:val="clear" w:color="auto" w:fill="F2F2F2" w:themeFill="background1" w:themeFillShade="F2"/>
            <w:vAlign w:val="center"/>
          </w:tcPr>
          <w:p w14:paraId="5ECAAE03" w14:textId="77777777" w:rsidR="00564058" w:rsidRPr="005877BF" w:rsidRDefault="00564058" w:rsidP="00CA3144">
            <w:pPr>
              <w:pStyle w:val="TableTextRight"/>
              <w:keepNext/>
            </w:pPr>
            <w:r w:rsidRPr="005877BF">
              <w:t>66.3</w:t>
            </w:r>
          </w:p>
        </w:tc>
        <w:tc>
          <w:tcPr>
            <w:tcW w:w="1246" w:type="dxa"/>
            <w:tcBorders>
              <w:top w:val="nil"/>
              <w:bottom w:val="nil"/>
            </w:tcBorders>
            <w:shd w:val="clear" w:color="auto" w:fill="F2F2F2" w:themeFill="background1" w:themeFillShade="F2"/>
            <w:vAlign w:val="center"/>
          </w:tcPr>
          <w:p w14:paraId="20829FDA" w14:textId="77777777" w:rsidR="00564058" w:rsidRPr="005877BF" w:rsidRDefault="00564058" w:rsidP="00113889">
            <w:pPr>
              <w:pStyle w:val="TableTextRight"/>
              <w:keepNext/>
            </w:pPr>
            <w:r w:rsidRPr="005877BF">
              <w:t>3.</w:t>
            </w:r>
            <w:r w:rsidR="00113889">
              <w:t>6</w:t>
            </w:r>
          </w:p>
        </w:tc>
      </w:tr>
      <w:tr w:rsidR="00564058" w:rsidRPr="003546ED" w14:paraId="14B4BA46" w14:textId="77777777" w:rsidTr="00DA2ED0">
        <w:tc>
          <w:tcPr>
            <w:tcW w:w="1365" w:type="dxa"/>
            <w:tcBorders>
              <w:top w:val="nil"/>
              <w:bottom w:val="nil"/>
            </w:tcBorders>
            <w:shd w:val="clear" w:color="auto" w:fill="F2F2F2" w:themeFill="background1" w:themeFillShade="F2"/>
            <w:vAlign w:val="center"/>
          </w:tcPr>
          <w:p w14:paraId="52B4B989" w14:textId="77777777" w:rsidR="00564058" w:rsidRPr="005877BF" w:rsidRDefault="00564058" w:rsidP="00CA3144">
            <w:pPr>
              <w:pStyle w:val="TableTextLeft"/>
              <w:keepNext/>
            </w:pPr>
            <w:r w:rsidRPr="005877BF">
              <w:t>2018</w:t>
            </w:r>
          </w:p>
        </w:tc>
        <w:tc>
          <w:tcPr>
            <w:tcW w:w="1134" w:type="dxa"/>
            <w:tcBorders>
              <w:top w:val="nil"/>
              <w:bottom w:val="nil"/>
            </w:tcBorders>
            <w:shd w:val="clear" w:color="auto" w:fill="F2F2F2" w:themeFill="background1" w:themeFillShade="F2"/>
            <w:vAlign w:val="center"/>
          </w:tcPr>
          <w:p w14:paraId="7A3EA883" w14:textId="77777777" w:rsidR="00564058" w:rsidRPr="005877BF" w:rsidRDefault="00564058" w:rsidP="00CA3144">
            <w:pPr>
              <w:pStyle w:val="TableTextRight"/>
              <w:keepNext/>
            </w:pPr>
            <w:r w:rsidRPr="005877BF">
              <w:t>0.4</w:t>
            </w:r>
          </w:p>
        </w:tc>
        <w:tc>
          <w:tcPr>
            <w:tcW w:w="1134" w:type="dxa"/>
            <w:tcBorders>
              <w:top w:val="nil"/>
              <w:bottom w:val="nil"/>
            </w:tcBorders>
            <w:shd w:val="clear" w:color="auto" w:fill="F2F2F2" w:themeFill="background1" w:themeFillShade="F2"/>
            <w:vAlign w:val="center"/>
          </w:tcPr>
          <w:p w14:paraId="50D3B16F" w14:textId="77777777" w:rsidR="00564058" w:rsidRPr="005877BF" w:rsidRDefault="00564058" w:rsidP="00CA3144">
            <w:pPr>
              <w:pStyle w:val="TableTextRight"/>
              <w:keepNext/>
            </w:pPr>
            <w:r w:rsidRPr="005877BF">
              <w:t>31.4</w:t>
            </w:r>
          </w:p>
        </w:tc>
        <w:tc>
          <w:tcPr>
            <w:tcW w:w="1134" w:type="dxa"/>
            <w:tcBorders>
              <w:top w:val="nil"/>
              <w:bottom w:val="nil"/>
            </w:tcBorders>
            <w:shd w:val="clear" w:color="auto" w:fill="F2F2F2" w:themeFill="background1" w:themeFillShade="F2"/>
            <w:vAlign w:val="center"/>
          </w:tcPr>
          <w:p w14:paraId="644AD54D" w14:textId="77777777" w:rsidR="00564058" w:rsidRPr="005877BF" w:rsidRDefault="00564058" w:rsidP="00D21BC0">
            <w:pPr>
              <w:pStyle w:val="TableTextRight"/>
              <w:keepNext/>
            </w:pPr>
            <w:r w:rsidRPr="005877BF">
              <w:t>37.</w:t>
            </w:r>
            <w:r w:rsidR="00E72D2A">
              <w:t>6</w:t>
            </w:r>
          </w:p>
        </w:tc>
        <w:tc>
          <w:tcPr>
            <w:tcW w:w="1133" w:type="dxa"/>
            <w:tcBorders>
              <w:top w:val="nil"/>
              <w:bottom w:val="nil"/>
            </w:tcBorders>
            <w:shd w:val="clear" w:color="auto" w:fill="F2F2F2" w:themeFill="background1" w:themeFillShade="F2"/>
            <w:vAlign w:val="center"/>
          </w:tcPr>
          <w:p w14:paraId="25E5CCFB" w14:textId="77777777" w:rsidR="00564058" w:rsidRPr="005877BF" w:rsidRDefault="00564058" w:rsidP="00D21BC0">
            <w:pPr>
              <w:pStyle w:val="TableTextRight"/>
              <w:keepNext/>
            </w:pPr>
            <w:r w:rsidRPr="005877BF">
              <w:t>69.</w:t>
            </w:r>
            <w:r w:rsidR="003C2A8C">
              <w:t>4</w:t>
            </w:r>
          </w:p>
        </w:tc>
        <w:tc>
          <w:tcPr>
            <w:tcW w:w="1246" w:type="dxa"/>
            <w:tcBorders>
              <w:top w:val="nil"/>
              <w:bottom w:val="nil"/>
            </w:tcBorders>
            <w:shd w:val="clear" w:color="auto" w:fill="F2F2F2" w:themeFill="background1" w:themeFillShade="F2"/>
            <w:vAlign w:val="center"/>
          </w:tcPr>
          <w:p w14:paraId="7BF58322" w14:textId="77777777" w:rsidR="00564058" w:rsidRPr="005877BF" w:rsidRDefault="00564058" w:rsidP="00CA3144">
            <w:pPr>
              <w:pStyle w:val="TableTextRight"/>
              <w:keepNext/>
            </w:pPr>
            <w:r w:rsidRPr="005877BF">
              <w:t>3.5</w:t>
            </w:r>
          </w:p>
        </w:tc>
      </w:tr>
      <w:tr w:rsidR="00564058" w:rsidRPr="003546ED" w14:paraId="41B3DDEE" w14:textId="77777777" w:rsidTr="001336C8">
        <w:tc>
          <w:tcPr>
            <w:tcW w:w="1365" w:type="dxa"/>
            <w:tcBorders>
              <w:top w:val="nil"/>
              <w:bottom w:val="nil"/>
            </w:tcBorders>
            <w:shd w:val="clear" w:color="auto" w:fill="F2F2F2" w:themeFill="background1" w:themeFillShade="F2"/>
            <w:vAlign w:val="center"/>
          </w:tcPr>
          <w:p w14:paraId="745AB9C3" w14:textId="77777777" w:rsidR="00564058" w:rsidRPr="005877BF" w:rsidRDefault="00564058" w:rsidP="00CA3144">
            <w:pPr>
              <w:pStyle w:val="TableTextLeft"/>
              <w:keepNext/>
            </w:pPr>
            <w:r w:rsidRPr="005877BF">
              <w:t>2019</w:t>
            </w:r>
          </w:p>
        </w:tc>
        <w:tc>
          <w:tcPr>
            <w:tcW w:w="1134" w:type="dxa"/>
            <w:tcBorders>
              <w:top w:val="nil"/>
              <w:bottom w:val="nil"/>
            </w:tcBorders>
            <w:shd w:val="clear" w:color="auto" w:fill="F2F2F2" w:themeFill="background1" w:themeFillShade="F2"/>
            <w:vAlign w:val="center"/>
          </w:tcPr>
          <w:p w14:paraId="57955FBB" w14:textId="77777777" w:rsidR="00564058" w:rsidRPr="005877BF" w:rsidRDefault="00564058" w:rsidP="00CA3144">
            <w:pPr>
              <w:pStyle w:val="TableTextRight"/>
              <w:keepNext/>
            </w:pPr>
            <w:r w:rsidRPr="005877BF">
              <w:t>0.4</w:t>
            </w:r>
          </w:p>
        </w:tc>
        <w:tc>
          <w:tcPr>
            <w:tcW w:w="1134" w:type="dxa"/>
            <w:tcBorders>
              <w:top w:val="nil"/>
              <w:bottom w:val="nil"/>
            </w:tcBorders>
            <w:shd w:val="clear" w:color="auto" w:fill="F2F2F2" w:themeFill="background1" w:themeFillShade="F2"/>
            <w:vAlign w:val="center"/>
          </w:tcPr>
          <w:p w14:paraId="1886665F" w14:textId="77777777" w:rsidR="00564058" w:rsidRPr="005877BF" w:rsidRDefault="00564058" w:rsidP="00CA3144">
            <w:pPr>
              <w:pStyle w:val="TableTextRight"/>
              <w:keepNext/>
            </w:pPr>
            <w:r w:rsidRPr="005877BF">
              <w:t>31.6</w:t>
            </w:r>
          </w:p>
        </w:tc>
        <w:tc>
          <w:tcPr>
            <w:tcW w:w="1134" w:type="dxa"/>
            <w:tcBorders>
              <w:top w:val="nil"/>
              <w:bottom w:val="nil"/>
            </w:tcBorders>
            <w:shd w:val="clear" w:color="auto" w:fill="F2F2F2" w:themeFill="background1" w:themeFillShade="F2"/>
            <w:vAlign w:val="center"/>
          </w:tcPr>
          <w:p w14:paraId="77121164" w14:textId="77777777" w:rsidR="00564058" w:rsidRPr="005877BF" w:rsidRDefault="00E72D2A" w:rsidP="00EC492C">
            <w:pPr>
              <w:pStyle w:val="TableTextRight"/>
              <w:keepNext/>
            </w:pPr>
            <w:r>
              <w:t>40.</w:t>
            </w:r>
            <w:r w:rsidR="00EC492C">
              <w:t>5</w:t>
            </w:r>
          </w:p>
        </w:tc>
        <w:tc>
          <w:tcPr>
            <w:tcW w:w="1133" w:type="dxa"/>
            <w:tcBorders>
              <w:top w:val="nil"/>
              <w:bottom w:val="nil"/>
            </w:tcBorders>
            <w:shd w:val="clear" w:color="auto" w:fill="F2F2F2" w:themeFill="background1" w:themeFillShade="F2"/>
            <w:vAlign w:val="center"/>
          </w:tcPr>
          <w:p w14:paraId="0B322317" w14:textId="77777777" w:rsidR="00564058" w:rsidRPr="005877BF" w:rsidRDefault="00564058" w:rsidP="00D21BC0">
            <w:pPr>
              <w:pStyle w:val="TableTextRight"/>
              <w:keepNext/>
            </w:pPr>
            <w:r w:rsidRPr="005877BF">
              <w:t>72.</w:t>
            </w:r>
            <w:r w:rsidR="00D21BC0">
              <w:t>4</w:t>
            </w:r>
          </w:p>
        </w:tc>
        <w:tc>
          <w:tcPr>
            <w:tcW w:w="1246" w:type="dxa"/>
            <w:tcBorders>
              <w:top w:val="nil"/>
              <w:bottom w:val="nil"/>
            </w:tcBorders>
            <w:shd w:val="clear" w:color="auto" w:fill="F2F2F2" w:themeFill="background1" w:themeFillShade="F2"/>
            <w:vAlign w:val="center"/>
          </w:tcPr>
          <w:p w14:paraId="1D78E347" w14:textId="77777777" w:rsidR="00564058" w:rsidRPr="005877BF" w:rsidRDefault="00564058" w:rsidP="00CA3144">
            <w:pPr>
              <w:pStyle w:val="TableTextRight"/>
              <w:keepNext/>
            </w:pPr>
            <w:r w:rsidRPr="005877BF">
              <w:t>3.5</w:t>
            </w:r>
          </w:p>
        </w:tc>
      </w:tr>
      <w:tr w:rsidR="00564058" w:rsidRPr="003546ED" w14:paraId="34EFE133" w14:textId="77777777" w:rsidTr="00DA2ED0">
        <w:tc>
          <w:tcPr>
            <w:tcW w:w="1365" w:type="dxa"/>
            <w:tcBorders>
              <w:top w:val="nil"/>
              <w:bottom w:val="single" w:sz="4" w:space="0" w:color="auto"/>
            </w:tcBorders>
            <w:shd w:val="clear" w:color="auto" w:fill="F2F2F2" w:themeFill="background1" w:themeFillShade="F2"/>
            <w:vAlign w:val="center"/>
          </w:tcPr>
          <w:p w14:paraId="2C55C3B6" w14:textId="77777777" w:rsidR="00564058" w:rsidRPr="005877BF" w:rsidRDefault="00564058" w:rsidP="00CA3144">
            <w:pPr>
              <w:pStyle w:val="TableTextLeft"/>
              <w:keepNext/>
            </w:pPr>
            <w:r w:rsidRPr="005877BF">
              <w:t>2020</w:t>
            </w:r>
          </w:p>
        </w:tc>
        <w:tc>
          <w:tcPr>
            <w:tcW w:w="1134" w:type="dxa"/>
            <w:tcBorders>
              <w:top w:val="nil"/>
              <w:bottom w:val="single" w:sz="4" w:space="0" w:color="auto"/>
            </w:tcBorders>
            <w:shd w:val="clear" w:color="auto" w:fill="F2F2F2" w:themeFill="background1" w:themeFillShade="F2"/>
            <w:vAlign w:val="center"/>
          </w:tcPr>
          <w:p w14:paraId="7141E532" w14:textId="77777777" w:rsidR="00564058" w:rsidRPr="005877BF" w:rsidRDefault="00564058" w:rsidP="00CA3144">
            <w:pPr>
              <w:pStyle w:val="TableTextRight"/>
              <w:keepNext/>
            </w:pPr>
            <w:r w:rsidRPr="005877BF">
              <w:t>0.3</w:t>
            </w:r>
          </w:p>
        </w:tc>
        <w:tc>
          <w:tcPr>
            <w:tcW w:w="1134" w:type="dxa"/>
            <w:tcBorders>
              <w:top w:val="nil"/>
              <w:bottom w:val="single" w:sz="4" w:space="0" w:color="auto"/>
            </w:tcBorders>
            <w:shd w:val="clear" w:color="auto" w:fill="F2F2F2" w:themeFill="background1" w:themeFillShade="F2"/>
            <w:vAlign w:val="center"/>
          </w:tcPr>
          <w:p w14:paraId="0802A554" w14:textId="77777777" w:rsidR="00564058" w:rsidRPr="005877BF" w:rsidRDefault="00564058" w:rsidP="00CA3144">
            <w:pPr>
              <w:pStyle w:val="TableTextRight"/>
              <w:keepNext/>
            </w:pPr>
            <w:r w:rsidRPr="005877BF">
              <w:t>31.7</w:t>
            </w:r>
          </w:p>
        </w:tc>
        <w:tc>
          <w:tcPr>
            <w:tcW w:w="1134" w:type="dxa"/>
            <w:tcBorders>
              <w:top w:val="nil"/>
              <w:bottom w:val="single" w:sz="4" w:space="0" w:color="auto"/>
            </w:tcBorders>
            <w:shd w:val="clear" w:color="auto" w:fill="F2F2F2" w:themeFill="background1" w:themeFillShade="F2"/>
            <w:vAlign w:val="center"/>
          </w:tcPr>
          <w:p w14:paraId="688D4C39" w14:textId="77777777" w:rsidR="00564058" w:rsidRPr="005877BF" w:rsidRDefault="00564058" w:rsidP="00EC492C">
            <w:pPr>
              <w:pStyle w:val="TableTextRight"/>
              <w:keepNext/>
            </w:pPr>
            <w:r w:rsidRPr="005877BF">
              <w:t>43.</w:t>
            </w:r>
            <w:r w:rsidR="00EC492C">
              <w:t>4</w:t>
            </w:r>
          </w:p>
        </w:tc>
        <w:tc>
          <w:tcPr>
            <w:tcW w:w="1133" w:type="dxa"/>
            <w:tcBorders>
              <w:top w:val="nil"/>
              <w:bottom w:val="single" w:sz="4" w:space="0" w:color="auto"/>
            </w:tcBorders>
            <w:shd w:val="clear" w:color="auto" w:fill="F2F2F2" w:themeFill="background1" w:themeFillShade="F2"/>
            <w:vAlign w:val="center"/>
          </w:tcPr>
          <w:p w14:paraId="0FB21634" w14:textId="77777777" w:rsidR="00564058" w:rsidRPr="005877BF" w:rsidRDefault="00564058" w:rsidP="00D21BC0">
            <w:pPr>
              <w:pStyle w:val="TableTextRight"/>
              <w:keepNext/>
            </w:pPr>
            <w:r w:rsidRPr="005877BF">
              <w:t>75.</w:t>
            </w:r>
            <w:r w:rsidR="00D21BC0">
              <w:t>4</w:t>
            </w:r>
          </w:p>
        </w:tc>
        <w:tc>
          <w:tcPr>
            <w:tcW w:w="1246" w:type="dxa"/>
            <w:tcBorders>
              <w:top w:val="nil"/>
              <w:bottom w:val="single" w:sz="4" w:space="0" w:color="auto"/>
            </w:tcBorders>
            <w:shd w:val="clear" w:color="auto" w:fill="F2F2F2" w:themeFill="background1" w:themeFillShade="F2"/>
            <w:vAlign w:val="center"/>
          </w:tcPr>
          <w:p w14:paraId="3E0A8728" w14:textId="77777777" w:rsidR="00564058" w:rsidRPr="005877BF" w:rsidRDefault="00564058" w:rsidP="00CA3144">
            <w:pPr>
              <w:pStyle w:val="TableTextRight"/>
              <w:keepNext/>
            </w:pPr>
            <w:r w:rsidRPr="005877BF">
              <w:t>3.4</w:t>
            </w:r>
          </w:p>
        </w:tc>
      </w:tr>
      <w:tr w:rsidR="00564058" w:rsidRPr="003546ED" w14:paraId="5CF28ADD" w14:textId="77777777" w:rsidTr="00DA2ED0">
        <w:tc>
          <w:tcPr>
            <w:tcW w:w="1365" w:type="dxa"/>
            <w:tcBorders>
              <w:top w:val="single" w:sz="4" w:space="0" w:color="auto"/>
              <w:bottom w:val="nil"/>
            </w:tcBorders>
            <w:shd w:val="clear" w:color="auto" w:fill="auto"/>
            <w:vAlign w:val="center"/>
          </w:tcPr>
          <w:p w14:paraId="719F28EE" w14:textId="77777777" w:rsidR="00564058" w:rsidRPr="005877BF" w:rsidRDefault="00564058" w:rsidP="00CA3144">
            <w:pPr>
              <w:pStyle w:val="TableTextLeft"/>
              <w:keepNext/>
            </w:pPr>
            <w:r w:rsidRPr="005877BF">
              <w:t>2025</w:t>
            </w:r>
          </w:p>
        </w:tc>
        <w:tc>
          <w:tcPr>
            <w:tcW w:w="1134" w:type="dxa"/>
            <w:tcBorders>
              <w:top w:val="single" w:sz="4" w:space="0" w:color="auto"/>
              <w:bottom w:val="nil"/>
            </w:tcBorders>
            <w:shd w:val="clear" w:color="auto" w:fill="auto"/>
            <w:vAlign w:val="center"/>
          </w:tcPr>
          <w:p w14:paraId="01F236A3" w14:textId="77777777" w:rsidR="00564058" w:rsidRPr="005877BF" w:rsidRDefault="00564058" w:rsidP="00CA3144">
            <w:pPr>
              <w:pStyle w:val="TableTextRight"/>
              <w:keepNext/>
            </w:pPr>
            <w:r w:rsidRPr="005877BF">
              <w:t>0.3</w:t>
            </w:r>
          </w:p>
        </w:tc>
        <w:tc>
          <w:tcPr>
            <w:tcW w:w="1134" w:type="dxa"/>
            <w:tcBorders>
              <w:top w:val="single" w:sz="4" w:space="0" w:color="auto"/>
              <w:bottom w:val="nil"/>
            </w:tcBorders>
            <w:shd w:val="clear" w:color="auto" w:fill="auto"/>
            <w:vAlign w:val="center"/>
          </w:tcPr>
          <w:p w14:paraId="4426CE93" w14:textId="77777777" w:rsidR="00564058" w:rsidRPr="005877BF" w:rsidRDefault="00564058" w:rsidP="00CA3144">
            <w:pPr>
              <w:pStyle w:val="TableTextRight"/>
              <w:keepNext/>
            </w:pPr>
            <w:r w:rsidRPr="005877BF">
              <w:t>31.6</w:t>
            </w:r>
          </w:p>
        </w:tc>
        <w:tc>
          <w:tcPr>
            <w:tcW w:w="1134" w:type="dxa"/>
            <w:tcBorders>
              <w:top w:val="single" w:sz="4" w:space="0" w:color="auto"/>
              <w:bottom w:val="nil"/>
            </w:tcBorders>
            <w:shd w:val="clear" w:color="auto" w:fill="auto"/>
            <w:vAlign w:val="center"/>
          </w:tcPr>
          <w:p w14:paraId="1FCFC28F" w14:textId="77777777" w:rsidR="00564058" w:rsidRPr="005877BF" w:rsidRDefault="00564058" w:rsidP="00EC492C">
            <w:pPr>
              <w:pStyle w:val="TableTextRight"/>
              <w:keepNext/>
            </w:pPr>
            <w:r w:rsidRPr="005877BF">
              <w:t>5</w:t>
            </w:r>
            <w:r w:rsidR="00D21BC0">
              <w:t>8</w:t>
            </w:r>
            <w:r w:rsidRPr="005877BF">
              <w:t>.</w:t>
            </w:r>
            <w:r w:rsidR="00EC492C">
              <w:t>6</w:t>
            </w:r>
          </w:p>
        </w:tc>
        <w:tc>
          <w:tcPr>
            <w:tcW w:w="1133" w:type="dxa"/>
            <w:tcBorders>
              <w:top w:val="single" w:sz="4" w:space="0" w:color="auto"/>
              <w:bottom w:val="nil"/>
            </w:tcBorders>
            <w:shd w:val="clear" w:color="auto" w:fill="auto"/>
            <w:vAlign w:val="center"/>
          </w:tcPr>
          <w:p w14:paraId="0067BAAD" w14:textId="77777777" w:rsidR="00564058" w:rsidRPr="005877BF" w:rsidRDefault="00D21BC0" w:rsidP="00D21BC0">
            <w:pPr>
              <w:pStyle w:val="TableTextRight"/>
              <w:keepNext/>
            </w:pPr>
            <w:r>
              <w:t>90</w:t>
            </w:r>
            <w:r w:rsidR="00564058" w:rsidRPr="005877BF">
              <w:t>.</w:t>
            </w:r>
            <w:r w:rsidR="003C2A8C">
              <w:t>5</w:t>
            </w:r>
          </w:p>
        </w:tc>
        <w:tc>
          <w:tcPr>
            <w:tcW w:w="1246" w:type="dxa"/>
            <w:tcBorders>
              <w:top w:val="single" w:sz="4" w:space="0" w:color="auto"/>
              <w:bottom w:val="nil"/>
            </w:tcBorders>
            <w:shd w:val="clear" w:color="auto" w:fill="auto"/>
            <w:vAlign w:val="center"/>
          </w:tcPr>
          <w:p w14:paraId="26712058" w14:textId="77777777" w:rsidR="00564058" w:rsidRPr="005877BF" w:rsidRDefault="00564058" w:rsidP="00CA3144">
            <w:pPr>
              <w:pStyle w:val="TableTextRight"/>
              <w:keepNext/>
            </w:pPr>
            <w:r w:rsidRPr="005877BF">
              <w:t>3.1</w:t>
            </w:r>
          </w:p>
        </w:tc>
      </w:tr>
      <w:tr w:rsidR="00564058" w:rsidRPr="003546ED" w14:paraId="220800AC" w14:textId="77777777" w:rsidTr="00DA2ED0">
        <w:tc>
          <w:tcPr>
            <w:tcW w:w="1365" w:type="dxa"/>
            <w:tcBorders>
              <w:top w:val="nil"/>
            </w:tcBorders>
            <w:shd w:val="clear" w:color="auto" w:fill="auto"/>
            <w:vAlign w:val="center"/>
          </w:tcPr>
          <w:p w14:paraId="5FC61FAB" w14:textId="77777777" w:rsidR="00564058" w:rsidRPr="005877BF" w:rsidRDefault="00564058" w:rsidP="00CA3144">
            <w:pPr>
              <w:pStyle w:val="TableTextLeft"/>
              <w:keepNext/>
            </w:pPr>
            <w:r w:rsidRPr="005877BF">
              <w:t>2030</w:t>
            </w:r>
          </w:p>
        </w:tc>
        <w:tc>
          <w:tcPr>
            <w:tcW w:w="1134" w:type="dxa"/>
            <w:tcBorders>
              <w:top w:val="nil"/>
            </w:tcBorders>
            <w:shd w:val="clear" w:color="auto" w:fill="auto"/>
            <w:vAlign w:val="center"/>
          </w:tcPr>
          <w:p w14:paraId="4EB9C5BA" w14:textId="77777777" w:rsidR="00564058" w:rsidRPr="005877BF" w:rsidRDefault="00564058" w:rsidP="00CA3144">
            <w:pPr>
              <w:pStyle w:val="TableTextRight"/>
              <w:keepNext/>
            </w:pPr>
            <w:r w:rsidRPr="005877BF">
              <w:t>0.2</w:t>
            </w:r>
          </w:p>
        </w:tc>
        <w:tc>
          <w:tcPr>
            <w:tcW w:w="1134" w:type="dxa"/>
            <w:tcBorders>
              <w:top w:val="nil"/>
            </w:tcBorders>
            <w:shd w:val="clear" w:color="auto" w:fill="auto"/>
            <w:vAlign w:val="center"/>
          </w:tcPr>
          <w:p w14:paraId="47E34BE8" w14:textId="77777777" w:rsidR="00564058" w:rsidRPr="005877BF" w:rsidRDefault="00564058" w:rsidP="00CA3144">
            <w:pPr>
              <w:pStyle w:val="TableTextRight"/>
              <w:keepNext/>
            </w:pPr>
            <w:r w:rsidRPr="005877BF">
              <w:t>30.4</w:t>
            </w:r>
          </w:p>
        </w:tc>
        <w:tc>
          <w:tcPr>
            <w:tcW w:w="1134" w:type="dxa"/>
            <w:tcBorders>
              <w:top w:val="nil"/>
            </w:tcBorders>
            <w:shd w:val="clear" w:color="auto" w:fill="auto"/>
            <w:vAlign w:val="center"/>
          </w:tcPr>
          <w:p w14:paraId="75E3ED3A" w14:textId="77777777" w:rsidR="00564058" w:rsidRPr="005877BF" w:rsidRDefault="00564058" w:rsidP="00EC492C">
            <w:pPr>
              <w:pStyle w:val="TableTextRight"/>
              <w:keepNext/>
            </w:pPr>
            <w:r w:rsidRPr="005877BF">
              <w:t>7</w:t>
            </w:r>
            <w:r w:rsidR="00EC492C">
              <w:t>4</w:t>
            </w:r>
            <w:r w:rsidR="00E72D2A">
              <w:t>.</w:t>
            </w:r>
            <w:r w:rsidR="00EC492C">
              <w:t>1</w:t>
            </w:r>
          </w:p>
        </w:tc>
        <w:tc>
          <w:tcPr>
            <w:tcW w:w="1133" w:type="dxa"/>
            <w:tcBorders>
              <w:top w:val="nil"/>
            </w:tcBorders>
            <w:shd w:val="clear" w:color="auto" w:fill="auto"/>
            <w:vAlign w:val="center"/>
          </w:tcPr>
          <w:p w14:paraId="4410C421" w14:textId="77777777" w:rsidR="00564058" w:rsidRPr="005877BF" w:rsidRDefault="00564058" w:rsidP="00D21BC0">
            <w:pPr>
              <w:pStyle w:val="TableTextRight"/>
              <w:keepNext/>
            </w:pPr>
            <w:r w:rsidRPr="005877BF">
              <w:t>10</w:t>
            </w:r>
            <w:r w:rsidR="00D21BC0">
              <w:t>4</w:t>
            </w:r>
            <w:r w:rsidRPr="005877BF">
              <w:t>.</w:t>
            </w:r>
            <w:r w:rsidR="003C2A8C">
              <w:t>7</w:t>
            </w:r>
          </w:p>
        </w:tc>
        <w:tc>
          <w:tcPr>
            <w:tcW w:w="1246" w:type="dxa"/>
            <w:tcBorders>
              <w:top w:val="nil"/>
            </w:tcBorders>
            <w:shd w:val="clear" w:color="auto" w:fill="auto"/>
            <w:vAlign w:val="center"/>
          </w:tcPr>
          <w:p w14:paraId="5240FBC8" w14:textId="77777777" w:rsidR="00564058" w:rsidRPr="005877BF" w:rsidRDefault="00564058" w:rsidP="00CA3144">
            <w:pPr>
              <w:pStyle w:val="TableTextRight"/>
              <w:keepNext/>
            </w:pPr>
            <w:r w:rsidRPr="005877BF">
              <w:t>2.</w:t>
            </w:r>
            <w:r w:rsidR="00D21BC0">
              <w:t>8</w:t>
            </w:r>
          </w:p>
        </w:tc>
      </w:tr>
      <w:tr w:rsidR="00564058" w:rsidRPr="003546ED" w14:paraId="79E20FAB" w14:textId="77777777" w:rsidTr="00DA2ED0">
        <w:tc>
          <w:tcPr>
            <w:tcW w:w="1365" w:type="dxa"/>
            <w:shd w:val="clear" w:color="auto" w:fill="auto"/>
            <w:vAlign w:val="center"/>
          </w:tcPr>
          <w:p w14:paraId="280E983C" w14:textId="77777777" w:rsidR="00564058" w:rsidRPr="005877BF" w:rsidRDefault="00564058" w:rsidP="00CA3144">
            <w:pPr>
              <w:pStyle w:val="TableTextLeft"/>
              <w:keepNext/>
            </w:pPr>
            <w:r w:rsidRPr="005877BF">
              <w:t>2035</w:t>
            </w:r>
          </w:p>
        </w:tc>
        <w:tc>
          <w:tcPr>
            <w:tcW w:w="1134" w:type="dxa"/>
            <w:shd w:val="clear" w:color="auto" w:fill="auto"/>
            <w:vAlign w:val="center"/>
          </w:tcPr>
          <w:p w14:paraId="52F2EFCA" w14:textId="77777777" w:rsidR="00564058" w:rsidRPr="005877BF" w:rsidRDefault="00564058" w:rsidP="00CA3144">
            <w:pPr>
              <w:pStyle w:val="TableTextRight"/>
              <w:keepNext/>
            </w:pPr>
            <w:r w:rsidRPr="005877BF">
              <w:t>0.1</w:t>
            </w:r>
          </w:p>
        </w:tc>
        <w:tc>
          <w:tcPr>
            <w:tcW w:w="1134" w:type="dxa"/>
            <w:shd w:val="clear" w:color="auto" w:fill="auto"/>
            <w:vAlign w:val="center"/>
          </w:tcPr>
          <w:p w14:paraId="4CE608DA" w14:textId="77777777" w:rsidR="00564058" w:rsidRPr="005877BF" w:rsidRDefault="00564058" w:rsidP="00CA3144">
            <w:pPr>
              <w:pStyle w:val="TableTextRight"/>
              <w:keepNext/>
            </w:pPr>
            <w:r w:rsidRPr="005877BF">
              <w:t>28.1</w:t>
            </w:r>
          </w:p>
        </w:tc>
        <w:tc>
          <w:tcPr>
            <w:tcW w:w="1134" w:type="dxa"/>
            <w:shd w:val="clear" w:color="auto" w:fill="auto"/>
            <w:vAlign w:val="center"/>
          </w:tcPr>
          <w:p w14:paraId="2FEE5F53" w14:textId="77777777" w:rsidR="00564058" w:rsidRPr="005877BF" w:rsidRDefault="00564058" w:rsidP="00EC492C">
            <w:pPr>
              <w:pStyle w:val="TableTextRight"/>
              <w:keepNext/>
            </w:pPr>
            <w:r w:rsidRPr="005877BF">
              <w:t>8</w:t>
            </w:r>
            <w:r w:rsidR="00EC492C">
              <w:t>9</w:t>
            </w:r>
            <w:r w:rsidR="003C2A8C">
              <w:t>.</w:t>
            </w:r>
            <w:r w:rsidR="00EC492C">
              <w:t>0</w:t>
            </w:r>
          </w:p>
        </w:tc>
        <w:tc>
          <w:tcPr>
            <w:tcW w:w="1133" w:type="dxa"/>
            <w:shd w:val="clear" w:color="auto" w:fill="auto"/>
            <w:vAlign w:val="center"/>
          </w:tcPr>
          <w:p w14:paraId="66CBBB9B" w14:textId="77777777" w:rsidR="00564058" w:rsidRPr="005877BF" w:rsidRDefault="00564058" w:rsidP="00D21BC0">
            <w:pPr>
              <w:pStyle w:val="TableTextRight"/>
              <w:keepNext/>
            </w:pPr>
            <w:r w:rsidRPr="005877BF">
              <w:t>11</w:t>
            </w:r>
            <w:r w:rsidR="003C2A8C">
              <w:t>7.2</w:t>
            </w:r>
          </w:p>
        </w:tc>
        <w:tc>
          <w:tcPr>
            <w:tcW w:w="1246" w:type="dxa"/>
            <w:shd w:val="clear" w:color="auto" w:fill="auto"/>
            <w:vAlign w:val="center"/>
          </w:tcPr>
          <w:p w14:paraId="30E91BF3" w14:textId="77777777" w:rsidR="00564058" w:rsidRPr="005877BF" w:rsidRDefault="00564058" w:rsidP="00CA3144">
            <w:pPr>
              <w:pStyle w:val="TableTextRight"/>
              <w:keepNext/>
            </w:pPr>
            <w:r w:rsidRPr="005877BF">
              <w:t>2.</w:t>
            </w:r>
            <w:r w:rsidR="005877BF" w:rsidRPr="005877BF">
              <w:t>4</w:t>
            </w:r>
          </w:p>
        </w:tc>
      </w:tr>
      <w:tr w:rsidR="00564058" w:rsidRPr="003546ED" w14:paraId="077E15FB" w14:textId="77777777" w:rsidTr="00DA2ED0">
        <w:tc>
          <w:tcPr>
            <w:tcW w:w="1365" w:type="dxa"/>
            <w:shd w:val="clear" w:color="auto" w:fill="auto"/>
            <w:vAlign w:val="center"/>
          </w:tcPr>
          <w:p w14:paraId="707FFD84" w14:textId="77777777" w:rsidR="00564058" w:rsidRPr="005877BF" w:rsidRDefault="00564058" w:rsidP="00CA3144">
            <w:pPr>
              <w:pStyle w:val="TableTextLeft"/>
              <w:keepNext/>
            </w:pPr>
            <w:r w:rsidRPr="005877BF">
              <w:t>2040</w:t>
            </w:r>
          </w:p>
        </w:tc>
        <w:tc>
          <w:tcPr>
            <w:tcW w:w="1134" w:type="dxa"/>
            <w:shd w:val="clear" w:color="auto" w:fill="auto"/>
            <w:vAlign w:val="center"/>
          </w:tcPr>
          <w:p w14:paraId="792DAE74" w14:textId="77777777" w:rsidR="00564058" w:rsidRPr="005877BF" w:rsidRDefault="00564058" w:rsidP="00CA3144">
            <w:pPr>
              <w:pStyle w:val="TableTextRight"/>
              <w:keepNext/>
            </w:pPr>
            <w:r w:rsidRPr="005877BF">
              <w:t>0.1</w:t>
            </w:r>
          </w:p>
        </w:tc>
        <w:tc>
          <w:tcPr>
            <w:tcW w:w="1134" w:type="dxa"/>
            <w:shd w:val="clear" w:color="auto" w:fill="auto"/>
            <w:vAlign w:val="center"/>
          </w:tcPr>
          <w:p w14:paraId="688AA1EE" w14:textId="77777777" w:rsidR="00564058" w:rsidRPr="005877BF" w:rsidRDefault="00564058" w:rsidP="00CA3144">
            <w:pPr>
              <w:pStyle w:val="TableTextRight"/>
              <w:keepNext/>
            </w:pPr>
            <w:r w:rsidRPr="005877BF">
              <w:t>24.6</w:t>
            </w:r>
          </w:p>
        </w:tc>
        <w:tc>
          <w:tcPr>
            <w:tcW w:w="1134" w:type="dxa"/>
            <w:shd w:val="clear" w:color="auto" w:fill="auto"/>
            <w:vAlign w:val="center"/>
          </w:tcPr>
          <w:p w14:paraId="2973292A" w14:textId="77777777" w:rsidR="00564058" w:rsidRPr="005877BF" w:rsidRDefault="003C2A8C" w:rsidP="00EC492C">
            <w:pPr>
              <w:pStyle w:val="TableTextRight"/>
              <w:keepNext/>
            </w:pPr>
            <w:r>
              <w:t>10</w:t>
            </w:r>
            <w:r w:rsidR="00EC492C">
              <w:t>1</w:t>
            </w:r>
            <w:r>
              <w:t>.</w:t>
            </w:r>
            <w:r w:rsidR="00EC492C">
              <w:t>7</w:t>
            </w:r>
          </w:p>
        </w:tc>
        <w:tc>
          <w:tcPr>
            <w:tcW w:w="1133" w:type="dxa"/>
            <w:shd w:val="clear" w:color="auto" w:fill="auto"/>
            <w:vAlign w:val="center"/>
          </w:tcPr>
          <w:p w14:paraId="41FEF3D8" w14:textId="77777777" w:rsidR="00564058" w:rsidRPr="005877BF" w:rsidRDefault="003C2A8C" w:rsidP="00CA3144">
            <w:pPr>
              <w:pStyle w:val="TableTextRight"/>
              <w:keepNext/>
            </w:pPr>
            <w:r>
              <w:t>126.3</w:t>
            </w:r>
          </w:p>
        </w:tc>
        <w:tc>
          <w:tcPr>
            <w:tcW w:w="1246" w:type="dxa"/>
            <w:shd w:val="clear" w:color="auto" w:fill="auto"/>
            <w:vAlign w:val="center"/>
          </w:tcPr>
          <w:p w14:paraId="6CDD7929" w14:textId="77777777" w:rsidR="00564058" w:rsidRPr="005877BF" w:rsidRDefault="00D21BC0" w:rsidP="00CA3144">
            <w:pPr>
              <w:pStyle w:val="TableTextRight"/>
              <w:keepNext/>
            </w:pPr>
            <w:r>
              <w:t>2.0</w:t>
            </w:r>
          </w:p>
        </w:tc>
      </w:tr>
      <w:tr w:rsidR="00564058" w:rsidRPr="003546ED" w14:paraId="4E77E1AF" w14:textId="77777777" w:rsidTr="00DA2ED0">
        <w:tc>
          <w:tcPr>
            <w:tcW w:w="1365" w:type="dxa"/>
            <w:shd w:val="clear" w:color="auto" w:fill="auto"/>
            <w:vAlign w:val="center"/>
          </w:tcPr>
          <w:p w14:paraId="0B1DE9DF" w14:textId="77777777" w:rsidR="00564058" w:rsidRPr="005877BF" w:rsidRDefault="00564058" w:rsidP="00CA3144">
            <w:pPr>
              <w:pStyle w:val="TableTextLeft"/>
              <w:keepNext/>
            </w:pPr>
            <w:r w:rsidRPr="005877BF">
              <w:t>2045</w:t>
            </w:r>
          </w:p>
        </w:tc>
        <w:tc>
          <w:tcPr>
            <w:tcW w:w="1134" w:type="dxa"/>
            <w:shd w:val="clear" w:color="auto" w:fill="auto"/>
            <w:vAlign w:val="center"/>
          </w:tcPr>
          <w:p w14:paraId="15A1BF85" w14:textId="77777777" w:rsidR="00564058" w:rsidRPr="005877BF" w:rsidRDefault="00564058" w:rsidP="00CA3144">
            <w:pPr>
              <w:pStyle w:val="TableTextRight"/>
              <w:keepNext/>
            </w:pPr>
            <w:r w:rsidRPr="005877BF">
              <w:t>0.0</w:t>
            </w:r>
          </w:p>
        </w:tc>
        <w:tc>
          <w:tcPr>
            <w:tcW w:w="1134" w:type="dxa"/>
            <w:shd w:val="clear" w:color="auto" w:fill="auto"/>
            <w:vAlign w:val="center"/>
          </w:tcPr>
          <w:p w14:paraId="793D0AEF" w14:textId="77777777" w:rsidR="00564058" w:rsidRPr="005877BF" w:rsidRDefault="00564058" w:rsidP="00CA3144">
            <w:pPr>
              <w:pStyle w:val="TableTextRight"/>
              <w:keepNext/>
            </w:pPr>
            <w:r w:rsidRPr="005877BF">
              <w:t>20.2</w:t>
            </w:r>
          </w:p>
        </w:tc>
        <w:tc>
          <w:tcPr>
            <w:tcW w:w="1134" w:type="dxa"/>
            <w:shd w:val="clear" w:color="auto" w:fill="auto"/>
            <w:vAlign w:val="center"/>
          </w:tcPr>
          <w:p w14:paraId="35D966D0" w14:textId="77777777" w:rsidR="00564058" w:rsidRPr="005877BF" w:rsidRDefault="00564058" w:rsidP="00D21BC0">
            <w:pPr>
              <w:pStyle w:val="TableTextRight"/>
              <w:keepNext/>
            </w:pPr>
            <w:r w:rsidRPr="005877BF">
              <w:t>10</w:t>
            </w:r>
            <w:r w:rsidR="003C2A8C">
              <w:t>9.8</w:t>
            </w:r>
          </w:p>
        </w:tc>
        <w:tc>
          <w:tcPr>
            <w:tcW w:w="1133" w:type="dxa"/>
            <w:shd w:val="clear" w:color="auto" w:fill="auto"/>
            <w:vAlign w:val="center"/>
          </w:tcPr>
          <w:p w14:paraId="704A1A4B" w14:textId="77777777" w:rsidR="00564058" w:rsidRPr="005877BF" w:rsidRDefault="00564058" w:rsidP="00D21BC0">
            <w:pPr>
              <w:pStyle w:val="TableTextRight"/>
              <w:keepNext/>
            </w:pPr>
            <w:r w:rsidRPr="005877BF">
              <w:t>1</w:t>
            </w:r>
            <w:r w:rsidR="003C2A8C">
              <w:t>30.0</w:t>
            </w:r>
          </w:p>
        </w:tc>
        <w:tc>
          <w:tcPr>
            <w:tcW w:w="1246" w:type="dxa"/>
            <w:shd w:val="clear" w:color="auto" w:fill="auto"/>
            <w:vAlign w:val="center"/>
          </w:tcPr>
          <w:p w14:paraId="65DF9C31" w14:textId="77777777" w:rsidR="00564058" w:rsidRPr="005877BF" w:rsidRDefault="00564058" w:rsidP="00CA3144">
            <w:pPr>
              <w:pStyle w:val="TableTextRight"/>
              <w:keepNext/>
            </w:pPr>
            <w:r w:rsidRPr="005877BF">
              <w:t>1.</w:t>
            </w:r>
            <w:r w:rsidR="00D21BC0">
              <w:t>6</w:t>
            </w:r>
          </w:p>
        </w:tc>
      </w:tr>
      <w:tr w:rsidR="00564058" w:rsidRPr="003546ED" w14:paraId="327971B5" w14:textId="77777777" w:rsidTr="00DA2ED0">
        <w:tc>
          <w:tcPr>
            <w:tcW w:w="1365" w:type="dxa"/>
            <w:shd w:val="clear" w:color="auto" w:fill="auto"/>
            <w:vAlign w:val="center"/>
          </w:tcPr>
          <w:p w14:paraId="6819E744" w14:textId="77777777" w:rsidR="00564058" w:rsidRPr="005877BF" w:rsidRDefault="00564058" w:rsidP="00CA3144">
            <w:pPr>
              <w:pStyle w:val="TableTextLeft"/>
              <w:keepNext/>
            </w:pPr>
            <w:r w:rsidRPr="005877BF">
              <w:t>2050</w:t>
            </w:r>
          </w:p>
        </w:tc>
        <w:tc>
          <w:tcPr>
            <w:tcW w:w="1134" w:type="dxa"/>
            <w:shd w:val="clear" w:color="auto" w:fill="auto"/>
            <w:vAlign w:val="center"/>
          </w:tcPr>
          <w:p w14:paraId="44C9FCBC" w14:textId="77777777" w:rsidR="00564058" w:rsidRPr="005877BF" w:rsidRDefault="00564058" w:rsidP="00CA3144">
            <w:pPr>
              <w:pStyle w:val="TableTextRight"/>
              <w:keepNext/>
            </w:pPr>
            <w:r w:rsidRPr="005877BF">
              <w:t>0.0</w:t>
            </w:r>
          </w:p>
        </w:tc>
        <w:tc>
          <w:tcPr>
            <w:tcW w:w="1134" w:type="dxa"/>
            <w:shd w:val="clear" w:color="auto" w:fill="auto"/>
            <w:vAlign w:val="center"/>
          </w:tcPr>
          <w:p w14:paraId="13F19AC1" w14:textId="77777777" w:rsidR="00564058" w:rsidRPr="005877BF" w:rsidRDefault="00564058" w:rsidP="00CA3144">
            <w:pPr>
              <w:pStyle w:val="TableTextRight"/>
              <w:keepNext/>
            </w:pPr>
            <w:r w:rsidRPr="005877BF">
              <w:t>15.2</w:t>
            </w:r>
          </w:p>
        </w:tc>
        <w:tc>
          <w:tcPr>
            <w:tcW w:w="1134" w:type="dxa"/>
            <w:shd w:val="clear" w:color="auto" w:fill="auto"/>
            <w:vAlign w:val="center"/>
          </w:tcPr>
          <w:p w14:paraId="36CAAB84" w14:textId="77777777" w:rsidR="00564058" w:rsidRPr="005877BF" w:rsidRDefault="0054656B" w:rsidP="00D21BC0">
            <w:pPr>
              <w:pStyle w:val="TableTextRight"/>
              <w:keepNext/>
            </w:pPr>
            <w:r w:rsidRPr="005877BF">
              <w:t>1</w:t>
            </w:r>
            <w:r w:rsidR="003C2A8C">
              <w:t>11.3</w:t>
            </w:r>
          </w:p>
        </w:tc>
        <w:tc>
          <w:tcPr>
            <w:tcW w:w="1133" w:type="dxa"/>
            <w:shd w:val="clear" w:color="auto" w:fill="auto"/>
            <w:vAlign w:val="center"/>
          </w:tcPr>
          <w:p w14:paraId="1822B2C9" w14:textId="77777777" w:rsidR="00564058" w:rsidRPr="005877BF" w:rsidRDefault="0054656B" w:rsidP="00D21BC0">
            <w:pPr>
              <w:pStyle w:val="TableTextRight"/>
              <w:keepNext/>
            </w:pPr>
            <w:r w:rsidRPr="005877BF">
              <w:t>12</w:t>
            </w:r>
            <w:r w:rsidR="003C2A8C">
              <w:t>6.5</w:t>
            </w:r>
          </w:p>
        </w:tc>
        <w:tc>
          <w:tcPr>
            <w:tcW w:w="1246" w:type="dxa"/>
            <w:shd w:val="clear" w:color="auto" w:fill="auto"/>
            <w:vAlign w:val="center"/>
          </w:tcPr>
          <w:p w14:paraId="0631759B" w14:textId="77777777" w:rsidR="00564058" w:rsidRPr="005877BF" w:rsidRDefault="00564058" w:rsidP="00CA3144">
            <w:pPr>
              <w:pStyle w:val="TableTextRight"/>
              <w:keepNext/>
            </w:pPr>
            <w:r w:rsidRPr="005877BF">
              <w:t>1.2</w:t>
            </w:r>
          </w:p>
        </w:tc>
      </w:tr>
      <w:tr w:rsidR="00564058" w:rsidRPr="003546ED" w14:paraId="6D8C5CFC" w14:textId="77777777" w:rsidTr="00DA2ED0">
        <w:tc>
          <w:tcPr>
            <w:tcW w:w="1365" w:type="dxa"/>
            <w:shd w:val="clear" w:color="auto" w:fill="auto"/>
            <w:vAlign w:val="center"/>
          </w:tcPr>
          <w:p w14:paraId="780C01A5" w14:textId="77777777" w:rsidR="00564058" w:rsidRPr="005877BF" w:rsidRDefault="00564058" w:rsidP="00CA3144">
            <w:pPr>
              <w:pStyle w:val="TableTextLeft"/>
            </w:pPr>
            <w:r w:rsidRPr="005877BF">
              <w:t>2055</w:t>
            </w:r>
          </w:p>
        </w:tc>
        <w:tc>
          <w:tcPr>
            <w:tcW w:w="1134" w:type="dxa"/>
            <w:shd w:val="clear" w:color="auto" w:fill="auto"/>
            <w:vAlign w:val="center"/>
          </w:tcPr>
          <w:p w14:paraId="7FA80F6C" w14:textId="77777777" w:rsidR="00564058" w:rsidRPr="005877BF" w:rsidRDefault="00564058" w:rsidP="00CA3144">
            <w:pPr>
              <w:pStyle w:val="TableTextRight"/>
            </w:pPr>
            <w:r w:rsidRPr="005877BF">
              <w:t>0.0</w:t>
            </w:r>
          </w:p>
        </w:tc>
        <w:tc>
          <w:tcPr>
            <w:tcW w:w="1134" w:type="dxa"/>
            <w:shd w:val="clear" w:color="auto" w:fill="auto"/>
            <w:vAlign w:val="center"/>
          </w:tcPr>
          <w:p w14:paraId="6D64A56E" w14:textId="77777777" w:rsidR="00564058" w:rsidRPr="005877BF" w:rsidRDefault="00564058" w:rsidP="00CA3144">
            <w:pPr>
              <w:pStyle w:val="TableTextRight"/>
            </w:pPr>
            <w:r w:rsidRPr="005877BF">
              <w:t>10.</w:t>
            </w:r>
            <w:r w:rsidR="00E72D2A">
              <w:t>3</w:t>
            </w:r>
          </w:p>
        </w:tc>
        <w:tc>
          <w:tcPr>
            <w:tcW w:w="1134" w:type="dxa"/>
            <w:shd w:val="clear" w:color="auto" w:fill="auto"/>
            <w:vAlign w:val="center"/>
          </w:tcPr>
          <w:p w14:paraId="492B6F43" w14:textId="77777777" w:rsidR="00564058" w:rsidRPr="005877BF" w:rsidRDefault="0054656B" w:rsidP="00D21BC0">
            <w:pPr>
              <w:pStyle w:val="TableTextRight"/>
            </w:pPr>
            <w:r w:rsidRPr="005877BF">
              <w:t>10</w:t>
            </w:r>
            <w:r w:rsidR="003C2A8C">
              <w:t>6.9</w:t>
            </w:r>
          </w:p>
        </w:tc>
        <w:tc>
          <w:tcPr>
            <w:tcW w:w="1133" w:type="dxa"/>
            <w:shd w:val="clear" w:color="auto" w:fill="auto"/>
            <w:vAlign w:val="center"/>
          </w:tcPr>
          <w:p w14:paraId="22583263" w14:textId="77777777" w:rsidR="00564058" w:rsidRPr="005877BF" w:rsidRDefault="0054656B" w:rsidP="00D21BC0">
            <w:pPr>
              <w:pStyle w:val="TableTextRight"/>
            </w:pPr>
            <w:r w:rsidRPr="005877BF">
              <w:t>11</w:t>
            </w:r>
            <w:r w:rsidR="003C2A8C">
              <w:t>7.1</w:t>
            </w:r>
          </w:p>
        </w:tc>
        <w:tc>
          <w:tcPr>
            <w:tcW w:w="1246" w:type="dxa"/>
            <w:shd w:val="clear" w:color="auto" w:fill="auto"/>
            <w:vAlign w:val="center"/>
          </w:tcPr>
          <w:p w14:paraId="2C91B9A9" w14:textId="77777777" w:rsidR="00564058" w:rsidRPr="005877BF" w:rsidRDefault="00564058" w:rsidP="00CA3144">
            <w:pPr>
              <w:pStyle w:val="TableTextRight"/>
            </w:pPr>
            <w:r w:rsidRPr="005877BF">
              <w:t>0.</w:t>
            </w:r>
            <w:r w:rsidR="003C2A8C">
              <w:t>9</w:t>
            </w:r>
          </w:p>
        </w:tc>
      </w:tr>
    </w:tbl>
    <w:p w14:paraId="3CD83286" w14:textId="77777777" w:rsidR="008D7616" w:rsidRPr="008D7616" w:rsidRDefault="008D7616" w:rsidP="004D29B5">
      <w:pPr>
        <w:pStyle w:val="ChartorTableNote"/>
      </w:pPr>
      <w:r w:rsidRPr="008D7616">
        <w:t>Note:</w:t>
      </w:r>
      <w:r w:rsidRPr="008D7616">
        <w:tab/>
        <w:t>Totals may differ from the sum of DFRB, DFRDB and MSBS due to rounding.</w:t>
      </w:r>
    </w:p>
    <w:p w14:paraId="4D1705A3" w14:textId="77777777" w:rsidR="00D26518" w:rsidRPr="004D29B5" w:rsidRDefault="00E106D9" w:rsidP="004D29B5">
      <w:pPr>
        <w:pStyle w:val="ChartandTableFootnoteNumeral"/>
        <w:numPr>
          <w:ilvl w:val="0"/>
          <w:numId w:val="46"/>
        </w:numPr>
        <w:rPr>
          <w:bCs/>
        </w:rPr>
      </w:pPr>
      <w:r w:rsidRPr="004D29B5">
        <w:rPr>
          <w:bCs/>
        </w:rPr>
        <w:t>These figures have not been adjusted to 2014 dollars and do not include liabilities relating to the proposed new accumulation superannuation scheme ADF Super</w:t>
      </w:r>
      <w:r w:rsidR="00D26518" w:rsidRPr="004D29B5">
        <w:rPr>
          <w:bCs/>
        </w:rPr>
        <w:t xml:space="preserve"> or the associated scheme for death and invalidity cover, ADF Cover.</w:t>
      </w:r>
    </w:p>
    <w:p w14:paraId="07401895" w14:textId="77777777" w:rsidR="00E106D9" w:rsidRPr="001167ED" w:rsidRDefault="00E106D9" w:rsidP="004D29B5">
      <w:pPr>
        <w:pStyle w:val="SingleParagraph"/>
        <w:rPr>
          <w:sz w:val="10"/>
        </w:rPr>
      </w:pPr>
    </w:p>
    <w:p w14:paraId="1548AB1B" w14:textId="77777777" w:rsidR="00025348" w:rsidRDefault="00BB6BDD" w:rsidP="00043375">
      <w:pPr>
        <w:pStyle w:val="BodyText"/>
        <w:keepNext/>
      </w:pPr>
      <w:r>
        <w:t>The chart</w:t>
      </w:r>
      <w:r w:rsidR="00052A87" w:rsidRPr="003546ED">
        <w:t xml:space="preserve"> below shows the projected unfunded liabilities as a percentage of GDP</w:t>
      </w:r>
      <w:r>
        <w:t xml:space="preserve"> together with the equivalent projection from the 20</w:t>
      </w:r>
      <w:r w:rsidR="00A85292">
        <w:t>11</w:t>
      </w:r>
      <w:r>
        <w:t xml:space="preserve"> Report</w:t>
      </w:r>
      <w:r w:rsidR="00052A87" w:rsidRPr="003546ED">
        <w:t xml:space="preserve">. </w:t>
      </w:r>
    </w:p>
    <w:p w14:paraId="1FD8D54C" w14:textId="77777777" w:rsidR="00052A87" w:rsidRDefault="00052A87" w:rsidP="004D29B5">
      <w:pPr>
        <w:pStyle w:val="ChartMainHeading"/>
      </w:pPr>
      <w:r w:rsidRPr="004D29B5">
        <w:t>Projected unfunded liabilities as a percentage of GDP</w:t>
      </w:r>
    </w:p>
    <w:p w14:paraId="674F64A9" w14:textId="2286DDFB" w:rsidR="00163B29" w:rsidRDefault="00763C0D" w:rsidP="00163B29">
      <w:pPr>
        <w:pStyle w:val="ChartGraphic"/>
        <w:ind w:left="567"/>
      </w:pPr>
      <w:r w:rsidRPr="006E5D56">
        <w:rPr>
          <w:noProof/>
          <w:lang w:val="en-US" w:eastAsia="en-US"/>
        </w:rPr>
        <w:drawing>
          <wp:inline distT="0" distB="0" distL="0" distR="0" wp14:anchorId="16084379" wp14:editId="610875CA">
            <wp:extent cx="4500000" cy="3007895"/>
            <wp:effectExtent l="0" t="0" r="0" b="2540"/>
            <wp:docPr id="8" name="Picture 8" descr="This chart shows the projected unfunded liabilities of the military superannuation schemes as a percentage of GDP from 2011 to 2055.  Under the 2011 Long-term Cost Report, projections were estimated to decrease from just over 3 per cent to around 2.7 per cent.  Under a closed MSBS from 1 July 2016, unfunded liabilities are projected to decrease from around 3.6 per cent to 0.8 per cent.  Under an open MSBS, unfunded liabilities are projected to decrease from around 3.6 per cent to 2.4 per cent." title="Projected unfunded liabilities as a percentage of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3115" t="2967" r="7480" b="5325"/>
                    <a:stretch/>
                  </pic:blipFill>
                  <pic:spPr bwMode="auto">
                    <a:xfrm>
                      <a:off x="0" y="0"/>
                      <a:ext cx="4500000" cy="3007895"/>
                    </a:xfrm>
                    <a:prstGeom prst="rect">
                      <a:avLst/>
                    </a:prstGeom>
                    <a:noFill/>
                    <a:ln>
                      <a:noFill/>
                    </a:ln>
                    <a:extLst>
                      <a:ext uri="{53640926-AAD7-44D8-BBD7-CCE9431645EC}">
                        <a14:shadowObscured xmlns:a14="http://schemas.microsoft.com/office/drawing/2010/main"/>
                      </a:ext>
                    </a:extLst>
                  </pic:spPr>
                </pic:pic>
              </a:graphicData>
            </a:graphic>
          </wp:inline>
        </w:drawing>
      </w:r>
      <w:r w:rsidR="00163B29">
        <w:br w:type="page"/>
      </w:r>
    </w:p>
    <w:p w14:paraId="07AC5650" w14:textId="31641391" w:rsidR="00052A87" w:rsidRDefault="00052A87" w:rsidP="001167ED">
      <w:pPr>
        <w:pStyle w:val="BodyText"/>
      </w:pPr>
      <w:r>
        <w:lastRenderedPageBreak/>
        <w:t>Over the longer term, t</w:t>
      </w:r>
      <w:r w:rsidRPr="00857BB6">
        <w:t xml:space="preserve">he main feature of the projection </w:t>
      </w:r>
      <w:r w:rsidR="00C24B75">
        <w:t xml:space="preserve">assuming that the MSBS remains open </w:t>
      </w:r>
      <w:r w:rsidRPr="00857BB6">
        <w:t>is the steady fall in unfunded liabilities relative to GDP</w:t>
      </w:r>
      <w:r w:rsidR="00D01D62">
        <w:t>. There are two</w:t>
      </w:r>
      <w:r w:rsidR="00DF4AD2">
        <w:t> </w:t>
      </w:r>
      <w:r>
        <w:t>main reasons for this:</w:t>
      </w:r>
    </w:p>
    <w:p w14:paraId="797802B1" w14:textId="77777777" w:rsidR="00052A87" w:rsidRDefault="00052A87" w:rsidP="00D01D62">
      <w:pPr>
        <w:pStyle w:val="Bulletindent"/>
      </w:pPr>
      <w:r>
        <w:t xml:space="preserve">it is </w:t>
      </w:r>
      <w:r w:rsidRPr="00857BB6">
        <w:t>assum</w:t>
      </w:r>
      <w:r>
        <w:t>ed</w:t>
      </w:r>
      <w:r w:rsidRPr="00857BB6">
        <w:t xml:space="preserve"> that the total number of </w:t>
      </w:r>
      <w:r>
        <w:t>ADF</w:t>
      </w:r>
      <w:r w:rsidRPr="00857BB6">
        <w:t xml:space="preserve"> personnel will stay at t</w:t>
      </w:r>
      <w:r>
        <w:t>he same level as at 30 June 20</w:t>
      </w:r>
      <w:r w:rsidR="00A0157E">
        <w:t>1</w:t>
      </w:r>
      <w:r w:rsidR="00A85292">
        <w:t>4</w:t>
      </w:r>
      <w:r w:rsidRPr="00857BB6">
        <w:t xml:space="preserve">, that is, that the number of </w:t>
      </w:r>
      <w:r>
        <w:t>ADF</w:t>
      </w:r>
      <w:r w:rsidRPr="00857BB6">
        <w:t xml:space="preserve"> personnel as a percent</w:t>
      </w:r>
      <w:r>
        <w:t>age of the population will fall;</w:t>
      </w:r>
      <w:r w:rsidR="00D01D62">
        <w:t xml:space="preserve"> </w:t>
      </w:r>
      <w:r>
        <w:t>and</w:t>
      </w:r>
    </w:p>
    <w:p w14:paraId="0C0C3305" w14:textId="77777777" w:rsidR="00052A87" w:rsidRDefault="00052A87" w:rsidP="00052A87">
      <w:pPr>
        <w:pStyle w:val="Bulletindent"/>
      </w:pPr>
      <w:proofErr w:type="gramStart"/>
      <w:r w:rsidRPr="00857BB6">
        <w:t>the</w:t>
      </w:r>
      <w:proofErr w:type="gramEnd"/>
      <w:r w:rsidRPr="00857BB6">
        <w:t xml:space="preserve"> MSBS is partially funded whereas the DFRDB is wholly unfunded</w:t>
      </w:r>
      <w:r>
        <w:t>.</w:t>
      </w:r>
    </w:p>
    <w:p w14:paraId="4B0DFDE3" w14:textId="77777777" w:rsidR="00052A87" w:rsidRDefault="00052A87" w:rsidP="00C52707">
      <w:pPr>
        <w:pStyle w:val="BodyText"/>
      </w:pPr>
      <w:r w:rsidRPr="00145C7A">
        <w:t xml:space="preserve">The general trend is clearly favourable with liabilities at the </w:t>
      </w:r>
      <w:r w:rsidR="00BF521A" w:rsidRPr="00145C7A">
        <w:t xml:space="preserve">end of the period being around </w:t>
      </w:r>
      <w:r w:rsidR="006E770C">
        <w:t>65</w:t>
      </w:r>
      <w:r w:rsidRPr="00145C7A">
        <w:t xml:space="preserve"> per cent of their current level relative to GDP.</w:t>
      </w:r>
    </w:p>
    <w:p w14:paraId="72D1DAB5" w14:textId="0257E3C4" w:rsidR="00756340" w:rsidRDefault="00403C27" w:rsidP="00C52707">
      <w:pPr>
        <w:pStyle w:val="BodyText"/>
      </w:pPr>
      <w:r>
        <w:t>Relative to the 20</w:t>
      </w:r>
      <w:r w:rsidR="006E770C">
        <w:t>11</w:t>
      </w:r>
      <w:r>
        <w:t xml:space="preserve"> Report</w:t>
      </w:r>
      <w:r w:rsidR="00C24B75">
        <w:t xml:space="preserve"> and assuming that the MSBS remains open</w:t>
      </w:r>
      <w:r>
        <w:t>, projected unfunded liabilities</w:t>
      </w:r>
      <w:r w:rsidR="00C24B75">
        <w:t xml:space="preserve"> </w:t>
      </w:r>
      <w:r>
        <w:t xml:space="preserve">as a proportion of GDP are </w:t>
      </w:r>
      <w:r w:rsidR="006E770C">
        <w:t>higher for about 25</w:t>
      </w:r>
      <w:r w:rsidR="00206BBB">
        <w:t> </w:t>
      </w:r>
      <w:r w:rsidR="006E770C">
        <w:t>years. F</w:t>
      </w:r>
      <w:r w:rsidR="00756340">
        <w:t>rom 20</w:t>
      </w:r>
      <w:r w:rsidR="006E770C">
        <w:t>3</w:t>
      </w:r>
      <w:r w:rsidR="00756340">
        <w:t xml:space="preserve">8, the current projections are </w:t>
      </w:r>
      <w:r w:rsidR="006E770C">
        <w:t>lower than the previous projections,</w:t>
      </w:r>
      <w:r w:rsidR="00756340">
        <w:t xml:space="preserve"> with the margin increasing gradually to </w:t>
      </w:r>
      <w:r w:rsidR="006E770C">
        <w:t>about</w:t>
      </w:r>
      <w:r w:rsidR="00756340">
        <w:t xml:space="preserve"> 0.3 percentage points </w:t>
      </w:r>
      <w:r w:rsidR="00C24B75">
        <w:t xml:space="preserve">of GDP </w:t>
      </w:r>
      <w:r w:rsidR="00756340">
        <w:t>by the end of the projection period</w:t>
      </w:r>
      <w:r>
        <w:t>. Th</w:t>
      </w:r>
      <w:r w:rsidR="00756340">
        <w:t>e</w:t>
      </w:r>
      <w:r w:rsidR="0079156A">
        <w:t xml:space="preserve"> initially higher projections </w:t>
      </w:r>
      <w:r w:rsidR="00C24B75">
        <w:t xml:space="preserve">for the current report </w:t>
      </w:r>
      <w:r w:rsidR="0079156A">
        <w:t xml:space="preserve">are mostly </w:t>
      </w:r>
      <w:r w:rsidR="00FD45C6">
        <w:t>due to the improved indexation arrangements for DFRB and DFRDB pensions</w:t>
      </w:r>
      <w:r w:rsidR="00C24B75">
        <w:t xml:space="preserve"> which have increased the unfunded liability by around 10 per cent</w:t>
      </w:r>
      <w:r w:rsidR="00FD45C6">
        <w:t xml:space="preserve">. </w:t>
      </w:r>
      <w:r w:rsidR="009300E0">
        <w:t>The</w:t>
      </w:r>
      <w:r w:rsidR="00C24B75">
        <w:t xml:space="preserve"> estimates for the</w:t>
      </w:r>
      <w:r w:rsidR="009300E0">
        <w:t xml:space="preserve"> later projection</w:t>
      </w:r>
      <w:r w:rsidR="00C24B75">
        <w:t xml:space="preserve"> year</w:t>
      </w:r>
      <w:r w:rsidR="009300E0">
        <w:t>s are lower</w:t>
      </w:r>
      <w:r w:rsidR="00C24B75">
        <w:t>. This is</w:t>
      </w:r>
      <w:r w:rsidR="009300E0">
        <w:t xml:space="preserve"> due to the lower assumed numbers of serving ADF personnel </w:t>
      </w:r>
      <w:r w:rsidR="00C24B75">
        <w:t xml:space="preserve">reducing future accruals of unfunded liabilities </w:t>
      </w:r>
      <w:r w:rsidR="009300E0">
        <w:t xml:space="preserve">and </w:t>
      </w:r>
      <w:r w:rsidR="00C24B75">
        <w:t>the higher GDP growth rates assumed eventually outweighing the impact of the improved pension indexation arrangements for the closed DFRB and DFRDB.</w:t>
      </w:r>
    </w:p>
    <w:p w14:paraId="77C04B82" w14:textId="77777777" w:rsidR="00C24B75" w:rsidRDefault="00C24B75" w:rsidP="00C52707">
      <w:pPr>
        <w:pStyle w:val="BodyText"/>
      </w:pPr>
      <w:r>
        <w:t xml:space="preserve">As would be expected, were the </w:t>
      </w:r>
      <w:r w:rsidR="00514A0A">
        <w:t>MSBS to be closed to new ADF personnel</w:t>
      </w:r>
      <w:r>
        <w:t xml:space="preserve"> in 2016, there would be a substantial reduction in the unfunded liabilities for the later projection years.</w:t>
      </w:r>
    </w:p>
    <w:p w14:paraId="73380497" w14:textId="77777777" w:rsidR="00163B29" w:rsidRDefault="00163B29">
      <w:pPr>
        <w:spacing w:before="0" w:after="0" w:line="240" w:lineRule="auto"/>
        <w:jc w:val="left"/>
        <w:rPr>
          <w:rFonts w:ascii="Arial Bold" w:hAnsi="Arial Bold" w:cs="Arial"/>
          <w:b/>
          <w:bCs/>
          <w:iCs/>
          <w:caps/>
          <w:color w:val="9B0014"/>
          <w:sz w:val="28"/>
          <w:szCs w:val="22"/>
          <w:lang w:eastAsia="en-AU"/>
        </w:rPr>
      </w:pPr>
      <w:r>
        <w:br w:type="page"/>
      </w:r>
    </w:p>
    <w:p w14:paraId="271DC0E0" w14:textId="21E898BB" w:rsidR="00052A87" w:rsidRPr="00857BB6" w:rsidRDefault="00052A87" w:rsidP="00052A87">
      <w:pPr>
        <w:pStyle w:val="Heading2nonumbering"/>
      </w:pPr>
      <w:bookmarkStart w:id="92" w:name="_Toc425770495"/>
      <w:r w:rsidRPr="00857BB6">
        <w:lastRenderedPageBreak/>
        <w:t>AASB 119</w:t>
      </w:r>
      <w:bookmarkEnd w:id="92"/>
    </w:p>
    <w:p w14:paraId="3B7D1496" w14:textId="31577E1E" w:rsidR="00052A87" w:rsidRDefault="00052A87" w:rsidP="00C52707">
      <w:pPr>
        <w:pStyle w:val="BodyText"/>
      </w:pPr>
      <w:r>
        <w:t>Since the 2005</w:t>
      </w:r>
      <w:r>
        <w:noBreakHyphen/>
        <w:t xml:space="preserve">06 financial year, the Department of Defence has been required to comply with </w:t>
      </w:r>
      <w:r w:rsidRPr="00857BB6">
        <w:t xml:space="preserve">Australian Accounting Standard AASB 119 </w:t>
      </w:r>
      <w:r>
        <w:t>—</w:t>
      </w:r>
      <w:r w:rsidRPr="00857BB6">
        <w:t xml:space="preserve"> Employee Benefits </w:t>
      </w:r>
      <w:r>
        <w:t>in reporting on superannuation obligations in its financial statements. The disc</w:t>
      </w:r>
      <w:r w:rsidR="004E1113">
        <w:t>ount rate assumption</w:t>
      </w:r>
      <w:r>
        <w:t xml:space="preserve"> required under AASB 119 differs from the assumption used in this report. The requirement for the AASB 119 discount rate to be based on the Government bond rate at the reporting date is likely to result in changes in economic assumptions from year to year. All else being equal, movements in interest rates will lead to volatility in reported liabilities under AASB 119. </w:t>
      </w:r>
      <w:r w:rsidR="00790163">
        <w:t xml:space="preserve">Up until the 2011 Report, </w:t>
      </w:r>
      <w:r w:rsidR="002A2808">
        <w:t xml:space="preserve">the interest rates used in calculating the unfunded liabilities for </w:t>
      </w:r>
      <w:r>
        <w:t>financial statements under this Standard</w:t>
      </w:r>
      <w:r w:rsidR="00C24B75">
        <w:t xml:space="preserve"> had</w:t>
      </w:r>
      <w:r w:rsidR="00790163">
        <w:t xml:space="preserve"> </w:t>
      </w:r>
      <w:r>
        <w:t>been within one percentage point of the interest rate used for this report</w:t>
      </w:r>
      <w:r w:rsidR="00C24B75">
        <w:t>.</w:t>
      </w:r>
      <w:r w:rsidR="00790163">
        <w:t xml:space="preserve"> In </w:t>
      </w:r>
      <w:r w:rsidR="00C24B75">
        <w:t>recent</w:t>
      </w:r>
      <w:r w:rsidR="00790163">
        <w:t xml:space="preserve"> years</w:t>
      </w:r>
      <w:r w:rsidR="00395586">
        <w:t>,</w:t>
      </w:r>
      <w:r w:rsidR="002A2808">
        <w:t xml:space="preserve"> </w:t>
      </w:r>
      <w:r w:rsidR="00790163">
        <w:t>the interest rate</w:t>
      </w:r>
      <w:r w:rsidR="00395586">
        <w:t>s</w:t>
      </w:r>
      <w:r w:rsidR="00790163">
        <w:t xml:space="preserve"> used </w:t>
      </w:r>
      <w:r w:rsidR="00395586">
        <w:t>for AASB 119 have</w:t>
      </w:r>
      <w:r w:rsidR="00790163">
        <w:t xml:space="preserve"> been significantly lower</w:t>
      </w:r>
      <w:r w:rsidR="007365B6">
        <w:t xml:space="preserve"> than that used for this report. This has had</w:t>
      </w:r>
      <w:r w:rsidR="00790163">
        <w:t xml:space="preserve"> the effect of significantly increasing the reported liabilities under AAS</w:t>
      </w:r>
      <w:r w:rsidR="00395586">
        <w:t>B</w:t>
      </w:r>
      <w:r w:rsidR="00CC2399">
        <w:t> </w:t>
      </w:r>
      <w:r w:rsidR="00790163">
        <w:t>119.</w:t>
      </w:r>
      <w:r w:rsidR="00212C90">
        <w:t xml:space="preserve"> </w:t>
      </w:r>
    </w:p>
    <w:p w14:paraId="488B95B5" w14:textId="77777777" w:rsidR="00052A87" w:rsidRDefault="00052A87" w:rsidP="00C52707">
      <w:pPr>
        <w:pStyle w:val="BodyText"/>
      </w:pPr>
      <w:r>
        <w:t>The current report is focussed on the financial implications of the military superannuation arrangements over the long term. As noted ear</w:t>
      </w:r>
      <w:r w:rsidR="00EB28DD">
        <w:t>lier, it is important in a long-</w:t>
      </w:r>
      <w:r>
        <w:t>term cost report not to introduce unnecessary volatility which might mask genuine effects. Accordingly, in my view, this is a more appropriate document for co</w:t>
      </w:r>
      <w:r w:rsidR="00EB28DD">
        <w:t>nsidering liabilities in a long-</w:t>
      </w:r>
      <w:r>
        <w:t>term context than the Department of Defence Financial Statements.</w:t>
      </w:r>
    </w:p>
    <w:p w14:paraId="563B4738" w14:textId="1177C1ED" w:rsidR="004D29B5" w:rsidRPr="004D29B5" w:rsidRDefault="004D29B5" w:rsidP="004D29B5">
      <w:pPr>
        <w:pStyle w:val="SingleParagraph"/>
      </w:pPr>
    </w:p>
    <w:p w14:paraId="04FC913A" w14:textId="31D0C771" w:rsidR="004D29B5" w:rsidRDefault="004D29B5" w:rsidP="00C72DF9">
      <w:pPr>
        <w:pStyle w:val="signaturename"/>
        <w:spacing w:before="0"/>
        <w:jc w:val="left"/>
      </w:pPr>
      <w:r>
        <w:rPr>
          <w:noProof/>
          <w:lang w:val="en-US"/>
        </w:rPr>
        <w:drawing>
          <wp:inline distT="0" distB="0" distL="0" distR="0" wp14:anchorId="31801AEF" wp14:editId="44EC6459">
            <wp:extent cx="1614115" cy="100981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Martin.jpg"/>
                    <pic:cNvPicPr/>
                  </pic:nvPicPr>
                  <pic:blipFill rotWithShape="1">
                    <a:blip r:embed="rId52" cstate="print">
                      <a:extLst>
                        <a:ext uri="{28A0092B-C50C-407E-A947-70E740481C1C}">
                          <a14:useLocalDpi xmlns:a14="http://schemas.microsoft.com/office/drawing/2010/main" val="0"/>
                        </a:ext>
                      </a:extLst>
                    </a:blip>
                    <a:srcRect l="15770" t="9434" r="9785" b="10692"/>
                    <a:stretch/>
                  </pic:blipFill>
                  <pic:spPr bwMode="auto">
                    <a:xfrm>
                      <a:off x="0" y="0"/>
                      <a:ext cx="1621267" cy="1014290"/>
                    </a:xfrm>
                    <a:prstGeom prst="rect">
                      <a:avLst/>
                    </a:prstGeom>
                    <a:ln>
                      <a:noFill/>
                    </a:ln>
                    <a:extLst>
                      <a:ext uri="{53640926-AAD7-44D8-BBD7-CCE9431645EC}">
                        <a14:shadowObscured xmlns:a14="http://schemas.microsoft.com/office/drawing/2010/main"/>
                      </a:ext>
                    </a:extLst>
                  </pic:spPr>
                </pic:pic>
              </a:graphicData>
            </a:graphic>
          </wp:inline>
        </w:drawing>
      </w:r>
    </w:p>
    <w:p w14:paraId="7950A689" w14:textId="77777777" w:rsidR="004D29B5" w:rsidRDefault="004D29B5" w:rsidP="004D29B5">
      <w:pPr>
        <w:pStyle w:val="SingleParagraph"/>
      </w:pPr>
    </w:p>
    <w:p w14:paraId="17B06E71" w14:textId="4A74BD2C" w:rsidR="00052A87" w:rsidRPr="00857BB6" w:rsidRDefault="00052A87" w:rsidP="00C72DF9">
      <w:pPr>
        <w:pStyle w:val="signaturename"/>
        <w:spacing w:before="0"/>
        <w:jc w:val="left"/>
      </w:pPr>
      <w:r w:rsidRPr="00857BB6">
        <w:t>Peter Martin</w:t>
      </w:r>
      <w:r>
        <w:t xml:space="preserve"> FIAA</w:t>
      </w:r>
      <w:r w:rsidR="00520EE0">
        <w:br/>
      </w:r>
      <w:r w:rsidRPr="00857BB6">
        <w:t xml:space="preserve">Australian Government Actuary </w:t>
      </w:r>
    </w:p>
    <w:p w14:paraId="6689A629" w14:textId="77777777" w:rsidR="00052A87" w:rsidRDefault="00CF32C4" w:rsidP="00052A87">
      <w:pPr>
        <w:pStyle w:val="signaturetitle"/>
      </w:pPr>
      <w:r>
        <w:t>18</w:t>
      </w:r>
      <w:r w:rsidR="006A76D6" w:rsidRPr="005B0ABD">
        <w:t xml:space="preserve"> </w:t>
      </w:r>
      <w:r w:rsidR="00845C30" w:rsidRPr="005B0ABD">
        <w:t>June</w:t>
      </w:r>
      <w:r w:rsidR="00D01D62" w:rsidRPr="005B0ABD">
        <w:t xml:space="preserve"> </w:t>
      </w:r>
      <w:r w:rsidR="00052A87" w:rsidRPr="005B0ABD">
        <w:t>20</w:t>
      </w:r>
      <w:r w:rsidR="00D01D62" w:rsidRPr="005B0ABD">
        <w:t>1</w:t>
      </w:r>
      <w:r w:rsidR="00790163" w:rsidRPr="005B0ABD">
        <w:t>5</w:t>
      </w:r>
    </w:p>
    <w:p w14:paraId="49B86D2D" w14:textId="77777777" w:rsidR="00052A87" w:rsidRDefault="00052A87" w:rsidP="00052A87">
      <w:pPr>
        <w:rPr>
          <w:rFonts w:cs="Arial"/>
        </w:rPr>
        <w:sectPr w:rsidR="00052A87" w:rsidSect="00520EE0">
          <w:headerReference w:type="default" r:id="rId53"/>
          <w:headerReference w:type="first" r:id="rId54"/>
          <w:footerReference w:type="first" r:id="rId55"/>
          <w:type w:val="oddPage"/>
          <w:pgSz w:w="11906" w:h="16838" w:code="9"/>
          <w:pgMar w:top="2466" w:right="2098" w:bottom="2466" w:left="2098" w:header="1899" w:footer="1899" w:gutter="0"/>
          <w:cols w:space="708"/>
          <w:titlePg/>
          <w:docGrid w:linePitch="360"/>
        </w:sectPr>
      </w:pPr>
    </w:p>
    <w:p w14:paraId="434141F9" w14:textId="77777777" w:rsidR="00052A87" w:rsidRPr="0097008B" w:rsidRDefault="00052A87" w:rsidP="00052A87">
      <w:pPr>
        <w:pStyle w:val="AppendixHeading"/>
      </w:pPr>
      <w:bookmarkStart w:id="93" w:name="_Ref135031716"/>
      <w:bookmarkStart w:id="94" w:name="_Toc135119213"/>
      <w:bookmarkStart w:id="95" w:name="_Toc136856501"/>
      <w:bookmarkStart w:id="96" w:name="_Toc232828407"/>
      <w:bookmarkStart w:id="97" w:name="_Toc425770496"/>
      <w:r w:rsidRPr="0097008B">
        <w:lastRenderedPageBreak/>
        <w:t xml:space="preserve">Appendix </w:t>
      </w:r>
      <w:r>
        <w:t>A</w:t>
      </w:r>
      <w:bookmarkEnd w:id="93"/>
      <w:bookmarkEnd w:id="94"/>
      <w:bookmarkEnd w:id="95"/>
      <w:bookmarkEnd w:id="96"/>
      <w:bookmarkEnd w:id="97"/>
    </w:p>
    <w:p w14:paraId="398CB324" w14:textId="3C18A9B0" w:rsidR="00052A87" w:rsidRPr="0097008B" w:rsidRDefault="00052A87" w:rsidP="00A31B6E">
      <w:pPr>
        <w:pStyle w:val="Heading2nonumbering"/>
      </w:pPr>
      <w:bookmarkStart w:id="98" w:name="_Toc425770497"/>
      <w:r w:rsidRPr="0097008B">
        <w:t xml:space="preserve">Summary of </w:t>
      </w:r>
      <w:r>
        <w:t>m</w:t>
      </w:r>
      <w:r w:rsidRPr="0097008B">
        <w:t xml:space="preserve">embership, </w:t>
      </w:r>
      <w:r>
        <w:t>c</w:t>
      </w:r>
      <w:r w:rsidRPr="0097008B">
        <w:t>ontribution and</w:t>
      </w:r>
      <w:r>
        <w:t xml:space="preserve"> b</w:t>
      </w:r>
      <w:r w:rsidRPr="0097008B">
        <w:t>enefit</w:t>
      </w:r>
      <w:r>
        <w:t xml:space="preserve"> p</w:t>
      </w:r>
      <w:r w:rsidRPr="0097008B">
        <w:t>rovisions</w:t>
      </w:r>
      <w:r>
        <w:t xml:space="preserve"> </w:t>
      </w:r>
      <w:r w:rsidRPr="0097008B">
        <w:t xml:space="preserve">of the </w:t>
      </w:r>
      <w:bookmarkEnd w:id="98"/>
      <w:r w:rsidR="00B32097">
        <w:t>MSBS</w:t>
      </w:r>
    </w:p>
    <w:p w14:paraId="65C14311" w14:textId="25225842" w:rsidR="00052A87" w:rsidRPr="00C157F7" w:rsidRDefault="00052A87" w:rsidP="00052A87">
      <w:pPr>
        <w:rPr>
          <w:rFonts w:cs="Arial"/>
        </w:rPr>
      </w:pPr>
      <w:r w:rsidRPr="00C157F7">
        <w:rPr>
          <w:rFonts w:cs="Arial"/>
        </w:rPr>
        <w:t xml:space="preserve">The </w:t>
      </w:r>
      <w:r w:rsidR="00BF2D5D" w:rsidRPr="00857BB6">
        <w:t xml:space="preserve">Military Superannuation and Benefits Scheme </w:t>
      </w:r>
      <w:r w:rsidR="00BF2D5D">
        <w:t>(</w:t>
      </w:r>
      <w:r w:rsidRPr="00C157F7">
        <w:rPr>
          <w:rFonts w:cs="Arial"/>
        </w:rPr>
        <w:t>MSBS</w:t>
      </w:r>
      <w:r w:rsidR="00BF2D5D">
        <w:rPr>
          <w:rFonts w:cs="Arial"/>
        </w:rPr>
        <w:t>)</w:t>
      </w:r>
      <w:r w:rsidRPr="00C157F7">
        <w:rPr>
          <w:rFonts w:cs="Arial"/>
        </w:rPr>
        <w:t xml:space="preserve"> </w:t>
      </w:r>
      <w:proofErr w:type="gramStart"/>
      <w:r w:rsidRPr="00C157F7">
        <w:rPr>
          <w:rFonts w:cs="Arial"/>
        </w:rPr>
        <w:t>is</w:t>
      </w:r>
      <w:proofErr w:type="gramEnd"/>
      <w:r w:rsidRPr="00C157F7">
        <w:rPr>
          <w:rFonts w:cs="Arial"/>
        </w:rPr>
        <w:t xml:space="preserve"> governed by a Trust Deed and Rules established under the </w:t>
      </w:r>
      <w:r w:rsidRPr="00812537">
        <w:rPr>
          <w:rFonts w:cs="Arial"/>
          <w:i/>
        </w:rPr>
        <w:t>Military Superannuation and Benefits Act 1991</w:t>
      </w:r>
      <w:r>
        <w:rPr>
          <w:rFonts w:cs="Arial"/>
        </w:rPr>
        <w:t xml:space="preserve">. </w:t>
      </w:r>
      <w:r w:rsidRPr="00C157F7">
        <w:rPr>
          <w:rFonts w:cs="Arial"/>
        </w:rPr>
        <w:t>The Act, Trust Deed and Rules set out the full membership, contribution and benefit provisions of the MSBS</w:t>
      </w:r>
      <w:r>
        <w:rPr>
          <w:rFonts w:cs="Arial"/>
        </w:rPr>
        <w:t xml:space="preserve">. </w:t>
      </w:r>
      <w:r w:rsidRPr="00C157F7">
        <w:rPr>
          <w:rFonts w:cs="Arial"/>
        </w:rPr>
        <w:t>The provisions of the Scheme are complex and a summary of the principal provisions of the Scheme is set out below</w:t>
      </w:r>
      <w:r>
        <w:rPr>
          <w:rFonts w:cs="Arial"/>
        </w:rPr>
        <w:t xml:space="preserve">. </w:t>
      </w:r>
      <w:r w:rsidRPr="00C157F7">
        <w:rPr>
          <w:rFonts w:cs="Arial"/>
        </w:rPr>
        <w:t>It should not be used to calculate benefits for individuals.</w:t>
      </w:r>
    </w:p>
    <w:p w14:paraId="4E14398A" w14:textId="77777777" w:rsidR="00052A87" w:rsidRPr="00C157F7" w:rsidRDefault="00052A87" w:rsidP="00052A87">
      <w:pPr>
        <w:pStyle w:val="Heading3nonumbering"/>
      </w:pPr>
      <w:r w:rsidRPr="00C157F7">
        <w:t>Membership</w:t>
      </w:r>
    </w:p>
    <w:p w14:paraId="78F0497B" w14:textId="77777777" w:rsidR="00052A87" w:rsidRPr="00C157F7" w:rsidRDefault="00052A87" w:rsidP="00052A87">
      <w:pPr>
        <w:rPr>
          <w:rFonts w:cs="Arial"/>
        </w:rPr>
      </w:pPr>
      <w:r w:rsidRPr="00C157F7">
        <w:rPr>
          <w:rFonts w:cs="Arial"/>
        </w:rPr>
        <w:t>Membership is compulsory for all members of the Permanent Force and Reservists rendering continuous full time service.</w:t>
      </w:r>
    </w:p>
    <w:p w14:paraId="722E5531" w14:textId="77777777" w:rsidR="00052A87" w:rsidRDefault="00052A87" w:rsidP="00052A87">
      <w:pPr>
        <w:pStyle w:val="Heading3nonumbering"/>
      </w:pPr>
      <w:r w:rsidRPr="00C157F7">
        <w:t>Definitions</w:t>
      </w:r>
    </w:p>
    <w:tbl>
      <w:tblPr>
        <w:tblW w:w="7905" w:type="dxa"/>
        <w:tblLook w:val="01E0" w:firstRow="1" w:lastRow="1" w:firstColumn="1" w:lastColumn="1" w:noHBand="0" w:noVBand="0"/>
      </w:tblPr>
      <w:tblGrid>
        <w:gridCol w:w="2660"/>
        <w:gridCol w:w="5245"/>
      </w:tblGrid>
      <w:tr w:rsidR="00052A87" w14:paraId="28CB392E" w14:textId="77777777" w:rsidTr="00520EE0">
        <w:tc>
          <w:tcPr>
            <w:tcW w:w="2660" w:type="dxa"/>
          </w:tcPr>
          <w:p w14:paraId="76872631" w14:textId="77777777" w:rsidR="00052A87" w:rsidRPr="00E7622E" w:rsidRDefault="00052A87" w:rsidP="00052A87">
            <w:pPr>
              <w:rPr>
                <w:b/>
              </w:rPr>
            </w:pPr>
            <w:r w:rsidRPr="00E7622E">
              <w:rPr>
                <w:b/>
              </w:rPr>
              <w:t>Salary</w:t>
            </w:r>
          </w:p>
        </w:tc>
        <w:tc>
          <w:tcPr>
            <w:tcW w:w="5245" w:type="dxa"/>
          </w:tcPr>
          <w:p w14:paraId="39D12D7F" w14:textId="77777777" w:rsidR="00052A87" w:rsidRDefault="00052A87" w:rsidP="00052A87">
            <w:r w:rsidRPr="00F806E4">
              <w:t xml:space="preserve">Salary is actual salary including higher duties allowance, </w:t>
            </w:r>
            <w:r>
              <w:t>s</w:t>
            </w:r>
            <w:r w:rsidRPr="00F806E4">
              <w:t xml:space="preserve">ervice </w:t>
            </w:r>
            <w:r>
              <w:t>a</w:t>
            </w:r>
            <w:r w:rsidRPr="00F806E4">
              <w:t xml:space="preserve">llowance, and some </w:t>
            </w:r>
            <w:r>
              <w:t>q</w:t>
            </w:r>
            <w:r w:rsidRPr="00F806E4">
              <w:t xml:space="preserve">ualifications and </w:t>
            </w:r>
            <w:r>
              <w:t>s</w:t>
            </w:r>
            <w:r w:rsidRPr="00F806E4">
              <w:t>kills allowances.</w:t>
            </w:r>
          </w:p>
        </w:tc>
      </w:tr>
      <w:tr w:rsidR="00052A87" w14:paraId="6D1F2D9D" w14:textId="77777777" w:rsidTr="00520EE0">
        <w:tc>
          <w:tcPr>
            <w:tcW w:w="2660" w:type="dxa"/>
          </w:tcPr>
          <w:p w14:paraId="175D5D99" w14:textId="77777777" w:rsidR="00052A87" w:rsidRPr="00E7622E" w:rsidRDefault="00052A87" w:rsidP="00052A87">
            <w:pPr>
              <w:rPr>
                <w:b/>
              </w:rPr>
            </w:pPr>
            <w:r w:rsidRPr="00E7622E">
              <w:rPr>
                <w:b/>
              </w:rPr>
              <w:t>Final average salary</w:t>
            </w:r>
          </w:p>
        </w:tc>
        <w:tc>
          <w:tcPr>
            <w:tcW w:w="5245" w:type="dxa"/>
          </w:tcPr>
          <w:p w14:paraId="73DC7FC9" w14:textId="77777777" w:rsidR="00052A87" w:rsidRDefault="00052A87" w:rsidP="00052A87">
            <w:r w:rsidRPr="00C157F7">
              <w:t xml:space="preserve">Average annual </w:t>
            </w:r>
            <w:r>
              <w:t>s</w:t>
            </w:r>
            <w:r w:rsidRPr="00C157F7">
              <w:t>alary received over the last three years prior to termination of service.</w:t>
            </w:r>
          </w:p>
        </w:tc>
      </w:tr>
      <w:tr w:rsidR="00052A87" w14:paraId="1989C6D3" w14:textId="77777777" w:rsidTr="00520EE0">
        <w:tc>
          <w:tcPr>
            <w:tcW w:w="2660" w:type="dxa"/>
          </w:tcPr>
          <w:p w14:paraId="6025D9F1" w14:textId="77777777" w:rsidR="00052A87" w:rsidRPr="00E7622E" w:rsidRDefault="00052A87" w:rsidP="00052A87">
            <w:pPr>
              <w:rPr>
                <w:b/>
              </w:rPr>
            </w:pPr>
            <w:r w:rsidRPr="00E7622E">
              <w:rPr>
                <w:b/>
              </w:rPr>
              <w:t>Accrual rates</w:t>
            </w:r>
          </w:p>
        </w:tc>
        <w:tc>
          <w:tcPr>
            <w:tcW w:w="5245" w:type="dxa"/>
          </w:tcPr>
          <w:p w14:paraId="2726E0C6" w14:textId="3F342AAC" w:rsidR="00052A87" w:rsidRDefault="00052A87" w:rsidP="00DF4AD2">
            <w:r w:rsidRPr="00C157F7">
              <w:t>The accrual rate is variable and calculated on a daily basis</w:t>
            </w:r>
            <w:r>
              <w:t xml:space="preserve">. </w:t>
            </w:r>
            <w:r w:rsidRPr="00C157F7">
              <w:t>The rate is 18</w:t>
            </w:r>
            <w:r>
              <w:t xml:space="preserve"> per cent</w:t>
            </w:r>
            <w:r w:rsidRPr="00C157F7">
              <w:t xml:space="preserve"> for each of years of service 0 to 7, 23</w:t>
            </w:r>
            <w:r w:rsidR="00DF4AD2">
              <w:t> </w:t>
            </w:r>
            <w:r>
              <w:t>per cent</w:t>
            </w:r>
            <w:r w:rsidRPr="00C157F7">
              <w:t xml:space="preserve"> for each of years 8 to 20 and 28</w:t>
            </w:r>
            <w:r>
              <w:t xml:space="preserve"> per cent</w:t>
            </w:r>
            <w:r w:rsidRPr="00C157F7">
              <w:t xml:space="preserve"> for year</w:t>
            </w:r>
            <w:r w:rsidR="00DF4AD2">
              <w:t> </w:t>
            </w:r>
            <w:r w:rsidRPr="00C157F7">
              <w:t>21 and each year thereafter.</w:t>
            </w:r>
          </w:p>
        </w:tc>
      </w:tr>
      <w:tr w:rsidR="00052A87" w14:paraId="5CA23CB4" w14:textId="77777777" w:rsidTr="00520EE0">
        <w:tc>
          <w:tcPr>
            <w:tcW w:w="2660" w:type="dxa"/>
          </w:tcPr>
          <w:p w14:paraId="559D5DA6" w14:textId="77777777" w:rsidR="00052A87" w:rsidRPr="00E7622E" w:rsidRDefault="00052A87" w:rsidP="00052A87">
            <w:pPr>
              <w:rPr>
                <w:b/>
              </w:rPr>
            </w:pPr>
            <w:r w:rsidRPr="00E7622E">
              <w:rPr>
                <w:b/>
              </w:rPr>
              <w:t>Total accrued multiple</w:t>
            </w:r>
          </w:p>
        </w:tc>
        <w:tc>
          <w:tcPr>
            <w:tcW w:w="5245" w:type="dxa"/>
          </w:tcPr>
          <w:p w14:paraId="111E90B5" w14:textId="77777777" w:rsidR="00052A87" w:rsidRDefault="00052A87" w:rsidP="00094377">
            <w:pPr>
              <w:spacing w:after="120"/>
            </w:pPr>
            <w:r w:rsidRPr="00C157F7">
              <w:t>The sum of the accrual rates for the total period of service.</w:t>
            </w:r>
          </w:p>
        </w:tc>
      </w:tr>
    </w:tbl>
    <w:p w14:paraId="2AAE6806" w14:textId="77777777" w:rsidR="00052A87" w:rsidRPr="00C157F7" w:rsidRDefault="00052A87" w:rsidP="00C52707">
      <w:pPr>
        <w:pStyle w:val="Heading3nonumbering"/>
        <w:keepNext/>
      </w:pPr>
      <w:r w:rsidRPr="00C157F7">
        <w:t xml:space="preserve">Member </w:t>
      </w:r>
      <w:r>
        <w:t>c</w:t>
      </w:r>
      <w:r w:rsidRPr="00C157F7">
        <w:t>ontributions</w:t>
      </w:r>
    </w:p>
    <w:p w14:paraId="670F93DA" w14:textId="77777777" w:rsidR="00520EE0" w:rsidRDefault="00052A87" w:rsidP="00520EE0">
      <w:pPr>
        <w:rPr>
          <w:rFonts w:cs="Arial"/>
        </w:rPr>
      </w:pPr>
      <w:r w:rsidRPr="00C157F7">
        <w:rPr>
          <w:rFonts w:cs="Arial"/>
        </w:rPr>
        <w:t>Contributions rates are variable</w:t>
      </w:r>
      <w:r>
        <w:rPr>
          <w:rFonts w:cs="Arial"/>
        </w:rPr>
        <w:t xml:space="preserve">. </w:t>
      </w:r>
      <w:r w:rsidRPr="00C157F7">
        <w:rPr>
          <w:rFonts w:cs="Arial"/>
        </w:rPr>
        <w:t>There is a set base rate of 5</w:t>
      </w:r>
      <w:r>
        <w:rPr>
          <w:rFonts w:cs="Arial"/>
        </w:rPr>
        <w:t xml:space="preserve"> per cent</w:t>
      </w:r>
      <w:r w:rsidRPr="00C157F7">
        <w:rPr>
          <w:rFonts w:cs="Arial"/>
        </w:rPr>
        <w:t xml:space="preserve"> of </w:t>
      </w:r>
      <w:r>
        <w:rPr>
          <w:rFonts w:cs="Arial"/>
        </w:rPr>
        <w:t>s</w:t>
      </w:r>
      <w:r w:rsidRPr="00C157F7">
        <w:rPr>
          <w:rFonts w:cs="Arial"/>
        </w:rPr>
        <w:t>alary with an option to contribute additional amounts of up to 5</w:t>
      </w:r>
      <w:r>
        <w:rPr>
          <w:rFonts w:cs="Arial"/>
        </w:rPr>
        <w:t xml:space="preserve"> per cent</w:t>
      </w:r>
      <w:r w:rsidRPr="00C157F7">
        <w:rPr>
          <w:rFonts w:cs="Arial"/>
        </w:rPr>
        <w:t xml:space="preserve"> in increments of 1</w:t>
      </w:r>
      <w:r>
        <w:rPr>
          <w:rFonts w:cs="Arial"/>
        </w:rPr>
        <w:t xml:space="preserve"> per cent</w:t>
      </w:r>
      <w:r w:rsidRPr="00C157F7">
        <w:rPr>
          <w:rFonts w:cs="Arial"/>
        </w:rPr>
        <w:t xml:space="preserve"> (maximum contributions are thus 10</w:t>
      </w:r>
      <w:r>
        <w:rPr>
          <w:rFonts w:cs="Arial"/>
        </w:rPr>
        <w:t xml:space="preserve"> per cent</w:t>
      </w:r>
      <w:r w:rsidRPr="00C157F7">
        <w:rPr>
          <w:rFonts w:cs="Arial"/>
        </w:rPr>
        <w:t xml:space="preserve"> of </w:t>
      </w:r>
      <w:r>
        <w:rPr>
          <w:rFonts w:cs="Arial"/>
        </w:rPr>
        <w:t>s</w:t>
      </w:r>
      <w:r w:rsidRPr="00C157F7">
        <w:rPr>
          <w:rFonts w:cs="Arial"/>
        </w:rPr>
        <w:t>alary).</w:t>
      </w:r>
    </w:p>
    <w:p w14:paraId="4640C2E4" w14:textId="79890DFD" w:rsidR="00052A87" w:rsidRDefault="00052A87" w:rsidP="00052A87">
      <w:pPr>
        <w:pStyle w:val="Heading3nonumbering"/>
      </w:pPr>
      <w:r w:rsidRPr="00C157F7">
        <w:lastRenderedPageBreak/>
        <w:t xml:space="preserve">Scheme </w:t>
      </w:r>
      <w:r>
        <w:t>s</w:t>
      </w:r>
      <w:r w:rsidRPr="00C157F7">
        <w:t>tructure</w:t>
      </w:r>
    </w:p>
    <w:tbl>
      <w:tblPr>
        <w:tblW w:w="0" w:type="auto"/>
        <w:tblLook w:val="01E0" w:firstRow="1" w:lastRow="1" w:firstColumn="1" w:lastColumn="1" w:noHBand="0" w:noVBand="0"/>
      </w:tblPr>
      <w:tblGrid>
        <w:gridCol w:w="2544"/>
        <w:gridCol w:w="5382"/>
      </w:tblGrid>
      <w:tr w:rsidR="00052A87" w14:paraId="40ED37FF" w14:textId="77777777" w:rsidTr="0009519F">
        <w:tc>
          <w:tcPr>
            <w:tcW w:w="2660" w:type="dxa"/>
          </w:tcPr>
          <w:p w14:paraId="3D817D65" w14:textId="77777777" w:rsidR="00052A87" w:rsidRPr="00E7622E" w:rsidRDefault="00052A87" w:rsidP="00052A87">
            <w:pPr>
              <w:rPr>
                <w:b/>
              </w:rPr>
            </w:pPr>
            <w:r w:rsidRPr="00E7622E">
              <w:rPr>
                <w:b/>
              </w:rPr>
              <w:t>Member component</w:t>
            </w:r>
          </w:p>
        </w:tc>
        <w:tc>
          <w:tcPr>
            <w:tcW w:w="5749" w:type="dxa"/>
          </w:tcPr>
          <w:p w14:paraId="2BB459FE" w14:textId="77777777" w:rsidR="00052A87" w:rsidRDefault="00052A87" w:rsidP="00052A87">
            <w:r w:rsidRPr="00C157F7">
              <w:t>This consists of the member contributions paid into the MSBS together with accumulated earnings on the contributions.</w:t>
            </w:r>
          </w:p>
        </w:tc>
      </w:tr>
      <w:tr w:rsidR="00052A87" w14:paraId="4AD99452" w14:textId="77777777" w:rsidTr="0009519F">
        <w:tc>
          <w:tcPr>
            <w:tcW w:w="2660" w:type="dxa"/>
          </w:tcPr>
          <w:p w14:paraId="6789F97E" w14:textId="77777777" w:rsidR="00052A87" w:rsidRPr="00E7622E" w:rsidRDefault="00052A87" w:rsidP="00052A87">
            <w:pPr>
              <w:rPr>
                <w:b/>
              </w:rPr>
            </w:pPr>
            <w:r w:rsidRPr="00E7622E">
              <w:rPr>
                <w:b/>
              </w:rPr>
              <w:t>Employer component</w:t>
            </w:r>
          </w:p>
        </w:tc>
        <w:tc>
          <w:tcPr>
            <w:tcW w:w="5749" w:type="dxa"/>
          </w:tcPr>
          <w:p w14:paraId="33353808" w14:textId="77777777" w:rsidR="00052A87" w:rsidRDefault="00052A87" w:rsidP="00052A87">
            <w:r w:rsidRPr="00C157F7">
              <w:t>This consists of a defined benefit equal to:</w:t>
            </w:r>
          </w:p>
          <w:p w14:paraId="1BB35BE8" w14:textId="77777777" w:rsidR="00052A87" w:rsidRDefault="00052A87" w:rsidP="00CC2399">
            <w:pPr>
              <w:pStyle w:val="NormalIndent"/>
              <w:ind w:left="0"/>
              <w:jc w:val="center"/>
            </w:pPr>
            <w:r>
              <w:t>T</w:t>
            </w:r>
            <w:r w:rsidRPr="00C157F7">
              <w:t xml:space="preserve">otal </w:t>
            </w:r>
            <w:r>
              <w:t>a</w:t>
            </w:r>
            <w:r w:rsidRPr="00C157F7">
              <w:t xml:space="preserve">ccrued </w:t>
            </w:r>
            <w:proofErr w:type="spellStart"/>
            <w:r>
              <w:t>m</w:t>
            </w:r>
            <w:r w:rsidRPr="00C157F7">
              <w:t xml:space="preserve">ultiple </w:t>
            </w:r>
            <w:r w:rsidRPr="00BE726C">
              <w:t>x</w:t>
            </w:r>
            <w:proofErr w:type="spellEnd"/>
            <w:r w:rsidRPr="00C157F7">
              <w:t xml:space="preserve"> </w:t>
            </w:r>
            <w:r>
              <w:t>F</w:t>
            </w:r>
            <w:r w:rsidRPr="00C157F7">
              <w:t xml:space="preserve">inal </w:t>
            </w:r>
            <w:r>
              <w:t>a</w:t>
            </w:r>
            <w:r w:rsidRPr="00C157F7">
              <w:t xml:space="preserve">verage </w:t>
            </w:r>
            <w:r>
              <w:t>s</w:t>
            </w:r>
            <w:r w:rsidRPr="00C157F7">
              <w:t>alary</w:t>
            </w:r>
            <w:r>
              <w:t>.</w:t>
            </w:r>
          </w:p>
        </w:tc>
      </w:tr>
      <w:tr w:rsidR="00052A87" w14:paraId="5A1BA6F1" w14:textId="77777777" w:rsidTr="0009519F">
        <w:tc>
          <w:tcPr>
            <w:tcW w:w="2660" w:type="dxa"/>
          </w:tcPr>
          <w:p w14:paraId="181BDABE" w14:textId="77777777" w:rsidR="00052A87" w:rsidRPr="00E7622E" w:rsidRDefault="00052A87" w:rsidP="00052A87">
            <w:pPr>
              <w:rPr>
                <w:b/>
              </w:rPr>
            </w:pPr>
            <w:r w:rsidRPr="00E7622E">
              <w:rPr>
                <w:b/>
              </w:rPr>
              <w:t>3 per cent benefit</w:t>
            </w:r>
          </w:p>
        </w:tc>
        <w:tc>
          <w:tcPr>
            <w:tcW w:w="5749" w:type="dxa"/>
          </w:tcPr>
          <w:p w14:paraId="7FA37367" w14:textId="77777777" w:rsidR="00052A87" w:rsidRDefault="00052A87" w:rsidP="00052A87">
            <w:r w:rsidRPr="00C157F7">
              <w:t>This consists of employer contributions of 3</w:t>
            </w:r>
            <w:r>
              <w:t xml:space="preserve"> per cent</w:t>
            </w:r>
            <w:r w:rsidRPr="00C157F7">
              <w:t xml:space="preserve"> of salary less 15</w:t>
            </w:r>
            <w:r>
              <w:t xml:space="preserve"> per cent</w:t>
            </w:r>
            <w:r w:rsidRPr="00C157F7">
              <w:t xml:space="preserve"> employer contribution tax together with accumulated earnings</w:t>
            </w:r>
            <w:r>
              <w:t xml:space="preserve">. </w:t>
            </w:r>
          </w:p>
          <w:p w14:paraId="3C8F2217" w14:textId="77777777" w:rsidR="00052A87" w:rsidRDefault="00052A87" w:rsidP="005A3BFA">
            <w:pPr>
              <w:spacing w:after="120"/>
            </w:pPr>
            <w:r w:rsidRPr="00C157F7">
              <w:t>The 3</w:t>
            </w:r>
            <w:r>
              <w:t xml:space="preserve"> per cent</w:t>
            </w:r>
            <w:r w:rsidRPr="00C157F7">
              <w:t xml:space="preserve"> benefit forms part of the employer component.</w:t>
            </w:r>
          </w:p>
        </w:tc>
      </w:tr>
    </w:tbl>
    <w:p w14:paraId="474B170A" w14:textId="77777777" w:rsidR="00052A87" w:rsidRPr="00C157F7" w:rsidRDefault="00052A87" w:rsidP="00052A87">
      <w:pPr>
        <w:pStyle w:val="Heading3nonumbering"/>
      </w:pPr>
      <w:r w:rsidRPr="00C157F7">
        <w:t xml:space="preserve">Retirement </w:t>
      </w:r>
      <w:r>
        <w:t>b</w:t>
      </w:r>
      <w:r w:rsidRPr="00C157F7">
        <w:t>enefits (on or after age 55)</w:t>
      </w:r>
    </w:p>
    <w:p w14:paraId="26BFACAE" w14:textId="77777777" w:rsidR="00052A87" w:rsidRPr="00C157F7" w:rsidRDefault="00052A87" w:rsidP="00052A87">
      <w:pPr>
        <w:ind w:left="720" w:hanging="720"/>
        <w:rPr>
          <w:rFonts w:cs="Arial"/>
        </w:rPr>
      </w:pPr>
      <w:r w:rsidRPr="00C157F7">
        <w:rPr>
          <w:rFonts w:cs="Arial"/>
        </w:rPr>
        <w:t>On retirement the member would be entitled to a lump sum of:</w:t>
      </w:r>
    </w:p>
    <w:p w14:paraId="22506515" w14:textId="77777777" w:rsidR="00052A87" w:rsidRPr="00CC2399" w:rsidRDefault="00052A87" w:rsidP="00CC2399">
      <w:pPr>
        <w:ind w:left="720" w:hanging="720"/>
        <w:jc w:val="center"/>
        <w:rPr>
          <w:rFonts w:cs="Arial"/>
        </w:rPr>
      </w:pPr>
      <w:r w:rsidRPr="00CC2399">
        <w:rPr>
          <w:rFonts w:cs="Arial"/>
        </w:rPr>
        <w:t>Member component + Employer component</w:t>
      </w:r>
    </w:p>
    <w:p w14:paraId="01429041" w14:textId="77777777" w:rsidR="00052A87" w:rsidRDefault="00052A87" w:rsidP="00052A87">
      <w:r>
        <w:t xml:space="preserve">The member has an option to </w:t>
      </w:r>
      <w:r w:rsidRPr="00C157F7">
        <w:t>convert between 50</w:t>
      </w:r>
      <w:r>
        <w:t xml:space="preserve"> per cent</w:t>
      </w:r>
      <w:r w:rsidRPr="00C157F7">
        <w:t xml:space="preserve"> and 100</w:t>
      </w:r>
      <w:r>
        <w:t xml:space="preserve"> per cent</w:t>
      </w:r>
      <w:r w:rsidRPr="00C157F7">
        <w:t xml:space="preserve"> of the employer component to a pension</w:t>
      </w:r>
      <w:r>
        <w:t xml:space="preserve">. </w:t>
      </w:r>
      <w:r w:rsidRPr="00C157F7">
        <w:t>The terms of conversion are determined by the member</w:t>
      </w:r>
      <w:r>
        <w:t>’</w:t>
      </w:r>
      <w:r w:rsidRPr="00C157F7">
        <w:t>s age at the date of conversion</w:t>
      </w:r>
      <w:r>
        <w:t xml:space="preserve">. </w:t>
      </w:r>
      <w:r w:rsidRPr="00C157F7">
        <w:t>At age 55, $12 of lump sum is converted to $1</w:t>
      </w:r>
      <w:r>
        <w:t> </w:t>
      </w:r>
      <w:r w:rsidRPr="00C157F7">
        <w:t>p</w:t>
      </w:r>
      <w:r>
        <w:t>er </w:t>
      </w:r>
      <w:r w:rsidRPr="00C157F7">
        <w:t>a</w:t>
      </w:r>
      <w:r>
        <w:t>nnum</w:t>
      </w:r>
      <w:r w:rsidRPr="00C157F7">
        <w:t xml:space="preserve"> of pension.</w:t>
      </w:r>
      <w:r w:rsidR="004F739B">
        <w:t xml:space="preserve"> At age 60, $11 of lump sum is converted to $1 per annum of pension.</w:t>
      </w:r>
    </w:p>
    <w:p w14:paraId="6754B436" w14:textId="77777777" w:rsidR="00052A87" w:rsidRPr="00C157F7" w:rsidRDefault="00052A87" w:rsidP="00052A87">
      <w:pPr>
        <w:pStyle w:val="Heading3nonumbering"/>
      </w:pPr>
      <w:r w:rsidRPr="00C157F7">
        <w:t xml:space="preserve">Resignation </w:t>
      </w:r>
      <w:r>
        <w:t>b</w:t>
      </w:r>
      <w:r w:rsidRPr="00C157F7">
        <w:t>enefit (before age 55)</w:t>
      </w:r>
    </w:p>
    <w:p w14:paraId="37925B9A" w14:textId="77777777" w:rsidR="00052A87" w:rsidRPr="00C157F7" w:rsidRDefault="00052A87" w:rsidP="00052A87">
      <w:pPr>
        <w:rPr>
          <w:rFonts w:cs="Arial"/>
        </w:rPr>
      </w:pPr>
      <w:r w:rsidRPr="00C157F7">
        <w:rPr>
          <w:rFonts w:cs="Arial"/>
        </w:rPr>
        <w:t>On resignation</w:t>
      </w:r>
      <w:r>
        <w:rPr>
          <w:rFonts w:cs="Arial"/>
        </w:rPr>
        <w:t>,</w:t>
      </w:r>
      <w:r w:rsidRPr="00C157F7">
        <w:rPr>
          <w:rFonts w:cs="Arial"/>
        </w:rPr>
        <w:t xml:space="preserve"> the member would be entitled to</w:t>
      </w:r>
      <w:r>
        <w:rPr>
          <w:rFonts w:cs="Arial"/>
        </w:rPr>
        <w:t>:</w:t>
      </w:r>
    </w:p>
    <w:p w14:paraId="04D0F093" w14:textId="77777777" w:rsidR="00052A87" w:rsidRPr="00C157F7" w:rsidRDefault="00052A87" w:rsidP="00CC2399">
      <w:pPr>
        <w:pStyle w:val="Bullet"/>
      </w:pPr>
      <w:r w:rsidRPr="00C157F7">
        <w:t>an immediate lump sum of the Member component</w:t>
      </w:r>
      <w:r>
        <w:t>; and</w:t>
      </w:r>
    </w:p>
    <w:p w14:paraId="5EA9F1C5" w14:textId="77777777" w:rsidR="00052A87" w:rsidRPr="007D5A1D" w:rsidRDefault="00052A87" w:rsidP="00CC2399">
      <w:pPr>
        <w:pStyle w:val="Bullet"/>
      </w:pPr>
      <w:r w:rsidRPr="00C157F7">
        <w:t xml:space="preserve">a </w:t>
      </w:r>
      <w:r>
        <w:t>P</w:t>
      </w:r>
      <w:r w:rsidRPr="00C157F7">
        <w:t>reserved Employer Benefit of t</w:t>
      </w:r>
      <w:r w:rsidRPr="007D5A1D">
        <w:t>he Employer component</w:t>
      </w:r>
    </w:p>
    <w:p w14:paraId="38ACFF83" w14:textId="77777777" w:rsidR="00052A87" w:rsidRPr="00C157F7" w:rsidRDefault="00052A87" w:rsidP="005A3BFA">
      <w:pPr>
        <w:spacing w:after="0"/>
        <w:rPr>
          <w:rFonts w:cs="Arial"/>
        </w:rPr>
      </w:pPr>
      <w:r w:rsidRPr="00C157F7">
        <w:rPr>
          <w:rFonts w:cs="Arial"/>
        </w:rPr>
        <w:t>The Preserved Employer Benefit is paid at age 55</w:t>
      </w:r>
      <w:r>
        <w:rPr>
          <w:rFonts w:cs="Arial"/>
        </w:rPr>
        <w:t>,</w:t>
      </w:r>
      <w:r w:rsidRPr="00C157F7">
        <w:rPr>
          <w:rFonts w:cs="Arial"/>
        </w:rPr>
        <w:t xml:space="preserve"> or earlier in certain circumstances</w:t>
      </w:r>
      <w:r>
        <w:rPr>
          <w:rFonts w:cs="Arial"/>
        </w:rPr>
        <w:t xml:space="preserve">. </w:t>
      </w:r>
      <w:r w:rsidRPr="00C157F7">
        <w:rPr>
          <w:rFonts w:cs="Arial"/>
        </w:rPr>
        <w:t>The funded portion of the Preserved Employer Benefit (the 3</w:t>
      </w:r>
      <w:r>
        <w:rPr>
          <w:rFonts w:cs="Arial"/>
        </w:rPr>
        <w:t xml:space="preserve"> per cent b</w:t>
      </w:r>
      <w:r w:rsidRPr="00C157F7">
        <w:rPr>
          <w:rFonts w:cs="Arial"/>
        </w:rPr>
        <w:t>enefit) is accumulated with Fund Earnings between the date of exit and the date of payment. The unfunded portion of the Preserved Employer Benefit (the portion in excess of the 3</w:t>
      </w:r>
      <w:r>
        <w:rPr>
          <w:rFonts w:cs="Arial"/>
        </w:rPr>
        <w:t> per cent</w:t>
      </w:r>
      <w:r w:rsidRPr="00C157F7">
        <w:rPr>
          <w:rFonts w:cs="Arial"/>
        </w:rPr>
        <w:t xml:space="preserve"> </w:t>
      </w:r>
      <w:r>
        <w:rPr>
          <w:rFonts w:cs="Arial"/>
        </w:rPr>
        <w:t>b</w:t>
      </w:r>
      <w:r w:rsidRPr="00C157F7">
        <w:rPr>
          <w:rFonts w:cs="Arial"/>
        </w:rPr>
        <w:t>enefit) is increased in line with movements in the CPI between the date of exit and the date of payment.</w:t>
      </w:r>
    </w:p>
    <w:p w14:paraId="5FD32279" w14:textId="77777777" w:rsidR="00052A87" w:rsidRPr="00C157F7" w:rsidRDefault="00052A87" w:rsidP="00052A87">
      <w:pPr>
        <w:rPr>
          <w:rFonts w:cs="Arial"/>
        </w:rPr>
      </w:pPr>
      <w:r w:rsidRPr="00C157F7">
        <w:rPr>
          <w:rFonts w:cs="Arial"/>
        </w:rPr>
        <w:lastRenderedPageBreak/>
        <w:t>When the Preserved Employer Benefit is paid the member has the same pension option as applies to retirement benefits.</w:t>
      </w:r>
    </w:p>
    <w:p w14:paraId="0CFAFD57" w14:textId="77777777" w:rsidR="00052A87" w:rsidRPr="00C157F7" w:rsidRDefault="00052A87" w:rsidP="00052A87">
      <w:pPr>
        <w:pStyle w:val="Heading3nonumbering"/>
      </w:pPr>
      <w:r w:rsidRPr="00C157F7">
        <w:t xml:space="preserve">Retrenchment or </w:t>
      </w:r>
      <w:r>
        <w:t>r</w:t>
      </w:r>
      <w:r w:rsidRPr="00C157F7">
        <w:t>edundancy</w:t>
      </w:r>
    </w:p>
    <w:p w14:paraId="13D5AEB3" w14:textId="77777777" w:rsidR="00052A87" w:rsidRPr="00C157F7" w:rsidRDefault="00052A87" w:rsidP="00052A87">
      <w:pPr>
        <w:rPr>
          <w:rFonts w:cs="Arial"/>
        </w:rPr>
      </w:pPr>
      <w:r w:rsidRPr="00C157F7">
        <w:rPr>
          <w:rFonts w:cs="Arial"/>
        </w:rPr>
        <w:t>The benefit is calculated in the same way as the resignation benefit</w:t>
      </w:r>
      <w:r>
        <w:rPr>
          <w:rFonts w:cs="Arial"/>
        </w:rPr>
        <w:t xml:space="preserve">. </w:t>
      </w:r>
      <w:r w:rsidRPr="00C157F7">
        <w:rPr>
          <w:rFonts w:cs="Arial"/>
        </w:rPr>
        <w:t>The member may elect one of two options with the employer financed part of the benefit:</w:t>
      </w:r>
    </w:p>
    <w:p w14:paraId="079BD66F" w14:textId="77777777" w:rsidR="00052A87" w:rsidRPr="00C157F7" w:rsidRDefault="00052A87" w:rsidP="00CC2399">
      <w:pPr>
        <w:pStyle w:val="Bullet"/>
      </w:pPr>
      <w:r w:rsidRPr="00C157F7">
        <w:t>take a Preserved Employer Benefit; or</w:t>
      </w:r>
    </w:p>
    <w:p w14:paraId="007E05CB" w14:textId="77777777" w:rsidR="00052A87" w:rsidRPr="00C157F7" w:rsidRDefault="00052A87" w:rsidP="00CC2399">
      <w:pPr>
        <w:pStyle w:val="Bullet"/>
      </w:pPr>
      <w:proofErr w:type="gramStart"/>
      <w:r w:rsidRPr="00C157F7">
        <w:t>convert</w:t>
      </w:r>
      <w:proofErr w:type="gramEnd"/>
      <w:r w:rsidRPr="00C157F7">
        <w:t xml:space="preserve"> all of the Preserved Employer Benefit into an immediate pension</w:t>
      </w:r>
      <w:r>
        <w:t xml:space="preserve">. </w:t>
      </w:r>
      <w:r w:rsidRPr="00C157F7">
        <w:t>The conversion factor is dependent on the member</w:t>
      </w:r>
      <w:r>
        <w:t>’</w:t>
      </w:r>
      <w:r w:rsidRPr="00C157F7">
        <w:t>s age.</w:t>
      </w:r>
    </w:p>
    <w:p w14:paraId="06F41848" w14:textId="26D13607" w:rsidR="00052A87" w:rsidRPr="00C157F7" w:rsidRDefault="00052A87" w:rsidP="00052A87">
      <w:pPr>
        <w:pStyle w:val="Heading3nonumbering"/>
      </w:pPr>
      <w:r w:rsidRPr="00C157F7">
        <w:t xml:space="preserve">Invalidity </w:t>
      </w:r>
      <w:r>
        <w:t>be</w:t>
      </w:r>
      <w:r w:rsidRPr="00C157F7">
        <w:t>nefits</w:t>
      </w:r>
    </w:p>
    <w:p w14:paraId="5D543C39" w14:textId="77777777" w:rsidR="00052A87" w:rsidRPr="00F72770" w:rsidRDefault="00052A87" w:rsidP="00052A87">
      <w:r>
        <w:t xml:space="preserve">Invalidity and death benefits depend on retirement age. </w:t>
      </w:r>
      <w:r w:rsidR="004F739B">
        <w:t>For virtually all members, retirement age is 60 and the conversion factor at age 60 is 11.</w:t>
      </w:r>
      <w:r>
        <w:t xml:space="preserve"> The relevant references to retirement age in the following formulae have been marked with an asterisk (*).</w:t>
      </w:r>
    </w:p>
    <w:p w14:paraId="03974E26" w14:textId="77777777" w:rsidR="00052A87" w:rsidRDefault="00052A87" w:rsidP="00052A87">
      <w:pPr>
        <w:rPr>
          <w:rFonts w:cs="Arial"/>
        </w:rPr>
      </w:pPr>
      <w:r w:rsidRPr="00C157F7">
        <w:rPr>
          <w:rFonts w:cs="Arial"/>
        </w:rPr>
        <w:t>The invalidity benefit payable depends on the level of invalidity suffered by the member.</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5147"/>
      </w:tblGrid>
      <w:tr w:rsidR="00052A87" w:rsidRPr="008562BC" w14:paraId="30324E6E" w14:textId="77777777" w:rsidTr="008846F3">
        <w:tc>
          <w:tcPr>
            <w:tcW w:w="2552" w:type="dxa"/>
            <w:tcBorders>
              <w:top w:val="single" w:sz="2" w:space="0" w:color="000000"/>
              <w:bottom w:val="single" w:sz="2" w:space="0" w:color="000000"/>
            </w:tcBorders>
            <w:shd w:val="clear" w:color="auto" w:fill="E6E6E6"/>
          </w:tcPr>
          <w:p w14:paraId="5E9DA972" w14:textId="77777777" w:rsidR="00052A87" w:rsidRPr="008562BC" w:rsidRDefault="00052A87" w:rsidP="00052A87">
            <w:pPr>
              <w:pStyle w:val="TableColumnHeadingLeft"/>
            </w:pPr>
            <w:r w:rsidRPr="008562BC">
              <w:t xml:space="preserve">Invalidity </w:t>
            </w:r>
            <w:r>
              <w:t>c</w:t>
            </w:r>
            <w:r w:rsidRPr="008562BC">
              <w:t>lassification</w:t>
            </w:r>
          </w:p>
        </w:tc>
        <w:tc>
          <w:tcPr>
            <w:tcW w:w="5147" w:type="dxa"/>
            <w:tcBorders>
              <w:top w:val="single" w:sz="2" w:space="0" w:color="000000"/>
              <w:bottom w:val="single" w:sz="2" w:space="0" w:color="000000"/>
            </w:tcBorders>
            <w:shd w:val="clear" w:color="auto" w:fill="E6E6E6"/>
          </w:tcPr>
          <w:p w14:paraId="617A699B" w14:textId="77777777" w:rsidR="00052A87" w:rsidRPr="008562BC" w:rsidRDefault="00052A87" w:rsidP="00052A87">
            <w:pPr>
              <w:pStyle w:val="TableColumnHeadingRight"/>
            </w:pPr>
            <w:r w:rsidRPr="008562BC">
              <w:t xml:space="preserve">Degree of </w:t>
            </w:r>
            <w:r>
              <w:t>i</w:t>
            </w:r>
            <w:r w:rsidRPr="008562BC">
              <w:t>ncapacity</w:t>
            </w:r>
          </w:p>
        </w:tc>
      </w:tr>
      <w:tr w:rsidR="00052A87" w:rsidRPr="008562BC" w14:paraId="0EC902EE" w14:textId="77777777" w:rsidTr="008846F3">
        <w:tc>
          <w:tcPr>
            <w:tcW w:w="2552" w:type="dxa"/>
            <w:tcBorders>
              <w:top w:val="single" w:sz="2" w:space="0" w:color="000000"/>
            </w:tcBorders>
          </w:tcPr>
          <w:p w14:paraId="14F793C0" w14:textId="77777777" w:rsidR="00052A87" w:rsidRPr="008562BC" w:rsidRDefault="00052A87" w:rsidP="00052A87">
            <w:pPr>
              <w:pStyle w:val="TableTextLeft"/>
            </w:pPr>
            <w:r w:rsidRPr="008562BC">
              <w:t>A</w:t>
            </w:r>
          </w:p>
        </w:tc>
        <w:tc>
          <w:tcPr>
            <w:tcW w:w="5147" w:type="dxa"/>
            <w:tcBorders>
              <w:top w:val="single" w:sz="2" w:space="0" w:color="000000"/>
            </w:tcBorders>
          </w:tcPr>
          <w:p w14:paraId="78EBF2A8" w14:textId="145C02BB" w:rsidR="00052A87" w:rsidRPr="008562BC" w:rsidRDefault="00052A87" w:rsidP="00510749">
            <w:pPr>
              <w:pStyle w:val="TableTextRight"/>
            </w:pPr>
            <w:r w:rsidRPr="008562BC">
              <w:t xml:space="preserve">60% </w:t>
            </w:r>
            <w:r w:rsidR="00510749">
              <w:t>–</w:t>
            </w:r>
            <w:r w:rsidRPr="008562BC">
              <w:t xml:space="preserve"> 100%</w:t>
            </w:r>
          </w:p>
        </w:tc>
      </w:tr>
      <w:tr w:rsidR="00052A87" w:rsidRPr="008562BC" w14:paraId="32ECA8D3" w14:textId="77777777" w:rsidTr="008846F3">
        <w:tc>
          <w:tcPr>
            <w:tcW w:w="2552" w:type="dxa"/>
            <w:shd w:val="clear" w:color="auto" w:fill="F2F2F2" w:themeFill="background1" w:themeFillShade="F2"/>
          </w:tcPr>
          <w:p w14:paraId="50822D84" w14:textId="77777777" w:rsidR="00052A87" w:rsidRPr="008562BC" w:rsidRDefault="00052A87" w:rsidP="00052A87">
            <w:pPr>
              <w:pStyle w:val="TableTextLeft"/>
            </w:pPr>
            <w:r w:rsidRPr="008562BC">
              <w:t>B</w:t>
            </w:r>
          </w:p>
        </w:tc>
        <w:tc>
          <w:tcPr>
            <w:tcW w:w="5147" w:type="dxa"/>
            <w:shd w:val="clear" w:color="auto" w:fill="F2F2F2" w:themeFill="background1" w:themeFillShade="F2"/>
          </w:tcPr>
          <w:p w14:paraId="2D18FE9D" w14:textId="6F0D8DA0" w:rsidR="00052A87" w:rsidRPr="008562BC" w:rsidRDefault="00052A87" w:rsidP="00510749">
            <w:pPr>
              <w:pStyle w:val="TableTextRight"/>
            </w:pPr>
            <w:r w:rsidRPr="008562BC">
              <w:t>30</w:t>
            </w:r>
            <w:r>
              <w:t>%</w:t>
            </w:r>
            <w:r w:rsidRPr="008562BC">
              <w:t xml:space="preserve"> </w:t>
            </w:r>
            <w:r w:rsidR="00510749">
              <w:t>–</w:t>
            </w:r>
            <w:r w:rsidRPr="008562BC">
              <w:t xml:space="preserve"> 59%</w:t>
            </w:r>
          </w:p>
        </w:tc>
      </w:tr>
      <w:tr w:rsidR="00052A87" w:rsidRPr="008562BC" w14:paraId="178BA340" w14:textId="77777777" w:rsidTr="008846F3">
        <w:tc>
          <w:tcPr>
            <w:tcW w:w="2552" w:type="dxa"/>
            <w:tcBorders>
              <w:bottom w:val="single" w:sz="2" w:space="0" w:color="000000"/>
            </w:tcBorders>
          </w:tcPr>
          <w:p w14:paraId="3C156DAF" w14:textId="77777777" w:rsidR="00052A87" w:rsidRPr="008562BC" w:rsidRDefault="00052A87" w:rsidP="00052A87">
            <w:pPr>
              <w:pStyle w:val="TableTextLeft"/>
            </w:pPr>
            <w:r w:rsidRPr="008562BC">
              <w:t>C</w:t>
            </w:r>
          </w:p>
        </w:tc>
        <w:tc>
          <w:tcPr>
            <w:tcW w:w="5147" w:type="dxa"/>
            <w:tcBorders>
              <w:bottom w:val="single" w:sz="2" w:space="0" w:color="000000"/>
            </w:tcBorders>
          </w:tcPr>
          <w:p w14:paraId="1D1DB3E9" w14:textId="77777777" w:rsidR="00052A87" w:rsidRPr="008562BC" w:rsidRDefault="00052A87" w:rsidP="00052A87">
            <w:pPr>
              <w:pStyle w:val="TableTextRight"/>
            </w:pPr>
            <w:r w:rsidRPr="008562BC">
              <w:t>Less than 30</w:t>
            </w:r>
            <w:r>
              <w:t>%</w:t>
            </w:r>
          </w:p>
        </w:tc>
      </w:tr>
    </w:tbl>
    <w:p w14:paraId="63028B2A" w14:textId="77777777" w:rsidR="00052A87" w:rsidRDefault="00052A87" w:rsidP="00052A87">
      <w:pPr>
        <w:pStyle w:val="SingleParagraph"/>
      </w:pPr>
    </w:p>
    <w:p w14:paraId="73A1BDF2" w14:textId="77777777" w:rsidR="00052A87" w:rsidRPr="00B65927" w:rsidRDefault="00052A87" w:rsidP="00052A87">
      <w:pPr>
        <w:pStyle w:val="Heading4"/>
        <w:rPr>
          <w:szCs w:val="23"/>
        </w:rPr>
      </w:pPr>
      <w:r w:rsidRPr="00B65927">
        <w:rPr>
          <w:szCs w:val="23"/>
        </w:rPr>
        <w:t>Invalidity A benefit</w:t>
      </w:r>
    </w:p>
    <w:p w14:paraId="1F00D824" w14:textId="77777777" w:rsidR="00052A87" w:rsidRDefault="00052A87" w:rsidP="00052A87">
      <w:r w:rsidRPr="00C157F7">
        <w:t>A benefit equal to:</w:t>
      </w:r>
    </w:p>
    <w:p w14:paraId="7E708DDA" w14:textId="77777777" w:rsidR="00052A87" w:rsidRDefault="00052A87" w:rsidP="00CC2399">
      <w:pPr>
        <w:pStyle w:val="Bullet"/>
      </w:pPr>
      <w:r>
        <w:t>a</w:t>
      </w:r>
      <w:r w:rsidRPr="00E04206">
        <w:t xml:space="preserve">n immediate lump sum of the </w:t>
      </w:r>
      <w:r>
        <w:t>m</w:t>
      </w:r>
      <w:r w:rsidRPr="00E04206">
        <w:t xml:space="preserve">ember </w:t>
      </w:r>
      <w:r>
        <w:t>c</w:t>
      </w:r>
      <w:r w:rsidRPr="00E04206">
        <w:t>omponent; plus</w:t>
      </w:r>
    </w:p>
    <w:p w14:paraId="3EFEEDEA" w14:textId="77777777" w:rsidR="00052A87" w:rsidRDefault="00052A87" w:rsidP="00CC2399">
      <w:pPr>
        <w:pStyle w:val="Bullet"/>
      </w:pPr>
      <w:r w:rsidRPr="00E04206">
        <w:t>a pension calculated as follows:</w:t>
      </w:r>
    </w:p>
    <w:p w14:paraId="54F9FE4D" w14:textId="77777777" w:rsidR="00052A87" w:rsidRDefault="00052A87" w:rsidP="00E7622E">
      <w:pPr>
        <w:pStyle w:val="NormalIndent"/>
        <w:spacing w:after="240" w:line="240" w:lineRule="auto"/>
        <w:ind w:left="567"/>
        <w:jc w:val="center"/>
      </w:pPr>
      <w:r w:rsidRPr="004419B3">
        <w:rPr>
          <w:position w:val="-26"/>
        </w:rPr>
        <w:object w:dxaOrig="5420" w:dyaOrig="560" w14:anchorId="49883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5pt;height:27.55pt" o:ole="">
            <v:imagedata r:id="rId56" o:title=""/>
          </v:shape>
          <o:OLEObject Type="Embed" ProgID="Equation.DSMT4" ShapeID="_x0000_i1025" DrawAspect="Content" ObjectID="_1502269741" r:id="rId57"/>
        </w:object>
      </w:r>
    </w:p>
    <w:p w14:paraId="159DB714" w14:textId="77777777" w:rsidR="00052A87" w:rsidRDefault="00052A87" w:rsidP="00052A87">
      <w:pPr>
        <w:pStyle w:val="Heading4"/>
      </w:pPr>
      <w:r w:rsidRPr="00C157F7">
        <w:t xml:space="preserve">Invalidity B </w:t>
      </w:r>
      <w:r>
        <w:t>b</w:t>
      </w:r>
      <w:r w:rsidRPr="00C157F7">
        <w:t>enefit</w:t>
      </w:r>
    </w:p>
    <w:p w14:paraId="5E852B58" w14:textId="77777777" w:rsidR="00052A87" w:rsidRDefault="00052A87" w:rsidP="00052A87">
      <w:r w:rsidRPr="00C157F7">
        <w:t>A benefit equal to:</w:t>
      </w:r>
    </w:p>
    <w:p w14:paraId="35DCA7D6" w14:textId="77777777" w:rsidR="00052A87" w:rsidRDefault="00052A87" w:rsidP="00CC2399">
      <w:pPr>
        <w:pStyle w:val="Bullet"/>
      </w:pPr>
      <w:r w:rsidRPr="00E04206">
        <w:t xml:space="preserve">an immediate lump sum of the </w:t>
      </w:r>
      <w:r>
        <w:t>m</w:t>
      </w:r>
      <w:r w:rsidRPr="00E04206">
        <w:t xml:space="preserve">ember </w:t>
      </w:r>
      <w:r>
        <w:t>c</w:t>
      </w:r>
      <w:r w:rsidRPr="00E04206">
        <w:t>omponent; plus</w:t>
      </w:r>
    </w:p>
    <w:p w14:paraId="73642092" w14:textId="77777777" w:rsidR="005A3BFA" w:rsidRDefault="005A3BFA">
      <w:pPr>
        <w:spacing w:before="0" w:after="0" w:line="240" w:lineRule="auto"/>
        <w:jc w:val="left"/>
      </w:pPr>
      <w:r>
        <w:br w:type="page"/>
      </w:r>
    </w:p>
    <w:p w14:paraId="6D1F808D" w14:textId="37131D9F" w:rsidR="00052A87" w:rsidRDefault="00052A87" w:rsidP="00CC2399">
      <w:pPr>
        <w:pStyle w:val="Bullet"/>
      </w:pPr>
      <w:r w:rsidRPr="00E04206">
        <w:lastRenderedPageBreak/>
        <w:t>a pension equal to the better of:</w:t>
      </w:r>
    </w:p>
    <w:p w14:paraId="6C9389D2" w14:textId="5B6528F8" w:rsidR="00052A87" w:rsidRDefault="00052A87" w:rsidP="009E5A4D">
      <w:pPr>
        <w:pStyle w:val="numberingindented"/>
        <w:spacing w:line="240" w:lineRule="auto"/>
      </w:pPr>
      <w:r>
        <w:t xml:space="preserve">50% </w:t>
      </w:r>
      <w:r>
        <w:sym w:font="Symbol" w:char="F0B4"/>
      </w:r>
      <w:r>
        <w:t xml:space="preserve"> </w:t>
      </w:r>
      <w:r w:rsidR="009E5A4D" w:rsidRPr="00E30837">
        <w:rPr>
          <w:position w:val="-22"/>
        </w:rPr>
        <w:object w:dxaOrig="5420" w:dyaOrig="560" w14:anchorId="0A05467E">
          <v:shape id="_x0000_i1026" type="#_x0000_t75" style="width:270.45pt;height:27.55pt" o:ole="">
            <v:imagedata r:id="rId56" o:title=""/>
          </v:shape>
          <o:OLEObject Type="Embed" ProgID="Equation.DSMT4" ShapeID="_x0000_i1026" DrawAspect="Content" ObjectID="_1502269742" r:id="rId58"/>
        </w:object>
      </w:r>
      <w:r>
        <w:t>; and</w:t>
      </w:r>
    </w:p>
    <w:p w14:paraId="731B2D01" w14:textId="77777777" w:rsidR="00052A87" w:rsidRPr="00F72770" w:rsidRDefault="00052A87" w:rsidP="00052A87">
      <w:pPr>
        <w:pStyle w:val="numberingindented"/>
        <w:spacing w:line="240" w:lineRule="auto"/>
      </w:pPr>
      <w:r w:rsidRPr="007B6969">
        <w:rPr>
          <w:position w:val="-26"/>
        </w:rPr>
        <w:object w:dxaOrig="5040" w:dyaOrig="560" w14:anchorId="076E0188">
          <v:shape id="_x0000_i1027" type="#_x0000_t75" style="width:252.3pt;height:27.55pt" o:ole="">
            <v:imagedata r:id="rId59" o:title=""/>
          </v:shape>
          <o:OLEObject Type="Embed" ProgID="Equation.DSMT4" ShapeID="_x0000_i1027" DrawAspect="Content" ObjectID="_1502269743" r:id="rId60"/>
        </w:object>
      </w:r>
    </w:p>
    <w:p w14:paraId="749A78F8" w14:textId="77777777" w:rsidR="00052A87" w:rsidRPr="00C157F7" w:rsidRDefault="00052A87" w:rsidP="00052A87">
      <w:pPr>
        <w:pStyle w:val="Heading4"/>
      </w:pPr>
      <w:r w:rsidRPr="00C157F7">
        <w:t xml:space="preserve">Invalidity C </w:t>
      </w:r>
      <w:r>
        <w:t>b</w:t>
      </w:r>
      <w:r w:rsidRPr="00C157F7">
        <w:t>enefit</w:t>
      </w:r>
    </w:p>
    <w:p w14:paraId="651FBACD" w14:textId="77777777" w:rsidR="00052A87" w:rsidRPr="00C157F7" w:rsidRDefault="00052A87" w:rsidP="00043375">
      <w:pPr>
        <w:spacing w:after="240"/>
        <w:rPr>
          <w:rFonts w:cs="Arial"/>
        </w:rPr>
      </w:pPr>
      <w:r w:rsidRPr="00C157F7">
        <w:rPr>
          <w:rFonts w:cs="Arial"/>
        </w:rPr>
        <w:t>The invalidity C benefit is the same as the resignation benefit.</w:t>
      </w:r>
    </w:p>
    <w:p w14:paraId="0D6BB95A" w14:textId="77777777" w:rsidR="00052A87" w:rsidRDefault="00052A87" w:rsidP="00043375">
      <w:pPr>
        <w:pStyle w:val="Heading3nonumbering"/>
      </w:pPr>
      <w:r w:rsidRPr="00C157F7">
        <w:t xml:space="preserve">Death </w:t>
      </w:r>
      <w:r>
        <w:t>b</w:t>
      </w:r>
      <w:r w:rsidRPr="00C157F7">
        <w:t xml:space="preserve">enefits for </w:t>
      </w:r>
      <w:r>
        <w:t>c</w:t>
      </w:r>
      <w:r w:rsidRPr="00C157F7">
        <w:t xml:space="preserve">ontributory </w:t>
      </w:r>
      <w:r>
        <w:t>m</w:t>
      </w:r>
      <w:r w:rsidRPr="00C157F7">
        <w:t>embers</w:t>
      </w:r>
    </w:p>
    <w:p w14:paraId="78B27CB2" w14:textId="77777777" w:rsidR="00052A87" w:rsidRDefault="00052A87" w:rsidP="00052A87">
      <w:r w:rsidRPr="00C157F7">
        <w:t>The death benefit for a contributory member is:</w:t>
      </w:r>
    </w:p>
    <w:p w14:paraId="7266B20C" w14:textId="77777777" w:rsidR="00052A87" w:rsidRDefault="00052A87" w:rsidP="00052A87">
      <w:pPr>
        <w:pStyle w:val="Bulletindent"/>
      </w:pPr>
      <w:r w:rsidRPr="00E04206">
        <w:t xml:space="preserve">an immediate lump sum of the </w:t>
      </w:r>
      <w:r>
        <w:t>m</w:t>
      </w:r>
      <w:r w:rsidRPr="00E04206">
        <w:t xml:space="preserve">ember </w:t>
      </w:r>
      <w:r>
        <w:t>c</w:t>
      </w:r>
      <w:r w:rsidRPr="00E04206">
        <w:t>omponent; plus</w:t>
      </w:r>
    </w:p>
    <w:p w14:paraId="68C95A16" w14:textId="77777777" w:rsidR="00052A87" w:rsidRDefault="00052A87" w:rsidP="00052A87">
      <w:pPr>
        <w:pStyle w:val="Bulletindent"/>
      </w:pPr>
      <w:r w:rsidRPr="00E04206">
        <w:t>an employer financed lump sum equal to:</w:t>
      </w:r>
    </w:p>
    <w:p w14:paraId="0F91F535" w14:textId="77777777" w:rsidR="00052A87" w:rsidRPr="00F72770" w:rsidRDefault="00052A87" w:rsidP="00052A87">
      <w:pPr>
        <w:pStyle w:val="NormalIndent"/>
      </w:pPr>
      <w:r w:rsidRPr="002A0634">
        <w:t xml:space="preserve">Total </w:t>
      </w:r>
      <w:r>
        <w:t>A</w:t>
      </w:r>
      <w:r w:rsidRPr="002A0634">
        <w:t xml:space="preserve">ccrued </w:t>
      </w:r>
      <w:r>
        <w:t>M</w:t>
      </w:r>
      <w:r w:rsidRPr="002A0634">
        <w:t xml:space="preserve">ultiple </w:t>
      </w:r>
      <w:r>
        <w:t>at Retirement Age*</w:t>
      </w:r>
      <w:r w:rsidRPr="002A0634">
        <w:t xml:space="preserve"> </w:t>
      </w:r>
      <w:r>
        <w:t>x Final average salary.</w:t>
      </w:r>
    </w:p>
    <w:p w14:paraId="6D78A55A" w14:textId="77777777" w:rsidR="00052A87" w:rsidRPr="00C157F7" w:rsidRDefault="00052A87" w:rsidP="00052A87">
      <w:pPr>
        <w:rPr>
          <w:rFonts w:cs="Arial"/>
        </w:rPr>
      </w:pPr>
      <w:r w:rsidRPr="00C157F7">
        <w:rPr>
          <w:rFonts w:cs="Arial"/>
        </w:rPr>
        <w:t>The surviving spouse of the member may convert between 50</w:t>
      </w:r>
      <w:r>
        <w:rPr>
          <w:rFonts w:cs="Arial"/>
        </w:rPr>
        <w:t xml:space="preserve"> per cent</w:t>
      </w:r>
      <w:r w:rsidRPr="00C157F7">
        <w:rPr>
          <w:rFonts w:cs="Arial"/>
        </w:rPr>
        <w:t xml:space="preserve"> and 100</w:t>
      </w:r>
      <w:r>
        <w:rPr>
          <w:rFonts w:cs="Arial"/>
        </w:rPr>
        <w:t> per cent</w:t>
      </w:r>
      <w:r w:rsidRPr="00C157F7">
        <w:rPr>
          <w:rFonts w:cs="Arial"/>
        </w:rPr>
        <w:t xml:space="preserve"> of the employer financed lump sum into a pension</w:t>
      </w:r>
      <w:r>
        <w:rPr>
          <w:rFonts w:cs="Arial"/>
        </w:rPr>
        <w:t xml:space="preserve">. </w:t>
      </w:r>
      <w:r w:rsidRPr="00C157F7">
        <w:rPr>
          <w:rFonts w:cs="Arial"/>
        </w:rPr>
        <w:t>The amount of the pension is calculated as:</w:t>
      </w:r>
    </w:p>
    <w:p w14:paraId="486C6940" w14:textId="77777777" w:rsidR="00052A87" w:rsidRPr="00C157F7" w:rsidRDefault="00052A87" w:rsidP="00E30837">
      <w:pPr>
        <w:pStyle w:val="NormalIndent"/>
        <w:spacing w:line="240" w:lineRule="auto"/>
        <w:ind w:left="0"/>
        <w:jc w:val="center"/>
      </w:pPr>
      <w:r w:rsidRPr="004327D2">
        <w:rPr>
          <w:position w:val="-26"/>
        </w:rPr>
        <w:object w:dxaOrig="5179" w:dyaOrig="560" w14:anchorId="223D62E6">
          <v:shape id="_x0000_i1028" type="#_x0000_t75" style="width:258.55pt;height:27.55pt" o:ole="">
            <v:imagedata r:id="rId61" o:title=""/>
          </v:shape>
          <o:OLEObject Type="Embed" ProgID="Equation.DSMT4" ShapeID="_x0000_i1028" DrawAspect="Content" ObjectID="_1502269744" r:id="rId62"/>
        </w:object>
      </w:r>
    </w:p>
    <w:p w14:paraId="020EAA53" w14:textId="77777777" w:rsidR="00052A87" w:rsidRDefault="00052A87" w:rsidP="00052A87">
      <w:pPr>
        <w:tabs>
          <w:tab w:val="left" w:pos="7088"/>
        </w:tabs>
        <w:rPr>
          <w:rFonts w:cs="Arial"/>
        </w:rPr>
      </w:pPr>
      <w:r w:rsidRPr="00C157F7">
        <w:rPr>
          <w:rFonts w:cs="Arial"/>
        </w:rPr>
        <w:t>If the pension option is taken and there are dependent children</w:t>
      </w:r>
      <w:r>
        <w:rPr>
          <w:rFonts w:cs="Arial"/>
        </w:rPr>
        <w:t>,</w:t>
      </w:r>
      <w:r w:rsidRPr="00C157F7">
        <w:rPr>
          <w:rFonts w:cs="Arial"/>
        </w:rPr>
        <w:t xml:space="preserve"> additional pension is paid.</w:t>
      </w:r>
    </w:p>
    <w:p w14:paraId="74840E69" w14:textId="5AB753A2" w:rsidR="00052A87" w:rsidRPr="00C157F7" w:rsidRDefault="00052A87" w:rsidP="00043375">
      <w:pPr>
        <w:pStyle w:val="Heading3nonumbering"/>
      </w:pPr>
      <w:r w:rsidRPr="00C157F7">
        <w:t>Pensions</w:t>
      </w:r>
    </w:p>
    <w:p w14:paraId="0929CFCB" w14:textId="77777777" w:rsidR="00052A87" w:rsidRDefault="00052A87" w:rsidP="00052A87">
      <w:pPr>
        <w:tabs>
          <w:tab w:val="left" w:pos="7088"/>
        </w:tabs>
        <w:rPr>
          <w:rFonts w:cs="Arial"/>
        </w:rPr>
      </w:pPr>
      <w:r w:rsidRPr="00C157F7">
        <w:rPr>
          <w:rFonts w:cs="Arial"/>
        </w:rPr>
        <w:t>Pensions are payable for the life of the pensioner and are increased twice each year in line with the movement in the Consumer Price Index (CPI)</w:t>
      </w:r>
      <w:r>
        <w:rPr>
          <w:rFonts w:cs="Arial"/>
        </w:rPr>
        <w:t xml:space="preserve">. </w:t>
      </w:r>
      <w:r w:rsidRPr="00C157F7">
        <w:rPr>
          <w:rFonts w:cs="Arial"/>
        </w:rPr>
        <w:t>On the death of the pensioner, a pension of 67</w:t>
      </w:r>
      <w:r>
        <w:rPr>
          <w:rFonts w:cs="Arial"/>
        </w:rPr>
        <w:t xml:space="preserve"> per cent</w:t>
      </w:r>
      <w:r w:rsidRPr="00C157F7">
        <w:rPr>
          <w:rFonts w:cs="Arial"/>
        </w:rPr>
        <w:t xml:space="preserve"> of the member</w:t>
      </w:r>
      <w:r>
        <w:rPr>
          <w:rFonts w:cs="Arial"/>
        </w:rPr>
        <w:t>’</w:t>
      </w:r>
      <w:r w:rsidRPr="00C157F7">
        <w:rPr>
          <w:rFonts w:cs="Arial"/>
        </w:rPr>
        <w:t>s pension is paid to the surviving spouse (if any)</w:t>
      </w:r>
      <w:r>
        <w:rPr>
          <w:rFonts w:cs="Arial"/>
        </w:rPr>
        <w:t xml:space="preserve">. </w:t>
      </w:r>
      <w:r w:rsidRPr="00C157F7">
        <w:rPr>
          <w:rFonts w:cs="Arial"/>
        </w:rPr>
        <w:t>An additional pension is payable in respect of children under age 16 (or age 25 if still in full time education)</w:t>
      </w:r>
      <w:r>
        <w:rPr>
          <w:rFonts w:cs="Arial"/>
        </w:rPr>
        <w:t xml:space="preserve">. </w:t>
      </w:r>
      <w:r w:rsidRPr="00C157F7">
        <w:rPr>
          <w:rFonts w:cs="Arial"/>
        </w:rPr>
        <w:t>If there is no surviving spouse then in some circumstances orphan</w:t>
      </w:r>
      <w:r>
        <w:rPr>
          <w:rFonts w:cs="Arial"/>
        </w:rPr>
        <w:t>’</w:t>
      </w:r>
      <w:r w:rsidRPr="00C157F7">
        <w:rPr>
          <w:rFonts w:cs="Arial"/>
        </w:rPr>
        <w:t>s pensions or a lump sum may be payable.</w:t>
      </w:r>
    </w:p>
    <w:p w14:paraId="1AA581F1" w14:textId="77777777" w:rsidR="005A3BFA" w:rsidRDefault="005A3BFA">
      <w:pPr>
        <w:spacing w:before="0" w:after="0" w:line="240" w:lineRule="auto"/>
        <w:jc w:val="left"/>
        <w:rPr>
          <w:rFonts w:ascii="Arial Bold" w:hAnsi="Arial Bold"/>
          <w:b/>
          <w:color w:val="9B0014"/>
          <w:sz w:val="23"/>
          <w:szCs w:val="24"/>
          <w:lang w:eastAsia="en-AU"/>
        </w:rPr>
      </w:pPr>
      <w:r>
        <w:br w:type="page"/>
      </w:r>
    </w:p>
    <w:p w14:paraId="623C5827" w14:textId="511480FE" w:rsidR="00052A87" w:rsidRPr="00C157F7" w:rsidRDefault="00052A87" w:rsidP="00043375">
      <w:pPr>
        <w:pStyle w:val="Heading3nonumbering"/>
      </w:pPr>
      <w:r>
        <w:lastRenderedPageBreak/>
        <w:t>Ancillary benefits</w:t>
      </w:r>
    </w:p>
    <w:p w14:paraId="400EB09A" w14:textId="77777777" w:rsidR="00052A87" w:rsidRDefault="00052A87" w:rsidP="00052A87">
      <w:pPr>
        <w:tabs>
          <w:tab w:val="left" w:pos="7088"/>
        </w:tabs>
        <w:rPr>
          <w:rFonts w:cs="Arial"/>
        </w:rPr>
      </w:pPr>
      <w:r>
        <w:rPr>
          <w:rFonts w:cs="Arial"/>
        </w:rPr>
        <w:t xml:space="preserve">The ancillary section of the MSBS provides fully funded accumulation benefits. Ancillary benefits can arise in various ways including </w:t>
      </w:r>
      <w:r w:rsidR="004F739B">
        <w:rPr>
          <w:rFonts w:cs="Arial"/>
        </w:rPr>
        <w:t>superannuation guarantee employer contributions, a</w:t>
      </w:r>
      <w:r>
        <w:rPr>
          <w:rFonts w:cs="Arial"/>
        </w:rPr>
        <w:t>dditional voluntary member contributions, salary sacrifice employer contributions, Government co</w:t>
      </w:r>
      <w:r>
        <w:rPr>
          <w:rFonts w:cs="Arial"/>
        </w:rPr>
        <w:noBreakHyphen/>
        <w:t>contributions, spouse contributions and transfers into the MSBS.</w:t>
      </w:r>
    </w:p>
    <w:p w14:paraId="3E8DE8D3" w14:textId="1E8C4FC9" w:rsidR="00052A87" w:rsidRPr="00C157F7" w:rsidRDefault="00052A87" w:rsidP="00043375">
      <w:pPr>
        <w:pStyle w:val="Heading3nonumbering"/>
      </w:pPr>
      <w:r>
        <w:t xml:space="preserve">Superannuation </w:t>
      </w:r>
      <w:r w:rsidR="007912EC">
        <w:t>G</w:t>
      </w:r>
      <w:r>
        <w:t>uarantee</w:t>
      </w:r>
    </w:p>
    <w:p w14:paraId="6529AF7B" w14:textId="77777777" w:rsidR="00052A87" w:rsidRDefault="004F739B" w:rsidP="00BA56CF">
      <w:pPr>
        <w:tabs>
          <w:tab w:val="left" w:pos="7088"/>
        </w:tabs>
        <w:rPr>
          <w:rFonts w:cs="Arial"/>
        </w:rPr>
      </w:pPr>
      <w:r>
        <w:rPr>
          <w:rFonts w:cs="Arial"/>
        </w:rPr>
        <w:t>W</w:t>
      </w:r>
      <w:r w:rsidR="00052A87">
        <w:rPr>
          <w:rFonts w:cs="Arial"/>
        </w:rPr>
        <w:t>ith effect from 1 July 2008</w:t>
      </w:r>
      <w:r>
        <w:rPr>
          <w:rFonts w:cs="Arial"/>
        </w:rPr>
        <w:t>,</w:t>
      </w:r>
      <w:r w:rsidR="00052A87">
        <w:rPr>
          <w:rFonts w:cs="Arial"/>
        </w:rPr>
        <w:t xml:space="preserve"> </w:t>
      </w:r>
      <w:r>
        <w:rPr>
          <w:rFonts w:cs="Arial"/>
        </w:rPr>
        <w:t xml:space="preserve">additional employer contributions </w:t>
      </w:r>
      <w:r w:rsidR="00E03417">
        <w:rPr>
          <w:rFonts w:cs="Arial"/>
        </w:rPr>
        <w:t>have been</w:t>
      </w:r>
      <w:r>
        <w:rPr>
          <w:rFonts w:cs="Arial"/>
        </w:rPr>
        <w:t xml:space="preserve"> payable </w:t>
      </w:r>
      <w:r w:rsidR="00052A87">
        <w:rPr>
          <w:rFonts w:cs="Arial"/>
        </w:rPr>
        <w:t xml:space="preserve">to the ancillary section of the MSBS on a quarterly basis to ensure </w:t>
      </w:r>
      <w:r w:rsidR="00551AD3">
        <w:rPr>
          <w:rFonts w:cs="Arial"/>
        </w:rPr>
        <w:t>compliance with Superannuation G</w:t>
      </w:r>
      <w:r w:rsidR="00052A87">
        <w:rPr>
          <w:rFonts w:cs="Arial"/>
        </w:rPr>
        <w:t>uarantee</w:t>
      </w:r>
      <w:r w:rsidR="00551AD3">
        <w:rPr>
          <w:rFonts w:cs="Arial"/>
        </w:rPr>
        <w:t xml:space="preserve"> (SG)</w:t>
      </w:r>
      <w:r w:rsidR="00052A87">
        <w:rPr>
          <w:rFonts w:cs="Arial"/>
        </w:rPr>
        <w:t xml:space="preserve"> requirements. The contributions are paid in respect of </w:t>
      </w:r>
      <w:r w:rsidR="007E4D1D">
        <w:rPr>
          <w:rFonts w:cs="Arial"/>
        </w:rPr>
        <w:t xml:space="preserve">eligible allowances that are not included in superannuation salary for </w:t>
      </w:r>
      <w:r w:rsidR="00052A87">
        <w:rPr>
          <w:rFonts w:cs="Arial"/>
        </w:rPr>
        <w:t xml:space="preserve">both DFRDB and MSBS members at the </w:t>
      </w:r>
      <w:r w:rsidR="00551AD3">
        <w:rPr>
          <w:rFonts w:cs="Arial"/>
        </w:rPr>
        <w:t>applicable SG rate (currently</w:t>
      </w:r>
      <w:r w:rsidR="00052A87">
        <w:rPr>
          <w:rFonts w:cs="Arial"/>
        </w:rPr>
        <w:t xml:space="preserve"> 9</w:t>
      </w:r>
      <w:r w:rsidR="00866D2F">
        <w:rPr>
          <w:rFonts w:cs="Arial"/>
        </w:rPr>
        <w:t>.5</w:t>
      </w:r>
      <w:r w:rsidR="00052A87">
        <w:rPr>
          <w:rFonts w:cs="Arial"/>
        </w:rPr>
        <w:t xml:space="preserve"> per cent</w:t>
      </w:r>
      <w:r w:rsidR="00551AD3">
        <w:rPr>
          <w:rFonts w:cs="Arial"/>
        </w:rPr>
        <w:t>)</w:t>
      </w:r>
      <w:r w:rsidR="00052A87">
        <w:rPr>
          <w:rFonts w:cs="Arial"/>
        </w:rPr>
        <w:t>. The additional contributio</w:t>
      </w:r>
      <w:r w:rsidR="007E5995">
        <w:rPr>
          <w:rFonts w:cs="Arial"/>
        </w:rPr>
        <w:t>ns are subject to a maximum of the applicable SG rate multiplied by</w:t>
      </w:r>
      <w:r w:rsidR="00052A87">
        <w:rPr>
          <w:rFonts w:cs="Arial"/>
        </w:rPr>
        <w:t xml:space="preserve"> the maximum quarterly ea</w:t>
      </w:r>
      <w:r w:rsidR="00866D2F">
        <w:rPr>
          <w:rFonts w:cs="Arial"/>
        </w:rPr>
        <w:t>rnings base for Superannuation G</w:t>
      </w:r>
      <w:r w:rsidR="007E5995">
        <w:rPr>
          <w:rFonts w:cs="Arial"/>
        </w:rPr>
        <w:t xml:space="preserve">uarantee less the applicable SG rate multiplied by the </w:t>
      </w:r>
      <w:r w:rsidR="00052A87">
        <w:rPr>
          <w:rFonts w:cs="Arial"/>
        </w:rPr>
        <w:t>superannuation salary for the quarter.</w:t>
      </w:r>
      <w:bookmarkStart w:id="99" w:name="_Ref135031821"/>
      <w:bookmarkStart w:id="100" w:name="_Toc135119214"/>
      <w:bookmarkStart w:id="101" w:name="_Toc136856502"/>
    </w:p>
    <w:p w14:paraId="0B3DF0CE" w14:textId="77777777" w:rsidR="001973A3" w:rsidRPr="001973A3" w:rsidRDefault="001973A3" w:rsidP="001973A3"/>
    <w:p w14:paraId="624BD09F" w14:textId="77777777" w:rsidR="001973A3" w:rsidRPr="001973A3" w:rsidRDefault="001973A3" w:rsidP="001973A3"/>
    <w:p w14:paraId="118F5009" w14:textId="77777777" w:rsidR="001973A3" w:rsidRPr="001973A3" w:rsidRDefault="001973A3" w:rsidP="001973A3">
      <w:pPr>
        <w:sectPr w:rsidR="001973A3" w:rsidRPr="001973A3" w:rsidSect="000E6C41">
          <w:headerReference w:type="even" r:id="rId63"/>
          <w:headerReference w:type="default" r:id="rId64"/>
          <w:footerReference w:type="even" r:id="rId65"/>
          <w:footerReference w:type="default" r:id="rId66"/>
          <w:headerReference w:type="first" r:id="rId67"/>
          <w:footerReference w:type="first" r:id="rId68"/>
          <w:type w:val="oddPage"/>
          <w:pgSz w:w="11906" w:h="16838" w:code="9"/>
          <w:pgMar w:top="2466" w:right="2098" w:bottom="2466" w:left="2098" w:header="1899" w:footer="1899" w:gutter="0"/>
          <w:cols w:space="708"/>
          <w:titlePg/>
          <w:docGrid w:linePitch="360"/>
        </w:sectPr>
      </w:pPr>
    </w:p>
    <w:p w14:paraId="41FE2ECE" w14:textId="77777777" w:rsidR="00052A87" w:rsidRPr="0097008B" w:rsidRDefault="00052A87" w:rsidP="00052A87">
      <w:pPr>
        <w:pStyle w:val="AppendixHeading"/>
      </w:pPr>
      <w:bookmarkStart w:id="102" w:name="_Toc232828408"/>
      <w:bookmarkStart w:id="103" w:name="_Toc425770498"/>
      <w:r w:rsidRPr="0097008B">
        <w:lastRenderedPageBreak/>
        <w:t>Appendix B</w:t>
      </w:r>
      <w:bookmarkEnd w:id="99"/>
      <w:bookmarkEnd w:id="100"/>
      <w:bookmarkEnd w:id="101"/>
      <w:bookmarkEnd w:id="102"/>
      <w:bookmarkEnd w:id="103"/>
    </w:p>
    <w:p w14:paraId="4F565DE4" w14:textId="24E0DC86" w:rsidR="00052A87" w:rsidRPr="0097008B" w:rsidRDefault="00052A87" w:rsidP="00A31B6E">
      <w:pPr>
        <w:pStyle w:val="Heading2nonumbering"/>
      </w:pPr>
      <w:bookmarkStart w:id="104" w:name="_Toc425770499"/>
      <w:r>
        <w:t>Summary of m</w:t>
      </w:r>
      <w:r w:rsidRPr="0097008B">
        <w:t xml:space="preserve">embership, </w:t>
      </w:r>
      <w:r>
        <w:t>c</w:t>
      </w:r>
      <w:r w:rsidRPr="00D40631">
        <w:t>ontribution</w:t>
      </w:r>
      <w:r w:rsidRPr="0097008B">
        <w:t xml:space="preserve"> and </w:t>
      </w:r>
      <w:r>
        <w:t>b</w:t>
      </w:r>
      <w:r w:rsidRPr="0097008B">
        <w:t xml:space="preserve">enefit </w:t>
      </w:r>
      <w:r>
        <w:t>p</w:t>
      </w:r>
      <w:r w:rsidRPr="0097008B">
        <w:t xml:space="preserve">rovisions of the </w:t>
      </w:r>
      <w:bookmarkEnd w:id="104"/>
      <w:r w:rsidR="007912EC">
        <w:t>DFRDB</w:t>
      </w:r>
    </w:p>
    <w:p w14:paraId="3F5CD17D" w14:textId="4D24BC7B" w:rsidR="00052A87" w:rsidRPr="00C157F7" w:rsidRDefault="00052A87" w:rsidP="00052A87">
      <w:pPr>
        <w:tabs>
          <w:tab w:val="left" w:pos="7088"/>
        </w:tabs>
        <w:rPr>
          <w:rFonts w:cs="Arial"/>
        </w:rPr>
      </w:pPr>
      <w:r w:rsidRPr="00C157F7">
        <w:rPr>
          <w:rFonts w:cs="Arial"/>
        </w:rPr>
        <w:t xml:space="preserve">The </w:t>
      </w:r>
      <w:r w:rsidR="00C95E2B" w:rsidRPr="00857BB6">
        <w:t xml:space="preserve">Defence Force Retirement and Death Benefits Scheme </w:t>
      </w:r>
      <w:r w:rsidR="00C95E2B">
        <w:t>(</w:t>
      </w:r>
      <w:r w:rsidRPr="00C157F7">
        <w:rPr>
          <w:rFonts w:cs="Arial"/>
        </w:rPr>
        <w:t>DFRDB</w:t>
      </w:r>
      <w:r w:rsidR="00C95E2B">
        <w:rPr>
          <w:rFonts w:cs="Arial"/>
        </w:rPr>
        <w:t>)</w:t>
      </w:r>
      <w:r w:rsidRPr="00C157F7">
        <w:rPr>
          <w:rFonts w:cs="Arial"/>
        </w:rPr>
        <w:t xml:space="preserve"> </w:t>
      </w:r>
      <w:proofErr w:type="gramStart"/>
      <w:r w:rsidRPr="00C157F7">
        <w:rPr>
          <w:rFonts w:cs="Arial"/>
        </w:rPr>
        <w:t>is</w:t>
      </w:r>
      <w:proofErr w:type="gramEnd"/>
      <w:r w:rsidRPr="00C157F7">
        <w:rPr>
          <w:rFonts w:cs="Arial"/>
        </w:rPr>
        <w:t xml:space="preserve"> established under the </w:t>
      </w:r>
      <w:r w:rsidRPr="001E17DA">
        <w:rPr>
          <w:rFonts w:cs="Arial"/>
          <w:i/>
        </w:rPr>
        <w:t>Defence Force Retirement and Death Benefits Act</w:t>
      </w:r>
      <w:r>
        <w:rPr>
          <w:rFonts w:cs="Arial"/>
          <w:i/>
        </w:rPr>
        <w:t> </w:t>
      </w:r>
      <w:r w:rsidRPr="001E17DA">
        <w:rPr>
          <w:rFonts w:cs="Arial"/>
          <w:i/>
        </w:rPr>
        <w:t>1973</w:t>
      </w:r>
      <w:r>
        <w:rPr>
          <w:rFonts w:cs="Arial"/>
        </w:rPr>
        <w:t xml:space="preserve">. </w:t>
      </w:r>
      <w:r w:rsidRPr="00C157F7">
        <w:rPr>
          <w:rFonts w:cs="Arial"/>
        </w:rPr>
        <w:t xml:space="preserve">The Act and associated Regulations, and the Defence Force (Superannuation) (Productivity Benefit) Determination under the </w:t>
      </w:r>
      <w:r w:rsidRPr="001E17DA">
        <w:rPr>
          <w:rFonts w:cs="Arial"/>
          <w:i/>
        </w:rPr>
        <w:t>Defence Act 1903</w:t>
      </w:r>
      <w:r w:rsidRPr="00C157F7">
        <w:rPr>
          <w:rFonts w:cs="Arial"/>
        </w:rPr>
        <w:t xml:space="preserve"> set out the full membership, contribution and benefit provisions of the DFRDB</w:t>
      </w:r>
      <w:r>
        <w:rPr>
          <w:rFonts w:cs="Arial"/>
        </w:rPr>
        <w:t xml:space="preserve">. </w:t>
      </w:r>
      <w:r w:rsidRPr="00C157F7">
        <w:rPr>
          <w:rFonts w:cs="Arial"/>
        </w:rPr>
        <w:t>The provisions of the Scheme are complex and a summary of the principal provisions of the Scheme is set out below</w:t>
      </w:r>
      <w:r>
        <w:rPr>
          <w:rFonts w:cs="Arial"/>
        </w:rPr>
        <w:t xml:space="preserve">. </w:t>
      </w:r>
      <w:r w:rsidRPr="00C157F7">
        <w:rPr>
          <w:rFonts w:cs="Arial"/>
        </w:rPr>
        <w:t>It should not be used to calculate benefits for individuals.</w:t>
      </w:r>
    </w:p>
    <w:p w14:paraId="66DD8432" w14:textId="77777777" w:rsidR="00052A87" w:rsidRPr="00C157F7" w:rsidRDefault="00052A87" w:rsidP="00EB2452">
      <w:pPr>
        <w:pStyle w:val="Heading3nonumbering"/>
      </w:pPr>
      <w:r w:rsidRPr="00C157F7">
        <w:t>Membership</w:t>
      </w:r>
    </w:p>
    <w:p w14:paraId="5B255F8F" w14:textId="77777777" w:rsidR="00052A87" w:rsidRPr="00C157F7" w:rsidRDefault="00052A87" w:rsidP="00052A87">
      <w:pPr>
        <w:tabs>
          <w:tab w:val="left" w:pos="7088"/>
        </w:tabs>
        <w:rPr>
          <w:rFonts w:cs="Arial"/>
        </w:rPr>
      </w:pPr>
      <w:r w:rsidRPr="00C157F7">
        <w:rPr>
          <w:rFonts w:cs="Arial"/>
        </w:rPr>
        <w:t>Membership of the Scheme is closed to new entrants and consists of members of the Scheme as at 30 September 1991 who did not transfer to the MSBS.</w:t>
      </w:r>
    </w:p>
    <w:p w14:paraId="43CFD248" w14:textId="77777777" w:rsidR="00052A87" w:rsidRDefault="00052A87" w:rsidP="00EB2452">
      <w:pPr>
        <w:pStyle w:val="Heading3nonumbering"/>
      </w:pPr>
      <w:r w:rsidRPr="00C157F7">
        <w:t>Definitions</w:t>
      </w:r>
    </w:p>
    <w:tbl>
      <w:tblPr>
        <w:tblW w:w="7905" w:type="dxa"/>
        <w:tblLook w:val="01E0" w:firstRow="1" w:lastRow="1" w:firstColumn="1" w:lastColumn="1" w:noHBand="0" w:noVBand="0"/>
      </w:tblPr>
      <w:tblGrid>
        <w:gridCol w:w="2802"/>
        <w:gridCol w:w="5103"/>
      </w:tblGrid>
      <w:tr w:rsidR="00052A87" w14:paraId="65F755D2" w14:textId="77777777" w:rsidTr="00520EE0">
        <w:tc>
          <w:tcPr>
            <w:tcW w:w="2802" w:type="dxa"/>
          </w:tcPr>
          <w:p w14:paraId="16C2EC20" w14:textId="77777777" w:rsidR="00052A87" w:rsidRPr="00E7622E" w:rsidRDefault="00052A87" w:rsidP="005A3BFA">
            <w:pPr>
              <w:spacing w:before="0"/>
              <w:rPr>
                <w:b/>
              </w:rPr>
            </w:pPr>
            <w:r w:rsidRPr="00E7622E">
              <w:rPr>
                <w:b/>
              </w:rPr>
              <w:t>Salary</w:t>
            </w:r>
          </w:p>
        </w:tc>
        <w:tc>
          <w:tcPr>
            <w:tcW w:w="5103" w:type="dxa"/>
          </w:tcPr>
          <w:p w14:paraId="4EE9448B" w14:textId="77777777" w:rsidR="00052A87" w:rsidRDefault="00052A87" w:rsidP="005A3BFA">
            <w:pPr>
              <w:spacing w:before="0"/>
            </w:pPr>
            <w:r w:rsidRPr="00C157F7">
              <w:t>Salary is the highest incremental sa</w:t>
            </w:r>
            <w:r w:rsidR="00D26518">
              <w:t>lary for substantive rank plus service a</w:t>
            </w:r>
            <w:r w:rsidRPr="00C157F7">
              <w:t>llowance</w:t>
            </w:r>
            <w:r w:rsidR="00D26518">
              <w:t xml:space="preserve"> and some qualifications and s</w:t>
            </w:r>
            <w:r>
              <w:t>kills allowances.</w:t>
            </w:r>
          </w:p>
        </w:tc>
      </w:tr>
      <w:tr w:rsidR="00052A87" w14:paraId="06EF056C" w14:textId="77777777" w:rsidTr="00520EE0">
        <w:tc>
          <w:tcPr>
            <w:tcW w:w="2802" w:type="dxa"/>
          </w:tcPr>
          <w:p w14:paraId="5CA44483" w14:textId="77777777" w:rsidR="00052A87" w:rsidRPr="00E7622E" w:rsidRDefault="00052A87" w:rsidP="00052A87">
            <w:pPr>
              <w:rPr>
                <w:b/>
              </w:rPr>
            </w:pPr>
            <w:r w:rsidRPr="00E7622E">
              <w:rPr>
                <w:b/>
              </w:rPr>
              <w:t>Final salary</w:t>
            </w:r>
          </w:p>
        </w:tc>
        <w:tc>
          <w:tcPr>
            <w:tcW w:w="5103" w:type="dxa"/>
          </w:tcPr>
          <w:p w14:paraId="24E52CA9" w14:textId="77777777" w:rsidR="00052A87" w:rsidRDefault="00052A87" w:rsidP="00052A87">
            <w:r w:rsidRPr="00C157F7">
              <w:t>Salary at the date of termination of service</w:t>
            </w:r>
            <w:r>
              <w:t>.</w:t>
            </w:r>
          </w:p>
        </w:tc>
      </w:tr>
      <w:tr w:rsidR="00052A87" w14:paraId="750628D9" w14:textId="77777777" w:rsidTr="00520EE0">
        <w:tc>
          <w:tcPr>
            <w:tcW w:w="2802" w:type="dxa"/>
          </w:tcPr>
          <w:p w14:paraId="1AAFB24A" w14:textId="77777777" w:rsidR="00052A87" w:rsidRPr="00E7622E" w:rsidRDefault="00052A87" w:rsidP="00052A87">
            <w:pPr>
              <w:rPr>
                <w:b/>
              </w:rPr>
            </w:pPr>
            <w:r w:rsidRPr="00E7622E">
              <w:rPr>
                <w:b/>
              </w:rPr>
              <w:t>Statutory retirement age</w:t>
            </w:r>
          </w:p>
        </w:tc>
        <w:tc>
          <w:tcPr>
            <w:tcW w:w="5103" w:type="dxa"/>
          </w:tcPr>
          <w:p w14:paraId="6157813F" w14:textId="77777777" w:rsidR="00052A87" w:rsidRDefault="00052A87" w:rsidP="005A3BFA">
            <w:pPr>
              <w:spacing w:after="0"/>
            </w:pPr>
            <w:r w:rsidRPr="00C157F7">
              <w:t>Varies between age 47 and 60 depending on rank for o</w:t>
            </w:r>
            <w:r>
              <w:t>fficers, age 55 for other ranks.</w:t>
            </w:r>
          </w:p>
        </w:tc>
      </w:tr>
    </w:tbl>
    <w:p w14:paraId="0859FA4E" w14:textId="77777777" w:rsidR="00052A87" w:rsidRPr="00C157F7" w:rsidRDefault="00052A87" w:rsidP="00EB2452">
      <w:pPr>
        <w:pStyle w:val="Heading3nonumbering"/>
      </w:pPr>
      <w:r w:rsidRPr="00C157F7">
        <w:t xml:space="preserve">Member </w:t>
      </w:r>
      <w:r>
        <w:t>c</w:t>
      </w:r>
      <w:r w:rsidRPr="00C157F7">
        <w:t>ontributions</w:t>
      </w:r>
    </w:p>
    <w:p w14:paraId="7EE44458" w14:textId="77777777" w:rsidR="00052A87" w:rsidRPr="00C157F7" w:rsidRDefault="00052A87" w:rsidP="00052A87">
      <w:pPr>
        <w:tabs>
          <w:tab w:val="left" w:pos="3119"/>
        </w:tabs>
        <w:ind w:left="3119" w:hanging="3119"/>
        <w:rPr>
          <w:rFonts w:cs="Arial"/>
        </w:rPr>
      </w:pPr>
      <w:r w:rsidRPr="00C157F7">
        <w:rPr>
          <w:rFonts w:cs="Arial"/>
        </w:rPr>
        <w:t>Member contributions are 5.5</w:t>
      </w:r>
      <w:r>
        <w:rPr>
          <w:rFonts w:cs="Arial"/>
        </w:rPr>
        <w:t xml:space="preserve"> per cent</w:t>
      </w:r>
      <w:r w:rsidRPr="00C157F7">
        <w:rPr>
          <w:rFonts w:cs="Arial"/>
        </w:rPr>
        <w:t xml:space="preserve"> of </w:t>
      </w:r>
      <w:r>
        <w:rPr>
          <w:rFonts w:cs="Arial"/>
        </w:rPr>
        <w:t>s</w:t>
      </w:r>
      <w:r w:rsidRPr="00C157F7">
        <w:rPr>
          <w:rFonts w:cs="Arial"/>
        </w:rPr>
        <w:t>alary.</w:t>
      </w:r>
    </w:p>
    <w:p w14:paraId="34F19000" w14:textId="77777777" w:rsidR="00052A87" w:rsidRPr="00C157F7" w:rsidRDefault="00052A87" w:rsidP="00EB2452">
      <w:pPr>
        <w:pStyle w:val="Heading3nonumbering"/>
      </w:pPr>
      <w:r w:rsidRPr="00C157F7">
        <w:t xml:space="preserve">Retirement </w:t>
      </w:r>
      <w:r>
        <w:t>p</w:t>
      </w:r>
      <w:r w:rsidRPr="00C157F7">
        <w:t>ay (pension)</w:t>
      </w:r>
    </w:p>
    <w:p w14:paraId="322E2319" w14:textId="77777777" w:rsidR="00052A87" w:rsidRDefault="00052A87" w:rsidP="005A3BFA">
      <w:pPr>
        <w:spacing w:after="0"/>
        <w:rPr>
          <w:rFonts w:cs="Arial"/>
        </w:rPr>
      </w:pPr>
      <w:r w:rsidRPr="00C157F7">
        <w:rPr>
          <w:rFonts w:cs="Arial"/>
        </w:rPr>
        <w:t xml:space="preserve">Members who separate from the ADF on other than invalidity grounds are entitled to </w:t>
      </w:r>
      <w:r>
        <w:rPr>
          <w:rFonts w:cs="Arial"/>
        </w:rPr>
        <w:t>r</w:t>
      </w:r>
      <w:r w:rsidRPr="00C157F7">
        <w:rPr>
          <w:rFonts w:cs="Arial"/>
        </w:rPr>
        <w:t xml:space="preserve">etirement </w:t>
      </w:r>
      <w:r>
        <w:rPr>
          <w:rFonts w:cs="Arial"/>
        </w:rPr>
        <w:t>p</w:t>
      </w:r>
      <w:r w:rsidRPr="00C157F7">
        <w:rPr>
          <w:rFonts w:cs="Arial"/>
        </w:rPr>
        <w:t>ay on separation after completion of a minimum of 20</w:t>
      </w:r>
      <w:r>
        <w:rPr>
          <w:rFonts w:cs="Arial"/>
        </w:rPr>
        <w:t xml:space="preserve"> </w:t>
      </w:r>
      <w:r w:rsidR="00EA4791" w:rsidRPr="00C157F7">
        <w:rPr>
          <w:rFonts w:cs="Arial"/>
        </w:rPr>
        <w:t>years’ service</w:t>
      </w:r>
      <w:r w:rsidRPr="00C157F7">
        <w:rPr>
          <w:rFonts w:cs="Arial"/>
        </w:rPr>
        <w:t xml:space="preserve"> or, if they have reached </w:t>
      </w:r>
      <w:r>
        <w:rPr>
          <w:rFonts w:cs="Arial"/>
        </w:rPr>
        <w:t>s</w:t>
      </w:r>
      <w:r w:rsidRPr="00C157F7">
        <w:rPr>
          <w:rFonts w:cs="Arial"/>
        </w:rPr>
        <w:t xml:space="preserve">tatutory </w:t>
      </w:r>
      <w:r>
        <w:rPr>
          <w:rFonts w:cs="Arial"/>
        </w:rPr>
        <w:t>r</w:t>
      </w:r>
      <w:r w:rsidRPr="00C157F7">
        <w:rPr>
          <w:rFonts w:cs="Arial"/>
        </w:rPr>
        <w:t xml:space="preserve">etiring </w:t>
      </w:r>
      <w:r>
        <w:rPr>
          <w:rFonts w:cs="Arial"/>
        </w:rPr>
        <w:t>a</w:t>
      </w:r>
      <w:r w:rsidRPr="00C157F7">
        <w:rPr>
          <w:rFonts w:cs="Arial"/>
        </w:rPr>
        <w:t>ge for their rank, on completion of 15</w:t>
      </w:r>
      <w:r>
        <w:rPr>
          <w:rFonts w:cs="Arial"/>
        </w:rPr>
        <w:t xml:space="preserve"> </w:t>
      </w:r>
      <w:r w:rsidR="00EA4791" w:rsidRPr="00C157F7">
        <w:rPr>
          <w:rFonts w:cs="Arial"/>
        </w:rPr>
        <w:t>years’ service</w:t>
      </w:r>
      <w:r w:rsidRPr="00C157F7">
        <w:rPr>
          <w:rFonts w:cs="Arial"/>
        </w:rPr>
        <w:t>.</w:t>
      </w:r>
    </w:p>
    <w:p w14:paraId="2F053A6B" w14:textId="275822CB" w:rsidR="00052A87" w:rsidRPr="00070294" w:rsidRDefault="00052A87" w:rsidP="00D1063F">
      <w:pPr>
        <w:pStyle w:val="TableMainHeading-Appendix"/>
      </w:pPr>
      <w:r w:rsidRPr="00070294">
        <w:lastRenderedPageBreak/>
        <w:t xml:space="preserve">Retirement </w:t>
      </w:r>
      <w:r>
        <w:t>p</w:t>
      </w:r>
      <w:r w:rsidRPr="00070294">
        <w:t>ay</w:t>
      </w:r>
    </w:p>
    <w:tbl>
      <w:tblPr>
        <w:tblW w:w="0" w:type="auto"/>
        <w:tblInd w:w="108" w:type="dxa"/>
        <w:tblBorders>
          <w:top w:val="single" w:sz="2" w:space="0" w:color="000000"/>
          <w:bottom w:val="single" w:sz="2" w:space="0" w:color="000000"/>
        </w:tblBorders>
        <w:tblLayout w:type="fixed"/>
        <w:tblLook w:val="0000" w:firstRow="0" w:lastRow="0" w:firstColumn="0" w:lastColumn="0" w:noHBand="0" w:noVBand="0"/>
      </w:tblPr>
      <w:tblGrid>
        <w:gridCol w:w="1814"/>
        <w:gridCol w:w="1814"/>
        <w:gridCol w:w="454"/>
        <w:gridCol w:w="1814"/>
        <w:gridCol w:w="1814"/>
      </w:tblGrid>
      <w:tr w:rsidR="00052A87" w:rsidRPr="00660890" w14:paraId="2DA029F7" w14:textId="77777777" w:rsidTr="00163B29">
        <w:tc>
          <w:tcPr>
            <w:tcW w:w="1814" w:type="dxa"/>
            <w:tcBorders>
              <w:top w:val="single" w:sz="2" w:space="0" w:color="000000"/>
              <w:bottom w:val="single" w:sz="2" w:space="0" w:color="000000"/>
            </w:tcBorders>
            <w:shd w:val="clear" w:color="auto" w:fill="E6E6E6"/>
          </w:tcPr>
          <w:p w14:paraId="769EE785" w14:textId="77777777" w:rsidR="00052A87" w:rsidRPr="00660890" w:rsidRDefault="00052A87" w:rsidP="00052A87">
            <w:pPr>
              <w:pStyle w:val="TableColumnHeadingLeft"/>
            </w:pPr>
            <w:r w:rsidRPr="00660890">
              <w:t>Years of service</w:t>
            </w:r>
          </w:p>
        </w:tc>
        <w:tc>
          <w:tcPr>
            <w:tcW w:w="1814" w:type="dxa"/>
            <w:tcBorders>
              <w:top w:val="single" w:sz="2" w:space="0" w:color="000000"/>
              <w:bottom w:val="single" w:sz="2" w:space="0" w:color="000000"/>
            </w:tcBorders>
            <w:shd w:val="clear" w:color="auto" w:fill="E6E6E6"/>
          </w:tcPr>
          <w:p w14:paraId="4924D28D" w14:textId="77777777" w:rsidR="00052A87" w:rsidRPr="00660890" w:rsidRDefault="00052A87" w:rsidP="00052A87">
            <w:pPr>
              <w:pStyle w:val="TableColumnHeadingRight"/>
            </w:pPr>
            <w:r w:rsidRPr="00660890">
              <w:t>Per cent of</w:t>
            </w:r>
            <w:r>
              <w:t xml:space="preserve"> </w:t>
            </w:r>
            <w:r>
              <w:br/>
            </w:r>
            <w:r w:rsidRPr="00660890">
              <w:t>final salary</w:t>
            </w:r>
          </w:p>
        </w:tc>
        <w:tc>
          <w:tcPr>
            <w:tcW w:w="454" w:type="dxa"/>
            <w:tcBorders>
              <w:top w:val="single" w:sz="2" w:space="0" w:color="000000"/>
              <w:bottom w:val="single" w:sz="2" w:space="0" w:color="000000"/>
            </w:tcBorders>
            <w:shd w:val="clear" w:color="auto" w:fill="E6E6E6"/>
          </w:tcPr>
          <w:p w14:paraId="24AE4104" w14:textId="77777777" w:rsidR="00052A87" w:rsidRPr="00660890" w:rsidRDefault="00052A87" w:rsidP="00052A87">
            <w:pPr>
              <w:pStyle w:val="TableColumnHeadingLeft"/>
            </w:pPr>
          </w:p>
        </w:tc>
        <w:tc>
          <w:tcPr>
            <w:tcW w:w="1814" w:type="dxa"/>
            <w:tcBorders>
              <w:top w:val="single" w:sz="2" w:space="0" w:color="000000"/>
              <w:bottom w:val="single" w:sz="2" w:space="0" w:color="000000"/>
            </w:tcBorders>
            <w:shd w:val="clear" w:color="auto" w:fill="E6E6E6"/>
          </w:tcPr>
          <w:p w14:paraId="4C010F78" w14:textId="77777777" w:rsidR="00052A87" w:rsidRPr="00660890" w:rsidRDefault="00052A87" w:rsidP="00052A87">
            <w:pPr>
              <w:pStyle w:val="TableColumnHeadingLeft"/>
            </w:pPr>
            <w:r w:rsidRPr="00660890">
              <w:t>Years of service</w:t>
            </w:r>
          </w:p>
        </w:tc>
        <w:tc>
          <w:tcPr>
            <w:tcW w:w="1814" w:type="dxa"/>
            <w:tcBorders>
              <w:top w:val="single" w:sz="2" w:space="0" w:color="000000"/>
              <w:bottom w:val="single" w:sz="2" w:space="0" w:color="000000"/>
            </w:tcBorders>
            <w:shd w:val="clear" w:color="auto" w:fill="E6E6E6"/>
          </w:tcPr>
          <w:p w14:paraId="5FBB4057" w14:textId="77777777" w:rsidR="00052A87" w:rsidRPr="00660890" w:rsidRDefault="00052A87" w:rsidP="00052A87">
            <w:pPr>
              <w:pStyle w:val="TableColumnHeadingRight"/>
            </w:pPr>
            <w:r w:rsidRPr="00660890">
              <w:t xml:space="preserve">Per cent of </w:t>
            </w:r>
            <w:r w:rsidRPr="00660890">
              <w:br/>
              <w:t>final salary</w:t>
            </w:r>
          </w:p>
        </w:tc>
      </w:tr>
      <w:tr w:rsidR="00052A87" w:rsidRPr="00660890" w14:paraId="538A6BD1" w14:textId="77777777" w:rsidTr="00163B29">
        <w:tc>
          <w:tcPr>
            <w:tcW w:w="1814" w:type="dxa"/>
            <w:tcBorders>
              <w:top w:val="single" w:sz="2" w:space="0" w:color="000000"/>
            </w:tcBorders>
          </w:tcPr>
          <w:p w14:paraId="7476B2D5" w14:textId="77777777" w:rsidR="00052A87" w:rsidRPr="005A0CE4" w:rsidRDefault="00052A87" w:rsidP="00052A87">
            <w:pPr>
              <w:pStyle w:val="TableTextLeft"/>
            </w:pPr>
            <w:r w:rsidRPr="005A0CE4">
              <w:t>15</w:t>
            </w:r>
          </w:p>
        </w:tc>
        <w:tc>
          <w:tcPr>
            <w:tcW w:w="1814" w:type="dxa"/>
            <w:tcBorders>
              <w:top w:val="single" w:sz="2" w:space="0" w:color="000000"/>
            </w:tcBorders>
          </w:tcPr>
          <w:p w14:paraId="08B787DF" w14:textId="77777777" w:rsidR="00052A87" w:rsidRPr="00660890" w:rsidRDefault="00052A87" w:rsidP="00052A87">
            <w:pPr>
              <w:pStyle w:val="TableTextRight"/>
            </w:pPr>
            <w:r w:rsidRPr="00660890">
              <w:t>30.00</w:t>
            </w:r>
          </w:p>
        </w:tc>
        <w:tc>
          <w:tcPr>
            <w:tcW w:w="454" w:type="dxa"/>
            <w:tcBorders>
              <w:top w:val="single" w:sz="2" w:space="0" w:color="000000"/>
            </w:tcBorders>
          </w:tcPr>
          <w:p w14:paraId="03E43E79" w14:textId="77777777" w:rsidR="00052A87" w:rsidRPr="00660890" w:rsidRDefault="00052A87" w:rsidP="00052A87">
            <w:pPr>
              <w:pStyle w:val="TableTextLeft"/>
            </w:pPr>
          </w:p>
        </w:tc>
        <w:tc>
          <w:tcPr>
            <w:tcW w:w="1814" w:type="dxa"/>
            <w:tcBorders>
              <w:top w:val="single" w:sz="2" w:space="0" w:color="000000"/>
            </w:tcBorders>
          </w:tcPr>
          <w:p w14:paraId="663D4DDE" w14:textId="77777777" w:rsidR="00052A87" w:rsidRPr="00660890" w:rsidRDefault="00052A87" w:rsidP="00052A87">
            <w:pPr>
              <w:pStyle w:val="TableTextLeft"/>
            </w:pPr>
            <w:r w:rsidRPr="00660890">
              <w:t>28</w:t>
            </w:r>
          </w:p>
        </w:tc>
        <w:tc>
          <w:tcPr>
            <w:tcW w:w="1814" w:type="dxa"/>
            <w:tcBorders>
              <w:top w:val="single" w:sz="2" w:space="0" w:color="000000"/>
            </w:tcBorders>
          </w:tcPr>
          <w:p w14:paraId="58E13A67" w14:textId="77777777" w:rsidR="00052A87" w:rsidRPr="00660890" w:rsidRDefault="00052A87" w:rsidP="00052A87">
            <w:pPr>
              <w:pStyle w:val="TableTextRight"/>
            </w:pPr>
            <w:r w:rsidRPr="00660890">
              <w:t>47.50</w:t>
            </w:r>
          </w:p>
        </w:tc>
      </w:tr>
      <w:tr w:rsidR="00052A87" w:rsidRPr="00660890" w14:paraId="357EDEE9" w14:textId="77777777" w:rsidTr="00163B29">
        <w:tc>
          <w:tcPr>
            <w:tcW w:w="1814" w:type="dxa"/>
            <w:shd w:val="clear" w:color="auto" w:fill="F2F2F2" w:themeFill="background1" w:themeFillShade="F2"/>
          </w:tcPr>
          <w:p w14:paraId="00570812" w14:textId="77777777" w:rsidR="00052A87" w:rsidRPr="005A0CE4" w:rsidRDefault="00052A87" w:rsidP="00052A87">
            <w:pPr>
              <w:pStyle w:val="TableTextLeft"/>
            </w:pPr>
            <w:r w:rsidRPr="005A0CE4">
              <w:t>16</w:t>
            </w:r>
          </w:p>
        </w:tc>
        <w:tc>
          <w:tcPr>
            <w:tcW w:w="1814" w:type="dxa"/>
            <w:shd w:val="clear" w:color="auto" w:fill="F2F2F2" w:themeFill="background1" w:themeFillShade="F2"/>
          </w:tcPr>
          <w:p w14:paraId="25DD5788" w14:textId="77777777" w:rsidR="00052A87" w:rsidRPr="00660890" w:rsidRDefault="00052A87" w:rsidP="00052A87">
            <w:pPr>
              <w:pStyle w:val="TableTextRight"/>
            </w:pPr>
            <w:r w:rsidRPr="00660890">
              <w:t>31.00</w:t>
            </w:r>
          </w:p>
        </w:tc>
        <w:tc>
          <w:tcPr>
            <w:tcW w:w="454" w:type="dxa"/>
            <w:shd w:val="clear" w:color="auto" w:fill="F2F2F2" w:themeFill="background1" w:themeFillShade="F2"/>
          </w:tcPr>
          <w:p w14:paraId="3773D0B4" w14:textId="77777777" w:rsidR="00052A87" w:rsidRPr="00660890" w:rsidRDefault="00052A87" w:rsidP="00052A87">
            <w:pPr>
              <w:pStyle w:val="TableTextLeft"/>
            </w:pPr>
          </w:p>
        </w:tc>
        <w:tc>
          <w:tcPr>
            <w:tcW w:w="1814" w:type="dxa"/>
            <w:shd w:val="clear" w:color="auto" w:fill="F2F2F2" w:themeFill="background1" w:themeFillShade="F2"/>
          </w:tcPr>
          <w:p w14:paraId="711A5883" w14:textId="77777777" w:rsidR="00052A87" w:rsidRPr="00660890" w:rsidRDefault="00052A87" w:rsidP="00052A87">
            <w:pPr>
              <w:pStyle w:val="TableTextLeft"/>
            </w:pPr>
            <w:r w:rsidRPr="00660890">
              <w:t>29</w:t>
            </w:r>
          </w:p>
        </w:tc>
        <w:tc>
          <w:tcPr>
            <w:tcW w:w="1814" w:type="dxa"/>
            <w:shd w:val="clear" w:color="auto" w:fill="F2F2F2" w:themeFill="background1" w:themeFillShade="F2"/>
          </w:tcPr>
          <w:p w14:paraId="1AC2929A" w14:textId="77777777" w:rsidR="00052A87" w:rsidRPr="00660890" w:rsidRDefault="00052A87" w:rsidP="00052A87">
            <w:pPr>
              <w:pStyle w:val="TableTextRight"/>
            </w:pPr>
            <w:r w:rsidRPr="00660890">
              <w:t>49.25</w:t>
            </w:r>
          </w:p>
        </w:tc>
      </w:tr>
      <w:tr w:rsidR="00052A87" w:rsidRPr="00660890" w14:paraId="5713378A" w14:textId="77777777" w:rsidTr="00163B29">
        <w:tc>
          <w:tcPr>
            <w:tcW w:w="1814" w:type="dxa"/>
          </w:tcPr>
          <w:p w14:paraId="5F3A56A0" w14:textId="77777777" w:rsidR="00052A87" w:rsidRPr="005A0CE4" w:rsidRDefault="00052A87" w:rsidP="00052A87">
            <w:pPr>
              <w:pStyle w:val="TableTextLeft"/>
            </w:pPr>
            <w:r w:rsidRPr="005A0CE4">
              <w:t>17</w:t>
            </w:r>
          </w:p>
        </w:tc>
        <w:tc>
          <w:tcPr>
            <w:tcW w:w="1814" w:type="dxa"/>
          </w:tcPr>
          <w:p w14:paraId="5C1A2AFD" w14:textId="77777777" w:rsidR="00052A87" w:rsidRPr="00660890" w:rsidRDefault="00052A87" w:rsidP="00052A87">
            <w:pPr>
              <w:pStyle w:val="TableTextRight"/>
            </w:pPr>
            <w:r w:rsidRPr="00660890">
              <w:t>32.00</w:t>
            </w:r>
          </w:p>
        </w:tc>
        <w:tc>
          <w:tcPr>
            <w:tcW w:w="454" w:type="dxa"/>
          </w:tcPr>
          <w:p w14:paraId="72F01734" w14:textId="77777777" w:rsidR="00052A87" w:rsidRPr="00660890" w:rsidRDefault="00052A87" w:rsidP="00052A87">
            <w:pPr>
              <w:pStyle w:val="TableTextLeft"/>
            </w:pPr>
          </w:p>
        </w:tc>
        <w:tc>
          <w:tcPr>
            <w:tcW w:w="1814" w:type="dxa"/>
          </w:tcPr>
          <w:p w14:paraId="7FB72A49" w14:textId="77777777" w:rsidR="00052A87" w:rsidRPr="00660890" w:rsidRDefault="00052A87" w:rsidP="00052A87">
            <w:pPr>
              <w:pStyle w:val="TableTextLeft"/>
            </w:pPr>
            <w:r w:rsidRPr="00660890">
              <w:t>30</w:t>
            </w:r>
          </w:p>
        </w:tc>
        <w:tc>
          <w:tcPr>
            <w:tcW w:w="1814" w:type="dxa"/>
          </w:tcPr>
          <w:p w14:paraId="30DE3139" w14:textId="77777777" w:rsidR="00052A87" w:rsidRPr="00660890" w:rsidRDefault="00052A87" w:rsidP="00052A87">
            <w:pPr>
              <w:pStyle w:val="TableTextRight"/>
            </w:pPr>
            <w:r w:rsidRPr="00660890">
              <w:t>51.25</w:t>
            </w:r>
          </w:p>
        </w:tc>
      </w:tr>
      <w:tr w:rsidR="00052A87" w:rsidRPr="00660890" w14:paraId="092F8B26" w14:textId="77777777" w:rsidTr="00163B29">
        <w:tc>
          <w:tcPr>
            <w:tcW w:w="1814" w:type="dxa"/>
            <w:shd w:val="clear" w:color="auto" w:fill="F2F2F2" w:themeFill="background1" w:themeFillShade="F2"/>
          </w:tcPr>
          <w:p w14:paraId="17468F30" w14:textId="77777777" w:rsidR="00052A87" w:rsidRPr="005A0CE4" w:rsidRDefault="00052A87" w:rsidP="00052A87">
            <w:pPr>
              <w:pStyle w:val="TableTextLeft"/>
            </w:pPr>
            <w:r w:rsidRPr="005A0CE4">
              <w:t>18</w:t>
            </w:r>
          </w:p>
        </w:tc>
        <w:tc>
          <w:tcPr>
            <w:tcW w:w="1814" w:type="dxa"/>
            <w:shd w:val="clear" w:color="auto" w:fill="F2F2F2" w:themeFill="background1" w:themeFillShade="F2"/>
          </w:tcPr>
          <w:p w14:paraId="08EFE70D" w14:textId="77777777" w:rsidR="00052A87" w:rsidRPr="00660890" w:rsidRDefault="00052A87" w:rsidP="00052A87">
            <w:pPr>
              <w:pStyle w:val="TableTextRight"/>
            </w:pPr>
            <w:r w:rsidRPr="00660890">
              <w:t>33.00</w:t>
            </w:r>
          </w:p>
        </w:tc>
        <w:tc>
          <w:tcPr>
            <w:tcW w:w="454" w:type="dxa"/>
            <w:shd w:val="clear" w:color="auto" w:fill="F2F2F2" w:themeFill="background1" w:themeFillShade="F2"/>
          </w:tcPr>
          <w:p w14:paraId="767FA38E" w14:textId="77777777" w:rsidR="00052A87" w:rsidRPr="00660890" w:rsidRDefault="00052A87" w:rsidP="00052A87">
            <w:pPr>
              <w:pStyle w:val="TableTextLeft"/>
            </w:pPr>
          </w:p>
        </w:tc>
        <w:tc>
          <w:tcPr>
            <w:tcW w:w="1814" w:type="dxa"/>
            <w:shd w:val="clear" w:color="auto" w:fill="F2F2F2" w:themeFill="background1" w:themeFillShade="F2"/>
          </w:tcPr>
          <w:p w14:paraId="19B26384" w14:textId="77777777" w:rsidR="00052A87" w:rsidRPr="00660890" w:rsidRDefault="00052A87" w:rsidP="00052A87">
            <w:pPr>
              <w:pStyle w:val="TableTextLeft"/>
            </w:pPr>
            <w:r w:rsidRPr="00660890">
              <w:t>31</w:t>
            </w:r>
          </w:p>
        </w:tc>
        <w:tc>
          <w:tcPr>
            <w:tcW w:w="1814" w:type="dxa"/>
            <w:shd w:val="clear" w:color="auto" w:fill="F2F2F2" w:themeFill="background1" w:themeFillShade="F2"/>
          </w:tcPr>
          <w:p w14:paraId="6BA08C34" w14:textId="77777777" w:rsidR="00052A87" w:rsidRPr="00660890" w:rsidRDefault="00052A87" w:rsidP="00052A87">
            <w:pPr>
              <w:pStyle w:val="TableTextRight"/>
            </w:pPr>
            <w:r w:rsidRPr="00660890">
              <w:t>53.25</w:t>
            </w:r>
          </w:p>
        </w:tc>
      </w:tr>
      <w:tr w:rsidR="00052A87" w:rsidRPr="00660890" w14:paraId="6379DFFA" w14:textId="77777777" w:rsidTr="00163B29">
        <w:tc>
          <w:tcPr>
            <w:tcW w:w="1814" w:type="dxa"/>
          </w:tcPr>
          <w:p w14:paraId="7FF9E5A0" w14:textId="77777777" w:rsidR="00052A87" w:rsidRPr="005A0CE4" w:rsidRDefault="00052A87" w:rsidP="00052A87">
            <w:pPr>
              <w:pStyle w:val="TableTextLeft"/>
            </w:pPr>
            <w:r w:rsidRPr="005A0CE4">
              <w:t>19</w:t>
            </w:r>
          </w:p>
        </w:tc>
        <w:tc>
          <w:tcPr>
            <w:tcW w:w="1814" w:type="dxa"/>
          </w:tcPr>
          <w:p w14:paraId="30EB2D80" w14:textId="77777777" w:rsidR="00052A87" w:rsidRPr="00660890" w:rsidRDefault="00052A87" w:rsidP="00052A87">
            <w:pPr>
              <w:pStyle w:val="TableTextRight"/>
            </w:pPr>
            <w:r w:rsidRPr="00660890">
              <w:t>34.00</w:t>
            </w:r>
          </w:p>
        </w:tc>
        <w:tc>
          <w:tcPr>
            <w:tcW w:w="454" w:type="dxa"/>
          </w:tcPr>
          <w:p w14:paraId="493D6370" w14:textId="77777777" w:rsidR="00052A87" w:rsidRPr="00660890" w:rsidRDefault="00052A87" w:rsidP="00052A87">
            <w:pPr>
              <w:pStyle w:val="TableTextLeft"/>
            </w:pPr>
          </w:p>
        </w:tc>
        <w:tc>
          <w:tcPr>
            <w:tcW w:w="1814" w:type="dxa"/>
          </w:tcPr>
          <w:p w14:paraId="531C94A8" w14:textId="77777777" w:rsidR="00052A87" w:rsidRPr="00660890" w:rsidRDefault="00052A87" w:rsidP="00052A87">
            <w:pPr>
              <w:pStyle w:val="TableTextLeft"/>
            </w:pPr>
            <w:r w:rsidRPr="00660890">
              <w:t>32</w:t>
            </w:r>
          </w:p>
        </w:tc>
        <w:tc>
          <w:tcPr>
            <w:tcW w:w="1814" w:type="dxa"/>
          </w:tcPr>
          <w:p w14:paraId="0A7FCA20" w14:textId="77777777" w:rsidR="00052A87" w:rsidRPr="00660890" w:rsidRDefault="00052A87" w:rsidP="00052A87">
            <w:pPr>
              <w:pStyle w:val="TableTextRight"/>
            </w:pPr>
            <w:r w:rsidRPr="00660890">
              <w:t>55.50</w:t>
            </w:r>
          </w:p>
        </w:tc>
      </w:tr>
      <w:tr w:rsidR="00052A87" w:rsidRPr="00660890" w14:paraId="5DE9E177" w14:textId="77777777" w:rsidTr="00163B29">
        <w:tc>
          <w:tcPr>
            <w:tcW w:w="1814" w:type="dxa"/>
            <w:shd w:val="clear" w:color="auto" w:fill="F2F2F2" w:themeFill="background1" w:themeFillShade="F2"/>
          </w:tcPr>
          <w:p w14:paraId="5592560E" w14:textId="77777777" w:rsidR="00052A87" w:rsidRPr="005A0CE4" w:rsidRDefault="00052A87" w:rsidP="00052A87">
            <w:pPr>
              <w:pStyle w:val="TableTextLeft"/>
            </w:pPr>
            <w:r w:rsidRPr="005A0CE4">
              <w:t>20</w:t>
            </w:r>
          </w:p>
        </w:tc>
        <w:tc>
          <w:tcPr>
            <w:tcW w:w="1814" w:type="dxa"/>
            <w:shd w:val="clear" w:color="auto" w:fill="F2F2F2" w:themeFill="background1" w:themeFillShade="F2"/>
          </w:tcPr>
          <w:p w14:paraId="69FC47ED" w14:textId="77777777" w:rsidR="00052A87" w:rsidRPr="00660890" w:rsidRDefault="00052A87" w:rsidP="00052A87">
            <w:pPr>
              <w:pStyle w:val="TableTextRight"/>
            </w:pPr>
            <w:r w:rsidRPr="00660890">
              <w:t>35.00</w:t>
            </w:r>
          </w:p>
        </w:tc>
        <w:tc>
          <w:tcPr>
            <w:tcW w:w="454" w:type="dxa"/>
            <w:shd w:val="clear" w:color="auto" w:fill="F2F2F2" w:themeFill="background1" w:themeFillShade="F2"/>
          </w:tcPr>
          <w:p w14:paraId="0E603E12" w14:textId="77777777" w:rsidR="00052A87" w:rsidRPr="00660890" w:rsidRDefault="00052A87" w:rsidP="00052A87">
            <w:pPr>
              <w:pStyle w:val="TableTextLeft"/>
            </w:pPr>
          </w:p>
        </w:tc>
        <w:tc>
          <w:tcPr>
            <w:tcW w:w="1814" w:type="dxa"/>
            <w:shd w:val="clear" w:color="auto" w:fill="F2F2F2" w:themeFill="background1" w:themeFillShade="F2"/>
          </w:tcPr>
          <w:p w14:paraId="1D39EC64" w14:textId="77777777" w:rsidR="00052A87" w:rsidRPr="00660890" w:rsidRDefault="00052A87" w:rsidP="00052A87">
            <w:pPr>
              <w:pStyle w:val="TableTextLeft"/>
            </w:pPr>
            <w:r w:rsidRPr="00660890">
              <w:t>33</w:t>
            </w:r>
          </w:p>
        </w:tc>
        <w:tc>
          <w:tcPr>
            <w:tcW w:w="1814" w:type="dxa"/>
            <w:shd w:val="clear" w:color="auto" w:fill="F2F2F2" w:themeFill="background1" w:themeFillShade="F2"/>
          </w:tcPr>
          <w:p w14:paraId="522E867A" w14:textId="77777777" w:rsidR="00052A87" w:rsidRPr="00660890" w:rsidRDefault="00052A87" w:rsidP="00052A87">
            <w:pPr>
              <w:pStyle w:val="TableTextRight"/>
            </w:pPr>
            <w:r w:rsidRPr="00660890">
              <w:t>57.75</w:t>
            </w:r>
          </w:p>
        </w:tc>
      </w:tr>
      <w:tr w:rsidR="00052A87" w:rsidRPr="00660890" w14:paraId="31D00FEE" w14:textId="77777777" w:rsidTr="00163B29">
        <w:tc>
          <w:tcPr>
            <w:tcW w:w="1814" w:type="dxa"/>
          </w:tcPr>
          <w:p w14:paraId="707B88B1" w14:textId="77777777" w:rsidR="00052A87" w:rsidRPr="005A0CE4" w:rsidRDefault="00052A87" w:rsidP="00052A87">
            <w:pPr>
              <w:pStyle w:val="TableTextLeft"/>
            </w:pPr>
            <w:r w:rsidRPr="005A0CE4">
              <w:t>21</w:t>
            </w:r>
          </w:p>
        </w:tc>
        <w:tc>
          <w:tcPr>
            <w:tcW w:w="1814" w:type="dxa"/>
          </w:tcPr>
          <w:p w14:paraId="4E37CECF" w14:textId="77777777" w:rsidR="00052A87" w:rsidRPr="00660890" w:rsidRDefault="00052A87" w:rsidP="00052A87">
            <w:pPr>
              <w:pStyle w:val="TableTextRight"/>
            </w:pPr>
            <w:r w:rsidRPr="00660890">
              <w:t>36.50</w:t>
            </w:r>
          </w:p>
        </w:tc>
        <w:tc>
          <w:tcPr>
            <w:tcW w:w="454" w:type="dxa"/>
          </w:tcPr>
          <w:p w14:paraId="4E05B33D" w14:textId="77777777" w:rsidR="00052A87" w:rsidRPr="00660890" w:rsidRDefault="00052A87" w:rsidP="00052A87">
            <w:pPr>
              <w:pStyle w:val="TableTextLeft"/>
            </w:pPr>
          </w:p>
        </w:tc>
        <w:tc>
          <w:tcPr>
            <w:tcW w:w="1814" w:type="dxa"/>
          </w:tcPr>
          <w:p w14:paraId="4BBA1568" w14:textId="77777777" w:rsidR="00052A87" w:rsidRPr="00660890" w:rsidRDefault="00052A87" w:rsidP="00052A87">
            <w:pPr>
              <w:pStyle w:val="TableTextLeft"/>
            </w:pPr>
            <w:r w:rsidRPr="00660890">
              <w:t>34</w:t>
            </w:r>
          </w:p>
        </w:tc>
        <w:tc>
          <w:tcPr>
            <w:tcW w:w="1814" w:type="dxa"/>
          </w:tcPr>
          <w:p w14:paraId="3CD4265A" w14:textId="77777777" w:rsidR="00052A87" w:rsidRPr="00660890" w:rsidRDefault="00052A87" w:rsidP="00052A87">
            <w:pPr>
              <w:pStyle w:val="TableTextRight"/>
            </w:pPr>
            <w:r w:rsidRPr="00660890">
              <w:t>60.25</w:t>
            </w:r>
          </w:p>
        </w:tc>
      </w:tr>
      <w:tr w:rsidR="00052A87" w:rsidRPr="00660890" w14:paraId="16B87F27" w14:textId="77777777" w:rsidTr="00163B29">
        <w:tc>
          <w:tcPr>
            <w:tcW w:w="1814" w:type="dxa"/>
            <w:shd w:val="clear" w:color="auto" w:fill="F2F2F2" w:themeFill="background1" w:themeFillShade="F2"/>
          </w:tcPr>
          <w:p w14:paraId="15FFF102" w14:textId="77777777" w:rsidR="00052A87" w:rsidRPr="005A0CE4" w:rsidRDefault="00052A87" w:rsidP="00052A87">
            <w:pPr>
              <w:pStyle w:val="TableTextLeft"/>
            </w:pPr>
            <w:r w:rsidRPr="005A0CE4">
              <w:t>22</w:t>
            </w:r>
          </w:p>
        </w:tc>
        <w:tc>
          <w:tcPr>
            <w:tcW w:w="1814" w:type="dxa"/>
            <w:shd w:val="clear" w:color="auto" w:fill="F2F2F2" w:themeFill="background1" w:themeFillShade="F2"/>
          </w:tcPr>
          <w:p w14:paraId="16CDA183" w14:textId="77777777" w:rsidR="00052A87" w:rsidRPr="00660890" w:rsidRDefault="00052A87" w:rsidP="00052A87">
            <w:pPr>
              <w:pStyle w:val="TableTextRight"/>
            </w:pPr>
            <w:r w:rsidRPr="00660890">
              <w:t>38.00</w:t>
            </w:r>
          </w:p>
        </w:tc>
        <w:tc>
          <w:tcPr>
            <w:tcW w:w="454" w:type="dxa"/>
            <w:shd w:val="clear" w:color="auto" w:fill="F2F2F2" w:themeFill="background1" w:themeFillShade="F2"/>
          </w:tcPr>
          <w:p w14:paraId="69B9D283" w14:textId="77777777" w:rsidR="00052A87" w:rsidRPr="00660890" w:rsidRDefault="00052A87" w:rsidP="00052A87">
            <w:pPr>
              <w:pStyle w:val="TableTextLeft"/>
            </w:pPr>
          </w:p>
        </w:tc>
        <w:tc>
          <w:tcPr>
            <w:tcW w:w="1814" w:type="dxa"/>
            <w:shd w:val="clear" w:color="auto" w:fill="F2F2F2" w:themeFill="background1" w:themeFillShade="F2"/>
          </w:tcPr>
          <w:p w14:paraId="18CDE713" w14:textId="77777777" w:rsidR="00052A87" w:rsidRPr="00660890" w:rsidRDefault="00052A87" w:rsidP="00052A87">
            <w:pPr>
              <w:pStyle w:val="TableTextLeft"/>
            </w:pPr>
            <w:r w:rsidRPr="00660890">
              <w:t>35</w:t>
            </w:r>
          </w:p>
        </w:tc>
        <w:tc>
          <w:tcPr>
            <w:tcW w:w="1814" w:type="dxa"/>
            <w:shd w:val="clear" w:color="auto" w:fill="F2F2F2" w:themeFill="background1" w:themeFillShade="F2"/>
          </w:tcPr>
          <w:p w14:paraId="2E268491" w14:textId="77777777" w:rsidR="00052A87" w:rsidRPr="00660890" w:rsidRDefault="00052A87" w:rsidP="00052A87">
            <w:pPr>
              <w:pStyle w:val="TableTextRight"/>
            </w:pPr>
            <w:r w:rsidRPr="00660890">
              <w:t>62.75</w:t>
            </w:r>
          </w:p>
        </w:tc>
      </w:tr>
      <w:tr w:rsidR="00052A87" w:rsidRPr="00660890" w14:paraId="447C33B8" w14:textId="77777777" w:rsidTr="00163B29">
        <w:tc>
          <w:tcPr>
            <w:tcW w:w="1814" w:type="dxa"/>
          </w:tcPr>
          <w:p w14:paraId="3EF2B1CB" w14:textId="77777777" w:rsidR="00052A87" w:rsidRPr="005A0CE4" w:rsidRDefault="00052A87" w:rsidP="00052A87">
            <w:pPr>
              <w:pStyle w:val="TableTextLeft"/>
            </w:pPr>
            <w:r w:rsidRPr="005A0CE4">
              <w:t>23</w:t>
            </w:r>
          </w:p>
        </w:tc>
        <w:tc>
          <w:tcPr>
            <w:tcW w:w="1814" w:type="dxa"/>
          </w:tcPr>
          <w:p w14:paraId="7F9B7C2E" w14:textId="77777777" w:rsidR="00052A87" w:rsidRPr="00660890" w:rsidRDefault="00052A87" w:rsidP="00052A87">
            <w:pPr>
              <w:pStyle w:val="TableTextRight"/>
            </w:pPr>
            <w:r w:rsidRPr="00660890">
              <w:t>39.50</w:t>
            </w:r>
          </w:p>
        </w:tc>
        <w:tc>
          <w:tcPr>
            <w:tcW w:w="454" w:type="dxa"/>
          </w:tcPr>
          <w:p w14:paraId="0AF7DCD6" w14:textId="77777777" w:rsidR="00052A87" w:rsidRPr="00660890" w:rsidRDefault="00052A87" w:rsidP="00052A87">
            <w:pPr>
              <w:pStyle w:val="TableTextLeft"/>
            </w:pPr>
          </w:p>
        </w:tc>
        <w:tc>
          <w:tcPr>
            <w:tcW w:w="1814" w:type="dxa"/>
          </w:tcPr>
          <w:p w14:paraId="61DFB56A" w14:textId="77777777" w:rsidR="00052A87" w:rsidRPr="00660890" w:rsidRDefault="00052A87" w:rsidP="00052A87">
            <w:pPr>
              <w:pStyle w:val="TableTextLeft"/>
            </w:pPr>
            <w:r w:rsidRPr="00660890">
              <w:t>36</w:t>
            </w:r>
          </w:p>
        </w:tc>
        <w:tc>
          <w:tcPr>
            <w:tcW w:w="1814" w:type="dxa"/>
          </w:tcPr>
          <w:p w14:paraId="5E3F7BC6" w14:textId="77777777" w:rsidR="00052A87" w:rsidRPr="00660890" w:rsidRDefault="00052A87" w:rsidP="00052A87">
            <w:pPr>
              <w:pStyle w:val="TableTextRight"/>
            </w:pPr>
            <w:r w:rsidRPr="00660890">
              <w:t>65.25</w:t>
            </w:r>
          </w:p>
        </w:tc>
      </w:tr>
      <w:tr w:rsidR="00052A87" w:rsidRPr="00660890" w14:paraId="639D776A" w14:textId="77777777" w:rsidTr="00163B29">
        <w:tc>
          <w:tcPr>
            <w:tcW w:w="1814" w:type="dxa"/>
            <w:shd w:val="clear" w:color="auto" w:fill="F2F2F2" w:themeFill="background1" w:themeFillShade="F2"/>
          </w:tcPr>
          <w:p w14:paraId="6BD8FD0C" w14:textId="77777777" w:rsidR="00052A87" w:rsidRPr="005A0CE4" w:rsidRDefault="00052A87" w:rsidP="00052A87">
            <w:pPr>
              <w:pStyle w:val="TableTextLeft"/>
            </w:pPr>
            <w:r w:rsidRPr="005A0CE4">
              <w:t>24</w:t>
            </w:r>
          </w:p>
        </w:tc>
        <w:tc>
          <w:tcPr>
            <w:tcW w:w="1814" w:type="dxa"/>
            <w:shd w:val="clear" w:color="auto" w:fill="F2F2F2" w:themeFill="background1" w:themeFillShade="F2"/>
          </w:tcPr>
          <w:p w14:paraId="7E70A214" w14:textId="77777777" w:rsidR="00052A87" w:rsidRPr="00660890" w:rsidRDefault="00052A87" w:rsidP="00052A87">
            <w:pPr>
              <w:pStyle w:val="TableTextRight"/>
            </w:pPr>
            <w:r w:rsidRPr="00660890">
              <w:t>41.00</w:t>
            </w:r>
          </w:p>
        </w:tc>
        <w:tc>
          <w:tcPr>
            <w:tcW w:w="454" w:type="dxa"/>
            <w:shd w:val="clear" w:color="auto" w:fill="F2F2F2" w:themeFill="background1" w:themeFillShade="F2"/>
          </w:tcPr>
          <w:p w14:paraId="4206C8AF" w14:textId="77777777" w:rsidR="00052A87" w:rsidRPr="00660890" w:rsidRDefault="00052A87" w:rsidP="00052A87">
            <w:pPr>
              <w:pStyle w:val="TableTextLeft"/>
            </w:pPr>
          </w:p>
        </w:tc>
        <w:tc>
          <w:tcPr>
            <w:tcW w:w="1814" w:type="dxa"/>
            <w:shd w:val="clear" w:color="auto" w:fill="F2F2F2" w:themeFill="background1" w:themeFillShade="F2"/>
          </w:tcPr>
          <w:p w14:paraId="194DBF50" w14:textId="77777777" w:rsidR="00052A87" w:rsidRPr="00660890" w:rsidRDefault="00052A87" w:rsidP="00052A87">
            <w:pPr>
              <w:pStyle w:val="TableTextLeft"/>
            </w:pPr>
            <w:r w:rsidRPr="00660890">
              <w:t>37</w:t>
            </w:r>
          </w:p>
        </w:tc>
        <w:tc>
          <w:tcPr>
            <w:tcW w:w="1814" w:type="dxa"/>
            <w:shd w:val="clear" w:color="auto" w:fill="F2F2F2" w:themeFill="background1" w:themeFillShade="F2"/>
          </w:tcPr>
          <w:p w14:paraId="56B11C74" w14:textId="77777777" w:rsidR="00052A87" w:rsidRPr="00660890" w:rsidRDefault="00052A87" w:rsidP="00052A87">
            <w:pPr>
              <w:pStyle w:val="TableTextRight"/>
            </w:pPr>
            <w:r w:rsidRPr="00660890">
              <w:t>67.75</w:t>
            </w:r>
          </w:p>
        </w:tc>
      </w:tr>
      <w:tr w:rsidR="00052A87" w:rsidRPr="00660890" w14:paraId="5EC7BF93" w14:textId="77777777" w:rsidTr="00163B29">
        <w:tc>
          <w:tcPr>
            <w:tcW w:w="1814" w:type="dxa"/>
          </w:tcPr>
          <w:p w14:paraId="2AFAFF37" w14:textId="77777777" w:rsidR="00052A87" w:rsidRPr="005A0CE4" w:rsidRDefault="00052A87" w:rsidP="00052A87">
            <w:pPr>
              <w:pStyle w:val="TableTextLeft"/>
            </w:pPr>
            <w:r w:rsidRPr="005A0CE4">
              <w:t>25</w:t>
            </w:r>
          </w:p>
        </w:tc>
        <w:tc>
          <w:tcPr>
            <w:tcW w:w="1814" w:type="dxa"/>
          </w:tcPr>
          <w:p w14:paraId="7A1DB56C" w14:textId="77777777" w:rsidR="00052A87" w:rsidRPr="00660890" w:rsidRDefault="00052A87" w:rsidP="00052A87">
            <w:pPr>
              <w:pStyle w:val="TableTextRight"/>
            </w:pPr>
            <w:r w:rsidRPr="00660890">
              <w:t>42.50</w:t>
            </w:r>
          </w:p>
        </w:tc>
        <w:tc>
          <w:tcPr>
            <w:tcW w:w="454" w:type="dxa"/>
          </w:tcPr>
          <w:p w14:paraId="60C5E545" w14:textId="77777777" w:rsidR="00052A87" w:rsidRPr="00660890" w:rsidRDefault="00052A87" w:rsidP="00052A87">
            <w:pPr>
              <w:pStyle w:val="TableTextLeft"/>
            </w:pPr>
          </w:p>
        </w:tc>
        <w:tc>
          <w:tcPr>
            <w:tcW w:w="1814" w:type="dxa"/>
          </w:tcPr>
          <w:p w14:paraId="22F97DA2" w14:textId="77777777" w:rsidR="00052A87" w:rsidRPr="00660890" w:rsidRDefault="00052A87" w:rsidP="00052A87">
            <w:pPr>
              <w:pStyle w:val="TableTextLeft"/>
            </w:pPr>
            <w:r w:rsidRPr="00660890">
              <w:t>38</w:t>
            </w:r>
          </w:p>
        </w:tc>
        <w:tc>
          <w:tcPr>
            <w:tcW w:w="1814" w:type="dxa"/>
          </w:tcPr>
          <w:p w14:paraId="5855631A" w14:textId="77777777" w:rsidR="00052A87" w:rsidRPr="00660890" w:rsidRDefault="00052A87" w:rsidP="00052A87">
            <w:pPr>
              <w:pStyle w:val="TableTextRight"/>
            </w:pPr>
            <w:r w:rsidRPr="00660890">
              <w:t>70.50</w:t>
            </w:r>
          </w:p>
        </w:tc>
      </w:tr>
      <w:tr w:rsidR="00052A87" w:rsidRPr="00660890" w14:paraId="2F6C1866" w14:textId="77777777" w:rsidTr="00163B29">
        <w:tc>
          <w:tcPr>
            <w:tcW w:w="1814" w:type="dxa"/>
            <w:shd w:val="clear" w:color="auto" w:fill="F2F2F2" w:themeFill="background1" w:themeFillShade="F2"/>
          </w:tcPr>
          <w:p w14:paraId="300D5028" w14:textId="77777777" w:rsidR="00052A87" w:rsidRPr="005A0CE4" w:rsidRDefault="00052A87" w:rsidP="00052A87">
            <w:pPr>
              <w:pStyle w:val="TableTextLeft"/>
            </w:pPr>
            <w:r w:rsidRPr="005A0CE4">
              <w:t>26</w:t>
            </w:r>
          </w:p>
        </w:tc>
        <w:tc>
          <w:tcPr>
            <w:tcW w:w="1814" w:type="dxa"/>
            <w:shd w:val="clear" w:color="auto" w:fill="F2F2F2" w:themeFill="background1" w:themeFillShade="F2"/>
          </w:tcPr>
          <w:p w14:paraId="09C8DBA3" w14:textId="77777777" w:rsidR="00052A87" w:rsidRPr="00660890" w:rsidRDefault="00052A87" w:rsidP="00052A87">
            <w:pPr>
              <w:pStyle w:val="TableTextRight"/>
            </w:pPr>
            <w:r w:rsidRPr="00660890">
              <w:t>44.00</w:t>
            </w:r>
          </w:p>
        </w:tc>
        <w:tc>
          <w:tcPr>
            <w:tcW w:w="454" w:type="dxa"/>
            <w:shd w:val="clear" w:color="auto" w:fill="F2F2F2" w:themeFill="background1" w:themeFillShade="F2"/>
          </w:tcPr>
          <w:p w14:paraId="799EAC2A" w14:textId="77777777" w:rsidR="00052A87" w:rsidRPr="00660890" w:rsidRDefault="00052A87" w:rsidP="00052A87">
            <w:pPr>
              <w:pStyle w:val="TableTextLeft"/>
            </w:pPr>
          </w:p>
        </w:tc>
        <w:tc>
          <w:tcPr>
            <w:tcW w:w="1814" w:type="dxa"/>
            <w:shd w:val="clear" w:color="auto" w:fill="F2F2F2" w:themeFill="background1" w:themeFillShade="F2"/>
          </w:tcPr>
          <w:p w14:paraId="573FD10D" w14:textId="77777777" w:rsidR="00052A87" w:rsidRPr="00660890" w:rsidRDefault="00052A87" w:rsidP="00052A87">
            <w:pPr>
              <w:pStyle w:val="TableTextLeft"/>
            </w:pPr>
            <w:r w:rsidRPr="00660890">
              <w:t>39</w:t>
            </w:r>
          </w:p>
        </w:tc>
        <w:tc>
          <w:tcPr>
            <w:tcW w:w="1814" w:type="dxa"/>
            <w:shd w:val="clear" w:color="auto" w:fill="F2F2F2" w:themeFill="background1" w:themeFillShade="F2"/>
          </w:tcPr>
          <w:p w14:paraId="4643BB0F" w14:textId="77777777" w:rsidR="00052A87" w:rsidRPr="00660890" w:rsidRDefault="00052A87" w:rsidP="00052A87">
            <w:pPr>
              <w:pStyle w:val="TableTextRight"/>
            </w:pPr>
            <w:r w:rsidRPr="00660890">
              <w:t>73.50</w:t>
            </w:r>
          </w:p>
        </w:tc>
      </w:tr>
      <w:tr w:rsidR="00052A87" w:rsidRPr="00660890" w14:paraId="38FB58C2" w14:textId="77777777" w:rsidTr="00163B29">
        <w:tc>
          <w:tcPr>
            <w:tcW w:w="1814" w:type="dxa"/>
          </w:tcPr>
          <w:p w14:paraId="60F0D4BF" w14:textId="77777777" w:rsidR="00052A87" w:rsidRPr="005A0CE4" w:rsidRDefault="00052A87" w:rsidP="00052A87">
            <w:pPr>
              <w:pStyle w:val="TableTextLeft"/>
            </w:pPr>
            <w:r w:rsidRPr="005A0CE4">
              <w:t>27</w:t>
            </w:r>
          </w:p>
        </w:tc>
        <w:tc>
          <w:tcPr>
            <w:tcW w:w="1814" w:type="dxa"/>
          </w:tcPr>
          <w:p w14:paraId="121E9F79" w14:textId="77777777" w:rsidR="00052A87" w:rsidRPr="00660890" w:rsidRDefault="00052A87" w:rsidP="00052A87">
            <w:pPr>
              <w:pStyle w:val="TableTextRight"/>
            </w:pPr>
            <w:r w:rsidRPr="00660890">
              <w:t>45.75</w:t>
            </w:r>
          </w:p>
        </w:tc>
        <w:tc>
          <w:tcPr>
            <w:tcW w:w="454" w:type="dxa"/>
          </w:tcPr>
          <w:p w14:paraId="3BD890A4" w14:textId="77777777" w:rsidR="00052A87" w:rsidRPr="00660890" w:rsidRDefault="00052A87" w:rsidP="00052A87">
            <w:pPr>
              <w:pStyle w:val="TableTextLeft"/>
            </w:pPr>
          </w:p>
        </w:tc>
        <w:tc>
          <w:tcPr>
            <w:tcW w:w="1814" w:type="dxa"/>
          </w:tcPr>
          <w:p w14:paraId="7E31B971" w14:textId="77777777" w:rsidR="00052A87" w:rsidRPr="00660890" w:rsidRDefault="00052A87" w:rsidP="00052A87">
            <w:pPr>
              <w:pStyle w:val="TableTextLeft"/>
            </w:pPr>
            <w:r w:rsidRPr="00660890">
              <w:t>40</w:t>
            </w:r>
          </w:p>
        </w:tc>
        <w:tc>
          <w:tcPr>
            <w:tcW w:w="1814" w:type="dxa"/>
          </w:tcPr>
          <w:p w14:paraId="54A42A65" w14:textId="77777777" w:rsidR="00052A87" w:rsidRPr="00660890" w:rsidRDefault="00052A87" w:rsidP="00052A87">
            <w:pPr>
              <w:pStyle w:val="TableTextRight"/>
            </w:pPr>
            <w:r w:rsidRPr="00660890">
              <w:t>76.50</w:t>
            </w:r>
          </w:p>
        </w:tc>
      </w:tr>
    </w:tbl>
    <w:p w14:paraId="1D88CBD1" w14:textId="77777777" w:rsidR="00052A87" w:rsidRPr="00C157F7" w:rsidRDefault="00052A87" w:rsidP="00052A87">
      <w:pPr>
        <w:pStyle w:val="SingleParagraph"/>
      </w:pPr>
    </w:p>
    <w:p w14:paraId="23FFD364" w14:textId="77777777" w:rsidR="00052A87" w:rsidRPr="00C157F7" w:rsidRDefault="00052A87" w:rsidP="00052A87">
      <w:pPr>
        <w:rPr>
          <w:rFonts w:cs="Arial"/>
        </w:rPr>
      </w:pPr>
      <w:r w:rsidRPr="00C157F7">
        <w:rPr>
          <w:rFonts w:cs="Arial"/>
        </w:rPr>
        <w:t xml:space="preserve">Officers who voluntarily retire or are discharged on disciplinary grounds before reaching notional retiring age (generally </w:t>
      </w:r>
      <w:r>
        <w:rPr>
          <w:rFonts w:cs="Arial"/>
        </w:rPr>
        <w:t>five</w:t>
      </w:r>
      <w:r w:rsidRPr="00C157F7">
        <w:rPr>
          <w:rFonts w:cs="Arial"/>
        </w:rPr>
        <w:t xml:space="preserve"> years below the </w:t>
      </w:r>
      <w:r>
        <w:rPr>
          <w:rFonts w:cs="Arial"/>
        </w:rPr>
        <w:t>s</w:t>
      </w:r>
      <w:r w:rsidRPr="00C157F7">
        <w:rPr>
          <w:rFonts w:cs="Arial"/>
        </w:rPr>
        <w:t xml:space="preserve">tatutory </w:t>
      </w:r>
      <w:r>
        <w:rPr>
          <w:rFonts w:cs="Arial"/>
        </w:rPr>
        <w:t>r</w:t>
      </w:r>
      <w:r w:rsidRPr="00C157F7">
        <w:rPr>
          <w:rFonts w:cs="Arial"/>
        </w:rPr>
        <w:t xml:space="preserve">etiring </w:t>
      </w:r>
      <w:r>
        <w:rPr>
          <w:rFonts w:cs="Arial"/>
        </w:rPr>
        <w:t>a</w:t>
      </w:r>
      <w:r w:rsidRPr="00C157F7">
        <w:rPr>
          <w:rFonts w:cs="Arial"/>
        </w:rPr>
        <w:t xml:space="preserve">ge) have a penalty applied to the calculation of their </w:t>
      </w:r>
      <w:r>
        <w:rPr>
          <w:rFonts w:cs="Arial"/>
        </w:rPr>
        <w:t>r</w:t>
      </w:r>
      <w:r w:rsidRPr="00C157F7">
        <w:rPr>
          <w:rFonts w:cs="Arial"/>
        </w:rPr>
        <w:t xml:space="preserve">etirement </w:t>
      </w:r>
      <w:r>
        <w:rPr>
          <w:rFonts w:cs="Arial"/>
        </w:rPr>
        <w:t>p</w:t>
      </w:r>
      <w:r w:rsidRPr="00C157F7">
        <w:rPr>
          <w:rFonts w:cs="Arial"/>
        </w:rPr>
        <w:t>ay</w:t>
      </w:r>
      <w:r>
        <w:rPr>
          <w:rFonts w:cs="Arial"/>
        </w:rPr>
        <w:t xml:space="preserve">. </w:t>
      </w:r>
      <w:r w:rsidRPr="00C157F7">
        <w:rPr>
          <w:rFonts w:cs="Arial"/>
        </w:rPr>
        <w:t>The penalty is a 3</w:t>
      </w:r>
      <w:r>
        <w:rPr>
          <w:rFonts w:cs="Arial"/>
        </w:rPr>
        <w:t> per cent</w:t>
      </w:r>
      <w:r w:rsidRPr="00C157F7">
        <w:rPr>
          <w:rFonts w:cs="Arial"/>
        </w:rPr>
        <w:t xml:space="preserve"> reduction in </w:t>
      </w:r>
      <w:r>
        <w:rPr>
          <w:rFonts w:cs="Arial"/>
        </w:rPr>
        <w:t>r</w:t>
      </w:r>
      <w:r w:rsidRPr="00C157F7">
        <w:rPr>
          <w:rFonts w:cs="Arial"/>
        </w:rPr>
        <w:t xml:space="preserve">etirement </w:t>
      </w:r>
      <w:r>
        <w:rPr>
          <w:rFonts w:cs="Arial"/>
        </w:rPr>
        <w:t>p</w:t>
      </w:r>
      <w:r w:rsidRPr="00C157F7">
        <w:rPr>
          <w:rFonts w:cs="Arial"/>
        </w:rPr>
        <w:t>ay for each year that their age on retirement is less than their notional retiring age.</w:t>
      </w:r>
    </w:p>
    <w:p w14:paraId="285D5B3A" w14:textId="77777777" w:rsidR="00052A87" w:rsidRPr="00C157F7" w:rsidRDefault="00052A87" w:rsidP="00EB2452">
      <w:pPr>
        <w:pStyle w:val="Heading3nonumbering"/>
      </w:pPr>
      <w:r w:rsidRPr="00C157F7">
        <w:t>Commutation</w:t>
      </w:r>
    </w:p>
    <w:p w14:paraId="208186E1" w14:textId="77777777" w:rsidR="00052A87" w:rsidRPr="00C157F7" w:rsidRDefault="00052A87" w:rsidP="00052A87">
      <w:pPr>
        <w:rPr>
          <w:rFonts w:cs="Arial"/>
        </w:rPr>
      </w:pPr>
      <w:r w:rsidRPr="00C157F7">
        <w:rPr>
          <w:rFonts w:cs="Arial"/>
        </w:rPr>
        <w:t xml:space="preserve">A portion of </w:t>
      </w:r>
      <w:r>
        <w:rPr>
          <w:rFonts w:cs="Arial"/>
        </w:rPr>
        <w:t>r</w:t>
      </w:r>
      <w:r w:rsidRPr="00C157F7">
        <w:rPr>
          <w:rFonts w:cs="Arial"/>
        </w:rPr>
        <w:t xml:space="preserve">etirement </w:t>
      </w:r>
      <w:r>
        <w:rPr>
          <w:rFonts w:cs="Arial"/>
        </w:rPr>
        <w:t>p</w:t>
      </w:r>
      <w:r w:rsidRPr="00C157F7">
        <w:rPr>
          <w:rFonts w:cs="Arial"/>
        </w:rPr>
        <w:t>ay may be commuted to a lump sum</w:t>
      </w:r>
      <w:r>
        <w:rPr>
          <w:rFonts w:cs="Arial"/>
        </w:rPr>
        <w:t xml:space="preserve">. </w:t>
      </w:r>
      <w:r w:rsidRPr="00C157F7">
        <w:rPr>
          <w:rFonts w:cs="Arial"/>
        </w:rPr>
        <w:t xml:space="preserve">The maximum sum is currently </w:t>
      </w:r>
      <w:r>
        <w:rPr>
          <w:rFonts w:cs="Arial"/>
        </w:rPr>
        <w:t>five</w:t>
      </w:r>
      <w:r w:rsidRPr="00C157F7">
        <w:rPr>
          <w:rFonts w:cs="Arial"/>
        </w:rPr>
        <w:t xml:space="preserve"> times the annual </w:t>
      </w:r>
      <w:r>
        <w:rPr>
          <w:rFonts w:cs="Arial"/>
        </w:rPr>
        <w:t>r</w:t>
      </w:r>
      <w:r w:rsidRPr="00C157F7">
        <w:rPr>
          <w:rFonts w:cs="Arial"/>
        </w:rPr>
        <w:t xml:space="preserve">etirement </w:t>
      </w:r>
      <w:r>
        <w:rPr>
          <w:rFonts w:cs="Arial"/>
        </w:rPr>
        <w:t>p</w:t>
      </w:r>
      <w:r w:rsidRPr="00C157F7">
        <w:rPr>
          <w:rFonts w:cs="Arial"/>
        </w:rPr>
        <w:t>ay</w:t>
      </w:r>
      <w:r>
        <w:rPr>
          <w:rFonts w:cs="Arial"/>
        </w:rPr>
        <w:t xml:space="preserve">. </w:t>
      </w:r>
      <w:r w:rsidRPr="00C157F7">
        <w:rPr>
          <w:rFonts w:cs="Arial"/>
        </w:rPr>
        <w:t>The residual pension after commutation is calculated by use of an expectation of life factor ranging from 40.18 at age 31 to 15.60 at age 60 for males, and from 45.53 to 19.51 respectively for females.</w:t>
      </w:r>
    </w:p>
    <w:p w14:paraId="2420322B" w14:textId="77777777" w:rsidR="00052A87" w:rsidRPr="00C157F7" w:rsidRDefault="00052A87" w:rsidP="00EB2452">
      <w:pPr>
        <w:pStyle w:val="Heading3nonumbering"/>
      </w:pPr>
      <w:r w:rsidRPr="00C157F7">
        <w:t xml:space="preserve">Resignation </w:t>
      </w:r>
      <w:r>
        <w:t>b</w:t>
      </w:r>
      <w:r w:rsidRPr="00C157F7">
        <w:t xml:space="preserve">enefit (no entitlement to </w:t>
      </w:r>
      <w:r>
        <w:t>r</w:t>
      </w:r>
      <w:r w:rsidRPr="00C157F7">
        <w:t xml:space="preserve">etirement </w:t>
      </w:r>
      <w:r>
        <w:t>p</w:t>
      </w:r>
      <w:r w:rsidRPr="00C157F7">
        <w:t>ay)</w:t>
      </w:r>
    </w:p>
    <w:p w14:paraId="02315997" w14:textId="77777777" w:rsidR="00052A87" w:rsidRPr="00C157F7" w:rsidRDefault="00052A87" w:rsidP="00052A87">
      <w:pPr>
        <w:rPr>
          <w:rFonts w:cs="Arial"/>
        </w:rPr>
      </w:pPr>
      <w:r w:rsidRPr="00C157F7">
        <w:rPr>
          <w:rFonts w:cs="Arial"/>
        </w:rPr>
        <w:t xml:space="preserve">On resignation prior to being entitled to </w:t>
      </w:r>
      <w:r>
        <w:rPr>
          <w:rFonts w:cs="Arial"/>
        </w:rPr>
        <w:t>r</w:t>
      </w:r>
      <w:r w:rsidRPr="00C157F7">
        <w:rPr>
          <w:rFonts w:cs="Arial"/>
        </w:rPr>
        <w:t xml:space="preserve">etirement </w:t>
      </w:r>
      <w:r>
        <w:rPr>
          <w:rFonts w:cs="Arial"/>
        </w:rPr>
        <w:t>p</w:t>
      </w:r>
      <w:r w:rsidRPr="00C157F7">
        <w:rPr>
          <w:rFonts w:cs="Arial"/>
        </w:rPr>
        <w:t>ay, a benefit of a refund of the member contributions is paid.</w:t>
      </w:r>
    </w:p>
    <w:p w14:paraId="3A46B1A6" w14:textId="3D904E9F" w:rsidR="00052A87" w:rsidRPr="00C157F7" w:rsidRDefault="00052A87" w:rsidP="00EB2452">
      <w:pPr>
        <w:pStyle w:val="Heading3nonumbering"/>
      </w:pPr>
      <w:r w:rsidRPr="00C157F7">
        <w:t>Retrenchment or</w:t>
      </w:r>
      <w:r>
        <w:t xml:space="preserve"> r</w:t>
      </w:r>
      <w:r w:rsidRPr="00C157F7">
        <w:t xml:space="preserve">edundancy </w:t>
      </w:r>
      <w:r>
        <w:t>b</w:t>
      </w:r>
      <w:r w:rsidRPr="00C157F7">
        <w:t>enefit</w:t>
      </w:r>
    </w:p>
    <w:p w14:paraId="451A0533" w14:textId="77777777" w:rsidR="00052A87" w:rsidRPr="00C157F7" w:rsidRDefault="00052A87" w:rsidP="00052A87">
      <w:pPr>
        <w:rPr>
          <w:rFonts w:cs="Arial"/>
        </w:rPr>
      </w:pPr>
      <w:r w:rsidRPr="00C157F7">
        <w:rPr>
          <w:rFonts w:cs="Arial"/>
        </w:rPr>
        <w:t xml:space="preserve">There is no special retrenchment or redundancy benefit and the benefit is either the </w:t>
      </w:r>
      <w:r>
        <w:rPr>
          <w:rFonts w:cs="Arial"/>
        </w:rPr>
        <w:t>r</w:t>
      </w:r>
      <w:r w:rsidRPr="00C157F7">
        <w:rPr>
          <w:rFonts w:cs="Arial"/>
        </w:rPr>
        <w:t xml:space="preserve">etirement </w:t>
      </w:r>
      <w:r>
        <w:rPr>
          <w:rFonts w:cs="Arial"/>
        </w:rPr>
        <w:t>p</w:t>
      </w:r>
      <w:r w:rsidRPr="00C157F7">
        <w:rPr>
          <w:rFonts w:cs="Arial"/>
        </w:rPr>
        <w:t xml:space="preserve">ay or </w:t>
      </w:r>
      <w:r>
        <w:rPr>
          <w:rFonts w:cs="Arial"/>
        </w:rPr>
        <w:t>r</w:t>
      </w:r>
      <w:r w:rsidRPr="00C157F7">
        <w:rPr>
          <w:rFonts w:cs="Arial"/>
        </w:rPr>
        <w:t xml:space="preserve">esignation </w:t>
      </w:r>
      <w:r>
        <w:rPr>
          <w:rFonts w:cs="Arial"/>
        </w:rPr>
        <w:t>b</w:t>
      </w:r>
      <w:r w:rsidRPr="00C157F7">
        <w:rPr>
          <w:rFonts w:cs="Arial"/>
        </w:rPr>
        <w:t>enefit as appropriate.</w:t>
      </w:r>
    </w:p>
    <w:p w14:paraId="100A3E33" w14:textId="77777777" w:rsidR="005A3BFA" w:rsidRDefault="005A3BFA">
      <w:pPr>
        <w:spacing w:before="0" w:after="0" w:line="240" w:lineRule="auto"/>
        <w:jc w:val="left"/>
        <w:rPr>
          <w:rFonts w:ascii="Arial Bold" w:hAnsi="Arial Bold"/>
          <w:b/>
          <w:color w:val="9B0014"/>
          <w:sz w:val="23"/>
          <w:szCs w:val="24"/>
          <w:lang w:eastAsia="en-AU"/>
        </w:rPr>
      </w:pPr>
      <w:r>
        <w:br w:type="page"/>
      </w:r>
    </w:p>
    <w:p w14:paraId="1246427B" w14:textId="0B4C7AA8" w:rsidR="00052A87" w:rsidRPr="00C157F7" w:rsidRDefault="00052A87" w:rsidP="00EB2452">
      <w:pPr>
        <w:pStyle w:val="Heading3nonumbering"/>
      </w:pPr>
      <w:r w:rsidRPr="00C157F7">
        <w:lastRenderedPageBreak/>
        <w:t xml:space="preserve">Invalidity </w:t>
      </w:r>
      <w:r>
        <w:t>b</w:t>
      </w:r>
      <w:r w:rsidRPr="00C157F7">
        <w:t>enefits</w:t>
      </w:r>
    </w:p>
    <w:p w14:paraId="2C713111" w14:textId="77777777" w:rsidR="00052A87" w:rsidRDefault="00052A87" w:rsidP="00052A87">
      <w:r w:rsidRPr="00C157F7">
        <w:t>The invalidity benefit payable depends on the level of invalidity suffered by the member.</w:t>
      </w:r>
    </w:p>
    <w:tbl>
      <w:tblPr>
        <w:tblW w:w="7713" w:type="dxa"/>
        <w:tblInd w:w="107" w:type="dxa"/>
        <w:tblBorders>
          <w:top w:val="single" w:sz="2" w:space="0" w:color="000000"/>
          <w:bottom w:val="single" w:sz="2" w:space="0" w:color="000000"/>
        </w:tblBorders>
        <w:tblLayout w:type="fixed"/>
        <w:tblCellMar>
          <w:left w:w="107" w:type="dxa"/>
          <w:right w:w="107" w:type="dxa"/>
        </w:tblCellMar>
        <w:tblLook w:val="0000" w:firstRow="0" w:lastRow="0" w:firstColumn="0" w:lastColumn="0" w:noHBand="0" w:noVBand="0"/>
      </w:tblPr>
      <w:tblGrid>
        <w:gridCol w:w="2552"/>
        <w:gridCol w:w="5161"/>
      </w:tblGrid>
      <w:tr w:rsidR="00052A87" w:rsidRPr="00660890" w14:paraId="4C5938F9" w14:textId="77777777" w:rsidTr="008846F3">
        <w:tc>
          <w:tcPr>
            <w:tcW w:w="2552" w:type="dxa"/>
            <w:tcBorders>
              <w:top w:val="single" w:sz="2" w:space="0" w:color="000000"/>
              <w:bottom w:val="single" w:sz="2" w:space="0" w:color="000000"/>
            </w:tcBorders>
            <w:shd w:val="clear" w:color="auto" w:fill="E6E6E6"/>
          </w:tcPr>
          <w:p w14:paraId="0D741E7D" w14:textId="77777777" w:rsidR="00052A87" w:rsidRPr="00660890" w:rsidRDefault="00052A87" w:rsidP="00052A87">
            <w:pPr>
              <w:pStyle w:val="TableColumnHeadingLeft"/>
            </w:pPr>
            <w:r w:rsidRPr="00660890">
              <w:t xml:space="preserve">Invalidity </w:t>
            </w:r>
            <w:r>
              <w:t>c</w:t>
            </w:r>
            <w:r w:rsidRPr="00660890">
              <w:t>lassification</w:t>
            </w:r>
          </w:p>
        </w:tc>
        <w:tc>
          <w:tcPr>
            <w:tcW w:w="5161" w:type="dxa"/>
            <w:tcBorders>
              <w:top w:val="single" w:sz="2" w:space="0" w:color="000000"/>
              <w:bottom w:val="single" w:sz="2" w:space="0" w:color="000000"/>
            </w:tcBorders>
            <w:shd w:val="clear" w:color="auto" w:fill="E6E6E6"/>
          </w:tcPr>
          <w:p w14:paraId="3AC25590" w14:textId="77777777" w:rsidR="00052A87" w:rsidRPr="00660890" w:rsidRDefault="00052A87" w:rsidP="00052A87">
            <w:pPr>
              <w:pStyle w:val="TableColumnHeadingRight"/>
            </w:pPr>
            <w:r w:rsidRPr="00660890">
              <w:t xml:space="preserve">Degree of </w:t>
            </w:r>
            <w:r>
              <w:t>i</w:t>
            </w:r>
            <w:r w:rsidRPr="00660890">
              <w:t>ncapacity</w:t>
            </w:r>
          </w:p>
        </w:tc>
      </w:tr>
      <w:tr w:rsidR="00052A87" w:rsidRPr="00660890" w14:paraId="5AAA8357" w14:textId="77777777" w:rsidTr="008846F3">
        <w:tc>
          <w:tcPr>
            <w:tcW w:w="2552" w:type="dxa"/>
            <w:tcBorders>
              <w:top w:val="single" w:sz="2" w:space="0" w:color="000000"/>
            </w:tcBorders>
          </w:tcPr>
          <w:p w14:paraId="15EB8320" w14:textId="77777777" w:rsidR="00052A87" w:rsidRPr="00660890" w:rsidRDefault="00052A87" w:rsidP="00052A87">
            <w:pPr>
              <w:pStyle w:val="TableTextLeft"/>
            </w:pPr>
            <w:r w:rsidRPr="00660890">
              <w:t>A</w:t>
            </w:r>
          </w:p>
        </w:tc>
        <w:tc>
          <w:tcPr>
            <w:tcW w:w="5161" w:type="dxa"/>
            <w:tcBorders>
              <w:top w:val="single" w:sz="2" w:space="0" w:color="000000"/>
            </w:tcBorders>
          </w:tcPr>
          <w:p w14:paraId="07120DDD" w14:textId="44FDD5FF" w:rsidR="00052A87" w:rsidRPr="00660890" w:rsidRDefault="00052A87" w:rsidP="00510749">
            <w:pPr>
              <w:pStyle w:val="TableTextRight"/>
            </w:pPr>
            <w:r w:rsidRPr="00660890">
              <w:t xml:space="preserve">60% </w:t>
            </w:r>
            <w:r w:rsidR="00510749">
              <w:t>–</w:t>
            </w:r>
            <w:r w:rsidRPr="00660890">
              <w:t xml:space="preserve"> 100%</w:t>
            </w:r>
          </w:p>
        </w:tc>
      </w:tr>
      <w:tr w:rsidR="00052A87" w:rsidRPr="00660890" w14:paraId="14204556" w14:textId="77777777" w:rsidTr="008846F3">
        <w:tc>
          <w:tcPr>
            <w:tcW w:w="2552" w:type="dxa"/>
            <w:shd w:val="clear" w:color="auto" w:fill="F2F2F2" w:themeFill="background1" w:themeFillShade="F2"/>
          </w:tcPr>
          <w:p w14:paraId="5A7D9950" w14:textId="77777777" w:rsidR="00052A87" w:rsidRPr="00660890" w:rsidRDefault="00052A87" w:rsidP="00052A87">
            <w:pPr>
              <w:pStyle w:val="TableTextLeft"/>
            </w:pPr>
            <w:r w:rsidRPr="00660890">
              <w:t>B</w:t>
            </w:r>
          </w:p>
        </w:tc>
        <w:tc>
          <w:tcPr>
            <w:tcW w:w="5161" w:type="dxa"/>
            <w:shd w:val="clear" w:color="auto" w:fill="F2F2F2" w:themeFill="background1" w:themeFillShade="F2"/>
          </w:tcPr>
          <w:p w14:paraId="1F6F83CE" w14:textId="689F1E93" w:rsidR="00052A87" w:rsidRPr="00660890" w:rsidRDefault="00052A87" w:rsidP="00510749">
            <w:pPr>
              <w:pStyle w:val="TableTextRight"/>
            </w:pPr>
            <w:r w:rsidRPr="00660890">
              <w:t xml:space="preserve">30% </w:t>
            </w:r>
            <w:r w:rsidR="00510749">
              <w:t>–</w:t>
            </w:r>
            <w:r w:rsidRPr="00660890">
              <w:t xml:space="preserve"> 59%</w:t>
            </w:r>
          </w:p>
        </w:tc>
      </w:tr>
      <w:tr w:rsidR="00052A87" w:rsidRPr="00660890" w14:paraId="7981B5FE" w14:textId="77777777" w:rsidTr="008846F3">
        <w:tc>
          <w:tcPr>
            <w:tcW w:w="2552" w:type="dxa"/>
          </w:tcPr>
          <w:p w14:paraId="3510C35E" w14:textId="77777777" w:rsidR="00052A87" w:rsidRPr="00660890" w:rsidRDefault="00052A87" w:rsidP="00052A87">
            <w:pPr>
              <w:pStyle w:val="TableTextLeft"/>
            </w:pPr>
            <w:r w:rsidRPr="00660890">
              <w:t>C</w:t>
            </w:r>
          </w:p>
        </w:tc>
        <w:tc>
          <w:tcPr>
            <w:tcW w:w="5161" w:type="dxa"/>
          </w:tcPr>
          <w:p w14:paraId="5F23BFCB" w14:textId="77777777" w:rsidR="00052A87" w:rsidRPr="00660890" w:rsidRDefault="00052A87" w:rsidP="00052A87">
            <w:pPr>
              <w:pStyle w:val="TableTextRight"/>
            </w:pPr>
            <w:r w:rsidRPr="00660890">
              <w:t>Less than 30%</w:t>
            </w:r>
          </w:p>
        </w:tc>
      </w:tr>
    </w:tbl>
    <w:p w14:paraId="002FDD05" w14:textId="77777777" w:rsidR="00052A87" w:rsidRPr="00C157F7" w:rsidRDefault="00052A87" w:rsidP="00EB2452">
      <w:pPr>
        <w:pStyle w:val="Heading4"/>
        <w:spacing w:before="240"/>
      </w:pPr>
      <w:r w:rsidRPr="00C157F7">
        <w:t xml:space="preserve">Invalidity A </w:t>
      </w:r>
      <w:r>
        <w:t>b</w:t>
      </w:r>
      <w:r w:rsidRPr="00C157F7">
        <w:t>enefit</w:t>
      </w:r>
    </w:p>
    <w:p w14:paraId="473EB327" w14:textId="77777777" w:rsidR="00052A87" w:rsidRPr="00C157F7" w:rsidRDefault="00052A87" w:rsidP="00E30837">
      <w:pPr>
        <w:spacing w:after="360"/>
      </w:pPr>
      <w:r w:rsidRPr="00C157F7">
        <w:t>A pension of 76.5</w:t>
      </w:r>
      <w:r>
        <w:t xml:space="preserve"> per cent</w:t>
      </w:r>
      <w:r w:rsidRPr="00C157F7">
        <w:t xml:space="preserve"> of </w:t>
      </w:r>
      <w:r>
        <w:t>f</w:t>
      </w:r>
      <w:r w:rsidRPr="00C157F7">
        <w:t xml:space="preserve">inal </w:t>
      </w:r>
      <w:r>
        <w:t>s</w:t>
      </w:r>
      <w:r w:rsidRPr="00C157F7">
        <w:t>alary.</w:t>
      </w:r>
    </w:p>
    <w:p w14:paraId="4B6BAAB2" w14:textId="77777777" w:rsidR="00052A87" w:rsidRPr="00C157F7" w:rsidRDefault="00052A87" w:rsidP="00052A87">
      <w:pPr>
        <w:pStyle w:val="Heading4"/>
      </w:pPr>
      <w:r w:rsidRPr="00C157F7">
        <w:t xml:space="preserve">Invalidity B </w:t>
      </w:r>
      <w:r>
        <w:t>b</w:t>
      </w:r>
      <w:r w:rsidRPr="00C157F7">
        <w:t>enefit</w:t>
      </w:r>
    </w:p>
    <w:p w14:paraId="7C805A7C" w14:textId="77777777" w:rsidR="00052A87" w:rsidRPr="00C157F7" w:rsidRDefault="00052A87" w:rsidP="00E30837">
      <w:pPr>
        <w:spacing w:after="360"/>
      </w:pPr>
      <w:r w:rsidRPr="00C157F7">
        <w:t>A pension of 38.25</w:t>
      </w:r>
      <w:r>
        <w:t xml:space="preserve"> per cent</w:t>
      </w:r>
      <w:r w:rsidRPr="00C157F7">
        <w:t xml:space="preserve"> of </w:t>
      </w:r>
      <w:r>
        <w:t>f</w:t>
      </w:r>
      <w:r w:rsidRPr="00C157F7">
        <w:t xml:space="preserve">inal </w:t>
      </w:r>
      <w:r>
        <w:t>s</w:t>
      </w:r>
      <w:r w:rsidRPr="00C157F7">
        <w:t>alary.</w:t>
      </w:r>
    </w:p>
    <w:p w14:paraId="631C2F7F" w14:textId="77777777" w:rsidR="00052A87" w:rsidRPr="00C157F7" w:rsidRDefault="00052A87" w:rsidP="00052A87">
      <w:pPr>
        <w:pStyle w:val="Heading4"/>
      </w:pPr>
      <w:r w:rsidRPr="00C157F7">
        <w:t xml:space="preserve">Invalidity C </w:t>
      </w:r>
      <w:r>
        <w:t>b</w:t>
      </w:r>
      <w:r w:rsidRPr="00C157F7">
        <w:t>enefit</w:t>
      </w:r>
    </w:p>
    <w:p w14:paraId="4B56FCEB" w14:textId="77777777" w:rsidR="00052A87" w:rsidRPr="00C157F7" w:rsidRDefault="00052A87" w:rsidP="00E30837">
      <w:pPr>
        <w:spacing w:after="360"/>
      </w:pPr>
      <w:r w:rsidRPr="00C157F7">
        <w:t>A lump sum of 1.5 times member contributions.</w:t>
      </w:r>
    </w:p>
    <w:p w14:paraId="63319EC8" w14:textId="77777777" w:rsidR="00052A87" w:rsidRPr="00C157F7" w:rsidRDefault="00052A87" w:rsidP="00EB2452">
      <w:pPr>
        <w:pStyle w:val="Heading3nonumbering"/>
      </w:pPr>
      <w:r w:rsidRPr="00C157F7">
        <w:t xml:space="preserve">Death </w:t>
      </w:r>
      <w:r>
        <w:t>b</w:t>
      </w:r>
      <w:r w:rsidRPr="00C157F7">
        <w:t xml:space="preserve">enefits for </w:t>
      </w:r>
      <w:r>
        <w:t>c</w:t>
      </w:r>
      <w:r w:rsidRPr="00C157F7">
        <w:t xml:space="preserve">ontributory </w:t>
      </w:r>
      <w:r>
        <w:t>m</w:t>
      </w:r>
      <w:r w:rsidRPr="00C157F7">
        <w:t>embers</w:t>
      </w:r>
    </w:p>
    <w:p w14:paraId="01A54F94" w14:textId="77777777" w:rsidR="00052A87" w:rsidRPr="00C157F7" w:rsidRDefault="00052A87" w:rsidP="00052A87">
      <w:pPr>
        <w:rPr>
          <w:rFonts w:cs="Arial"/>
        </w:rPr>
      </w:pPr>
      <w:r w:rsidRPr="00C157F7">
        <w:rPr>
          <w:rFonts w:cs="Arial"/>
        </w:rPr>
        <w:t>If the member is survived by a spouse, the spouse receives a pension of 62.5</w:t>
      </w:r>
      <w:r>
        <w:rPr>
          <w:rFonts w:cs="Arial"/>
        </w:rPr>
        <w:t xml:space="preserve"> per cent</w:t>
      </w:r>
      <w:r w:rsidRPr="00C157F7">
        <w:rPr>
          <w:rFonts w:cs="Arial"/>
        </w:rPr>
        <w:t xml:space="preserve"> of the pension that would have been paid to the member on being classified Invalid</w:t>
      </w:r>
      <w:r>
        <w:rPr>
          <w:rFonts w:cs="Arial"/>
        </w:rPr>
        <w:t xml:space="preserve"> </w:t>
      </w:r>
      <w:r w:rsidRPr="00C157F7">
        <w:rPr>
          <w:rFonts w:cs="Arial"/>
        </w:rPr>
        <w:t>A</w:t>
      </w:r>
      <w:r>
        <w:rPr>
          <w:rFonts w:cs="Arial"/>
        </w:rPr>
        <w:t xml:space="preserve">. </w:t>
      </w:r>
      <w:r w:rsidRPr="00C157F7">
        <w:rPr>
          <w:rFonts w:cs="Arial"/>
        </w:rPr>
        <w:t>An additional pension may be paid in respect of dependent children</w:t>
      </w:r>
      <w:r>
        <w:rPr>
          <w:rFonts w:cs="Arial"/>
        </w:rPr>
        <w:t xml:space="preserve">. </w:t>
      </w:r>
      <w:r w:rsidRPr="00C157F7">
        <w:rPr>
          <w:rFonts w:cs="Arial"/>
        </w:rPr>
        <w:t>The surviving spouse has an option to convert part of the pension to a lump sum</w:t>
      </w:r>
      <w:r>
        <w:rPr>
          <w:rFonts w:cs="Arial"/>
        </w:rPr>
        <w:t xml:space="preserve">. </w:t>
      </w:r>
      <w:r w:rsidRPr="00C157F7">
        <w:rPr>
          <w:rFonts w:cs="Arial"/>
        </w:rPr>
        <w:t>The maximum lump sum is twice the member</w:t>
      </w:r>
      <w:r>
        <w:rPr>
          <w:rFonts w:cs="Arial"/>
        </w:rPr>
        <w:t>’</w:t>
      </w:r>
      <w:r w:rsidRPr="00C157F7">
        <w:rPr>
          <w:rFonts w:cs="Arial"/>
        </w:rPr>
        <w:t xml:space="preserve">s </w:t>
      </w:r>
      <w:r>
        <w:rPr>
          <w:rFonts w:cs="Arial"/>
        </w:rPr>
        <w:t>f</w:t>
      </w:r>
      <w:r w:rsidRPr="00C157F7">
        <w:rPr>
          <w:rFonts w:cs="Arial"/>
        </w:rPr>
        <w:t xml:space="preserve">inal </w:t>
      </w:r>
      <w:r>
        <w:rPr>
          <w:rFonts w:cs="Arial"/>
        </w:rPr>
        <w:t>s</w:t>
      </w:r>
      <w:r w:rsidRPr="00C157F7">
        <w:rPr>
          <w:rFonts w:cs="Arial"/>
        </w:rPr>
        <w:t>alary at death.</w:t>
      </w:r>
    </w:p>
    <w:p w14:paraId="3DEA89FA" w14:textId="77777777" w:rsidR="00052A87" w:rsidRPr="00C157F7" w:rsidRDefault="00052A87" w:rsidP="00052A87">
      <w:pPr>
        <w:rPr>
          <w:rFonts w:cs="Arial"/>
        </w:rPr>
      </w:pPr>
      <w:r w:rsidRPr="00C157F7">
        <w:rPr>
          <w:rFonts w:cs="Arial"/>
        </w:rPr>
        <w:t>If the member is not survived by a spouse but is survived by dependent children under age 25, orphan</w:t>
      </w:r>
      <w:r>
        <w:rPr>
          <w:rFonts w:cs="Arial"/>
        </w:rPr>
        <w:t>’</w:t>
      </w:r>
      <w:r w:rsidRPr="00C157F7">
        <w:rPr>
          <w:rFonts w:cs="Arial"/>
        </w:rPr>
        <w:t>s pensions may be payable.</w:t>
      </w:r>
    </w:p>
    <w:p w14:paraId="69BC11E9" w14:textId="77777777" w:rsidR="00052A87" w:rsidRPr="00C157F7" w:rsidRDefault="00052A87" w:rsidP="00052A87">
      <w:pPr>
        <w:rPr>
          <w:rFonts w:cs="Arial"/>
        </w:rPr>
      </w:pPr>
      <w:r w:rsidRPr="00C157F7">
        <w:rPr>
          <w:rFonts w:cs="Arial"/>
        </w:rPr>
        <w:t>If the member is not survived by a spouse or dependent children, a lump sum of 1.5</w:t>
      </w:r>
      <w:r>
        <w:rPr>
          <w:rFonts w:cs="Arial"/>
        </w:rPr>
        <w:t> </w:t>
      </w:r>
      <w:r w:rsidRPr="00C157F7">
        <w:rPr>
          <w:rFonts w:cs="Arial"/>
        </w:rPr>
        <w:t>times member contributions is paid.</w:t>
      </w:r>
    </w:p>
    <w:p w14:paraId="6636BBA4" w14:textId="77777777" w:rsidR="0051624C" w:rsidRDefault="0051624C">
      <w:pPr>
        <w:spacing w:before="0" w:after="0" w:line="240" w:lineRule="auto"/>
        <w:jc w:val="left"/>
        <w:rPr>
          <w:rFonts w:ascii="Arial Bold" w:hAnsi="Arial Bold"/>
          <w:b/>
          <w:color w:val="9B0014"/>
          <w:sz w:val="26"/>
          <w:szCs w:val="24"/>
          <w:lang w:eastAsia="en-AU"/>
        </w:rPr>
      </w:pPr>
      <w:r>
        <w:br w:type="page"/>
      </w:r>
    </w:p>
    <w:p w14:paraId="6F0817FF" w14:textId="74A12C8B" w:rsidR="00052A87" w:rsidRPr="00C157F7" w:rsidRDefault="00052A87" w:rsidP="00EB2452">
      <w:pPr>
        <w:pStyle w:val="Heading3nonumbering"/>
      </w:pPr>
      <w:r w:rsidRPr="00C157F7">
        <w:lastRenderedPageBreak/>
        <w:t>Pensions</w:t>
      </w:r>
    </w:p>
    <w:p w14:paraId="248D713F" w14:textId="5C467E6F" w:rsidR="00052A87" w:rsidRPr="00C157F7" w:rsidRDefault="00052A87" w:rsidP="00052A87">
      <w:pPr>
        <w:rPr>
          <w:rFonts w:cs="Arial"/>
        </w:rPr>
      </w:pPr>
      <w:r w:rsidRPr="00C157F7">
        <w:rPr>
          <w:rFonts w:cs="Arial"/>
        </w:rPr>
        <w:t xml:space="preserve">Pensions are payable for the life of the pensioner and are increased twice each year </w:t>
      </w:r>
      <w:r w:rsidR="00527B27">
        <w:rPr>
          <w:rFonts w:cs="Arial"/>
        </w:rPr>
        <w:t>accordin</w:t>
      </w:r>
      <w:r w:rsidR="00F02958">
        <w:rPr>
          <w:rFonts w:cs="Arial"/>
        </w:rPr>
        <w:t xml:space="preserve">g to the age of the pensioner. </w:t>
      </w:r>
      <w:r w:rsidR="00527B27">
        <w:rPr>
          <w:rFonts w:cs="Arial"/>
        </w:rPr>
        <w:t xml:space="preserve">For pensioners less than age 55, the pension is indexed in line with </w:t>
      </w:r>
      <w:r w:rsidRPr="00C157F7">
        <w:rPr>
          <w:rFonts w:cs="Arial"/>
        </w:rPr>
        <w:t>the movement in the Consumer Price Index (CPI).</w:t>
      </w:r>
      <w:r w:rsidR="00F02958">
        <w:rPr>
          <w:rFonts w:cs="Arial"/>
        </w:rPr>
        <w:t xml:space="preserve"> For pensioners aged 55 or more, the pension is indexed using the same methodology</w:t>
      </w:r>
      <w:r w:rsidR="00527B27">
        <w:rPr>
          <w:rFonts w:cs="Arial"/>
        </w:rPr>
        <w:t xml:space="preserve"> as</w:t>
      </w:r>
      <w:r w:rsidR="00DD6E5F">
        <w:rPr>
          <w:rFonts w:cs="Arial"/>
        </w:rPr>
        <w:t xml:space="preserve"> currently applies for indexation of</w:t>
      </w:r>
      <w:r w:rsidR="00F02958">
        <w:rPr>
          <w:rFonts w:cs="Arial"/>
        </w:rPr>
        <w:t xml:space="preserve"> Age and S</w:t>
      </w:r>
      <w:r w:rsidR="00DD6E5F">
        <w:rPr>
          <w:rFonts w:cs="Arial"/>
        </w:rPr>
        <w:t>ervice pensions</w:t>
      </w:r>
      <w:r w:rsidR="00F02958">
        <w:rPr>
          <w:rFonts w:cs="Arial"/>
        </w:rPr>
        <w:t>. A</w:t>
      </w:r>
      <w:r w:rsidR="00DD6E5F">
        <w:rPr>
          <w:rFonts w:cs="Arial"/>
        </w:rPr>
        <w:t>t the present time, A</w:t>
      </w:r>
      <w:r w:rsidR="00F02958">
        <w:rPr>
          <w:rFonts w:cs="Arial"/>
        </w:rPr>
        <w:t>ge and S</w:t>
      </w:r>
      <w:r w:rsidR="00DD6E5F">
        <w:rPr>
          <w:rFonts w:cs="Arial"/>
        </w:rPr>
        <w:t>ervice pensions are</w:t>
      </w:r>
      <w:r w:rsidR="005C089B">
        <w:rPr>
          <w:rFonts w:cs="Arial"/>
        </w:rPr>
        <w:t xml:space="preserve"> increased by the greater of the CPI and the Pensioner and Beneficiary Living Cost Index (PBLCI), and benchmarked against a percentage of Male</w:t>
      </w:r>
      <w:r w:rsidR="00F359DA">
        <w:rPr>
          <w:rFonts w:cs="Arial"/>
        </w:rPr>
        <w:t> </w:t>
      </w:r>
      <w:r w:rsidR="005C089B">
        <w:rPr>
          <w:rFonts w:cs="Arial"/>
        </w:rPr>
        <w:t>Total Average Weekly Earnings (MTAWE)</w:t>
      </w:r>
      <w:r w:rsidR="00A760DD">
        <w:rPr>
          <w:rFonts w:cs="Arial"/>
        </w:rPr>
        <w:t xml:space="preserve"> (currently at 27.7 per cent of MTAWE</w:t>
      </w:r>
      <w:r w:rsidR="00F02958">
        <w:rPr>
          <w:rFonts w:cs="Arial"/>
        </w:rPr>
        <w:t xml:space="preserve"> for a single person</w:t>
      </w:r>
      <w:r w:rsidR="00A760DD">
        <w:rPr>
          <w:rFonts w:cs="Arial"/>
        </w:rPr>
        <w:t>)</w:t>
      </w:r>
      <w:r w:rsidR="005C089B">
        <w:rPr>
          <w:rFonts w:cs="Arial"/>
        </w:rPr>
        <w:t>.</w:t>
      </w:r>
      <w:r w:rsidR="00212C90">
        <w:rPr>
          <w:rFonts w:cs="Arial"/>
        </w:rPr>
        <w:t xml:space="preserve"> </w:t>
      </w:r>
    </w:p>
    <w:p w14:paraId="613E4F08" w14:textId="77777777" w:rsidR="00052A87" w:rsidRPr="00C157F7" w:rsidRDefault="00052A87" w:rsidP="00052A87">
      <w:pPr>
        <w:rPr>
          <w:rFonts w:cs="Arial"/>
        </w:rPr>
      </w:pPr>
      <w:r w:rsidRPr="00C157F7">
        <w:rPr>
          <w:rFonts w:cs="Arial"/>
        </w:rPr>
        <w:t>On the death of the pensioner, a pension of 62.5</w:t>
      </w:r>
      <w:r>
        <w:rPr>
          <w:rFonts w:cs="Arial"/>
        </w:rPr>
        <w:t xml:space="preserve"> per cent</w:t>
      </w:r>
      <w:r w:rsidRPr="00C157F7">
        <w:rPr>
          <w:rFonts w:cs="Arial"/>
        </w:rPr>
        <w:t xml:space="preserve"> of the member</w:t>
      </w:r>
      <w:r>
        <w:rPr>
          <w:rFonts w:cs="Arial"/>
        </w:rPr>
        <w:t>’</w:t>
      </w:r>
      <w:r w:rsidRPr="00C157F7">
        <w:rPr>
          <w:rFonts w:cs="Arial"/>
        </w:rPr>
        <w:t>s pension prior to commutation is paid to the surviving spouse (if any)</w:t>
      </w:r>
      <w:r>
        <w:rPr>
          <w:rFonts w:cs="Arial"/>
        </w:rPr>
        <w:t xml:space="preserve">. </w:t>
      </w:r>
      <w:r w:rsidRPr="00C157F7">
        <w:rPr>
          <w:rFonts w:cs="Arial"/>
        </w:rPr>
        <w:t>An additional pension is payable in respect of children under age 16 (or age 25 if still in full time education).</w:t>
      </w:r>
    </w:p>
    <w:p w14:paraId="2E6ADB3F" w14:textId="77777777" w:rsidR="00052A87" w:rsidRPr="00C157F7" w:rsidRDefault="00052A87" w:rsidP="00052A87">
      <w:pPr>
        <w:rPr>
          <w:rFonts w:cs="Arial"/>
        </w:rPr>
      </w:pPr>
      <w:r w:rsidRPr="00C157F7">
        <w:rPr>
          <w:rFonts w:cs="Arial"/>
        </w:rPr>
        <w:t>If there is no surviving spouse</w:t>
      </w:r>
      <w:r w:rsidR="006A64C0">
        <w:rPr>
          <w:rFonts w:cs="Arial"/>
        </w:rPr>
        <w:t>,</w:t>
      </w:r>
      <w:r w:rsidRPr="00C157F7">
        <w:rPr>
          <w:rFonts w:cs="Arial"/>
        </w:rPr>
        <w:t xml:space="preserve"> orphans</w:t>
      </w:r>
      <w:r>
        <w:rPr>
          <w:rFonts w:cs="Arial"/>
        </w:rPr>
        <w:t>’</w:t>
      </w:r>
      <w:r w:rsidRPr="00C157F7">
        <w:rPr>
          <w:rFonts w:cs="Arial"/>
        </w:rPr>
        <w:t xml:space="preserve"> pensions may be payable</w:t>
      </w:r>
      <w:r w:rsidR="006A64C0" w:rsidRPr="006A64C0">
        <w:rPr>
          <w:rFonts w:cs="Arial"/>
        </w:rPr>
        <w:t xml:space="preserve"> </w:t>
      </w:r>
      <w:r w:rsidR="006A64C0" w:rsidRPr="00C157F7">
        <w:rPr>
          <w:rFonts w:cs="Arial"/>
        </w:rPr>
        <w:t>in some circumstances</w:t>
      </w:r>
      <w:r w:rsidRPr="00C157F7">
        <w:rPr>
          <w:rFonts w:cs="Arial"/>
        </w:rPr>
        <w:t>.</w:t>
      </w:r>
    </w:p>
    <w:p w14:paraId="5469C498" w14:textId="77777777" w:rsidR="00052A87" w:rsidRPr="00C157F7" w:rsidRDefault="00052A87" w:rsidP="00EB2452">
      <w:pPr>
        <w:pStyle w:val="Heading3nonumbering"/>
      </w:pPr>
      <w:r w:rsidRPr="00C157F7">
        <w:t>Productivity (3</w:t>
      </w:r>
      <w:r>
        <w:t xml:space="preserve"> per cent</w:t>
      </w:r>
      <w:r w:rsidRPr="00C157F7">
        <w:t xml:space="preserve">) </w:t>
      </w:r>
      <w:r w:rsidRPr="009129F5">
        <w:rPr>
          <w:rStyle w:val="Heading3nonumberingChar"/>
        </w:rPr>
        <w:t>superannuation</w:t>
      </w:r>
      <w:r w:rsidRPr="00C157F7">
        <w:t xml:space="preserve"> </w:t>
      </w:r>
      <w:r>
        <w:t>b</w:t>
      </w:r>
      <w:r w:rsidRPr="00C157F7">
        <w:t>enefit</w:t>
      </w:r>
    </w:p>
    <w:p w14:paraId="78A7EAB5" w14:textId="77777777" w:rsidR="00052A87" w:rsidRPr="00C157F7" w:rsidRDefault="00052A87" w:rsidP="00052A87">
      <w:pPr>
        <w:rPr>
          <w:rFonts w:cs="Arial"/>
        </w:rPr>
      </w:pPr>
      <w:r w:rsidRPr="00C157F7">
        <w:rPr>
          <w:rFonts w:cs="Arial"/>
        </w:rPr>
        <w:t xml:space="preserve">A </w:t>
      </w:r>
      <w:r>
        <w:rPr>
          <w:rFonts w:cs="Arial"/>
        </w:rPr>
        <w:t>p</w:t>
      </w:r>
      <w:r w:rsidRPr="00C157F7">
        <w:rPr>
          <w:rFonts w:cs="Arial"/>
        </w:rPr>
        <w:t xml:space="preserve">roductivity </w:t>
      </w:r>
      <w:r>
        <w:rPr>
          <w:rFonts w:cs="Arial"/>
        </w:rPr>
        <w:t>s</w:t>
      </w:r>
      <w:r w:rsidRPr="00C157F7">
        <w:rPr>
          <w:rFonts w:cs="Arial"/>
        </w:rPr>
        <w:t xml:space="preserve">uperannuation </w:t>
      </w:r>
      <w:r>
        <w:rPr>
          <w:rFonts w:cs="Arial"/>
        </w:rPr>
        <w:t>b</w:t>
      </w:r>
      <w:r w:rsidRPr="00C157F7">
        <w:rPr>
          <w:rFonts w:cs="Arial"/>
        </w:rPr>
        <w:t>enefit of 3</w:t>
      </w:r>
      <w:r>
        <w:rPr>
          <w:rFonts w:cs="Arial"/>
        </w:rPr>
        <w:t xml:space="preserve"> per cent</w:t>
      </w:r>
      <w:r w:rsidRPr="00C157F7">
        <w:rPr>
          <w:rFonts w:cs="Arial"/>
        </w:rPr>
        <w:t xml:space="preserve"> of </w:t>
      </w:r>
      <w:r w:rsidR="00DD6E5F">
        <w:rPr>
          <w:rFonts w:cs="Arial"/>
        </w:rPr>
        <w:t xml:space="preserve">superannuation </w:t>
      </w:r>
      <w:r>
        <w:rPr>
          <w:rFonts w:cs="Arial"/>
        </w:rPr>
        <w:t>s</w:t>
      </w:r>
      <w:r w:rsidRPr="00C157F7">
        <w:rPr>
          <w:rFonts w:cs="Arial"/>
        </w:rPr>
        <w:t>alary accumulated with inter</w:t>
      </w:r>
      <w:r w:rsidR="00EB28DD">
        <w:rPr>
          <w:rFonts w:cs="Arial"/>
        </w:rPr>
        <w:t>est at a rate based on the long-</w:t>
      </w:r>
      <w:r w:rsidRPr="00C157F7">
        <w:rPr>
          <w:rFonts w:cs="Arial"/>
        </w:rPr>
        <w:t>term Commonwealth Bond rate is paid in addition to the benefits set out above</w:t>
      </w:r>
      <w:r>
        <w:rPr>
          <w:rFonts w:cs="Arial"/>
        </w:rPr>
        <w:t xml:space="preserve">. </w:t>
      </w:r>
    </w:p>
    <w:p w14:paraId="5CE42CBF" w14:textId="2DA86A86" w:rsidR="00052A87" w:rsidRPr="00C157F7" w:rsidRDefault="00052A87" w:rsidP="00EB2452">
      <w:pPr>
        <w:pStyle w:val="Heading3nonumbering"/>
      </w:pPr>
      <w:r w:rsidRPr="00C157F7">
        <w:t xml:space="preserve">Superannuation </w:t>
      </w:r>
      <w:r>
        <w:t>G</w:t>
      </w:r>
      <w:r w:rsidRPr="00C157F7">
        <w:t xml:space="preserve">uarantee </w:t>
      </w:r>
      <w:r>
        <w:t>t</w:t>
      </w:r>
      <w:r w:rsidRPr="00C157F7">
        <w:t xml:space="preserve">op </w:t>
      </w:r>
      <w:r>
        <w:t>u</w:t>
      </w:r>
      <w:r w:rsidRPr="00C157F7">
        <w:t>p</w:t>
      </w:r>
    </w:p>
    <w:p w14:paraId="38957321" w14:textId="562B4FF2" w:rsidR="00052A87" w:rsidRDefault="00052A87" w:rsidP="00052A87">
      <w:pPr>
        <w:rPr>
          <w:rFonts w:cs="Arial"/>
        </w:rPr>
      </w:pPr>
      <w:r w:rsidRPr="00C157F7">
        <w:rPr>
          <w:rFonts w:cs="Arial"/>
        </w:rPr>
        <w:t xml:space="preserve">A top up benefit may be payable in addition to the benefits payable above in order to ensure that the benefits payable from the Scheme are at a level which meets </w:t>
      </w:r>
      <w:r>
        <w:rPr>
          <w:rFonts w:cs="Arial"/>
        </w:rPr>
        <w:t>S</w:t>
      </w:r>
      <w:r w:rsidRPr="00C157F7">
        <w:rPr>
          <w:rFonts w:cs="Arial"/>
        </w:rPr>
        <w:t xml:space="preserve">uperannuation </w:t>
      </w:r>
      <w:r>
        <w:rPr>
          <w:rFonts w:cs="Arial"/>
        </w:rPr>
        <w:t>G</w:t>
      </w:r>
      <w:r w:rsidRPr="00C157F7">
        <w:rPr>
          <w:rFonts w:cs="Arial"/>
        </w:rPr>
        <w:t>uarantee requirements</w:t>
      </w:r>
      <w:r w:rsidR="004F739B">
        <w:rPr>
          <w:rFonts w:cs="Arial"/>
        </w:rPr>
        <w:t xml:space="preserve"> in respect of DFRDB superannuation salary.</w:t>
      </w:r>
      <w:r w:rsidR="00212C90">
        <w:rPr>
          <w:rFonts w:cs="Arial"/>
        </w:rPr>
        <w:t xml:space="preserve"> </w:t>
      </w:r>
      <w:r w:rsidR="004F739B">
        <w:rPr>
          <w:rFonts w:cs="Arial"/>
        </w:rPr>
        <w:t>N</w:t>
      </w:r>
      <w:r>
        <w:rPr>
          <w:rFonts w:cs="Arial"/>
        </w:rPr>
        <w:t xml:space="preserve">ote that with effect from 1 July 2008, additional employer contributions in respect of eligible allowances </w:t>
      </w:r>
      <w:r w:rsidR="004F739B">
        <w:rPr>
          <w:rFonts w:cs="Arial"/>
        </w:rPr>
        <w:t>have been</w:t>
      </w:r>
      <w:r>
        <w:rPr>
          <w:rFonts w:cs="Arial"/>
        </w:rPr>
        <w:t xml:space="preserve"> paid to the MSBS ancillary section to ensure compliance with the Superannuation Guarantee requirements following the removal of the protected earnings base for the DFRDB.</w:t>
      </w:r>
    </w:p>
    <w:p w14:paraId="586E875D" w14:textId="77777777" w:rsidR="00052A87" w:rsidRPr="001973A3" w:rsidRDefault="00052A87" w:rsidP="001973A3">
      <w:bookmarkStart w:id="105" w:name="_Ref135031830"/>
      <w:bookmarkStart w:id="106" w:name="_Toc135119215"/>
    </w:p>
    <w:p w14:paraId="234BD47A" w14:textId="77777777" w:rsidR="001973A3" w:rsidRPr="001973A3" w:rsidRDefault="001973A3" w:rsidP="001973A3"/>
    <w:p w14:paraId="2F23100F" w14:textId="77777777" w:rsidR="001973A3" w:rsidRPr="001973A3" w:rsidRDefault="001973A3" w:rsidP="001973A3">
      <w:pPr>
        <w:sectPr w:rsidR="001973A3" w:rsidRPr="001973A3" w:rsidSect="000E6C41">
          <w:headerReference w:type="default" r:id="rId69"/>
          <w:footerReference w:type="even" r:id="rId70"/>
          <w:footerReference w:type="default" r:id="rId71"/>
          <w:headerReference w:type="first" r:id="rId72"/>
          <w:footerReference w:type="first" r:id="rId73"/>
          <w:type w:val="oddPage"/>
          <w:pgSz w:w="11906" w:h="16838" w:code="9"/>
          <w:pgMar w:top="2466" w:right="2098" w:bottom="2466" w:left="2098" w:header="1899" w:footer="1899" w:gutter="0"/>
          <w:cols w:space="708"/>
          <w:titlePg/>
          <w:docGrid w:linePitch="360"/>
        </w:sectPr>
      </w:pPr>
    </w:p>
    <w:p w14:paraId="6F2BCAB7" w14:textId="77777777" w:rsidR="00052A87" w:rsidRPr="00C157F7" w:rsidRDefault="00052A87" w:rsidP="00052A87">
      <w:pPr>
        <w:pStyle w:val="AppendixHeading"/>
        <w:rPr>
          <w:spacing w:val="-3"/>
        </w:rPr>
      </w:pPr>
      <w:bookmarkStart w:id="107" w:name="_Toc136856503"/>
      <w:bookmarkStart w:id="108" w:name="_Toc232828409"/>
      <w:bookmarkStart w:id="109" w:name="_Toc425770500"/>
      <w:bookmarkEnd w:id="105"/>
      <w:bookmarkEnd w:id="106"/>
      <w:r w:rsidRPr="00C157F7">
        <w:lastRenderedPageBreak/>
        <w:t>Appendix C</w:t>
      </w:r>
      <w:bookmarkEnd w:id="107"/>
      <w:bookmarkEnd w:id="108"/>
      <w:bookmarkEnd w:id="109"/>
    </w:p>
    <w:p w14:paraId="7E0CC251" w14:textId="77777777" w:rsidR="00052A87" w:rsidRPr="00C157F7" w:rsidRDefault="00052A87" w:rsidP="00052A87">
      <w:pPr>
        <w:pStyle w:val="Heading2nonumbering"/>
        <w:rPr>
          <w:u w:val="single"/>
        </w:rPr>
      </w:pPr>
      <w:bookmarkStart w:id="110" w:name="_Toc425770501"/>
      <w:r w:rsidRPr="00C157F7">
        <w:t>Demographic assumptions</w:t>
      </w:r>
      <w:bookmarkEnd w:id="110"/>
    </w:p>
    <w:p w14:paraId="4A879696" w14:textId="77777777" w:rsidR="00052A87" w:rsidRPr="00C157F7" w:rsidRDefault="00052A87" w:rsidP="00052A87">
      <w:pPr>
        <w:tabs>
          <w:tab w:val="left" w:pos="-1440"/>
          <w:tab w:val="left" w:pos="-720"/>
          <w:tab w:val="left" w:pos="0"/>
          <w:tab w:val="left" w:pos="373"/>
          <w:tab w:val="left" w:pos="720"/>
          <w:tab w:val="left" w:pos="1110"/>
          <w:tab w:val="left" w:pos="1440"/>
        </w:tabs>
        <w:suppressAutoHyphens/>
        <w:rPr>
          <w:rFonts w:cs="Arial"/>
          <w:spacing w:val="-3"/>
        </w:rPr>
      </w:pPr>
      <w:r w:rsidRPr="00C157F7">
        <w:rPr>
          <w:rFonts w:cs="Arial"/>
          <w:spacing w:val="-3"/>
        </w:rPr>
        <w:t>Set out below is a summary of the demographic assumptions for the MSBS and the DFRDB.</w:t>
      </w:r>
    </w:p>
    <w:p w14:paraId="4EA8C764" w14:textId="77777777" w:rsidR="00052A87" w:rsidRPr="00C157F7" w:rsidRDefault="00052A87" w:rsidP="00EB2452">
      <w:pPr>
        <w:pStyle w:val="Heading3nonumbering"/>
      </w:pPr>
      <w:r w:rsidRPr="00C157F7">
        <w:t>Contributor</w:t>
      </w:r>
      <w:r>
        <w:t xml:space="preserve"> e</w:t>
      </w:r>
      <w:r w:rsidRPr="00C157F7">
        <w:t xml:space="preserve">xits by </w:t>
      </w:r>
      <w:r>
        <w:t>d</w:t>
      </w:r>
      <w:r w:rsidRPr="00C157F7">
        <w:t xml:space="preserve">eath and </w:t>
      </w:r>
      <w:r>
        <w:t>i</w:t>
      </w:r>
      <w:r w:rsidRPr="00C157F7">
        <w:t>nvalidity</w:t>
      </w:r>
    </w:p>
    <w:p w14:paraId="3BF62B6F" w14:textId="67A62929" w:rsidR="00052A87" w:rsidRDefault="00052A87" w:rsidP="00052A87">
      <w:pPr>
        <w:rPr>
          <w:rFonts w:cs="Arial"/>
        </w:rPr>
      </w:pPr>
      <w:r w:rsidRPr="00C157F7">
        <w:rPr>
          <w:rFonts w:cs="Arial"/>
        </w:rPr>
        <w:t>The table</w:t>
      </w:r>
      <w:r>
        <w:rPr>
          <w:rFonts w:cs="Arial"/>
        </w:rPr>
        <w:t>s</w:t>
      </w:r>
      <w:r w:rsidRPr="00C157F7">
        <w:rPr>
          <w:rFonts w:cs="Arial"/>
        </w:rPr>
        <w:t xml:space="preserve"> below set out the rates adopted for death and invalidity</w:t>
      </w:r>
      <w:r w:rsidR="00281D5E">
        <w:rPr>
          <w:rFonts w:cs="Arial"/>
        </w:rPr>
        <w:br/>
      </w:r>
      <w:r w:rsidRPr="00C157F7">
        <w:rPr>
          <w:rFonts w:cs="Arial"/>
        </w:rPr>
        <w:t>per 1,000 contributors at each age shown. The rates for males and females are assumed to be the same.</w:t>
      </w:r>
    </w:p>
    <w:p w14:paraId="6DED0E93" w14:textId="77777777" w:rsidR="00052A87" w:rsidRDefault="00052A87" w:rsidP="00D1063F">
      <w:pPr>
        <w:pStyle w:val="TableMainHeading-Appendix"/>
      </w:pPr>
      <w:r>
        <w:t>MSBS death and invalidity rates (per 1,000 contributors)</w:t>
      </w:r>
    </w:p>
    <w:tbl>
      <w:tblPr>
        <w:tblW w:w="0" w:type="auto"/>
        <w:tblInd w:w="108" w:type="dxa"/>
        <w:tblBorders>
          <w:top w:val="single" w:sz="2" w:space="0" w:color="auto"/>
          <w:bottom w:val="single" w:sz="2" w:space="0" w:color="auto"/>
        </w:tblBorders>
        <w:tblLayout w:type="fixed"/>
        <w:tblLook w:val="01E0" w:firstRow="1" w:lastRow="1" w:firstColumn="1" w:lastColumn="1" w:noHBand="0" w:noVBand="0"/>
      </w:tblPr>
      <w:tblGrid>
        <w:gridCol w:w="602"/>
        <w:gridCol w:w="770"/>
        <w:gridCol w:w="952"/>
        <w:gridCol w:w="952"/>
        <w:gridCol w:w="312"/>
        <w:gridCol w:w="952"/>
        <w:gridCol w:w="952"/>
        <w:gridCol w:w="312"/>
        <w:gridCol w:w="952"/>
        <w:gridCol w:w="952"/>
      </w:tblGrid>
      <w:tr w:rsidR="00136A95" w14:paraId="29B77BCE" w14:textId="77777777" w:rsidTr="00136A95">
        <w:tc>
          <w:tcPr>
            <w:tcW w:w="602" w:type="dxa"/>
            <w:tcBorders>
              <w:top w:val="single" w:sz="2" w:space="0" w:color="auto"/>
              <w:bottom w:val="nil"/>
            </w:tcBorders>
            <w:shd w:val="clear" w:color="auto" w:fill="E6E6E6"/>
          </w:tcPr>
          <w:p w14:paraId="3A5501A8" w14:textId="77777777" w:rsidR="00426B00" w:rsidRDefault="00426B00" w:rsidP="00052A87">
            <w:pPr>
              <w:pStyle w:val="TableColumnHeadingCentred"/>
            </w:pPr>
          </w:p>
        </w:tc>
        <w:tc>
          <w:tcPr>
            <w:tcW w:w="770" w:type="dxa"/>
            <w:tcBorders>
              <w:top w:val="single" w:sz="2" w:space="0" w:color="auto"/>
              <w:bottom w:val="nil"/>
            </w:tcBorders>
            <w:shd w:val="clear" w:color="auto" w:fill="E6E6E6"/>
          </w:tcPr>
          <w:p w14:paraId="6A2D6537" w14:textId="77777777" w:rsidR="00426B00" w:rsidRDefault="00426B00" w:rsidP="00052A87">
            <w:pPr>
              <w:pStyle w:val="TableColumnHeadingCentred"/>
            </w:pPr>
          </w:p>
        </w:tc>
        <w:tc>
          <w:tcPr>
            <w:tcW w:w="1904" w:type="dxa"/>
            <w:gridSpan w:val="2"/>
            <w:tcBorders>
              <w:top w:val="single" w:sz="2" w:space="0" w:color="auto"/>
              <w:bottom w:val="single" w:sz="2" w:space="0" w:color="auto"/>
            </w:tcBorders>
            <w:shd w:val="clear" w:color="auto" w:fill="E6E6E6"/>
          </w:tcPr>
          <w:p w14:paraId="6A90F15A" w14:textId="0984B736" w:rsidR="00426B00" w:rsidRDefault="00426B00" w:rsidP="00052A87">
            <w:pPr>
              <w:pStyle w:val="TableColumnHeadingCentred"/>
            </w:pPr>
            <w:r>
              <w:t>Invalidity ‘A’</w:t>
            </w:r>
          </w:p>
        </w:tc>
        <w:tc>
          <w:tcPr>
            <w:tcW w:w="312" w:type="dxa"/>
            <w:tcBorders>
              <w:top w:val="single" w:sz="2" w:space="0" w:color="auto"/>
              <w:bottom w:val="nil"/>
            </w:tcBorders>
            <w:shd w:val="clear" w:color="auto" w:fill="E6E6E6"/>
          </w:tcPr>
          <w:p w14:paraId="55880BFF" w14:textId="77777777" w:rsidR="00426B00" w:rsidRDefault="00426B00" w:rsidP="00052A87">
            <w:pPr>
              <w:pStyle w:val="TableColumnHeadingCentred"/>
            </w:pPr>
          </w:p>
        </w:tc>
        <w:tc>
          <w:tcPr>
            <w:tcW w:w="1904" w:type="dxa"/>
            <w:gridSpan w:val="2"/>
            <w:tcBorders>
              <w:top w:val="single" w:sz="2" w:space="0" w:color="auto"/>
              <w:bottom w:val="single" w:sz="2" w:space="0" w:color="auto"/>
            </w:tcBorders>
            <w:shd w:val="clear" w:color="auto" w:fill="E6E6E6"/>
          </w:tcPr>
          <w:p w14:paraId="5F410A9B" w14:textId="28BC61C8" w:rsidR="00426B00" w:rsidRDefault="00426B00" w:rsidP="00052A87">
            <w:pPr>
              <w:pStyle w:val="TableColumnHeadingCentred"/>
            </w:pPr>
            <w:r>
              <w:t>Invalidity ‘B’</w:t>
            </w:r>
          </w:p>
        </w:tc>
        <w:tc>
          <w:tcPr>
            <w:tcW w:w="312" w:type="dxa"/>
            <w:tcBorders>
              <w:top w:val="single" w:sz="2" w:space="0" w:color="auto"/>
              <w:bottom w:val="nil"/>
            </w:tcBorders>
            <w:shd w:val="clear" w:color="auto" w:fill="E6E6E6"/>
          </w:tcPr>
          <w:p w14:paraId="5D40B566" w14:textId="77777777" w:rsidR="00426B00" w:rsidRDefault="00426B00" w:rsidP="00052A87">
            <w:pPr>
              <w:pStyle w:val="TableColumnHeadingCentred"/>
            </w:pPr>
          </w:p>
        </w:tc>
        <w:tc>
          <w:tcPr>
            <w:tcW w:w="1904" w:type="dxa"/>
            <w:gridSpan w:val="2"/>
            <w:tcBorders>
              <w:top w:val="single" w:sz="2" w:space="0" w:color="auto"/>
              <w:bottom w:val="single" w:sz="2" w:space="0" w:color="auto"/>
            </w:tcBorders>
            <w:shd w:val="clear" w:color="auto" w:fill="E6E6E6"/>
          </w:tcPr>
          <w:p w14:paraId="167BE2C6" w14:textId="14EFE4C0" w:rsidR="00426B00" w:rsidRDefault="00426B00" w:rsidP="00052A87">
            <w:pPr>
              <w:pStyle w:val="TableColumnHeadingCentred"/>
            </w:pPr>
            <w:r>
              <w:t>Invalidity ‘C’</w:t>
            </w:r>
          </w:p>
        </w:tc>
      </w:tr>
      <w:tr w:rsidR="00136A95" w14:paraId="06DA5442" w14:textId="77777777" w:rsidTr="00136A95">
        <w:tc>
          <w:tcPr>
            <w:tcW w:w="602" w:type="dxa"/>
            <w:tcBorders>
              <w:top w:val="nil"/>
              <w:bottom w:val="single" w:sz="2" w:space="0" w:color="auto"/>
            </w:tcBorders>
            <w:shd w:val="clear" w:color="auto" w:fill="E6E6E6"/>
          </w:tcPr>
          <w:p w14:paraId="7F155850" w14:textId="77777777" w:rsidR="00052A87" w:rsidRDefault="00052A87" w:rsidP="00052A87">
            <w:pPr>
              <w:pStyle w:val="TableColumnHeadingLeft"/>
            </w:pPr>
            <w:r>
              <w:t>Age</w:t>
            </w:r>
          </w:p>
        </w:tc>
        <w:tc>
          <w:tcPr>
            <w:tcW w:w="770" w:type="dxa"/>
            <w:tcBorders>
              <w:top w:val="nil"/>
              <w:bottom w:val="single" w:sz="2" w:space="0" w:color="auto"/>
            </w:tcBorders>
            <w:shd w:val="clear" w:color="auto" w:fill="E6E6E6"/>
          </w:tcPr>
          <w:p w14:paraId="70E9E407" w14:textId="77777777" w:rsidR="00052A87" w:rsidRDefault="00052A87" w:rsidP="00052A87">
            <w:pPr>
              <w:pStyle w:val="TableColumnHeadingRight"/>
            </w:pPr>
            <w:r>
              <w:t>Death</w:t>
            </w:r>
          </w:p>
        </w:tc>
        <w:tc>
          <w:tcPr>
            <w:tcW w:w="952" w:type="dxa"/>
            <w:tcBorders>
              <w:top w:val="single" w:sz="2" w:space="0" w:color="auto"/>
              <w:bottom w:val="single" w:sz="2" w:space="0" w:color="auto"/>
            </w:tcBorders>
            <w:shd w:val="clear" w:color="auto" w:fill="E6E6E6"/>
          </w:tcPr>
          <w:p w14:paraId="57DDE132" w14:textId="28D8B699" w:rsidR="00052A87" w:rsidRDefault="00052A87" w:rsidP="00893F06">
            <w:pPr>
              <w:pStyle w:val="TableColumnHeadingRight"/>
              <w:ind w:left="-28" w:right="-28"/>
            </w:pPr>
            <w:r>
              <w:t>Officers and</w:t>
            </w:r>
            <w:r w:rsidR="00893F06">
              <w:t xml:space="preserve"> cadets</w:t>
            </w:r>
          </w:p>
        </w:tc>
        <w:tc>
          <w:tcPr>
            <w:tcW w:w="952" w:type="dxa"/>
            <w:tcBorders>
              <w:top w:val="single" w:sz="2" w:space="0" w:color="auto"/>
              <w:bottom w:val="single" w:sz="2" w:space="0" w:color="auto"/>
            </w:tcBorders>
            <w:shd w:val="clear" w:color="auto" w:fill="E6E6E6"/>
          </w:tcPr>
          <w:p w14:paraId="7615105B" w14:textId="77777777" w:rsidR="00052A87" w:rsidRDefault="00052A87" w:rsidP="00052A87">
            <w:pPr>
              <w:pStyle w:val="TableColumnHeadingRight"/>
            </w:pPr>
            <w:r>
              <w:t>Other ranks</w:t>
            </w:r>
          </w:p>
        </w:tc>
        <w:tc>
          <w:tcPr>
            <w:tcW w:w="312" w:type="dxa"/>
            <w:tcBorders>
              <w:top w:val="nil"/>
              <w:bottom w:val="single" w:sz="2" w:space="0" w:color="auto"/>
            </w:tcBorders>
            <w:shd w:val="clear" w:color="auto" w:fill="E6E6E6"/>
          </w:tcPr>
          <w:p w14:paraId="2121610E" w14:textId="77777777" w:rsidR="00052A87" w:rsidRDefault="00052A87" w:rsidP="00052A87">
            <w:pPr>
              <w:pStyle w:val="TableColumnHeadingRight"/>
            </w:pPr>
          </w:p>
        </w:tc>
        <w:tc>
          <w:tcPr>
            <w:tcW w:w="952" w:type="dxa"/>
            <w:tcBorders>
              <w:top w:val="single" w:sz="2" w:space="0" w:color="auto"/>
              <w:bottom w:val="single" w:sz="2" w:space="0" w:color="auto"/>
            </w:tcBorders>
            <w:shd w:val="clear" w:color="auto" w:fill="E6E6E6"/>
          </w:tcPr>
          <w:p w14:paraId="18952271" w14:textId="763D922C" w:rsidR="00052A87" w:rsidRDefault="00052A87" w:rsidP="00893F06">
            <w:pPr>
              <w:pStyle w:val="TableColumnHeadingRight"/>
              <w:ind w:left="-28" w:right="-28"/>
            </w:pPr>
            <w:r>
              <w:t xml:space="preserve">Officers and </w:t>
            </w:r>
            <w:r w:rsidR="00893F06">
              <w:t>cadets</w:t>
            </w:r>
          </w:p>
        </w:tc>
        <w:tc>
          <w:tcPr>
            <w:tcW w:w="952" w:type="dxa"/>
            <w:tcBorders>
              <w:top w:val="single" w:sz="2" w:space="0" w:color="auto"/>
              <w:bottom w:val="single" w:sz="2" w:space="0" w:color="auto"/>
            </w:tcBorders>
            <w:shd w:val="clear" w:color="auto" w:fill="E6E6E6"/>
          </w:tcPr>
          <w:p w14:paraId="2C57000D" w14:textId="77777777" w:rsidR="00052A87" w:rsidRDefault="00052A87" w:rsidP="00052A87">
            <w:pPr>
              <w:pStyle w:val="TableColumnHeadingRight"/>
            </w:pPr>
            <w:r>
              <w:t>Other ranks</w:t>
            </w:r>
          </w:p>
        </w:tc>
        <w:tc>
          <w:tcPr>
            <w:tcW w:w="312" w:type="dxa"/>
            <w:tcBorders>
              <w:top w:val="nil"/>
              <w:bottom w:val="single" w:sz="2" w:space="0" w:color="auto"/>
            </w:tcBorders>
            <w:shd w:val="clear" w:color="auto" w:fill="E6E6E6"/>
          </w:tcPr>
          <w:p w14:paraId="20A9B2A4" w14:textId="77777777" w:rsidR="00052A87" w:rsidRDefault="00052A87" w:rsidP="00052A87">
            <w:pPr>
              <w:pStyle w:val="TableColumnHeadingRight"/>
            </w:pPr>
          </w:p>
        </w:tc>
        <w:tc>
          <w:tcPr>
            <w:tcW w:w="952" w:type="dxa"/>
            <w:tcBorders>
              <w:top w:val="single" w:sz="2" w:space="0" w:color="auto"/>
              <w:bottom w:val="single" w:sz="2" w:space="0" w:color="auto"/>
            </w:tcBorders>
            <w:shd w:val="clear" w:color="auto" w:fill="E6E6E6"/>
          </w:tcPr>
          <w:p w14:paraId="2936EEBC" w14:textId="410CAAE5" w:rsidR="00052A87" w:rsidRDefault="00052A87" w:rsidP="00893F06">
            <w:pPr>
              <w:pStyle w:val="TableColumnHeadingRight"/>
              <w:ind w:left="-28" w:right="-28"/>
            </w:pPr>
            <w:r>
              <w:t xml:space="preserve">Officers and </w:t>
            </w:r>
            <w:r w:rsidR="00893F06">
              <w:t>c</w:t>
            </w:r>
            <w:r>
              <w:t>adets</w:t>
            </w:r>
          </w:p>
        </w:tc>
        <w:tc>
          <w:tcPr>
            <w:tcW w:w="952" w:type="dxa"/>
            <w:tcBorders>
              <w:top w:val="single" w:sz="2" w:space="0" w:color="auto"/>
              <w:bottom w:val="single" w:sz="2" w:space="0" w:color="auto"/>
            </w:tcBorders>
            <w:shd w:val="clear" w:color="auto" w:fill="E6E6E6"/>
          </w:tcPr>
          <w:p w14:paraId="3B715BC4" w14:textId="77777777" w:rsidR="00052A87" w:rsidRDefault="00052A87" w:rsidP="00052A87">
            <w:pPr>
              <w:pStyle w:val="TableColumnHeadingRight"/>
            </w:pPr>
            <w:r>
              <w:t>Other ranks</w:t>
            </w:r>
          </w:p>
        </w:tc>
      </w:tr>
      <w:tr w:rsidR="00136A95" w14:paraId="2609746E" w14:textId="77777777" w:rsidTr="00136A95">
        <w:tc>
          <w:tcPr>
            <w:tcW w:w="602" w:type="dxa"/>
            <w:tcBorders>
              <w:top w:val="single" w:sz="2" w:space="0" w:color="auto"/>
            </w:tcBorders>
          </w:tcPr>
          <w:p w14:paraId="00DF2A98" w14:textId="77777777" w:rsidR="00052A87" w:rsidRDefault="00052A87" w:rsidP="00052A87">
            <w:pPr>
              <w:pStyle w:val="TableColumnHeadingLeft"/>
            </w:pPr>
            <w:r>
              <w:t>20</w:t>
            </w:r>
          </w:p>
        </w:tc>
        <w:tc>
          <w:tcPr>
            <w:tcW w:w="770" w:type="dxa"/>
            <w:tcBorders>
              <w:top w:val="single" w:sz="2" w:space="0" w:color="auto"/>
            </w:tcBorders>
          </w:tcPr>
          <w:p w14:paraId="0C71A8B1" w14:textId="77777777" w:rsidR="00052A87" w:rsidRDefault="00052A87" w:rsidP="00052A87">
            <w:pPr>
              <w:pStyle w:val="TableTextRight"/>
            </w:pPr>
            <w:r>
              <w:t>0.49</w:t>
            </w:r>
          </w:p>
        </w:tc>
        <w:tc>
          <w:tcPr>
            <w:tcW w:w="952" w:type="dxa"/>
            <w:tcBorders>
              <w:top w:val="single" w:sz="2" w:space="0" w:color="auto"/>
            </w:tcBorders>
          </w:tcPr>
          <w:p w14:paraId="7F614CDD" w14:textId="77777777" w:rsidR="00052A87" w:rsidRDefault="00052A87" w:rsidP="00783D26">
            <w:pPr>
              <w:pStyle w:val="TableTextRight"/>
            </w:pPr>
            <w:r>
              <w:t>0.</w:t>
            </w:r>
            <w:r w:rsidR="00783D26">
              <w:t>24</w:t>
            </w:r>
          </w:p>
        </w:tc>
        <w:tc>
          <w:tcPr>
            <w:tcW w:w="952" w:type="dxa"/>
            <w:tcBorders>
              <w:top w:val="single" w:sz="2" w:space="0" w:color="auto"/>
            </w:tcBorders>
          </w:tcPr>
          <w:p w14:paraId="52CEB953" w14:textId="77777777" w:rsidR="00052A87" w:rsidRDefault="00052A87" w:rsidP="00783D26">
            <w:pPr>
              <w:pStyle w:val="TableTextRight"/>
            </w:pPr>
            <w:r>
              <w:t>0.</w:t>
            </w:r>
            <w:r w:rsidR="00783D26">
              <w:t>84</w:t>
            </w:r>
          </w:p>
        </w:tc>
        <w:tc>
          <w:tcPr>
            <w:tcW w:w="312" w:type="dxa"/>
            <w:tcBorders>
              <w:top w:val="single" w:sz="2" w:space="0" w:color="auto"/>
            </w:tcBorders>
          </w:tcPr>
          <w:p w14:paraId="5FA8911F" w14:textId="77777777" w:rsidR="00052A87" w:rsidRDefault="00052A87" w:rsidP="00052A87">
            <w:pPr>
              <w:pStyle w:val="TableTextRight"/>
            </w:pPr>
          </w:p>
        </w:tc>
        <w:tc>
          <w:tcPr>
            <w:tcW w:w="952" w:type="dxa"/>
            <w:tcBorders>
              <w:top w:val="single" w:sz="2" w:space="0" w:color="auto"/>
            </w:tcBorders>
          </w:tcPr>
          <w:p w14:paraId="60D448A6" w14:textId="77777777" w:rsidR="00052A87" w:rsidRDefault="00F401A4" w:rsidP="00052A87">
            <w:pPr>
              <w:pStyle w:val="TableTextRight"/>
            </w:pPr>
            <w:r>
              <w:t>4.50</w:t>
            </w:r>
          </w:p>
        </w:tc>
        <w:tc>
          <w:tcPr>
            <w:tcW w:w="952" w:type="dxa"/>
            <w:tcBorders>
              <w:top w:val="single" w:sz="2" w:space="0" w:color="auto"/>
            </w:tcBorders>
          </w:tcPr>
          <w:p w14:paraId="4AF3E1D8" w14:textId="77777777" w:rsidR="00052A87" w:rsidRDefault="00052A87" w:rsidP="00F401A4">
            <w:pPr>
              <w:pStyle w:val="TableTextRight"/>
            </w:pPr>
            <w:r>
              <w:t>3.</w:t>
            </w:r>
            <w:r w:rsidR="00F401A4">
              <w:t>00</w:t>
            </w:r>
          </w:p>
        </w:tc>
        <w:tc>
          <w:tcPr>
            <w:tcW w:w="312" w:type="dxa"/>
            <w:tcBorders>
              <w:top w:val="single" w:sz="2" w:space="0" w:color="auto"/>
            </w:tcBorders>
          </w:tcPr>
          <w:p w14:paraId="092BF7A2" w14:textId="77777777" w:rsidR="00052A87" w:rsidRDefault="00052A87" w:rsidP="00052A87">
            <w:pPr>
              <w:pStyle w:val="TableTextRight"/>
            </w:pPr>
          </w:p>
        </w:tc>
        <w:tc>
          <w:tcPr>
            <w:tcW w:w="952" w:type="dxa"/>
            <w:tcBorders>
              <w:top w:val="single" w:sz="2" w:space="0" w:color="auto"/>
            </w:tcBorders>
          </w:tcPr>
          <w:p w14:paraId="76C7C55C" w14:textId="77777777" w:rsidR="00052A87" w:rsidRDefault="00052A87" w:rsidP="00F401A4">
            <w:pPr>
              <w:pStyle w:val="TableTextRight"/>
            </w:pPr>
            <w:r>
              <w:t>1.</w:t>
            </w:r>
            <w:r w:rsidR="00F401A4">
              <w:t>45</w:t>
            </w:r>
          </w:p>
        </w:tc>
        <w:tc>
          <w:tcPr>
            <w:tcW w:w="952" w:type="dxa"/>
            <w:tcBorders>
              <w:top w:val="single" w:sz="2" w:space="0" w:color="auto"/>
            </w:tcBorders>
          </w:tcPr>
          <w:p w14:paraId="68EB4D82" w14:textId="77777777" w:rsidR="00052A87" w:rsidRDefault="00F401A4" w:rsidP="00052A87">
            <w:pPr>
              <w:pStyle w:val="TableTextRight"/>
            </w:pPr>
            <w:r>
              <w:t>1.50</w:t>
            </w:r>
          </w:p>
        </w:tc>
      </w:tr>
      <w:tr w:rsidR="00136A95" w14:paraId="63B1F13F" w14:textId="77777777" w:rsidTr="00136A95">
        <w:tc>
          <w:tcPr>
            <w:tcW w:w="602" w:type="dxa"/>
            <w:shd w:val="clear" w:color="auto" w:fill="F2F2F2" w:themeFill="background1" w:themeFillShade="F2"/>
          </w:tcPr>
          <w:p w14:paraId="53C471A2" w14:textId="77777777" w:rsidR="00052A87" w:rsidRDefault="00052A87" w:rsidP="00052A87">
            <w:pPr>
              <w:pStyle w:val="TableColumnHeadingLeft"/>
            </w:pPr>
            <w:r>
              <w:t>25</w:t>
            </w:r>
          </w:p>
        </w:tc>
        <w:tc>
          <w:tcPr>
            <w:tcW w:w="770" w:type="dxa"/>
            <w:shd w:val="clear" w:color="auto" w:fill="F2F2F2" w:themeFill="background1" w:themeFillShade="F2"/>
          </w:tcPr>
          <w:p w14:paraId="32482D3E" w14:textId="77777777" w:rsidR="00052A87" w:rsidRDefault="00052A87" w:rsidP="00052A87">
            <w:pPr>
              <w:pStyle w:val="TableTextRight"/>
            </w:pPr>
            <w:r>
              <w:t>0.54</w:t>
            </w:r>
          </w:p>
        </w:tc>
        <w:tc>
          <w:tcPr>
            <w:tcW w:w="952" w:type="dxa"/>
            <w:shd w:val="clear" w:color="auto" w:fill="F2F2F2" w:themeFill="background1" w:themeFillShade="F2"/>
          </w:tcPr>
          <w:p w14:paraId="15FC71C0" w14:textId="77777777" w:rsidR="00052A87" w:rsidRDefault="00783D26" w:rsidP="00783D26">
            <w:pPr>
              <w:pStyle w:val="TableTextRight"/>
            </w:pPr>
            <w:r>
              <w:t>1</w:t>
            </w:r>
            <w:r w:rsidR="00052A87">
              <w:t>.</w:t>
            </w:r>
            <w:r>
              <w:t>09</w:t>
            </w:r>
          </w:p>
        </w:tc>
        <w:tc>
          <w:tcPr>
            <w:tcW w:w="952" w:type="dxa"/>
            <w:shd w:val="clear" w:color="auto" w:fill="F2F2F2" w:themeFill="background1" w:themeFillShade="F2"/>
          </w:tcPr>
          <w:p w14:paraId="10A49E81" w14:textId="77777777" w:rsidR="00052A87" w:rsidRDefault="00783D26" w:rsidP="00783D26">
            <w:pPr>
              <w:pStyle w:val="TableTextRight"/>
            </w:pPr>
            <w:r>
              <w:t>4</w:t>
            </w:r>
            <w:r w:rsidR="00052A87">
              <w:t>.</w:t>
            </w:r>
            <w:r>
              <w:t>46</w:t>
            </w:r>
          </w:p>
        </w:tc>
        <w:tc>
          <w:tcPr>
            <w:tcW w:w="312" w:type="dxa"/>
            <w:shd w:val="clear" w:color="auto" w:fill="F2F2F2" w:themeFill="background1" w:themeFillShade="F2"/>
          </w:tcPr>
          <w:p w14:paraId="166186D8" w14:textId="77777777" w:rsidR="00052A87" w:rsidRDefault="00052A87" w:rsidP="00052A87">
            <w:pPr>
              <w:pStyle w:val="TableTextRight"/>
            </w:pPr>
          </w:p>
        </w:tc>
        <w:tc>
          <w:tcPr>
            <w:tcW w:w="952" w:type="dxa"/>
            <w:shd w:val="clear" w:color="auto" w:fill="F2F2F2" w:themeFill="background1" w:themeFillShade="F2"/>
          </w:tcPr>
          <w:p w14:paraId="367EC6FD" w14:textId="77777777" w:rsidR="00052A87" w:rsidRDefault="00F401A4" w:rsidP="00052A87">
            <w:pPr>
              <w:pStyle w:val="TableTextRight"/>
            </w:pPr>
            <w:r>
              <w:t>0.85</w:t>
            </w:r>
          </w:p>
        </w:tc>
        <w:tc>
          <w:tcPr>
            <w:tcW w:w="952" w:type="dxa"/>
            <w:shd w:val="clear" w:color="auto" w:fill="F2F2F2" w:themeFill="background1" w:themeFillShade="F2"/>
          </w:tcPr>
          <w:p w14:paraId="38A4AC6E" w14:textId="77777777" w:rsidR="00052A87" w:rsidRDefault="00F401A4" w:rsidP="00052A87">
            <w:pPr>
              <w:pStyle w:val="TableTextRight"/>
            </w:pPr>
            <w:r>
              <w:t>5.57</w:t>
            </w:r>
          </w:p>
        </w:tc>
        <w:tc>
          <w:tcPr>
            <w:tcW w:w="312" w:type="dxa"/>
            <w:shd w:val="clear" w:color="auto" w:fill="F2F2F2" w:themeFill="background1" w:themeFillShade="F2"/>
          </w:tcPr>
          <w:p w14:paraId="2077CD9B" w14:textId="77777777" w:rsidR="00052A87" w:rsidRDefault="00052A87" w:rsidP="00052A87">
            <w:pPr>
              <w:pStyle w:val="TableTextRight"/>
            </w:pPr>
          </w:p>
        </w:tc>
        <w:tc>
          <w:tcPr>
            <w:tcW w:w="952" w:type="dxa"/>
            <w:shd w:val="clear" w:color="auto" w:fill="F2F2F2" w:themeFill="background1" w:themeFillShade="F2"/>
          </w:tcPr>
          <w:p w14:paraId="2F177E63" w14:textId="77777777" w:rsidR="00052A87" w:rsidRDefault="00052A87" w:rsidP="00052A87">
            <w:pPr>
              <w:pStyle w:val="TableTextRight"/>
            </w:pPr>
            <w:r>
              <w:t>2.24</w:t>
            </w:r>
          </w:p>
        </w:tc>
        <w:tc>
          <w:tcPr>
            <w:tcW w:w="952" w:type="dxa"/>
            <w:shd w:val="clear" w:color="auto" w:fill="F2F2F2" w:themeFill="background1" w:themeFillShade="F2"/>
          </w:tcPr>
          <w:p w14:paraId="335875F4" w14:textId="77777777" w:rsidR="00052A87" w:rsidRDefault="00F401A4" w:rsidP="00052A87">
            <w:pPr>
              <w:pStyle w:val="TableTextRight"/>
            </w:pPr>
            <w:r>
              <w:t>1.50</w:t>
            </w:r>
          </w:p>
        </w:tc>
      </w:tr>
      <w:tr w:rsidR="00136A95" w14:paraId="2A1F028F" w14:textId="77777777" w:rsidTr="00136A95">
        <w:tc>
          <w:tcPr>
            <w:tcW w:w="602" w:type="dxa"/>
          </w:tcPr>
          <w:p w14:paraId="3C80F566" w14:textId="77777777" w:rsidR="00052A87" w:rsidRDefault="00052A87" w:rsidP="00052A87">
            <w:pPr>
              <w:pStyle w:val="TableColumnHeadingLeft"/>
            </w:pPr>
            <w:r>
              <w:t>30</w:t>
            </w:r>
          </w:p>
        </w:tc>
        <w:tc>
          <w:tcPr>
            <w:tcW w:w="770" w:type="dxa"/>
          </w:tcPr>
          <w:p w14:paraId="3A531908" w14:textId="77777777" w:rsidR="00052A87" w:rsidRDefault="00052A87" w:rsidP="00052A87">
            <w:pPr>
              <w:pStyle w:val="TableTextRight"/>
            </w:pPr>
            <w:r>
              <w:t>0.56</w:t>
            </w:r>
          </w:p>
        </w:tc>
        <w:tc>
          <w:tcPr>
            <w:tcW w:w="952" w:type="dxa"/>
          </w:tcPr>
          <w:p w14:paraId="20F40C9E" w14:textId="77777777" w:rsidR="00052A87" w:rsidRDefault="00052A87" w:rsidP="00783D26">
            <w:pPr>
              <w:pStyle w:val="TableTextRight"/>
            </w:pPr>
            <w:r>
              <w:t>1.</w:t>
            </w:r>
            <w:r w:rsidR="00783D26">
              <w:t>85</w:t>
            </w:r>
          </w:p>
        </w:tc>
        <w:tc>
          <w:tcPr>
            <w:tcW w:w="952" w:type="dxa"/>
          </w:tcPr>
          <w:p w14:paraId="4D94D287" w14:textId="77777777" w:rsidR="00052A87" w:rsidRDefault="00783D26" w:rsidP="00783D26">
            <w:pPr>
              <w:pStyle w:val="TableTextRight"/>
            </w:pPr>
            <w:r>
              <w:t>5</w:t>
            </w:r>
            <w:r w:rsidR="00052A87">
              <w:t>.</w:t>
            </w:r>
            <w:r>
              <w:t>69</w:t>
            </w:r>
          </w:p>
        </w:tc>
        <w:tc>
          <w:tcPr>
            <w:tcW w:w="312" w:type="dxa"/>
          </w:tcPr>
          <w:p w14:paraId="615D69AC" w14:textId="77777777" w:rsidR="00052A87" w:rsidRDefault="00052A87" w:rsidP="00052A87">
            <w:pPr>
              <w:pStyle w:val="TableTextRight"/>
            </w:pPr>
          </w:p>
        </w:tc>
        <w:tc>
          <w:tcPr>
            <w:tcW w:w="952" w:type="dxa"/>
          </w:tcPr>
          <w:p w14:paraId="57ABC326" w14:textId="77777777" w:rsidR="00052A87" w:rsidRDefault="00052A87" w:rsidP="00783D26">
            <w:pPr>
              <w:pStyle w:val="TableTextRight"/>
            </w:pPr>
            <w:r>
              <w:t>1.</w:t>
            </w:r>
            <w:r w:rsidR="00783D26">
              <w:t>35</w:t>
            </w:r>
          </w:p>
        </w:tc>
        <w:tc>
          <w:tcPr>
            <w:tcW w:w="952" w:type="dxa"/>
          </w:tcPr>
          <w:p w14:paraId="736A7692" w14:textId="77777777" w:rsidR="00052A87" w:rsidRDefault="00F401A4" w:rsidP="00052A87">
            <w:pPr>
              <w:pStyle w:val="TableTextRight"/>
            </w:pPr>
            <w:r>
              <w:t>5.71</w:t>
            </w:r>
          </w:p>
        </w:tc>
        <w:tc>
          <w:tcPr>
            <w:tcW w:w="312" w:type="dxa"/>
          </w:tcPr>
          <w:p w14:paraId="5653C336" w14:textId="77777777" w:rsidR="00052A87" w:rsidRDefault="00052A87" w:rsidP="00052A87">
            <w:pPr>
              <w:pStyle w:val="TableTextRight"/>
            </w:pPr>
          </w:p>
        </w:tc>
        <w:tc>
          <w:tcPr>
            <w:tcW w:w="952" w:type="dxa"/>
          </w:tcPr>
          <w:p w14:paraId="6674D857" w14:textId="77777777" w:rsidR="00052A87" w:rsidRDefault="00052A87" w:rsidP="00F401A4">
            <w:pPr>
              <w:pStyle w:val="TableTextRight"/>
            </w:pPr>
            <w:r>
              <w:t>1.</w:t>
            </w:r>
            <w:r w:rsidR="00F401A4">
              <w:t>26</w:t>
            </w:r>
          </w:p>
        </w:tc>
        <w:tc>
          <w:tcPr>
            <w:tcW w:w="952" w:type="dxa"/>
          </w:tcPr>
          <w:p w14:paraId="2B9C66C3" w14:textId="77777777" w:rsidR="00052A87" w:rsidRDefault="00F401A4" w:rsidP="00F401A4">
            <w:pPr>
              <w:pStyle w:val="TableTextRight"/>
            </w:pPr>
            <w:r>
              <w:t>1.50</w:t>
            </w:r>
          </w:p>
        </w:tc>
      </w:tr>
      <w:tr w:rsidR="00136A95" w14:paraId="73AEC531" w14:textId="77777777" w:rsidTr="00136A95">
        <w:tc>
          <w:tcPr>
            <w:tcW w:w="602" w:type="dxa"/>
            <w:shd w:val="clear" w:color="auto" w:fill="F2F2F2" w:themeFill="background1" w:themeFillShade="F2"/>
          </w:tcPr>
          <w:p w14:paraId="02B1F8E0" w14:textId="77777777" w:rsidR="00F401A4" w:rsidRDefault="00F401A4" w:rsidP="00052A87">
            <w:pPr>
              <w:pStyle w:val="TableColumnHeadingLeft"/>
            </w:pPr>
            <w:r>
              <w:t>35</w:t>
            </w:r>
          </w:p>
        </w:tc>
        <w:tc>
          <w:tcPr>
            <w:tcW w:w="770" w:type="dxa"/>
            <w:shd w:val="clear" w:color="auto" w:fill="F2F2F2" w:themeFill="background1" w:themeFillShade="F2"/>
          </w:tcPr>
          <w:p w14:paraId="00A56373" w14:textId="77777777" w:rsidR="00F401A4" w:rsidRDefault="00F401A4" w:rsidP="00052A87">
            <w:pPr>
              <w:pStyle w:val="TableTextRight"/>
            </w:pPr>
            <w:r>
              <w:t>0.58</w:t>
            </w:r>
          </w:p>
        </w:tc>
        <w:tc>
          <w:tcPr>
            <w:tcW w:w="952" w:type="dxa"/>
            <w:shd w:val="clear" w:color="auto" w:fill="F2F2F2" w:themeFill="background1" w:themeFillShade="F2"/>
          </w:tcPr>
          <w:p w14:paraId="63E4DD7D" w14:textId="77777777" w:rsidR="00F401A4" w:rsidRDefault="00783D26" w:rsidP="00783D26">
            <w:pPr>
              <w:pStyle w:val="TableTextRight"/>
            </w:pPr>
            <w:r>
              <w:t>2</w:t>
            </w:r>
            <w:r w:rsidR="00F401A4">
              <w:t>.</w:t>
            </w:r>
            <w:r>
              <w:t>37</w:t>
            </w:r>
          </w:p>
        </w:tc>
        <w:tc>
          <w:tcPr>
            <w:tcW w:w="952" w:type="dxa"/>
            <w:shd w:val="clear" w:color="auto" w:fill="F2F2F2" w:themeFill="background1" w:themeFillShade="F2"/>
          </w:tcPr>
          <w:p w14:paraId="5E11E369" w14:textId="77777777" w:rsidR="00F401A4" w:rsidRDefault="00783D26" w:rsidP="00783D26">
            <w:pPr>
              <w:pStyle w:val="TableTextRight"/>
            </w:pPr>
            <w:r>
              <w:t>6</w:t>
            </w:r>
            <w:r w:rsidR="00F401A4">
              <w:t>.</w:t>
            </w:r>
            <w:r>
              <w:t>62</w:t>
            </w:r>
          </w:p>
        </w:tc>
        <w:tc>
          <w:tcPr>
            <w:tcW w:w="312" w:type="dxa"/>
            <w:shd w:val="clear" w:color="auto" w:fill="F2F2F2" w:themeFill="background1" w:themeFillShade="F2"/>
          </w:tcPr>
          <w:p w14:paraId="6F4E2C87" w14:textId="77777777" w:rsidR="00F401A4" w:rsidRDefault="00F401A4" w:rsidP="00052A87">
            <w:pPr>
              <w:pStyle w:val="TableTextRight"/>
            </w:pPr>
          </w:p>
        </w:tc>
        <w:tc>
          <w:tcPr>
            <w:tcW w:w="952" w:type="dxa"/>
            <w:shd w:val="clear" w:color="auto" w:fill="F2F2F2" w:themeFill="background1" w:themeFillShade="F2"/>
          </w:tcPr>
          <w:p w14:paraId="250F1AC6" w14:textId="77777777" w:rsidR="00F401A4" w:rsidRDefault="00F401A4" w:rsidP="00052A87">
            <w:pPr>
              <w:pStyle w:val="TableTextRight"/>
            </w:pPr>
            <w:r>
              <w:t>1.85</w:t>
            </w:r>
          </w:p>
        </w:tc>
        <w:tc>
          <w:tcPr>
            <w:tcW w:w="952" w:type="dxa"/>
            <w:shd w:val="clear" w:color="auto" w:fill="F2F2F2" w:themeFill="background1" w:themeFillShade="F2"/>
          </w:tcPr>
          <w:p w14:paraId="4F82EEC7" w14:textId="77777777" w:rsidR="00F401A4" w:rsidRDefault="00F401A4" w:rsidP="00E1224E">
            <w:pPr>
              <w:pStyle w:val="TableTextRight"/>
            </w:pPr>
            <w:r>
              <w:t>5.71</w:t>
            </w:r>
          </w:p>
        </w:tc>
        <w:tc>
          <w:tcPr>
            <w:tcW w:w="312" w:type="dxa"/>
            <w:shd w:val="clear" w:color="auto" w:fill="F2F2F2" w:themeFill="background1" w:themeFillShade="F2"/>
          </w:tcPr>
          <w:p w14:paraId="6D0F21C1" w14:textId="77777777" w:rsidR="00F401A4" w:rsidRDefault="00F401A4" w:rsidP="00052A87">
            <w:pPr>
              <w:pStyle w:val="TableTextRight"/>
            </w:pPr>
          </w:p>
        </w:tc>
        <w:tc>
          <w:tcPr>
            <w:tcW w:w="952" w:type="dxa"/>
            <w:shd w:val="clear" w:color="auto" w:fill="F2F2F2" w:themeFill="background1" w:themeFillShade="F2"/>
          </w:tcPr>
          <w:p w14:paraId="788EE4AB" w14:textId="77777777" w:rsidR="00F401A4" w:rsidRDefault="00F401A4" w:rsidP="00052A87">
            <w:pPr>
              <w:pStyle w:val="TableTextRight"/>
            </w:pPr>
            <w:r>
              <w:t>0.96</w:t>
            </w:r>
          </w:p>
        </w:tc>
        <w:tc>
          <w:tcPr>
            <w:tcW w:w="952" w:type="dxa"/>
            <w:shd w:val="clear" w:color="auto" w:fill="F2F2F2" w:themeFill="background1" w:themeFillShade="F2"/>
          </w:tcPr>
          <w:p w14:paraId="1CE76231" w14:textId="77777777" w:rsidR="00F401A4" w:rsidRDefault="00F401A4" w:rsidP="00E1224E">
            <w:pPr>
              <w:pStyle w:val="TableTextRight"/>
            </w:pPr>
            <w:r>
              <w:t>1.50</w:t>
            </w:r>
          </w:p>
        </w:tc>
      </w:tr>
      <w:tr w:rsidR="00136A95" w14:paraId="01BA5CC6" w14:textId="77777777" w:rsidTr="00136A95">
        <w:tc>
          <w:tcPr>
            <w:tcW w:w="602" w:type="dxa"/>
          </w:tcPr>
          <w:p w14:paraId="12CFEF60" w14:textId="77777777" w:rsidR="00F401A4" w:rsidRDefault="00F401A4" w:rsidP="00052A87">
            <w:pPr>
              <w:pStyle w:val="TableColumnHeadingLeft"/>
            </w:pPr>
            <w:r>
              <w:t>40</w:t>
            </w:r>
          </w:p>
        </w:tc>
        <w:tc>
          <w:tcPr>
            <w:tcW w:w="770" w:type="dxa"/>
          </w:tcPr>
          <w:p w14:paraId="4E1EF20B" w14:textId="77777777" w:rsidR="00F401A4" w:rsidRDefault="00F401A4" w:rsidP="00052A87">
            <w:pPr>
              <w:pStyle w:val="TableTextRight"/>
            </w:pPr>
            <w:r>
              <w:t>0.59</w:t>
            </w:r>
          </w:p>
        </w:tc>
        <w:tc>
          <w:tcPr>
            <w:tcW w:w="952" w:type="dxa"/>
          </w:tcPr>
          <w:p w14:paraId="1438645E" w14:textId="77777777" w:rsidR="00F401A4" w:rsidRDefault="00783D26" w:rsidP="00783D26">
            <w:pPr>
              <w:pStyle w:val="TableTextRight"/>
            </w:pPr>
            <w:r>
              <w:t>2</w:t>
            </w:r>
            <w:r w:rsidR="00F401A4">
              <w:t>.</w:t>
            </w:r>
            <w:r>
              <w:t>83</w:t>
            </w:r>
          </w:p>
        </w:tc>
        <w:tc>
          <w:tcPr>
            <w:tcW w:w="952" w:type="dxa"/>
          </w:tcPr>
          <w:p w14:paraId="526F31DB" w14:textId="77777777" w:rsidR="00F401A4" w:rsidRDefault="00783D26" w:rsidP="00783D26">
            <w:pPr>
              <w:pStyle w:val="TableTextRight"/>
            </w:pPr>
            <w:r>
              <w:t>7</w:t>
            </w:r>
            <w:r w:rsidR="00F401A4">
              <w:t>.</w:t>
            </w:r>
            <w:r>
              <w:t>18</w:t>
            </w:r>
          </w:p>
        </w:tc>
        <w:tc>
          <w:tcPr>
            <w:tcW w:w="312" w:type="dxa"/>
          </w:tcPr>
          <w:p w14:paraId="0ED871E2" w14:textId="77777777" w:rsidR="00F401A4" w:rsidRDefault="00F401A4" w:rsidP="00052A87">
            <w:pPr>
              <w:pStyle w:val="TableTextRight"/>
            </w:pPr>
          </w:p>
        </w:tc>
        <w:tc>
          <w:tcPr>
            <w:tcW w:w="952" w:type="dxa"/>
          </w:tcPr>
          <w:p w14:paraId="20959DFB" w14:textId="77777777" w:rsidR="00F401A4" w:rsidRDefault="00F401A4" w:rsidP="00F401A4">
            <w:pPr>
              <w:pStyle w:val="TableTextRight"/>
            </w:pPr>
            <w:r>
              <w:t>2.35</w:t>
            </w:r>
          </w:p>
        </w:tc>
        <w:tc>
          <w:tcPr>
            <w:tcW w:w="952" w:type="dxa"/>
          </w:tcPr>
          <w:p w14:paraId="26DA6679" w14:textId="77777777" w:rsidR="00F401A4" w:rsidRDefault="00F401A4" w:rsidP="00E1224E">
            <w:pPr>
              <w:pStyle w:val="TableTextRight"/>
            </w:pPr>
            <w:r>
              <w:t>5.71</w:t>
            </w:r>
          </w:p>
        </w:tc>
        <w:tc>
          <w:tcPr>
            <w:tcW w:w="312" w:type="dxa"/>
          </w:tcPr>
          <w:p w14:paraId="239A03F4" w14:textId="77777777" w:rsidR="00F401A4" w:rsidRDefault="00F401A4" w:rsidP="00052A87">
            <w:pPr>
              <w:pStyle w:val="TableTextRight"/>
            </w:pPr>
          </w:p>
        </w:tc>
        <w:tc>
          <w:tcPr>
            <w:tcW w:w="952" w:type="dxa"/>
          </w:tcPr>
          <w:p w14:paraId="669672DE" w14:textId="77777777" w:rsidR="00F401A4" w:rsidRDefault="00F401A4" w:rsidP="00052A87">
            <w:pPr>
              <w:pStyle w:val="TableTextRight"/>
            </w:pPr>
            <w:r>
              <w:t>0.78</w:t>
            </w:r>
          </w:p>
        </w:tc>
        <w:tc>
          <w:tcPr>
            <w:tcW w:w="952" w:type="dxa"/>
          </w:tcPr>
          <w:p w14:paraId="34C19693" w14:textId="77777777" w:rsidR="00F401A4" w:rsidRDefault="00F401A4" w:rsidP="00E1224E">
            <w:pPr>
              <w:pStyle w:val="TableTextRight"/>
            </w:pPr>
            <w:r>
              <w:t>1.50</w:t>
            </w:r>
          </w:p>
        </w:tc>
      </w:tr>
      <w:tr w:rsidR="00136A95" w14:paraId="1590E9EF" w14:textId="77777777" w:rsidTr="00136A95">
        <w:tc>
          <w:tcPr>
            <w:tcW w:w="602" w:type="dxa"/>
            <w:shd w:val="clear" w:color="auto" w:fill="F2F2F2" w:themeFill="background1" w:themeFillShade="F2"/>
          </w:tcPr>
          <w:p w14:paraId="6585C376" w14:textId="77777777" w:rsidR="00F401A4" w:rsidRDefault="00F401A4" w:rsidP="00052A87">
            <w:pPr>
              <w:pStyle w:val="TableColumnHeadingLeft"/>
            </w:pPr>
            <w:r>
              <w:t>45</w:t>
            </w:r>
          </w:p>
        </w:tc>
        <w:tc>
          <w:tcPr>
            <w:tcW w:w="770" w:type="dxa"/>
            <w:shd w:val="clear" w:color="auto" w:fill="F2F2F2" w:themeFill="background1" w:themeFillShade="F2"/>
          </w:tcPr>
          <w:p w14:paraId="57A8742A" w14:textId="77777777" w:rsidR="00F401A4" w:rsidRDefault="00F401A4" w:rsidP="00052A87">
            <w:pPr>
              <w:pStyle w:val="TableTextRight"/>
            </w:pPr>
            <w:r>
              <w:t>0.61</w:t>
            </w:r>
          </w:p>
        </w:tc>
        <w:tc>
          <w:tcPr>
            <w:tcW w:w="952" w:type="dxa"/>
            <w:shd w:val="clear" w:color="auto" w:fill="F2F2F2" w:themeFill="background1" w:themeFillShade="F2"/>
          </w:tcPr>
          <w:p w14:paraId="747D481F" w14:textId="77777777" w:rsidR="00F401A4" w:rsidRDefault="00783D26" w:rsidP="00783D26">
            <w:pPr>
              <w:pStyle w:val="TableTextRight"/>
            </w:pPr>
            <w:r>
              <w:t>3</w:t>
            </w:r>
            <w:r w:rsidR="00F401A4">
              <w:t>.</w:t>
            </w:r>
            <w:r>
              <w:t>05</w:t>
            </w:r>
          </w:p>
        </w:tc>
        <w:tc>
          <w:tcPr>
            <w:tcW w:w="952" w:type="dxa"/>
            <w:shd w:val="clear" w:color="auto" w:fill="F2F2F2" w:themeFill="background1" w:themeFillShade="F2"/>
          </w:tcPr>
          <w:p w14:paraId="0544B770" w14:textId="77777777" w:rsidR="00F401A4" w:rsidRDefault="00783D26" w:rsidP="00783D26">
            <w:pPr>
              <w:pStyle w:val="TableTextRight"/>
            </w:pPr>
            <w:r>
              <w:t>7</w:t>
            </w:r>
            <w:r w:rsidR="00F401A4">
              <w:t>.</w:t>
            </w:r>
            <w:r>
              <w:t>52</w:t>
            </w:r>
          </w:p>
        </w:tc>
        <w:tc>
          <w:tcPr>
            <w:tcW w:w="312" w:type="dxa"/>
            <w:shd w:val="clear" w:color="auto" w:fill="F2F2F2" w:themeFill="background1" w:themeFillShade="F2"/>
          </w:tcPr>
          <w:p w14:paraId="383E0600" w14:textId="77777777" w:rsidR="00F401A4" w:rsidRDefault="00F401A4" w:rsidP="00052A87">
            <w:pPr>
              <w:pStyle w:val="TableTextRight"/>
            </w:pPr>
          </w:p>
        </w:tc>
        <w:tc>
          <w:tcPr>
            <w:tcW w:w="952" w:type="dxa"/>
            <w:shd w:val="clear" w:color="auto" w:fill="F2F2F2" w:themeFill="background1" w:themeFillShade="F2"/>
          </w:tcPr>
          <w:p w14:paraId="3E78FE53" w14:textId="77777777" w:rsidR="00F401A4" w:rsidRDefault="00F401A4" w:rsidP="00052A87">
            <w:pPr>
              <w:pStyle w:val="TableTextRight"/>
            </w:pPr>
            <w:r>
              <w:t>2.85</w:t>
            </w:r>
          </w:p>
        </w:tc>
        <w:tc>
          <w:tcPr>
            <w:tcW w:w="952" w:type="dxa"/>
            <w:shd w:val="clear" w:color="auto" w:fill="F2F2F2" w:themeFill="background1" w:themeFillShade="F2"/>
          </w:tcPr>
          <w:p w14:paraId="42C18534" w14:textId="77777777" w:rsidR="00F401A4" w:rsidRDefault="00F401A4" w:rsidP="00E1224E">
            <w:pPr>
              <w:pStyle w:val="TableTextRight"/>
            </w:pPr>
            <w:r>
              <w:t>5.71</w:t>
            </w:r>
          </w:p>
        </w:tc>
        <w:tc>
          <w:tcPr>
            <w:tcW w:w="312" w:type="dxa"/>
            <w:shd w:val="clear" w:color="auto" w:fill="F2F2F2" w:themeFill="background1" w:themeFillShade="F2"/>
          </w:tcPr>
          <w:p w14:paraId="151FE792" w14:textId="77777777" w:rsidR="00F401A4" w:rsidRDefault="00F401A4" w:rsidP="00052A87">
            <w:pPr>
              <w:pStyle w:val="TableTextRight"/>
            </w:pPr>
          </w:p>
        </w:tc>
        <w:tc>
          <w:tcPr>
            <w:tcW w:w="952" w:type="dxa"/>
            <w:shd w:val="clear" w:color="auto" w:fill="F2F2F2" w:themeFill="background1" w:themeFillShade="F2"/>
          </w:tcPr>
          <w:p w14:paraId="0403910D" w14:textId="77777777" w:rsidR="00F401A4" w:rsidRDefault="00F401A4" w:rsidP="00052A87">
            <w:pPr>
              <w:pStyle w:val="TableTextRight"/>
            </w:pPr>
            <w:r>
              <w:t>0.75</w:t>
            </w:r>
          </w:p>
        </w:tc>
        <w:tc>
          <w:tcPr>
            <w:tcW w:w="952" w:type="dxa"/>
            <w:shd w:val="clear" w:color="auto" w:fill="F2F2F2" w:themeFill="background1" w:themeFillShade="F2"/>
          </w:tcPr>
          <w:p w14:paraId="17E05E5E" w14:textId="77777777" w:rsidR="00F401A4" w:rsidRDefault="00F401A4" w:rsidP="00E1224E">
            <w:pPr>
              <w:pStyle w:val="TableTextRight"/>
            </w:pPr>
            <w:r>
              <w:t>1.50</w:t>
            </w:r>
          </w:p>
        </w:tc>
      </w:tr>
      <w:tr w:rsidR="00136A95" w14:paraId="7F21C415" w14:textId="77777777" w:rsidTr="00136A95">
        <w:tc>
          <w:tcPr>
            <w:tcW w:w="602" w:type="dxa"/>
          </w:tcPr>
          <w:p w14:paraId="736B289F" w14:textId="77777777" w:rsidR="00F401A4" w:rsidRDefault="00F401A4" w:rsidP="00052A87">
            <w:pPr>
              <w:pStyle w:val="TableColumnHeadingLeft"/>
            </w:pPr>
            <w:r>
              <w:t>50</w:t>
            </w:r>
          </w:p>
        </w:tc>
        <w:tc>
          <w:tcPr>
            <w:tcW w:w="770" w:type="dxa"/>
          </w:tcPr>
          <w:p w14:paraId="710261CE" w14:textId="77777777" w:rsidR="00F401A4" w:rsidRDefault="00F401A4" w:rsidP="00052A87">
            <w:pPr>
              <w:pStyle w:val="TableTextRight"/>
            </w:pPr>
            <w:r>
              <w:t>0.76</w:t>
            </w:r>
          </w:p>
        </w:tc>
        <w:tc>
          <w:tcPr>
            <w:tcW w:w="952" w:type="dxa"/>
          </w:tcPr>
          <w:p w14:paraId="036F1A65" w14:textId="77777777" w:rsidR="00F401A4" w:rsidRDefault="00783D26" w:rsidP="00783D26">
            <w:pPr>
              <w:pStyle w:val="TableTextRight"/>
            </w:pPr>
            <w:r>
              <w:t>3</w:t>
            </w:r>
            <w:r w:rsidR="00F401A4">
              <w:t>.</w:t>
            </w:r>
            <w:r>
              <w:t>03</w:t>
            </w:r>
          </w:p>
        </w:tc>
        <w:tc>
          <w:tcPr>
            <w:tcW w:w="952" w:type="dxa"/>
          </w:tcPr>
          <w:p w14:paraId="58544039" w14:textId="77777777" w:rsidR="00F401A4" w:rsidRDefault="00783D26" w:rsidP="00783D26">
            <w:pPr>
              <w:pStyle w:val="TableTextRight"/>
            </w:pPr>
            <w:r>
              <w:t>7.52</w:t>
            </w:r>
          </w:p>
        </w:tc>
        <w:tc>
          <w:tcPr>
            <w:tcW w:w="312" w:type="dxa"/>
          </w:tcPr>
          <w:p w14:paraId="3330B901" w14:textId="77777777" w:rsidR="00F401A4" w:rsidRDefault="00F401A4" w:rsidP="00052A87">
            <w:pPr>
              <w:pStyle w:val="TableTextRight"/>
            </w:pPr>
          </w:p>
        </w:tc>
        <w:tc>
          <w:tcPr>
            <w:tcW w:w="952" w:type="dxa"/>
          </w:tcPr>
          <w:p w14:paraId="6F361D39" w14:textId="77777777" w:rsidR="00F401A4" w:rsidRDefault="00F401A4" w:rsidP="00F401A4">
            <w:pPr>
              <w:pStyle w:val="TableTextRight"/>
            </w:pPr>
            <w:r>
              <w:t>3.35</w:t>
            </w:r>
          </w:p>
        </w:tc>
        <w:tc>
          <w:tcPr>
            <w:tcW w:w="952" w:type="dxa"/>
          </w:tcPr>
          <w:p w14:paraId="0A0C06F3" w14:textId="77777777" w:rsidR="00F401A4" w:rsidRDefault="00F401A4" w:rsidP="00E1224E">
            <w:pPr>
              <w:pStyle w:val="TableTextRight"/>
            </w:pPr>
            <w:r>
              <w:t>5.71</w:t>
            </w:r>
          </w:p>
        </w:tc>
        <w:tc>
          <w:tcPr>
            <w:tcW w:w="312" w:type="dxa"/>
          </w:tcPr>
          <w:p w14:paraId="0A7359B1" w14:textId="77777777" w:rsidR="00F401A4" w:rsidRDefault="00F401A4" w:rsidP="00052A87">
            <w:pPr>
              <w:pStyle w:val="TableTextRight"/>
            </w:pPr>
          </w:p>
        </w:tc>
        <w:tc>
          <w:tcPr>
            <w:tcW w:w="952" w:type="dxa"/>
          </w:tcPr>
          <w:p w14:paraId="0644A4BC" w14:textId="77777777" w:rsidR="00F401A4" w:rsidRDefault="00F401A4" w:rsidP="00052A87">
            <w:pPr>
              <w:pStyle w:val="TableTextRight"/>
            </w:pPr>
            <w:r>
              <w:t>0.75</w:t>
            </w:r>
          </w:p>
        </w:tc>
        <w:tc>
          <w:tcPr>
            <w:tcW w:w="952" w:type="dxa"/>
          </w:tcPr>
          <w:p w14:paraId="12707413" w14:textId="77777777" w:rsidR="00F401A4" w:rsidRDefault="00F401A4" w:rsidP="00E1224E">
            <w:pPr>
              <w:pStyle w:val="TableTextRight"/>
            </w:pPr>
            <w:r>
              <w:t>1.50</w:t>
            </w:r>
          </w:p>
        </w:tc>
      </w:tr>
      <w:tr w:rsidR="00136A95" w14:paraId="146D4B72" w14:textId="77777777" w:rsidTr="00136A95">
        <w:tc>
          <w:tcPr>
            <w:tcW w:w="602" w:type="dxa"/>
            <w:shd w:val="clear" w:color="auto" w:fill="F2F2F2" w:themeFill="background1" w:themeFillShade="F2"/>
          </w:tcPr>
          <w:p w14:paraId="4D6C48E6" w14:textId="77777777" w:rsidR="00F401A4" w:rsidRDefault="00F401A4" w:rsidP="00CB1912">
            <w:pPr>
              <w:pStyle w:val="TableColumnHeadingLeft"/>
            </w:pPr>
            <w:r>
              <w:t>55</w:t>
            </w:r>
          </w:p>
        </w:tc>
        <w:tc>
          <w:tcPr>
            <w:tcW w:w="770" w:type="dxa"/>
            <w:shd w:val="clear" w:color="auto" w:fill="F2F2F2" w:themeFill="background1" w:themeFillShade="F2"/>
          </w:tcPr>
          <w:p w14:paraId="4E356F5A" w14:textId="77777777" w:rsidR="00F401A4" w:rsidRDefault="00F401A4" w:rsidP="00CB1912">
            <w:pPr>
              <w:pStyle w:val="TableTextRight"/>
            </w:pPr>
            <w:r>
              <w:t>1.30</w:t>
            </w:r>
          </w:p>
        </w:tc>
        <w:tc>
          <w:tcPr>
            <w:tcW w:w="952" w:type="dxa"/>
            <w:shd w:val="clear" w:color="auto" w:fill="F2F2F2" w:themeFill="background1" w:themeFillShade="F2"/>
          </w:tcPr>
          <w:p w14:paraId="72FDBAB1" w14:textId="77777777" w:rsidR="00F401A4" w:rsidRDefault="00783D26" w:rsidP="00783D26">
            <w:pPr>
              <w:pStyle w:val="TableTextRight"/>
            </w:pPr>
            <w:r>
              <w:t>3</w:t>
            </w:r>
            <w:r w:rsidR="00F401A4">
              <w:t>.</w:t>
            </w:r>
            <w:r>
              <w:t>03</w:t>
            </w:r>
          </w:p>
        </w:tc>
        <w:tc>
          <w:tcPr>
            <w:tcW w:w="952" w:type="dxa"/>
            <w:shd w:val="clear" w:color="auto" w:fill="F2F2F2" w:themeFill="background1" w:themeFillShade="F2"/>
          </w:tcPr>
          <w:p w14:paraId="0AF000D4" w14:textId="77777777" w:rsidR="00F401A4" w:rsidRDefault="00783D26" w:rsidP="00783D26">
            <w:pPr>
              <w:pStyle w:val="TableTextRight"/>
            </w:pPr>
            <w:r>
              <w:t>7</w:t>
            </w:r>
            <w:r w:rsidR="00F401A4">
              <w:t>.</w:t>
            </w:r>
            <w:r>
              <w:t>52</w:t>
            </w:r>
          </w:p>
        </w:tc>
        <w:tc>
          <w:tcPr>
            <w:tcW w:w="312" w:type="dxa"/>
            <w:shd w:val="clear" w:color="auto" w:fill="F2F2F2" w:themeFill="background1" w:themeFillShade="F2"/>
          </w:tcPr>
          <w:p w14:paraId="345C877A" w14:textId="77777777" w:rsidR="00F401A4" w:rsidRDefault="00F401A4" w:rsidP="00052A87">
            <w:pPr>
              <w:pStyle w:val="TableTextRight"/>
            </w:pPr>
          </w:p>
        </w:tc>
        <w:tc>
          <w:tcPr>
            <w:tcW w:w="952" w:type="dxa"/>
            <w:shd w:val="clear" w:color="auto" w:fill="F2F2F2" w:themeFill="background1" w:themeFillShade="F2"/>
          </w:tcPr>
          <w:p w14:paraId="5CC63194" w14:textId="77777777" w:rsidR="00F401A4" w:rsidRDefault="00F401A4" w:rsidP="00F401A4">
            <w:pPr>
              <w:pStyle w:val="TableTextRight"/>
            </w:pPr>
            <w:r>
              <w:t>3.75</w:t>
            </w:r>
          </w:p>
        </w:tc>
        <w:tc>
          <w:tcPr>
            <w:tcW w:w="952" w:type="dxa"/>
            <w:shd w:val="clear" w:color="auto" w:fill="F2F2F2" w:themeFill="background1" w:themeFillShade="F2"/>
          </w:tcPr>
          <w:p w14:paraId="3A68E7F0" w14:textId="77777777" w:rsidR="00F401A4" w:rsidRDefault="00F401A4" w:rsidP="00E1224E">
            <w:pPr>
              <w:pStyle w:val="TableTextRight"/>
            </w:pPr>
            <w:r>
              <w:t>5.71</w:t>
            </w:r>
          </w:p>
        </w:tc>
        <w:tc>
          <w:tcPr>
            <w:tcW w:w="312" w:type="dxa"/>
            <w:shd w:val="clear" w:color="auto" w:fill="F2F2F2" w:themeFill="background1" w:themeFillShade="F2"/>
          </w:tcPr>
          <w:p w14:paraId="6596AE9D" w14:textId="77777777" w:rsidR="00F401A4" w:rsidRDefault="00F401A4" w:rsidP="00052A87">
            <w:pPr>
              <w:pStyle w:val="TableTextRight"/>
            </w:pPr>
          </w:p>
        </w:tc>
        <w:tc>
          <w:tcPr>
            <w:tcW w:w="952" w:type="dxa"/>
            <w:shd w:val="clear" w:color="auto" w:fill="F2F2F2" w:themeFill="background1" w:themeFillShade="F2"/>
          </w:tcPr>
          <w:p w14:paraId="60B5A15D" w14:textId="77777777" w:rsidR="00F401A4" w:rsidRDefault="00F401A4" w:rsidP="00052A87">
            <w:pPr>
              <w:pStyle w:val="TableTextRight"/>
            </w:pPr>
            <w:r>
              <w:t>0.75</w:t>
            </w:r>
          </w:p>
        </w:tc>
        <w:tc>
          <w:tcPr>
            <w:tcW w:w="952" w:type="dxa"/>
            <w:shd w:val="clear" w:color="auto" w:fill="F2F2F2" w:themeFill="background1" w:themeFillShade="F2"/>
          </w:tcPr>
          <w:p w14:paraId="32FC4EF1" w14:textId="77777777" w:rsidR="00F401A4" w:rsidRDefault="00F401A4" w:rsidP="00E1224E">
            <w:pPr>
              <w:pStyle w:val="TableTextRight"/>
            </w:pPr>
            <w:r>
              <w:t>1.50</w:t>
            </w:r>
          </w:p>
        </w:tc>
      </w:tr>
      <w:tr w:rsidR="00136A95" w14:paraId="74366C8D" w14:textId="77777777" w:rsidTr="00136A95">
        <w:tc>
          <w:tcPr>
            <w:tcW w:w="602" w:type="dxa"/>
          </w:tcPr>
          <w:p w14:paraId="3FF40A5D" w14:textId="77777777" w:rsidR="00F401A4" w:rsidRDefault="00E1224E" w:rsidP="00052A87">
            <w:pPr>
              <w:pStyle w:val="TableColumnHeadingLeft"/>
            </w:pPr>
            <w:r>
              <w:t>59</w:t>
            </w:r>
          </w:p>
        </w:tc>
        <w:tc>
          <w:tcPr>
            <w:tcW w:w="770" w:type="dxa"/>
          </w:tcPr>
          <w:p w14:paraId="103E633C" w14:textId="77777777" w:rsidR="00F401A4" w:rsidRDefault="00F401A4" w:rsidP="00052A87">
            <w:pPr>
              <w:pStyle w:val="TableTextRight"/>
            </w:pPr>
            <w:r>
              <w:t>1.92</w:t>
            </w:r>
          </w:p>
        </w:tc>
        <w:tc>
          <w:tcPr>
            <w:tcW w:w="952" w:type="dxa"/>
          </w:tcPr>
          <w:p w14:paraId="4471B948" w14:textId="77777777" w:rsidR="00F401A4" w:rsidRDefault="00783D26" w:rsidP="00783D26">
            <w:pPr>
              <w:pStyle w:val="TableTextRight"/>
            </w:pPr>
            <w:r>
              <w:t>3</w:t>
            </w:r>
            <w:r w:rsidR="00F401A4">
              <w:t>.</w:t>
            </w:r>
            <w:r>
              <w:t>03</w:t>
            </w:r>
          </w:p>
        </w:tc>
        <w:tc>
          <w:tcPr>
            <w:tcW w:w="952" w:type="dxa"/>
          </w:tcPr>
          <w:p w14:paraId="59DDD9BE" w14:textId="77777777" w:rsidR="00F401A4" w:rsidRDefault="00783D26" w:rsidP="00783D26">
            <w:pPr>
              <w:pStyle w:val="TableTextRight"/>
            </w:pPr>
            <w:r>
              <w:t>7</w:t>
            </w:r>
            <w:r w:rsidR="00F401A4">
              <w:t>.</w:t>
            </w:r>
            <w:r>
              <w:t>52</w:t>
            </w:r>
          </w:p>
        </w:tc>
        <w:tc>
          <w:tcPr>
            <w:tcW w:w="312" w:type="dxa"/>
          </w:tcPr>
          <w:p w14:paraId="2EF73F04" w14:textId="77777777" w:rsidR="00F401A4" w:rsidRDefault="00F401A4" w:rsidP="00052A87">
            <w:pPr>
              <w:pStyle w:val="TableTextRight"/>
            </w:pPr>
          </w:p>
        </w:tc>
        <w:tc>
          <w:tcPr>
            <w:tcW w:w="952" w:type="dxa"/>
          </w:tcPr>
          <w:p w14:paraId="5E3952FE" w14:textId="77777777" w:rsidR="00F401A4" w:rsidRDefault="00F401A4" w:rsidP="00052A87">
            <w:pPr>
              <w:pStyle w:val="TableTextRight"/>
            </w:pPr>
            <w:r>
              <w:t>3.75</w:t>
            </w:r>
          </w:p>
        </w:tc>
        <w:tc>
          <w:tcPr>
            <w:tcW w:w="952" w:type="dxa"/>
          </w:tcPr>
          <w:p w14:paraId="5831D29B" w14:textId="77777777" w:rsidR="00F401A4" w:rsidRDefault="00F401A4" w:rsidP="00E1224E">
            <w:pPr>
              <w:pStyle w:val="TableTextRight"/>
            </w:pPr>
            <w:r>
              <w:t>5.71</w:t>
            </w:r>
          </w:p>
        </w:tc>
        <w:tc>
          <w:tcPr>
            <w:tcW w:w="312" w:type="dxa"/>
          </w:tcPr>
          <w:p w14:paraId="0A697993" w14:textId="77777777" w:rsidR="00F401A4" w:rsidRDefault="00F401A4" w:rsidP="00052A87">
            <w:pPr>
              <w:pStyle w:val="TableTextRight"/>
            </w:pPr>
          </w:p>
        </w:tc>
        <w:tc>
          <w:tcPr>
            <w:tcW w:w="952" w:type="dxa"/>
          </w:tcPr>
          <w:p w14:paraId="0B69BA26" w14:textId="77777777" w:rsidR="00F401A4" w:rsidRDefault="00F401A4" w:rsidP="00052A87">
            <w:pPr>
              <w:pStyle w:val="TableTextRight"/>
            </w:pPr>
            <w:r>
              <w:t>0.75</w:t>
            </w:r>
          </w:p>
        </w:tc>
        <w:tc>
          <w:tcPr>
            <w:tcW w:w="952" w:type="dxa"/>
          </w:tcPr>
          <w:p w14:paraId="7216EAB1" w14:textId="77777777" w:rsidR="00F401A4" w:rsidRDefault="00F401A4" w:rsidP="00E1224E">
            <w:pPr>
              <w:pStyle w:val="TableTextRight"/>
            </w:pPr>
            <w:r>
              <w:t>1.50</w:t>
            </w:r>
          </w:p>
        </w:tc>
      </w:tr>
    </w:tbl>
    <w:p w14:paraId="66EF5EC6" w14:textId="77777777" w:rsidR="00052A87" w:rsidRPr="00E30837" w:rsidRDefault="00052A87" w:rsidP="00E30837">
      <w:pPr>
        <w:pStyle w:val="SingleParagraph"/>
      </w:pPr>
    </w:p>
    <w:p w14:paraId="0813AE05" w14:textId="77777777" w:rsidR="00052A87" w:rsidRDefault="00052A87" w:rsidP="00D1063F">
      <w:pPr>
        <w:pStyle w:val="TableMainHeading-Appendix"/>
      </w:pPr>
      <w:r>
        <w:t>DFRDB death and invalidity rates (per 1,000 contributors)</w:t>
      </w:r>
    </w:p>
    <w:tbl>
      <w:tblPr>
        <w:tblW w:w="0" w:type="auto"/>
        <w:tblInd w:w="108" w:type="dxa"/>
        <w:tblBorders>
          <w:top w:val="single" w:sz="2" w:space="0" w:color="auto"/>
          <w:bottom w:val="single" w:sz="2" w:space="0" w:color="auto"/>
        </w:tblBorders>
        <w:tblLayout w:type="fixed"/>
        <w:tblLook w:val="01E0" w:firstRow="1" w:lastRow="1" w:firstColumn="1" w:lastColumn="1" w:noHBand="0" w:noVBand="0"/>
      </w:tblPr>
      <w:tblGrid>
        <w:gridCol w:w="602"/>
        <w:gridCol w:w="770"/>
        <w:gridCol w:w="1526"/>
        <w:gridCol w:w="1526"/>
        <w:gridCol w:w="236"/>
        <w:gridCol w:w="1523"/>
        <w:gridCol w:w="1526"/>
      </w:tblGrid>
      <w:tr w:rsidR="00136A95" w14:paraId="1A62B353" w14:textId="77777777" w:rsidTr="00136A95">
        <w:tc>
          <w:tcPr>
            <w:tcW w:w="602" w:type="dxa"/>
            <w:tcBorders>
              <w:top w:val="single" w:sz="2" w:space="0" w:color="auto"/>
              <w:bottom w:val="nil"/>
            </w:tcBorders>
            <w:shd w:val="clear" w:color="auto" w:fill="E6E6E6"/>
          </w:tcPr>
          <w:p w14:paraId="7607B25B" w14:textId="77777777" w:rsidR="009A4957" w:rsidRDefault="009A4957" w:rsidP="00052A87">
            <w:pPr>
              <w:pStyle w:val="TableTextLeft"/>
            </w:pPr>
          </w:p>
        </w:tc>
        <w:tc>
          <w:tcPr>
            <w:tcW w:w="770" w:type="dxa"/>
            <w:tcBorders>
              <w:top w:val="single" w:sz="2" w:space="0" w:color="auto"/>
              <w:bottom w:val="nil"/>
            </w:tcBorders>
            <w:shd w:val="clear" w:color="auto" w:fill="E6E6E6"/>
          </w:tcPr>
          <w:p w14:paraId="20524446" w14:textId="77777777" w:rsidR="009A4957" w:rsidRDefault="009A4957" w:rsidP="00052A87">
            <w:pPr>
              <w:pStyle w:val="TableTextLeft"/>
            </w:pPr>
          </w:p>
        </w:tc>
        <w:tc>
          <w:tcPr>
            <w:tcW w:w="3052" w:type="dxa"/>
            <w:gridSpan w:val="2"/>
            <w:tcBorders>
              <w:top w:val="single" w:sz="2" w:space="0" w:color="auto"/>
              <w:bottom w:val="single" w:sz="2" w:space="0" w:color="auto"/>
            </w:tcBorders>
            <w:shd w:val="clear" w:color="auto" w:fill="E6E6E6"/>
          </w:tcPr>
          <w:p w14:paraId="0F11E49C" w14:textId="700F3965" w:rsidR="009A4957" w:rsidRDefault="009A4957" w:rsidP="00052A87">
            <w:pPr>
              <w:pStyle w:val="TableColumnHeadingCentred"/>
            </w:pPr>
            <w:r>
              <w:t>Invalidity ‘A’</w:t>
            </w:r>
          </w:p>
        </w:tc>
        <w:tc>
          <w:tcPr>
            <w:tcW w:w="170" w:type="dxa"/>
            <w:tcBorders>
              <w:top w:val="single" w:sz="2" w:space="0" w:color="auto"/>
              <w:bottom w:val="nil"/>
            </w:tcBorders>
            <w:shd w:val="clear" w:color="auto" w:fill="E6E6E6"/>
          </w:tcPr>
          <w:p w14:paraId="3C7BEA79" w14:textId="77777777" w:rsidR="009A4957" w:rsidRDefault="009A4957" w:rsidP="00052A87">
            <w:pPr>
              <w:pStyle w:val="TableColumnHeadingCentred"/>
            </w:pPr>
          </w:p>
        </w:tc>
        <w:tc>
          <w:tcPr>
            <w:tcW w:w="3049" w:type="dxa"/>
            <w:gridSpan w:val="2"/>
            <w:tcBorders>
              <w:top w:val="single" w:sz="2" w:space="0" w:color="auto"/>
              <w:bottom w:val="single" w:sz="2" w:space="0" w:color="auto"/>
            </w:tcBorders>
            <w:shd w:val="clear" w:color="auto" w:fill="E6E6E6"/>
          </w:tcPr>
          <w:p w14:paraId="78DEE777" w14:textId="5C21B39C" w:rsidR="009A4957" w:rsidRDefault="009A4957" w:rsidP="00052A87">
            <w:pPr>
              <w:pStyle w:val="TableColumnHeadingCentred"/>
            </w:pPr>
            <w:r>
              <w:t>Invalidity ‘B’</w:t>
            </w:r>
          </w:p>
        </w:tc>
      </w:tr>
      <w:tr w:rsidR="00163B29" w14:paraId="08995B9E" w14:textId="77777777" w:rsidTr="00136A95">
        <w:tc>
          <w:tcPr>
            <w:tcW w:w="602" w:type="dxa"/>
            <w:tcBorders>
              <w:top w:val="nil"/>
              <w:bottom w:val="single" w:sz="2" w:space="0" w:color="auto"/>
            </w:tcBorders>
            <w:shd w:val="clear" w:color="auto" w:fill="E6E6E6"/>
          </w:tcPr>
          <w:p w14:paraId="57862AA1" w14:textId="77777777" w:rsidR="00052A87" w:rsidRDefault="00052A87" w:rsidP="00052A87">
            <w:pPr>
              <w:pStyle w:val="TableColumnHeadingLeft"/>
            </w:pPr>
            <w:r>
              <w:t>Age</w:t>
            </w:r>
          </w:p>
        </w:tc>
        <w:tc>
          <w:tcPr>
            <w:tcW w:w="770" w:type="dxa"/>
            <w:tcBorders>
              <w:top w:val="nil"/>
              <w:bottom w:val="single" w:sz="2" w:space="0" w:color="auto"/>
            </w:tcBorders>
            <w:shd w:val="clear" w:color="auto" w:fill="E6E6E6"/>
          </w:tcPr>
          <w:p w14:paraId="511E3429" w14:textId="77777777" w:rsidR="00052A87" w:rsidRDefault="00052A87" w:rsidP="00052A87">
            <w:pPr>
              <w:pStyle w:val="TableColumnHeadingRight"/>
            </w:pPr>
            <w:r>
              <w:t>Death</w:t>
            </w:r>
          </w:p>
        </w:tc>
        <w:tc>
          <w:tcPr>
            <w:tcW w:w="1526" w:type="dxa"/>
            <w:tcBorders>
              <w:top w:val="single" w:sz="2" w:space="0" w:color="auto"/>
              <w:bottom w:val="single" w:sz="2" w:space="0" w:color="auto"/>
            </w:tcBorders>
            <w:shd w:val="clear" w:color="auto" w:fill="E6E6E6"/>
          </w:tcPr>
          <w:p w14:paraId="0EC3E24A" w14:textId="77777777" w:rsidR="00052A87" w:rsidRDefault="00052A87" w:rsidP="00052A87">
            <w:pPr>
              <w:pStyle w:val="TableColumnHeadingRight"/>
            </w:pPr>
            <w:r>
              <w:t>Officers and</w:t>
            </w:r>
            <w:r>
              <w:br/>
              <w:t>cadets</w:t>
            </w:r>
          </w:p>
        </w:tc>
        <w:tc>
          <w:tcPr>
            <w:tcW w:w="1526" w:type="dxa"/>
            <w:tcBorders>
              <w:top w:val="single" w:sz="2" w:space="0" w:color="auto"/>
              <w:bottom w:val="single" w:sz="2" w:space="0" w:color="auto"/>
            </w:tcBorders>
            <w:shd w:val="clear" w:color="auto" w:fill="E6E6E6"/>
          </w:tcPr>
          <w:p w14:paraId="0BCCD8C0" w14:textId="77777777" w:rsidR="00052A87" w:rsidRDefault="00052A87" w:rsidP="00052A87">
            <w:pPr>
              <w:pStyle w:val="TableColumnHeadingRight"/>
            </w:pPr>
            <w:r>
              <w:t>Other ranks</w:t>
            </w:r>
          </w:p>
        </w:tc>
        <w:tc>
          <w:tcPr>
            <w:tcW w:w="170" w:type="dxa"/>
            <w:tcBorders>
              <w:top w:val="nil"/>
              <w:bottom w:val="single" w:sz="2" w:space="0" w:color="auto"/>
            </w:tcBorders>
            <w:shd w:val="clear" w:color="auto" w:fill="E6E6E6"/>
          </w:tcPr>
          <w:p w14:paraId="4CA3E324" w14:textId="77777777" w:rsidR="00052A87" w:rsidRDefault="00052A87" w:rsidP="00052A87">
            <w:pPr>
              <w:pStyle w:val="TableColumnHeadingRight"/>
            </w:pPr>
          </w:p>
        </w:tc>
        <w:tc>
          <w:tcPr>
            <w:tcW w:w="1523" w:type="dxa"/>
            <w:tcBorders>
              <w:top w:val="single" w:sz="2" w:space="0" w:color="auto"/>
              <w:bottom w:val="single" w:sz="2" w:space="0" w:color="auto"/>
            </w:tcBorders>
            <w:shd w:val="clear" w:color="auto" w:fill="E6E6E6"/>
          </w:tcPr>
          <w:p w14:paraId="464DA80E" w14:textId="77777777" w:rsidR="00052A87" w:rsidRDefault="00052A87" w:rsidP="00052A87">
            <w:pPr>
              <w:pStyle w:val="TableColumnHeadingRight"/>
            </w:pPr>
            <w:r>
              <w:t>Officers and cadets</w:t>
            </w:r>
          </w:p>
        </w:tc>
        <w:tc>
          <w:tcPr>
            <w:tcW w:w="1526" w:type="dxa"/>
            <w:tcBorders>
              <w:top w:val="single" w:sz="2" w:space="0" w:color="auto"/>
              <w:bottom w:val="single" w:sz="2" w:space="0" w:color="auto"/>
            </w:tcBorders>
            <w:shd w:val="clear" w:color="auto" w:fill="E6E6E6"/>
          </w:tcPr>
          <w:p w14:paraId="2C3501F8" w14:textId="77777777" w:rsidR="00052A87" w:rsidRDefault="00052A87" w:rsidP="00052A87">
            <w:pPr>
              <w:pStyle w:val="TableColumnHeadingRight"/>
            </w:pPr>
            <w:r>
              <w:t>Other ranks</w:t>
            </w:r>
          </w:p>
        </w:tc>
      </w:tr>
      <w:tr w:rsidR="00163B29" w14:paraId="260D3F84" w14:textId="77777777" w:rsidTr="00136A95">
        <w:tc>
          <w:tcPr>
            <w:tcW w:w="602" w:type="dxa"/>
          </w:tcPr>
          <w:p w14:paraId="7E5C6BAD" w14:textId="77777777" w:rsidR="00CB1912" w:rsidRDefault="00CB1912" w:rsidP="00052A87">
            <w:pPr>
              <w:pStyle w:val="TableColumnHeadingLeft"/>
            </w:pPr>
            <w:r>
              <w:t>40</w:t>
            </w:r>
          </w:p>
        </w:tc>
        <w:tc>
          <w:tcPr>
            <w:tcW w:w="770" w:type="dxa"/>
          </w:tcPr>
          <w:p w14:paraId="3A9BBD4A" w14:textId="77777777" w:rsidR="00CB1912" w:rsidRDefault="00CB1912" w:rsidP="00052A87">
            <w:pPr>
              <w:pStyle w:val="TableTextRight"/>
            </w:pPr>
            <w:r>
              <w:t>0.59</w:t>
            </w:r>
          </w:p>
        </w:tc>
        <w:tc>
          <w:tcPr>
            <w:tcW w:w="1526" w:type="dxa"/>
          </w:tcPr>
          <w:p w14:paraId="03B999E0" w14:textId="77777777" w:rsidR="00CB1912" w:rsidRDefault="00CB1912" w:rsidP="00052A87">
            <w:pPr>
              <w:pStyle w:val="TableTextRight"/>
            </w:pPr>
            <w:r>
              <w:t>1.60</w:t>
            </w:r>
          </w:p>
        </w:tc>
        <w:tc>
          <w:tcPr>
            <w:tcW w:w="1526" w:type="dxa"/>
          </w:tcPr>
          <w:p w14:paraId="0250DFA0" w14:textId="77777777" w:rsidR="00CB1912" w:rsidRDefault="00CB1912" w:rsidP="00052A87">
            <w:pPr>
              <w:pStyle w:val="TableTextRight"/>
            </w:pPr>
            <w:r>
              <w:t>7.01</w:t>
            </w:r>
          </w:p>
        </w:tc>
        <w:tc>
          <w:tcPr>
            <w:tcW w:w="170" w:type="dxa"/>
          </w:tcPr>
          <w:p w14:paraId="739FA7E8" w14:textId="77777777" w:rsidR="00CB1912" w:rsidRDefault="00CB1912" w:rsidP="00052A87">
            <w:pPr>
              <w:pStyle w:val="TableTextRight"/>
            </w:pPr>
          </w:p>
        </w:tc>
        <w:tc>
          <w:tcPr>
            <w:tcW w:w="1523" w:type="dxa"/>
          </w:tcPr>
          <w:p w14:paraId="4EF9649F" w14:textId="77777777" w:rsidR="00CB1912" w:rsidRDefault="00CB1912" w:rsidP="00CB1912">
            <w:pPr>
              <w:pStyle w:val="TableTextRight"/>
            </w:pPr>
            <w:r>
              <w:t>0.00</w:t>
            </w:r>
          </w:p>
        </w:tc>
        <w:tc>
          <w:tcPr>
            <w:tcW w:w="1526" w:type="dxa"/>
          </w:tcPr>
          <w:p w14:paraId="50960366" w14:textId="77777777" w:rsidR="00CB1912" w:rsidRDefault="00CB1912" w:rsidP="00CB1912">
            <w:pPr>
              <w:pStyle w:val="TableTextRight"/>
            </w:pPr>
            <w:r>
              <w:t>0.00</w:t>
            </w:r>
          </w:p>
        </w:tc>
      </w:tr>
      <w:tr w:rsidR="00163B29" w14:paraId="0AAAA6A8" w14:textId="77777777" w:rsidTr="00136A95">
        <w:tc>
          <w:tcPr>
            <w:tcW w:w="602" w:type="dxa"/>
            <w:shd w:val="clear" w:color="auto" w:fill="F2F2F2" w:themeFill="background1" w:themeFillShade="F2"/>
          </w:tcPr>
          <w:p w14:paraId="654A6E29" w14:textId="77777777" w:rsidR="00CB1912" w:rsidRDefault="00CB1912" w:rsidP="00052A87">
            <w:pPr>
              <w:pStyle w:val="TableColumnHeadingLeft"/>
            </w:pPr>
            <w:r>
              <w:t>45</w:t>
            </w:r>
          </w:p>
        </w:tc>
        <w:tc>
          <w:tcPr>
            <w:tcW w:w="770" w:type="dxa"/>
            <w:shd w:val="clear" w:color="auto" w:fill="F2F2F2" w:themeFill="background1" w:themeFillShade="F2"/>
          </w:tcPr>
          <w:p w14:paraId="73711879" w14:textId="77777777" w:rsidR="00CB1912" w:rsidRDefault="00CB1912" w:rsidP="00052A87">
            <w:pPr>
              <w:pStyle w:val="TableTextRight"/>
            </w:pPr>
            <w:r>
              <w:t>0.61</w:t>
            </w:r>
          </w:p>
        </w:tc>
        <w:tc>
          <w:tcPr>
            <w:tcW w:w="1526" w:type="dxa"/>
            <w:shd w:val="clear" w:color="auto" w:fill="F2F2F2" w:themeFill="background1" w:themeFillShade="F2"/>
          </w:tcPr>
          <w:p w14:paraId="54C4C448" w14:textId="77777777" w:rsidR="00CB1912" w:rsidRDefault="00CB1912" w:rsidP="00052A87">
            <w:pPr>
              <w:pStyle w:val="TableTextRight"/>
            </w:pPr>
            <w:r>
              <w:t>1.60</w:t>
            </w:r>
          </w:p>
        </w:tc>
        <w:tc>
          <w:tcPr>
            <w:tcW w:w="1526" w:type="dxa"/>
            <w:shd w:val="clear" w:color="auto" w:fill="F2F2F2" w:themeFill="background1" w:themeFillShade="F2"/>
          </w:tcPr>
          <w:p w14:paraId="1BAACE68" w14:textId="77777777" w:rsidR="00CB1912" w:rsidRDefault="00CB1912" w:rsidP="00052A87">
            <w:pPr>
              <w:pStyle w:val="TableTextRight"/>
            </w:pPr>
            <w:r>
              <w:t>3.81</w:t>
            </w:r>
          </w:p>
        </w:tc>
        <w:tc>
          <w:tcPr>
            <w:tcW w:w="170" w:type="dxa"/>
            <w:shd w:val="clear" w:color="auto" w:fill="F2F2F2" w:themeFill="background1" w:themeFillShade="F2"/>
          </w:tcPr>
          <w:p w14:paraId="02BD33DE" w14:textId="77777777" w:rsidR="00CB1912" w:rsidRDefault="00CB1912" w:rsidP="00052A87">
            <w:pPr>
              <w:pStyle w:val="TableTextRight"/>
            </w:pPr>
          </w:p>
        </w:tc>
        <w:tc>
          <w:tcPr>
            <w:tcW w:w="1523" w:type="dxa"/>
            <w:shd w:val="clear" w:color="auto" w:fill="F2F2F2" w:themeFill="background1" w:themeFillShade="F2"/>
          </w:tcPr>
          <w:p w14:paraId="2F7B7516" w14:textId="77777777" w:rsidR="00CB1912" w:rsidRDefault="00CB1912" w:rsidP="00CB1912">
            <w:pPr>
              <w:pStyle w:val="TableTextRight"/>
            </w:pPr>
            <w:r>
              <w:t>0.00</w:t>
            </w:r>
          </w:p>
        </w:tc>
        <w:tc>
          <w:tcPr>
            <w:tcW w:w="1526" w:type="dxa"/>
            <w:shd w:val="clear" w:color="auto" w:fill="F2F2F2" w:themeFill="background1" w:themeFillShade="F2"/>
          </w:tcPr>
          <w:p w14:paraId="2E4791A1" w14:textId="77777777" w:rsidR="00CB1912" w:rsidRDefault="00CB1912" w:rsidP="00CB1912">
            <w:pPr>
              <w:pStyle w:val="TableTextRight"/>
            </w:pPr>
            <w:r>
              <w:t>0.00</w:t>
            </w:r>
          </w:p>
        </w:tc>
      </w:tr>
      <w:tr w:rsidR="00163B29" w14:paraId="1D7CCC13" w14:textId="77777777" w:rsidTr="00136A95">
        <w:tc>
          <w:tcPr>
            <w:tcW w:w="602" w:type="dxa"/>
          </w:tcPr>
          <w:p w14:paraId="4FC8345A" w14:textId="77777777" w:rsidR="00CB1912" w:rsidRDefault="00CB1912" w:rsidP="00052A87">
            <w:pPr>
              <w:pStyle w:val="TableColumnHeadingLeft"/>
            </w:pPr>
            <w:r>
              <w:t>50</w:t>
            </w:r>
          </w:p>
        </w:tc>
        <w:tc>
          <w:tcPr>
            <w:tcW w:w="770" w:type="dxa"/>
          </w:tcPr>
          <w:p w14:paraId="4E8D38CF" w14:textId="77777777" w:rsidR="00CB1912" w:rsidRDefault="00CB1912" w:rsidP="00052A87">
            <w:pPr>
              <w:pStyle w:val="TableTextRight"/>
            </w:pPr>
            <w:r>
              <w:t>0.76</w:t>
            </w:r>
          </w:p>
        </w:tc>
        <w:tc>
          <w:tcPr>
            <w:tcW w:w="1526" w:type="dxa"/>
          </w:tcPr>
          <w:p w14:paraId="1AC94E6B" w14:textId="77777777" w:rsidR="00CB1912" w:rsidRDefault="00CB1912" w:rsidP="00052A87">
            <w:pPr>
              <w:pStyle w:val="TableTextRight"/>
            </w:pPr>
            <w:r>
              <w:t>1.60</w:t>
            </w:r>
          </w:p>
        </w:tc>
        <w:tc>
          <w:tcPr>
            <w:tcW w:w="1526" w:type="dxa"/>
          </w:tcPr>
          <w:p w14:paraId="37D223F5" w14:textId="77777777" w:rsidR="00CB1912" w:rsidRDefault="00CB1912" w:rsidP="00052A87">
            <w:pPr>
              <w:pStyle w:val="TableTextRight"/>
            </w:pPr>
            <w:r>
              <w:t>3.57</w:t>
            </w:r>
          </w:p>
        </w:tc>
        <w:tc>
          <w:tcPr>
            <w:tcW w:w="170" w:type="dxa"/>
          </w:tcPr>
          <w:p w14:paraId="13BA339E" w14:textId="77777777" w:rsidR="00CB1912" w:rsidRDefault="00CB1912" w:rsidP="00052A87">
            <w:pPr>
              <w:pStyle w:val="TableTextRight"/>
            </w:pPr>
          </w:p>
        </w:tc>
        <w:tc>
          <w:tcPr>
            <w:tcW w:w="1523" w:type="dxa"/>
          </w:tcPr>
          <w:p w14:paraId="695ADE0E" w14:textId="77777777" w:rsidR="00CB1912" w:rsidRDefault="00CB1912" w:rsidP="00CB1912">
            <w:pPr>
              <w:pStyle w:val="TableTextRight"/>
            </w:pPr>
            <w:r>
              <w:t>0.00</w:t>
            </w:r>
          </w:p>
        </w:tc>
        <w:tc>
          <w:tcPr>
            <w:tcW w:w="1526" w:type="dxa"/>
          </w:tcPr>
          <w:p w14:paraId="5E05BEFD" w14:textId="77777777" w:rsidR="00CB1912" w:rsidRDefault="00CB1912" w:rsidP="00CB1912">
            <w:pPr>
              <w:pStyle w:val="TableTextRight"/>
            </w:pPr>
            <w:r>
              <w:t>0.00</w:t>
            </w:r>
          </w:p>
        </w:tc>
      </w:tr>
      <w:tr w:rsidR="00163B29" w14:paraId="1ABF79E9" w14:textId="77777777" w:rsidTr="00136A95">
        <w:tc>
          <w:tcPr>
            <w:tcW w:w="602" w:type="dxa"/>
            <w:shd w:val="clear" w:color="auto" w:fill="F2F2F2" w:themeFill="background1" w:themeFillShade="F2"/>
          </w:tcPr>
          <w:p w14:paraId="57ADB869" w14:textId="77777777" w:rsidR="00CB1912" w:rsidRDefault="00CB1912" w:rsidP="006F6194">
            <w:pPr>
              <w:pStyle w:val="TableColumnHeadingLeft"/>
            </w:pPr>
            <w:r>
              <w:t>5</w:t>
            </w:r>
            <w:r w:rsidR="00DF6772">
              <w:t>5</w:t>
            </w:r>
          </w:p>
        </w:tc>
        <w:tc>
          <w:tcPr>
            <w:tcW w:w="770" w:type="dxa"/>
            <w:shd w:val="clear" w:color="auto" w:fill="F2F2F2" w:themeFill="background1" w:themeFillShade="F2"/>
          </w:tcPr>
          <w:p w14:paraId="3E88873C" w14:textId="77777777" w:rsidR="00CB1912" w:rsidRDefault="00CB1912" w:rsidP="00CB1912">
            <w:pPr>
              <w:pStyle w:val="TableTextRight"/>
            </w:pPr>
            <w:r>
              <w:t>1.30</w:t>
            </w:r>
          </w:p>
        </w:tc>
        <w:tc>
          <w:tcPr>
            <w:tcW w:w="1526" w:type="dxa"/>
            <w:shd w:val="clear" w:color="auto" w:fill="F2F2F2" w:themeFill="background1" w:themeFillShade="F2"/>
          </w:tcPr>
          <w:p w14:paraId="16B8E2A4" w14:textId="77777777" w:rsidR="00CB1912" w:rsidRDefault="00CB1912" w:rsidP="00052A87">
            <w:pPr>
              <w:pStyle w:val="TableTextRight"/>
            </w:pPr>
            <w:r>
              <w:t>1.60</w:t>
            </w:r>
          </w:p>
        </w:tc>
        <w:tc>
          <w:tcPr>
            <w:tcW w:w="1526" w:type="dxa"/>
            <w:shd w:val="clear" w:color="auto" w:fill="F2F2F2" w:themeFill="background1" w:themeFillShade="F2"/>
          </w:tcPr>
          <w:p w14:paraId="4DDB58E3" w14:textId="77777777" w:rsidR="00CB1912" w:rsidRDefault="00CB1912" w:rsidP="00052A87">
            <w:pPr>
              <w:pStyle w:val="TableTextRight"/>
            </w:pPr>
            <w:r>
              <w:t>3.39</w:t>
            </w:r>
          </w:p>
        </w:tc>
        <w:tc>
          <w:tcPr>
            <w:tcW w:w="170" w:type="dxa"/>
            <w:shd w:val="clear" w:color="auto" w:fill="F2F2F2" w:themeFill="background1" w:themeFillShade="F2"/>
          </w:tcPr>
          <w:p w14:paraId="72EDD5DA" w14:textId="77777777" w:rsidR="00CB1912" w:rsidRDefault="00CB1912" w:rsidP="00052A87">
            <w:pPr>
              <w:pStyle w:val="TableTextRight"/>
            </w:pPr>
          </w:p>
        </w:tc>
        <w:tc>
          <w:tcPr>
            <w:tcW w:w="1523" w:type="dxa"/>
            <w:shd w:val="clear" w:color="auto" w:fill="F2F2F2" w:themeFill="background1" w:themeFillShade="F2"/>
          </w:tcPr>
          <w:p w14:paraId="293200C9" w14:textId="77777777" w:rsidR="00CB1912" w:rsidRDefault="00CB1912" w:rsidP="00CB1912">
            <w:pPr>
              <w:pStyle w:val="TableTextRight"/>
            </w:pPr>
            <w:r>
              <w:t>0.00</w:t>
            </w:r>
          </w:p>
        </w:tc>
        <w:tc>
          <w:tcPr>
            <w:tcW w:w="1526" w:type="dxa"/>
            <w:shd w:val="clear" w:color="auto" w:fill="F2F2F2" w:themeFill="background1" w:themeFillShade="F2"/>
          </w:tcPr>
          <w:p w14:paraId="7E54EAC5" w14:textId="77777777" w:rsidR="00CB1912" w:rsidRDefault="00CB1912" w:rsidP="00CB1912">
            <w:pPr>
              <w:pStyle w:val="TableTextRight"/>
            </w:pPr>
            <w:r>
              <w:t>0.00</w:t>
            </w:r>
          </w:p>
        </w:tc>
      </w:tr>
      <w:tr w:rsidR="00163B29" w14:paraId="4E684ECB" w14:textId="77777777" w:rsidTr="00136A95">
        <w:tc>
          <w:tcPr>
            <w:tcW w:w="602" w:type="dxa"/>
          </w:tcPr>
          <w:p w14:paraId="3EB49A2A" w14:textId="77777777" w:rsidR="00CB1912" w:rsidRDefault="00CB1912" w:rsidP="00052A87">
            <w:pPr>
              <w:pStyle w:val="TableColumnHeadingLeft"/>
            </w:pPr>
            <w:r>
              <w:t>59</w:t>
            </w:r>
          </w:p>
        </w:tc>
        <w:tc>
          <w:tcPr>
            <w:tcW w:w="770" w:type="dxa"/>
          </w:tcPr>
          <w:p w14:paraId="318B11C7" w14:textId="77777777" w:rsidR="00CB1912" w:rsidRDefault="00CB1912" w:rsidP="00052A87">
            <w:pPr>
              <w:pStyle w:val="TableTextRight"/>
            </w:pPr>
            <w:r>
              <w:t>1.92</w:t>
            </w:r>
          </w:p>
        </w:tc>
        <w:tc>
          <w:tcPr>
            <w:tcW w:w="1526" w:type="dxa"/>
          </w:tcPr>
          <w:p w14:paraId="3F35D4F0" w14:textId="77777777" w:rsidR="00CB1912" w:rsidRDefault="00CB1912" w:rsidP="00052A87">
            <w:pPr>
              <w:pStyle w:val="TableTextRight"/>
            </w:pPr>
            <w:r>
              <w:t>1.60</w:t>
            </w:r>
          </w:p>
        </w:tc>
        <w:tc>
          <w:tcPr>
            <w:tcW w:w="1526" w:type="dxa"/>
          </w:tcPr>
          <w:p w14:paraId="0F36C645" w14:textId="77777777" w:rsidR="00CB1912" w:rsidRDefault="00CB1912" w:rsidP="00052A87">
            <w:pPr>
              <w:pStyle w:val="TableTextRight"/>
            </w:pPr>
            <w:r>
              <w:t>3.26</w:t>
            </w:r>
          </w:p>
        </w:tc>
        <w:tc>
          <w:tcPr>
            <w:tcW w:w="170" w:type="dxa"/>
          </w:tcPr>
          <w:p w14:paraId="4360F8B1" w14:textId="77777777" w:rsidR="00CB1912" w:rsidRDefault="00CB1912" w:rsidP="00052A87">
            <w:pPr>
              <w:pStyle w:val="TableTextRight"/>
            </w:pPr>
          </w:p>
        </w:tc>
        <w:tc>
          <w:tcPr>
            <w:tcW w:w="1523" w:type="dxa"/>
          </w:tcPr>
          <w:p w14:paraId="7A317DE8" w14:textId="77777777" w:rsidR="00CB1912" w:rsidRDefault="00CB1912" w:rsidP="00CB1912">
            <w:pPr>
              <w:pStyle w:val="TableTextRight"/>
            </w:pPr>
            <w:r>
              <w:t>0.00</w:t>
            </w:r>
          </w:p>
        </w:tc>
        <w:tc>
          <w:tcPr>
            <w:tcW w:w="1526" w:type="dxa"/>
          </w:tcPr>
          <w:p w14:paraId="57B824CA" w14:textId="77777777" w:rsidR="00CB1912" w:rsidRDefault="00CB1912" w:rsidP="00CB1912">
            <w:pPr>
              <w:pStyle w:val="TableTextRight"/>
            </w:pPr>
            <w:r>
              <w:t>0.00</w:t>
            </w:r>
          </w:p>
        </w:tc>
      </w:tr>
    </w:tbl>
    <w:p w14:paraId="12A3B3CA" w14:textId="613A4AF2" w:rsidR="00D25744" w:rsidRDefault="00052A87" w:rsidP="00973366">
      <w:pPr>
        <w:pStyle w:val="ChartorTableNote"/>
        <w:ind w:left="0"/>
      </w:pPr>
      <w:r>
        <w:t xml:space="preserve">Note </w:t>
      </w:r>
      <w:r w:rsidR="006338E9">
        <w:t>the service durations of DFRDB contributors are such that, for a large and increasing majority of members, the invalidity B benefit provides a lower pension than the pension which would be paid on retirement.</w:t>
      </w:r>
      <w:r w:rsidR="00212C90">
        <w:t xml:space="preserve"> </w:t>
      </w:r>
      <w:r w:rsidR="006338E9">
        <w:t xml:space="preserve">Accordingly, </w:t>
      </w:r>
      <w:r w:rsidR="00757432">
        <w:t xml:space="preserve">it is </w:t>
      </w:r>
      <w:r w:rsidR="006338E9">
        <w:t xml:space="preserve">assumed </w:t>
      </w:r>
      <w:r>
        <w:t>that</w:t>
      </w:r>
      <w:r w:rsidR="006338E9">
        <w:t xml:space="preserve"> there will be no future invalidity B exits from the DFRDB.</w:t>
      </w:r>
      <w:r w:rsidR="00212C90">
        <w:t xml:space="preserve"> </w:t>
      </w:r>
    </w:p>
    <w:p w14:paraId="02925A9D" w14:textId="43AF920A" w:rsidR="00C40369" w:rsidRPr="00C40369" w:rsidRDefault="00052A87" w:rsidP="0051624C">
      <w:pPr>
        <w:pStyle w:val="ChartorTableNote"/>
        <w:ind w:left="0"/>
      </w:pPr>
      <w:r>
        <w:t>Invalidity ‘C’ exits from the DFRDB are included in the resignation assumptions.</w:t>
      </w:r>
    </w:p>
    <w:p w14:paraId="67E90E54" w14:textId="77777777" w:rsidR="00052A87" w:rsidRPr="00C157F7" w:rsidRDefault="00052A87" w:rsidP="00C40369">
      <w:pPr>
        <w:pStyle w:val="Heading3nonumbering"/>
        <w:spacing w:before="120"/>
      </w:pPr>
      <w:r w:rsidRPr="00C40369">
        <w:br w:type="page"/>
      </w:r>
      <w:r>
        <w:lastRenderedPageBreak/>
        <w:t>C</w:t>
      </w:r>
      <w:r w:rsidRPr="00C157F7">
        <w:t xml:space="preserve">ontributor </w:t>
      </w:r>
      <w:r>
        <w:t>e</w:t>
      </w:r>
      <w:r w:rsidRPr="00C157F7">
        <w:t xml:space="preserve">xits by </w:t>
      </w:r>
      <w:r>
        <w:t>r</w:t>
      </w:r>
      <w:r w:rsidRPr="00C157F7">
        <w:t xml:space="preserve">etirement and </w:t>
      </w:r>
      <w:r>
        <w:t>r</w:t>
      </w:r>
      <w:r w:rsidRPr="00C157F7">
        <w:t>esignation</w:t>
      </w:r>
    </w:p>
    <w:p w14:paraId="72D7A705" w14:textId="77777777" w:rsidR="00052A87" w:rsidRDefault="00052A87" w:rsidP="00052A87">
      <w:pPr>
        <w:keepNext/>
        <w:keepLines/>
        <w:rPr>
          <w:rFonts w:cs="Arial"/>
        </w:rPr>
      </w:pPr>
      <w:r w:rsidRPr="00C157F7">
        <w:rPr>
          <w:rFonts w:cs="Arial"/>
        </w:rPr>
        <w:t>The tables below set out the rates adopted for resignation</w:t>
      </w:r>
      <w:r w:rsidR="00F52FBF">
        <w:rPr>
          <w:rFonts w:cs="Arial"/>
        </w:rPr>
        <w:t xml:space="preserve"> below</w:t>
      </w:r>
      <w:r>
        <w:rPr>
          <w:rFonts w:cs="Arial"/>
        </w:rPr>
        <w:t xml:space="preserve"> age</w:t>
      </w:r>
      <w:r w:rsidR="00F52FBF">
        <w:rPr>
          <w:rFonts w:cs="Arial"/>
        </w:rPr>
        <w:t xml:space="preserve"> 55</w:t>
      </w:r>
      <w:r w:rsidRPr="00C157F7">
        <w:rPr>
          <w:rFonts w:cs="Arial"/>
        </w:rPr>
        <w:t xml:space="preserve">. The figures represent the numbers leaving per 1,000 contributors at each duration shown. </w:t>
      </w:r>
      <w:r w:rsidR="00F52FBF">
        <w:rPr>
          <w:rFonts w:cs="Arial"/>
        </w:rPr>
        <w:t>Retirement rates for those age 55 or more are a separate assumption.</w:t>
      </w:r>
    </w:p>
    <w:p w14:paraId="562F6A58" w14:textId="77777777" w:rsidR="00052A87" w:rsidRDefault="00052A87" w:rsidP="00D1063F">
      <w:pPr>
        <w:pStyle w:val="TableMainHeading-Appendix"/>
      </w:pPr>
      <w:r w:rsidRPr="00C157F7">
        <w:t>MSBS</w:t>
      </w:r>
      <w:r>
        <w:t xml:space="preserve"> resignation rates (per 1,000 contributors)</w:t>
      </w:r>
    </w:p>
    <w:tbl>
      <w:tblPr>
        <w:tblW w:w="0" w:type="auto"/>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1783"/>
        <w:gridCol w:w="1792"/>
        <w:gridCol w:w="517"/>
        <w:gridCol w:w="1778"/>
      </w:tblGrid>
      <w:tr w:rsidR="009A4957" w:rsidRPr="00660890" w14:paraId="5F46CA58" w14:textId="77777777" w:rsidTr="00136A95">
        <w:trPr>
          <w:trHeight w:val="204"/>
        </w:trPr>
        <w:tc>
          <w:tcPr>
            <w:tcW w:w="1843" w:type="dxa"/>
            <w:vMerge w:val="restart"/>
            <w:tcBorders>
              <w:top w:val="single" w:sz="2" w:space="0" w:color="000000"/>
              <w:left w:val="nil"/>
              <w:right w:val="nil"/>
            </w:tcBorders>
            <w:shd w:val="clear" w:color="auto" w:fill="E6E6E6"/>
            <w:vAlign w:val="center"/>
          </w:tcPr>
          <w:p w14:paraId="740F91A6" w14:textId="2FC3CF36" w:rsidR="009A4957" w:rsidRPr="00660890" w:rsidRDefault="009A4957" w:rsidP="009E6ADE">
            <w:pPr>
              <w:pStyle w:val="TableColumnHeadingLeft"/>
            </w:pPr>
            <w:r w:rsidRPr="00660890">
              <w:t>Years of service</w:t>
            </w:r>
          </w:p>
        </w:tc>
        <w:tc>
          <w:tcPr>
            <w:tcW w:w="3575" w:type="dxa"/>
            <w:gridSpan w:val="2"/>
            <w:tcBorders>
              <w:top w:val="single" w:sz="2" w:space="0" w:color="000000"/>
              <w:left w:val="nil"/>
              <w:bottom w:val="single" w:sz="4" w:space="0" w:color="auto"/>
              <w:right w:val="nil"/>
            </w:tcBorders>
            <w:shd w:val="clear" w:color="auto" w:fill="E6E6E6"/>
          </w:tcPr>
          <w:p w14:paraId="642668DF" w14:textId="5B692793" w:rsidR="009A4957" w:rsidRDefault="009A4957" w:rsidP="00B265D9">
            <w:pPr>
              <w:pStyle w:val="TableColumnHeadingCentred"/>
            </w:pPr>
            <w:r>
              <w:t xml:space="preserve">Officers &amp; </w:t>
            </w:r>
            <w:r w:rsidRPr="00660890">
              <w:t>Cadets</w:t>
            </w:r>
          </w:p>
        </w:tc>
        <w:tc>
          <w:tcPr>
            <w:tcW w:w="517" w:type="dxa"/>
            <w:tcBorders>
              <w:top w:val="single" w:sz="2" w:space="0" w:color="000000"/>
              <w:left w:val="nil"/>
              <w:bottom w:val="nil"/>
              <w:right w:val="nil"/>
            </w:tcBorders>
            <w:shd w:val="clear" w:color="auto" w:fill="E6E6E6"/>
          </w:tcPr>
          <w:p w14:paraId="30921E76" w14:textId="77777777" w:rsidR="009A4957" w:rsidRPr="00660890" w:rsidRDefault="009A4957" w:rsidP="00052A87">
            <w:pPr>
              <w:pStyle w:val="TableColumnHeadingCentred"/>
            </w:pPr>
          </w:p>
        </w:tc>
        <w:tc>
          <w:tcPr>
            <w:tcW w:w="1778" w:type="dxa"/>
            <w:tcBorders>
              <w:top w:val="single" w:sz="2" w:space="0" w:color="000000"/>
              <w:left w:val="nil"/>
              <w:bottom w:val="single" w:sz="2" w:space="0" w:color="000000"/>
              <w:right w:val="nil"/>
            </w:tcBorders>
            <w:shd w:val="clear" w:color="auto" w:fill="E6E6E6"/>
          </w:tcPr>
          <w:p w14:paraId="70A75A79" w14:textId="36DBFE2D" w:rsidR="009A4957" w:rsidRPr="00660890" w:rsidRDefault="009A4957" w:rsidP="00052A87">
            <w:pPr>
              <w:pStyle w:val="TableColumnHeadingCentred"/>
            </w:pPr>
            <w:r w:rsidRPr="00660890">
              <w:t>Other ranks</w:t>
            </w:r>
          </w:p>
        </w:tc>
      </w:tr>
      <w:tr w:rsidR="009E6ADE" w:rsidRPr="00660890" w14:paraId="4C969C96" w14:textId="77777777" w:rsidTr="00136A95">
        <w:tc>
          <w:tcPr>
            <w:tcW w:w="1843" w:type="dxa"/>
            <w:vMerge/>
            <w:tcBorders>
              <w:left w:val="nil"/>
              <w:bottom w:val="single" w:sz="2" w:space="0" w:color="000000"/>
              <w:right w:val="nil"/>
            </w:tcBorders>
            <w:shd w:val="clear" w:color="auto" w:fill="E6E6E6"/>
          </w:tcPr>
          <w:p w14:paraId="39CD6B82" w14:textId="5A5F1F57" w:rsidR="009E6ADE" w:rsidRPr="00660890" w:rsidRDefault="009E6ADE" w:rsidP="00052A87">
            <w:pPr>
              <w:pStyle w:val="TableColumnHeadingLeft"/>
            </w:pPr>
          </w:p>
        </w:tc>
        <w:tc>
          <w:tcPr>
            <w:tcW w:w="1783" w:type="dxa"/>
            <w:tcBorders>
              <w:top w:val="single" w:sz="4" w:space="0" w:color="auto"/>
              <w:left w:val="nil"/>
              <w:bottom w:val="single" w:sz="2" w:space="0" w:color="000000"/>
              <w:right w:val="nil"/>
            </w:tcBorders>
            <w:shd w:val="clear" w:color="auto" w:fill="E6E6E6"/>
          </w:tcPr>
          <w:p w14:paraId="220D5DD7" w14:textId="77777777" w:rsidR="009E6ADE" w:rsidRPr="00660890" w:rsidRDefault="009E6ADE" w:rsidP="00A44210">
            <w:pPr>
              <w:pStyle w:val="TableColumnHeadingRight"/>
              <w:rPr>
                <w:snapToGrid w:val="0"/>
                <w:lang w:val="en-US"/>
              </w:rPr>
            </w:pPr>
            <w:r w:rsidRPr="00660890">
              <w:t>Male</w:t>
            </w:r>
          </w:p>
        </w:tc>
        <w:tc>
          <w:tcPr>
            <w:tcW w:w="1792" w:type="dxa"/>
            <w:tcBorders>
              <w:top w:val="single" w:sz="4" w:space="0" w:color="auto"/>
              <w:left w:val="nil"/>
              <w:bottom w:val="single" w:sz="2" w:space="0" w:color="000000"/>
              <w:right w:val="nil"/>
            </w:tcBorders>
            <w:shd w:val="clear" w:color="auto" w:fill="E6E6E6"/>
          </w:tcPr>
          <w:p w14:paraId="75D5CDD4" w14:textId="77777777" w:rsidR="009E6ADE" w:rsidRPr="00660890" w:rsidRDefault="009E6ADE" w:rsidP="00606616">
            <w:pPr>
              <w:pStyle w:val="TableColumnHeadingRight"/>
              <w:rPr>
                <w:snapToGrid w:val="0"/>
                <w:lang w:val="en-US"/>
              </w:rPr>
            </w:pPr>
            <w:r w:rsidRPr="00660890">
              <w:t>Female</w:t>
            </w:r>
          </w:p>
        </w:tc>
        <w:tc>
          <w:tcPr>
            <w:tcW w:w="517" w:type="dxa"/>
            <w:tcBorders>
              <w:top w:val="nil"/>
              <w:left w:val="nil"/>
              <w:bottom w:val="single" w:sz="2" w:space="0" w:color="000000"/>
              <w:right w:val="nil"/>
            </w:tcBorders>
            <w:shd w:val="clear" w:color="auto" w:fill="E6E6E6"/>
          </w:tcPr>
          <w:p w14:paraId="26463E38" w14:textId="77777777" w:rsidR="009E6ADE" w:rsidRPr="00660890" w:rsidRDefault="009E6ADE" w:rsidP="00052A87">
            <w:pPr>
              <w:pStyle w:val="TableColumnHeadingRight"/>
              <w:rPr>
                <w:snapToGrid w:val="0"/>
                <w:lang w:val="en-US"/>
              </w:rPr>
            </w:pPr>
          </w:p>
        </w:tc>
        <w:tc>
          <w:tcPr>
            <w:tcW w:w="1778" w:type="dxa"/>
            <w:tcBorders>
              <w:top w:val="single" w:sz="2" w:space="0" w:color="000000"/>
              <w:left w:val="nil"/>
              <w:bottom w:val="single" w:sz="2" w:space="0" w:color="000000"/>
              <w:right w:val="nil"/>
            </w:tcBorders>
            <w:shd w:val="clear" w:color="auto" w:fill="E6E6E6"/>
          </w:tcPr>
          <w:p w14:paraId="42B59EB7" w14:textId="4C6CDB2D" w:rsidR="009E6ADE" w:rsidRPr="00660890" w:rsidRDefault="009E6ADE" w:rsidP="00E30837">
            <w:pPr>
              <w:pStyle w:val="TableColumnHeadingRight"/>
              <w:rPr>
                <w:snapToGrid w:val="0"/>
                <w:lang w:val="en-US"/>
              </w:rPr>
            </w:pPr>
            <w:r>
              <w:t>Male &amp; female</w:t>
            </w:r>
          </w:p>
        </w:tc>
      </w:tr>
      <w:tr w:rsidR="00E30837" w:rsidRPr="00660890" w14:paraId="1482B266" w14:textId="77777777" w:rsidTr="00136A95">
        <w:tc>
          <w:tcPr>
            <w:tcW w:w="1843" w:type="dxa"/>
            <w:tcBorders>
              <w:top w:val="single" w:sz="2" w:space="0" w:color="000000"/>
              <w:left w:val="nil"/>
              <w:bottom w:val="nil"/>
              <w:right w:val="nil"/>
            </w:tcBorders>
          </w:tcPr>
          <w:p w14:paraId="4901F29E" w14:textId="77777777" w:rsidR="00E30837" w:rsidRPr="005A0CE4" w:rsidRDefault="00E30837" w:rsidP="00052A87">
            <w:pPr>
              <w:pStyle w:val="TableColumnHeadingLeft"/>
            </w:pPr>
            <w:r w:rsidRPr="005A0CE4">
              <w:t>0</w:t>
            </w:r>
          </w:p>
        </w:tc>
        <w:tc>
          <w:tcPr>
            <w:tcW w:w="1783" w:type="dxa"/>
            <w:tcBorders>
              <w:top w:val="single" w:sz="2" w:space="0" w:color="000000"/>
              <w:left w:val="nil"/>
              <w:bottom w:val="nil"/>
              <w:right w:val="nil"/>
            </w:tcBorders>
          </w:tcPr>
          <w:p w14:paraId="36BADE9F" w14:textId="77777777" w:rsidR="00E30837" w:rsidRPr="00F8593C" w:rsidRDefault="00E30837" w:rsidP="006E1039">
            <w:pPr>
              <w:pStyle w:val="TableTextRight"/>
            </w:pPr>
            <w:r w:rsidRPr="00F8593C">
              <w:t>1</w:t>
            </w:r>
            <w:r>
              <w:t>75</w:t>
            </w:r>
          </w:p>
        </w:tc>
        <w:tc>
          <w:tcPr>
            <w:tcW w:w="1792" w:type="dxa"/>
            <w:tcBorders>
              <w:top w:val="single" w:sz="2" w:space="0" w:color="000000"/>
              <w:left w:val="nil"/>
              <w:bottom w:val="nil"/>
              <w:right w:val="nil"/>
            </w:tcBorders>
          </w:tcPr>
          <w:p w14:paraId="39FB5028" w14:textId="77777777" w:rsidR="00E30837" w:rsidRPr="00F8593C" w:rsidRDefault="00E30837" w:rsidP="00A44210">
            <w:pPr>
              <w:pStyle w:val="TableTextRight"/>
            </w:pPr>
            <w:r w:rsidRPr="00F8593C">
              <w:t>1</w:t>
            </w:r>
            <w:r>
              <w:t>75</w:t>
            </w:r>
          </w:p>
        </w:tc>
        <w:tc>
          <w:tcPr>
            <w:tcW w:w="517" w:type="dxa"/>
            <w:tcBorders>
              <w:top w:val="single" w:sz="2" w:space="0" w:color="000000"/>
              <w:left w:val="nil"/>
              <w:bottom w:val="nil"/>
              <w:right w:val="nil"/>
            </w:tcBorders>
          </w:tcPr>
          <w:p w14:paraId="793ED290" w14:textId="77777777" w:rsidR="00E30837" w:rsidRPr="00AB145E" w:rsidRDefault="00E30837" w:rsidP="00052A87">
            <w:pPr>
              <w:pStyle w:val="TableTextRight"/>
            </w:pPr>
          </w:p>
        </w:tc>
        <w:tc>
          <w:tcPr>
            <w:tcW w:w="1778" w:type="dxa"/>
            <w:tcBorders>
              <w:top w:val="single" w:sz="2" w:space="0" w:color="000000"/>
              <w:left w:val="nil"/>
              <w:bottom w:val="nil"/>
              <w:right w:val="nil"/>
            </w:tcBorders>
          </w:tcPr>
          <w:p w14:paraId="599DC45B" w14:textId="77777777" w:rsidR="00E30837" w:rsidRPr="00297540" w:rsidRDefault="00E30837" w:rsidP="00E85101">
            <w:pPr>
              <w:pStyle w:val="TableTextRight"/>
            </w:pPr>
            <w:r>
              <w:t>11</w:t>
            </w:r>
            <w:r w:rsidRPr="00297540">
              <w:t>0</w:t>
            </w:r>
          </w:p>
        </w:tc>
      </w:tr>
      <w:tr w:rsidR="00E30837" w:rsidRPr="00660890" w14:paraId="231C4BF0" w14:textId="77777777" w:rsidTr="00136A95">
        <w:tc>
          <w:tcPr>
            <w:tcW w:w="1843" w:type="dxa"/>
            <w:tcBorders>
              <w:top w:val="nil"/>
              <w:left w:val="nil"/>
              <w:bottom w:val="nil"/>
              <w:right w:val="nil"/>
            </w:tcBorders>
          </w:tcPr>
          <w:p w14:paraId="7502B6A3" w14:textId="77777777" w:rsidR="00E30837" w:rsidRPr="005A0CE4" w:rsidRDefault="00E30837" w:rsidP="00052A87">
            <w:pPr>
              <w:pStyle w:val="TableColumnHeadingLeft"/>
            </w:pPr>
            <w:r w:rsidRPr="005A0CE4">
              <w:t>1</w:t>
            </w:r>
          </w:p>
        </w:tc>
        <w:tc>
          <w:tcPr>
            <w:tcW w:w="1783" w:type="dxa"/>
            <w:tcBorders>
              <w:top w:val="nil"/>
              <w:left w:val="nil"/>
              <w:bottom w:val="nil"/>
              <w:right w:val="nil"/>
            </w:tcBorders>
          </w:tcPr>
          <w:p w14:paraId="2E76A439" w14:textId="77777777" w:rsidR="00E30837" w:rsidRPr="00F8593C" w:rsidRDefault="00E30837" w:rsidP="006E1039">
            <w:pPr>
              <w:pStyle w:val="TableTextRight"/>
            </w:pPr>
            <w:r w:rsidRPr="00F8593C">
              <w:t>75</w:t>
            </w:r>
          </w:p>
        </w:tc>
        <w:tc>
          <w:tcPr>
            <w:tcW w:w="1792" w:type="dxa"/>
            <w:tcBorders>
              <w:top w:val="nil"/>
              <w:left w:val="nil"/>
              <w:bottom w:val="nil"/>
              <w:right w:val="nil"/>
            </w:tcBorders>
          </w:tcPr>
          <w:p w14:paraId="1886F7B9" w14:textId="77777777" w:rsidR="00E30837" w:rsidRPr="00F8593C" w:rsidRDefault="00E30837" w:rsidP="00E85101">
            <w:pPr>
              <w:pStyle w:val="TableTextRight"/>
            </w:pPr>
            <w:r w:rsidRPr="00F8593C">
              <w:t>75</w:t>
            </w:r>
          </w:p>
        </w:tc>
        <w:tc>
          <w:tcPr>
            <w:tcW w:w="517" w:type="dxa"/>
            <w:tcBorders>
              <w:top w:val="nil"/>
              <w:left w:val="nil"/>
              <w:bottom w:val="nil"/>
              <w:right w:val="nil"/>
            </w:tcBorders>
          </w:tcPr>
          <w:p w14:paraId="0CDA45F5" w14:textId="77777777" w:rsidR="00E30837" w:rsidRPr="00AB145E" w:rsidRDefault="00E30837" w:rsidP="00052A87">
            <w:pPr>
              <w:pStyle w:val="TableTextRight"/>
            </w:pPr>
          </w:p>
        </w:tc>
        <w:tc>
          <w:tcPr>
            <w:tcW w:w="1778" w:type="dxa"/>
            <w:tcBorders>
              <w:top w:val="nil"/>
              <w:left w:val="nil"/>
              <w:bottom w:val="nil"/>
              <w:right w:val="nil"/>
            </w:tcBorders>
          </w:tcPr>
          <w:p w14:paraId="0A1A041C" w14:textId="77777777" w:rsidR="00E30837" w:rsidRPr="00297540" w:rsidRDefault="00E30837" w:rsidP="00E85101">
            <w:pPr>
              <w:pStyle w:val="TableTextRight"/>
            </w:pPr>
            <w:r>
              <w:t>7</w:t>
            </w:r>
            <w:r w:rsidRPr="00297540">
              <w:t>0</w:t>
            </w:r>
          </w:p>
        </w:tc>
      </w:tr>
      <w:tr w:rsidR="00E30837" w:rsidRPr="00660890" w14:paraId="48D0F0D2" w14:textId="77777777" w:rsidTr="00136A95">
        <w:tc>
          <w:tcPr>
            <w:tcW w:w="1843" w:type="dxa"/>
            <w:tcBorders>
              <w:top w:val="nil"/>
              <w:left w:val="nil"/>
              <w:bottom w:val="nil"/>
              <w:right w:val="nil"/>
            </w:tcBorders>
          </w:tcPr>
          <w:p w14:paraId="0F99FEA5" w14:textId="77777777" w:rsidR="00E30837" w:rsidRPr="005A0CE4" w:rsidRDefault="00E30837" w:rsidP="00052A87">
            <w:pPr>
              <w:pStyle w:val="TableColumnHeadingLeft"/>
            </w:pPr>
            <w:r w:rsidRPr="005A0CE4">
              <w:t>2</w:t>
            </w:r>
          </w:p>
        </w:tc>
        <w:tc>
          <w:tcPr>
            <w:tcW w:w="1783" w:type="dxa"/>
            <w:tcBorders>
              <w:top w:val="nil"/>
              <w:left w:val="nil"/>
              <w:bottom w:val="nil"/>
              <w:right w:val="nil"/>
            </w:tcBorders>
          </w:tcPr>
          <w:p w14:paraId="7C0956BC" w14:textId="77777777" w:rsidR="00E30837" w:rsidRPr="00F8593C" w:rsidRDefault="00E30837" w:rsidP="006E1039">
            <w:pPr>
              <w:pStyle w:val="TableTextRight"/>
            </w:pPr>
            <w:r>
              <w:t>45</w:t>
            </w:r>
          </w:p>
        </w:tc>
        <w:tc>
          <w:tcPr>
            <w:tcW w:w="1792" w:type="dxa"/>
            <w:tcBorders>
              <w:top w:val="nil"/>
              <w:left w:val="nil"/>
              <w:bottom w:val="nil"/>
              <w:right w:val="nil"/>
            </w:tcBorders>
          </w:tcPr>
          <w:p w14:paraId="0D5154B3" w14:textId="77777777" w:rsidR="00E30837" w:rsidRPr="00F8593C" w:rsidRDefault="00E30837" w:rsidP="00E85101">
            <w:pPr>
              <w:pStyle w:val="TableTextRight"/>
            </w:pPr>
            <w:r>
              <w:t>60</w:t>
            </w:r>
          </w:p>
        </w:tc>
        <w:tc>
          <w:tcPr>
            <w:tcW w:w="517" w:type="dxa"/>
            <w:tcBorders>
              <w:top w:val="nil"/>
              <w:left w:val="nil"/>
              <w:bottom w:val="nil"/>
              <w:right w:val="nil"/>
            </w:tcBorders>
          </w:tcPr>
          <w:p w14:paraId="042B07CF" w14:textId="77777777" w:rsidR="00E30837" w:rsidRPr="00AB145E" w:rsidRDefault="00E30837" w:rsidP="00052A87">
            <w:pPr>
              <w:pStyle w:val="TableTextRight"/>
            </w:pPr>
          </w:p>
        </w:tc>
        <w:tc>
          <w:tcPr>
            <w:tcW w:w="1778" w:type="dxa"/>
            <w:tcBorders>
              <w:top w:val="nil"/>
              <w:left w:val="nil"/>
              <w:bottom w:val="nil"/>
              <w:right w:val="nil"/>
            </w:tcBorders>
          </w:tcPr>
          <w:p w14:paraId="3BB92518" w14:textId="77777777" w:rsidR="00E30837" w:rsidRPr="00297540" w:rsidRDefault="00E30837" w:rsidP="00E85101">
            <w:pPr>
              <w:pStyle w:val="TableTextRight"/>
            </w:pPr>
            <w:r>
              <w:t>35</w:t>
            </w:r>
          </w:p>
        </w:tc>
      </w:tr>
      <w:tr w:rsidR="00E30837" w:rsidRPr="00660890" w14:paraId="4328CAF7" w14:textId="77777777" w:rsidTr="00136A95">
        <w:tc>
          <w:tcPr>
            <w:tcW w:w="1843" w:type="dxa"/>
            <w:tcBorders>
              <w:top w:val="nil"/>
              <w:left w:val="nil"/>
              <w:bottom w:val="nil"/>
              <w:right w:val="nil"/>
            </w:tcBorders>
          </w:tcPr>
          <w:p w14:paraId="12B396BD" w14:textId="77777777" w:rsidR="00E30837" w:rsidRPr="005A0CE4" w:rsidRDefault="00E30837" w:rsidP="00052A87">
            <w:pPr>
              <w:pStyle w:val="TableColumnHeadingLeft"/>
            </w:pPr>
            <w:r w:rsidRPr="005A0CE4">
              <w:t>3</w:t>
            </w:r>
          </w:p>
        </w:tc>
        <w:tc>
          <w:tcPr>
            <w:tcW w:w="1783" w:type="dxa"/>
            <w:tcBorders>
              <w:top w:val="nil"/>
              <w:left w:val="nil"/>
              <w:bottom w:val="nil"/>
              <w:right w:val="nil"/>
            </w:tcBorders>
          </w:tcPr>
          <w:p w14:paraId="3D1AD5B8" w14:textId="77777777" w:rsidR="00E30837" w:rsidRPr="00F8593C" w:rsidRDefault="00E30837" w:rsidP="006E1039">
            <w:pPr>
              <w:pStyle w:val="TableTextRight"/>
            </w:pPr>
            <w:r>
              <w:t>30</w:t>
            </w:r>
          </w:p>
        </w:tc>
        <w:tc>
          <w:tcPr>
            <w:tcW w:w="1792" w:type="dxa"/>
            <w:tcBorders>
              <w:top w:val="nil"/>
              <w:left w:val="nil"/>
              <w:bottom w:val="nil"/>
              <w:right w:val="nil"/>
            </w:tcBorders>
          </w:tcPr>
          <w:p w14:paraId="4985B601" w14:textId="77777777" w:rsidR="00E30837" w:rsidRPr="00F8593C" w:rsidRDefault="00E30837" w:rsidP="00E85101">
            <w:pPr>
              <w:pStyle w:val="TableTextRight"/>
            </w:pPr>
            <w:r>
              <w:t>50</w:t>
            </w:r>
          </w:p>
        </w:tc>
        <w:tc>
          <w:tcPr>
            <w:tcW w:w="517" w:type="dxa"/>
            <w:tcBorders>
              <w:top w:val="nil"/>
              <w:left w:val="nil"/>
              <w:bottom w:val="nil"/>
              <w:right w:val="nil"/>
            </w:tcBorders>
          </w:tcPr>
          <w:p w14:paraId="29A42D1D" w14:textId="77777777" w:rsidR="00E30837" w:rsidRPr="00AB145E" w:rsidRDefault="00E30837" w:rsidP="00052A87">
            <w:pPr>
              <w:pStyle w:val="TableTextRight"/>
            </w:pPr>
          </w:p>
        </w:tc>
        <w:tc>
          <w:tcPr>
            <w:tcW w:w="1778" w:type="dxa"/>
            <w:tcBorders>
              <w:top w:val="nil"/>
              <w:left w:val="nil"/>
              <w:bottom w:val="nil"/>
              <w:right w:val="nil"/>
            </w:tcBorders>
          </w:tcPr>
          <w:p w14:paraId="7784F7F1" w14:textId="77777777" w:rsidR="00E30837" w:rsidRPr="00297540" w:rsidRDefault="00E30837" w:rsidP="00E85101">
            <w:pPr>
              <w:pStyle w:val="TableTextRight"/>
            </w:pPr>
            <w:r>
              <w:t>35</w:t>
            </w:r>
          </w:p>
        </w:tc>
      </w:tr>
      <w:tr w:rsidR="00E30837" w:rsidRPr="00660890" w14:paraId="2AA2474C" w14:textId="77777777" w:rsidTr="00136A95">
        <w:tc>
          <w:tcPr>
            <w:tcW w:w="1843" w:type="dxa"/>
            <w:tcBorders>
              <w:top w:val="nil"/>
              <w:left w:val="nil"/>
              <w:bottom w:val="single" w:sz="2" w:space="0" w:color="000000"/>
              <w:right w:val="nil"/>
            </w:tcBorders>
          </w:tcPr>
          <w:p w14:paraId="0EFF4DA9" w14:textId="77777777" w:rsidR="00E30837" w:rsidRPr="005A0CE4" w:rsidRDefault="00E30837" w:rsidP="00052A87">
            <w:pPr>
              <w:pStyle w:val="TableColumnHeadingLeft"/>
            </w:pPr>
            <w:r w:rsidRPr="005A0CE4">
              <w:t>4</w:t>
            </w:r>
          </w:p>
        </w:tc>
        <w:tc>
          <w:tcPr>
            <w:tcW w:w="1783" w:type="dxa"/>
            <w:tcBorders>
              <w:top w:val="nil"/>
              <w:left w:val="nil"/>
              <w:bottom w:val="single" w:sz="2" w:space="0" w:color="000000"/>
              <w:right w:val="nil"/>
            </w:tcBorders>
          </w:tcPr>
          <w:p w14:paraId="51D003F3" w14:textId="77777777" w:rsidR="00E30837" w:rsidRPr="00F8593C" w:rsidRDefault="00E30837" w:rsidP="006E1039">
            <w:pPr>
              <w:pStyle w:val="TableTextRight"/>
            </w:pPr>
            <w:r>
              <w:t>31</w:t>
            </w:r>
          </w:p>
        </w:tc>
        <w:tc>
          <w:tcPr>
            <w:tcW w:w="1792" w:type="dxa"/>
            <w:tcBorders>
              <w:top w:val="nil"/>
              <w:left w:val="nil"/>
              <w:bottom w:val="single" w:sz="2" w:space="0" w:color="000000"/>
              <w:right w:val="nil"/>
            </w:tcBorders>
          </w:tcPr>
          <w:p w14:paraId="34346FA6" w14:textId="77777777" w:rsidR="00E30837" w:rsidRPr="00F8593C" w:rsidRDefault="00E30837" w:rsidP="00E85101">
            <w:pPr>
              <w:pStyle w:val="TableTextRight"/>
            </w:pPr>
            <w:r w:rsidRPr="00F8593C">
              <w:t>40</w:t>
            </w:r>
          </w:p>
        </w:tc>
        <w:tc>
          <w:tcPr>
            <w:tcW w:w="517" w:type="dxa"/>
            <w:tcBorders>
              <w:top w:val="nil"/>
              <w:left w:val="nil"/>
              <w:bottom w:val="single" w:sz="2" w:space="0" w:color="000000"/>
              <w:right w:val="nil"/>
            </w:tcBorders>
          </w:tcPr>
          <w:p w14:paraId="5AABFC22" w14:textId="77777777" w:rsidR="00E30837" w:rsidRPr="00AB145E" w:rsidRDefault="00E30837" w:rsidP="00052A87">
            <w:pPr>
              <w:pStyle w:val="TableTextRight"/>
            </w:pPr>
          </w:p>
        </w:tc>
        <w:tc>
          <w:tcPr>
            <w:tcW w:w="1778" w:type="dxa"/>
            <w:tcBorders>
              <w:top w:val="nil"/>
              <w:left w:val="nil"/>
              <w:bottom w:val="single" w:sz="2" w:space="0" w:color="000000"/>
              <w:right w:val="nil"/>
            </w:tcBorders>
          </w:tcPr>
          <w:p w14:paraId="4BCA4ABE" w14:textId="77777777" w:rsidR="00E30837" w:rsidRPr="00297540" w:rsidRDefault="00E30837" w:rsidP="00B265D9">
            <w:pPr>
              <w:pStyle w:val="TableTextRight"/>
            </w:pPr>
            <w:r>
              <w:t>1</w:t>
            </w:r>
            <w:r w:rsidRPr="00297540">
              <w:t>0</w:t>
            </w:r>
            <w:r>
              <w:t>3</w:t>
            </w:r>
          </w:p>
        </w:tc>
      </w:tr>
      <w:tr w:rsidR="00E30837" w:rsidRPr="00660890" w14:paraId="2B0E9DF5" w14:textId="77777777" w:rsidTr="00136A95">
        <w:tc>
          <w:tcPr>
            <w:tcW w:w="1843" w:type="dxa"/>
            <w:tcBorders>
              <w:top w:val="single" w:sz="2" w:space="0" w:color="000000"/>
              <w:left w:val="nil"/>
              <w:bottom w:val="nil"/>
              <w:right w:val="nil"/>
            </w:tcBorders>
            <w:shd w:val="clear" w:color="auto" w:fill="F2F2F2" w:themeFill="background1" w:themeFillShade="F2"/>
          </w:tcPr>
          <w:p w14:paraId="2E95F425" w14:textId="77777777" w:rsidR="00E30837" w:rsidRPr="005A0CE4" w:rsidRDefault="00E30837" w:rsidP="00052A87">
            <w:pPr>
              <w:pStyle w:val="TableColumnHeadingLeft"/>
            </w:pPr>
            <w:r w:rsidRPr="005A0CE4">
              <w:t>5</w:t>
            </w:r>
          </w:p>
        </w:tc>
        <w:tc>
          <w:tcPr>
            <w:tcW w:w="1783" w:type="dxa"/>
            <w:tcBorders>
              <w:top w:val="single" w:sz="2" w:space="0" w:color="000000"/>
              <w:left w:val="nil"/>
              <w:bottom w:val="nil"/>
              <w:right w:val="nil"/>
            </w:tcBorders>
            <w:shd w:val="clear" w:color="auto" w:fill="F2F2F2" w:themeFill="background1" w:themeFillShade="F2"/>
          </w:tcPr>
          <w:p w14:paraId="7E20FDCB" w14:textId="77777777" w:rsidR="00E30837" w:rsidRPr="00F8593C" w:rsidRDefault="00E30837" w:rsidP="006E1039">
            <w:pPr>
              <w:pStyle w:val="TableTextRight"/>
            </w:pPr>
            <w:r>
              <w:t>32</w:t>
            </w:r>
          </w:p>
        </w:tc>
        <w:tc>
          <w:tcPr>
            <w:tcW w:w="1792" w:type="dxa"/>
            <w:tcBorders>
              <w:top w:val="single" w:sz="2" w:space="0" w:color="000000"/>
              <w:left w:val="nil"/>
              <w:bottom w:val="nil"/>
              <w:right w:val="nil"/>
            </w:tcBorders>
            <w:shd w:val="clear" w:color="auto" w:fill="F2F2F2" w:themeFill="background1" w:themeFillShade="F2"/>
          </w:tcPr>
          <w:p w14:paraId="52B556E5" w14:textId="77777777" w:rsidR="00E30837" w:rsidRPr="00F8593C" w:rsidRDefault="00E30837" w:rsidP="00A44210">
            <w:pPr>
              <w:pStyle w:val="TableTextRight"/>
            </w:pPr>
            <w:r w:rsidRPr="00F8593C">
              <w:t>4</w:t>
            </w:r>
            <w:r>
              <w:t>0</w:t>
            </w:r>
          </w:p>
        </w:tc>
        <w:tc>
          <w:tcPr>
            <w:tcW w:w="517" w:type="dxa"/>
            <w:tcBorders>
              <w:top w:val="single" w:sz="2" w:space="0" w:color="000000"/>
              <w:left w:val="nil"/>
              <w:bottom w:val="nil"/>
              <w:right w:val="nil"/>
            </w:tcBorders>
            <w:shd w:val="clear" w:color="auto" w:fill="F2F2F2" w:themeFill="background1" w:themeFillShade="F2"/>
          </w:tcPr>
          <w:p w14:paraId="11D37CAA" w14:textId="77777777" w:rsidR="00E30837" w:rsidRPr="00AB145E" w:rsidRDefault="00E30837" w:rsidP="00052A87">
            <w:pPr>
              <w:pStyle w:val="TableTextRight"/>
            </w:pPr>
          </w:p>
        </w:tc>
        <w:tc>
          <w:tcPr>
            <w:tcW w:w="1778" w:type="dxa"/>
            <w:tcBorders>
              <w:top w:val="single" w:sz="2" w:space="0" w:color="000000"/>
              <w:left w:val="nil"/>
              <w:bottom w:val="nil"/>
              <w:right w:val="nil"/>
            </w:tcBorders>
            <w:shd w:val="clear" w:color="auto" w:fill="F2F2F2" w:themeFill="background1" w:themeFillShade="F2"/>
          </w:tcPr>
          <w:p w14:paraId="4A654B82" w14:textId="77777777" w:rsidR="00E30837" w:rsidRPr="00297540" w:rsidRDefault="00E30837" w:rsidP="00E85101">
            <w:pPr>
              <w:pStyle w:val="TableTextRight"/>
            </w:pPr>
            <w:r>
              <w:t>80</w:t>
            </w:r>
          </w:p>
        </w:tc>
      </w:tr>
      <w:tr w:rsidR="00E30837" w:rsidRPr="00660890" w14:paraId="3059FB56" w14:textId="77777777" w:rsidTr="00136A95">
        <w:tc>
          <w:tcPr>
            <w:tcW w:w="1843" w:type="dxa"/>
            <w:tcBorders>
              <w:top w:val="nil"/>
              <w:left w:val="nil"/>
              <w:bottom w:val="nil"/>
              <w:right w:val="nil"/>
            </w:tcBorders>
            <w:shd w:val="clear" w:color="auto" w:fill="F2F2F2" w:themeFill="background1" w:themeFillShade="F2"/>
          </w:tcPr>
          <w:p w14:paraId="6ACE90C6" w14:textId="77777777" w:rsidR="00E30837" w:rsidRPr="005A0CE4" w:rsidRDefault="00E30837" w:rsidP="00052A87">
            <w:pPr>
              <w:pStyle w:val="TableColumnHeadingLeft"/>
            </w:pPr>
            <w:r w:rsidRPr="005A0CE4">
              <w:t>6</w:t>
            </w:r>
          </w:p>
        </w:tc>
        <w:tc>
          <w:tcPr>
            <w:tcW w:w="1783" w:type="dxa"/>
            <w:tcBorders>
              <w:top w:val="nil"/>
              <w:left w:val="nil"/>
              <w:bottom w:val="nil"/>
              <w:right w:val="nil"/>
            </w:tcBorders>
            <w:shd w:val="clear" w:color="auto" w:fill="F2F2F2" w:themeFill="background1" w:themeFillShade="F2"/>
          </w:tcPr>
          <w:p w14:paraId="1A7FC2C6" w14:textId="77777777" w:rsidR="00E30837" w:rsidRPr="00F8593C" w:rsidRDefault="00E30837" w:rsidP="006E1039">
            <w:pPr>
              <w:pStyle w:val="TableTextRight"/>
            </w:pPr>
            <w:r>
              <w:t>37</w:t>
            </w:r>
          </w:p>
        </w:tc>
        <w:tc>
          <w:tcPr>
            <w:tcW w:w="1792" w:type="dxa"/>
            <w:tcBorders>
              <w:top w:val="nil"/>
              <w:left w:val="nil"/>
              <w:bottom w:val="nil"/>
              <w:right w:val="nil"/>
            </w:tcBorders>
            <w:shd w:val="clear" w:color="auto" w:fill="F2F2F2" w:themeFill="background1" w:themeFillShade="F2"/>
          </w:tcPr>
          <w:p w14:paraId="325FF428" w14:textId="77777777" w:rsidR="00E30837" w:rsidRPr="00F8593C" w:rsidRDefault="00E30837" w:rsidP="00E85101">
            <w:pPr>
              <w:pStyle w:val="TableTextRight"/>
            </w:pPr>
            <w:r>
              <w:t>40</w:t>
            </w:r>
          </w:p>
        </w:tc>
        <w:tc>
          <w:tcPr>
            <w:tcW w:w="517" w:type="dxa"/>
            <w:tcBorders>
              <w:top w:val="nil"/>
              <w:left w:val="nil"/>
              <w:bottom w:val="nil"/>
              <w:right w:val="nil"/>
            </w:tcBorders>
            <w:shd w:val="clear" w:color="auto" w:fill="F2F2F2" w:themeFill="background1" w:themeFillShade="F2"/>
          </w:tcPr>
          <w:p w14:paraId="26266E49"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5E099304" w14:textId="77777777" w:rsidR="00E30837" w:rsidRPr="00297540" w:rsidRDefault="00E30837" w:rsidP="00B265D9">
            <w:pPr>
              <w:pStyle w:val="TableTextRight"/>
            </w:pPr>
            <w:r w:rsidRPr="00297540">
              <w:t>1</w:t>
            </w:r>
            <w:r>
              <w:t>00</w:t>
            </w:r>
          </w:p>
        </w:tc>
      </w:tr>
      <w:tr w:rsidR="00E30837" w:rsidRPr="00660890" w14:paraId="1E7809CE" w14:textId="77777777" w:rsidTr="00136A95">
        <w:tc>
          <w:tcPr>
            <w:tcW w:w="1843" w:type="dxa"/>
            <w:tcBorders>
              <w:top w:val="nil"/>
              <w:left w:val="nil"/>
              <w:bottom w:val="nil"/>
              <w:right w:val="nil"/>
            </w:tcBorders>
            <w:shd w:val="clear" w:color="auto" w:fill="F2F2F2" w:themeFill="background1" w:themeFillShade="F2"/>
          </w:tcPr>
          <w:p w14:paraId="070BE7E4" w14:textId="77777777" w:rsidR="00E30837" w:rsidRPr="005A0CE4" w:rsidRDefault="00E30837" w:rsidP="00052A87">
            <w:pPr>
              <w:pStyle w:val="TableColumnHeadingLeft"/>
            </w:pPr>
            <w:r w:rsidRPr="005A0CE4">
              <w:t>7</w:t>
            </w:r>
          </w:p>
        </w:tc>
        <w:tc>
          <w:tcPr>
            <w:tcW w:w="1783" w:type="dxa"/>
            <w:tcBorders>
              <w:top w:val="nil"/>
              <w:left w:val="nil"/>
              <w:bottom w:val="nil"/>
              <w:right w:val="nil"/>
            </w:tcBorders>
            <w:shd w:val="clear" w:color="auto" w:fill="F2F2F2" w:themeFill="background1" w:themeFillShade="F2"/>
          </w:tcPr>
          <w:p w14:paraId="18C0407D" w14:textId="77777777" w:rsidR="00E30837" w:rsidRPr="00F8593C" w:rsidRDefault="00E30837" w:rsidP="006E1039">
            <w:pPr>
              <w:pStyle w:val="TableTextRight"/>
            </w:pPr>
            <w:r>
              <w:t>39</w:t>
            </w:r>
          </w:p>
        </w:tc>
        <w:tc>
          <w:tcPr>
            <w:tcW w:w="1792" w:type="dxa"/>
            <w:tcBorders>
              <w:top w:val="nil"/>
              <w:left w:val="nil"/>
              <w:bottom w:val="nil"/>
              <w:right w:val="nil"/>
            </w:tcBorders>
            <w:shd w:val="clear" w:color="auto" w:fill="F2F2F2" w:themeFill="background1" w:themeFillShade="F2"/>
          </w:tcPr>
          <w:p w14:paraId="2276B4BC" w14:textId="77777777" w:rsidR="00E30837" w:rsidRPr="00F8593C" w:rsidRDefault="00E30837" w:rsidP="00E85101">
            <w:pPr>
              <w:pStyle w:val="TableTextRight"/>
            </w:pPr>
            <w:r>
              <w:t>40</w:t>
            </w:r>
          </w:p>
        </w:tc>
        <w:tc>
          <w:tcPr>
            <w:tcW w:w="517" w:type="dxa"/>
            <w:tcBorders>
              <w:top w:val="nil"/>
              <w:left w:val="nil"/>
              <w:bottom w:val="nil"/>
              <w:right w:val="nil"/>
            </w:tcBorders>
            <w:shd w:val="clear" w:color="auto" w:fill="F2F2F2" w:themeFill="background1" w:themeFillShade="F2"/>
          </w:tcPr>
          <w:p w14:paraId="3F00420D"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05796DDA" w14:textId="77777777" w:rsidR="00E30837" w:rsidRPr="00297540" w:rsidRDefault="00E30837" w:rsidP="00B265D9">
            <w:pPr>
              <w:pStyle w:val="TableTextRight"/>
            </w:pPr>
            <w:r w:rsidRPr="00297540">
              <w:t>1</w:t>
            </w:r>
            <w:r>
              <w:t>00</w:t>
            </w:r>
          </w:p>
        </w:tc>
      </w:tr>
      <w:tr w:rsidR="00E30837" w:rsidRPr="00660890" w14:paraId="7DC08F77" w14:textId="77777777" w:rsidTr="00136A95">
        <w:tc>
          <w:tcPr>
            <w:tcW w:w="1843" w:type="dxa"/>
            <w:tcBorders>
              <w:top w:val="nil"/>
              <w:left w:val="nil"/>
              <w:bottom w:val="nil"/>
              <w:right w:val="nil"/>
            </w:tcBorders>
            <w:shd w:val="clear" w:color="auto" w:fill="F2F2F2" w:themeFill="background1" w:themeFillShade="F2"/>
          </w:tcPr>
          <w:p w14:paraId="7E1CF3DB" w14:textId="77777777" w:rsidR="00E30837" w:rsidRPr="005A0CE4" w:rsidRDefault="00E30837" w:rsidP="00052A87">
            <w:pPr>
              <w:pStyle w:val="TableColumnHeadingLeft"/>
            </w:pPr>
            <w:r w:rsidRPr="005A0CE4">
              <w:t>8</w:t>
            </w:r>
          </w:p>
        </w:tc>
        <w:tc>
          <w:tcPr>
            <w:tcW w:w="1783" w:type="dxa"/>
            <w:tcBorders>
              <w:top w:val="nil"/>
              <w:left w:val="nil"/>
              <w:bottom w:val="nil"/>
              <w:right w:val="nil"/>
            </w:tcBorders>
            <w:shd w:val="clear" w:color="auto" w:fill="F2F2F2" w:themeFill="background1" w:themeFillShade="F2"/>
          </w:tcPr>
          <w:p w14:paraId="78EB431A" w14:textId="77777777" w:rsidR="00E30837" w:rsidRPr="00F8593C" w:rsidRDefault="00E30837" w:rsidP="006E1039">
            <w:pPr>
              <w:pStyle w:val="TableTextRight"/>
            </w:pPr>
            <w:r>
              <w:t>40</w:t>
            </w:r>
          </w:p>
        </w:tc>
        <w:tc>
          <w:tcPr>
            <w:tcW w:w="1792" w:type="dxa"/>
            <w:tcBorders>
              <w:top w:val="nil"/>
              <w:left w:val="nil"/>
              <w:bottom w:val="nil"/>
              <w:right w:val="nil"/>
            </w:tcBorders>
            <w:shd w:val="clear" w:color="auto" w:fill="F2F2F2" w:themeFill="background1" w:themeFillShade="F2"/>
          </w:tcPr>
          <w:p w14:paraId="747A2D49" w14:textId="77777777" w:rsidR="00E30837" w:rsidRPr="00F8593C" w:rsidRDefault="00E30837" w:rsidP="00E85101">
            <w:pPr>
              <w:pStyle w:val="TableTextRight"/>
            </w:pPr>
            <w:r>
              <w:t>40</w:t>
            </w:r>
          </w:p>
        </w:tc>
        <w:tc>
          <w:tcPr>
            <w:tcW w:w="517" w:type="dxa"/>
            <w:tcBorders>
              <w:top w:val="nil"/>
              <w:left w:val="nil"/>
              <w:bottom w:val="nil"/>
              <w:right w:val="nil"/>
            </w:tcBorders>
            <w:shd w:val="clear" w:color="auto" w:fill="F2F2F2" w:themeFill="background1" w:themeFillShade="F2"/>
          </w:tcPr>
          <w:p w14:paraId="0E28387E"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3CAAC125" w14:textId="77777777" w:rsidR="00E30837" w:rsidRPr="00297540" w:rsidRDefault="00E30837" w:rsidP="00E85101">
            <w:pPr>
              <w:pStyle w:val="TableTextRight"/>
            </w:pPr>
            <w:r>
              <w:t>70</w:t>
            </w:r>
          </w:p>
        </w:tc>
      </w:tr>
      <w:tr w:rsidR="00E30837" w:rsidRPr="00660890" w14:paraId="34EF7020" w14:textId="77777777" w:rsidTr="00136A95">
        <w:tc>
          <w:tcPr>
            <w:tcW w:w="1843" w:type="dxa"/>
            <w:tcBorders>
              <w:top w:val="nil"/>
              <w:left w:val="nil"/>
              <w:bottom w:val="single" w:sz="2" w:space="0" w:color="000000"/>
              <w:right w:val="nil"/>
            </w:tcBorders>
            <w:shd w:val="clear" w:color="auto" w:fill="F2F2F2" w:themeFill="background1" w:themeFillShade="F2"/>
          </w:tcPr>
          <w:p w14:paraId="5F4CBF11" w14:textId="77777777" w:rsidR="00E30837" w:rsidRPr="005A0CE4" w:rsidRDefault="00E30837" w:rsidP="00052A87">
            <w:pPr>
              <w:pStyle w:val="TableColumnHeadingLeft"/>
            </w:pPr>
            <w:r w:rsidRPr="005A0CE4">
              <w:t>9</w:t>
            </w:r>
          </w:p>
        </w:tc>
        <w:tc>
          <w:tcPr>
            <w:tcW w:w="1783" w:type="dxa"/>
            <w:tcBorders>
              <w:top w:val="nil"/>
              <w:left w:val="nil"/>
              <w:bottom w:val="single" w:sz="2" w:space="0" w:color="000000"/>
              <w:right w:val="nil"/>
            </w:tcBorders>
            <w:shd w:val="clear" w:color="auto" w:fill="F2F2F2" w:themeFill="background1" w:themeFillShade="F2"/>
          </w:tcPr>
          <w:p w14:paraId="36872AB2" w14:textId="77777777" w:rsidR="00E30837" w:rsidRPr="00F8593C" w:rsidRDefault="00E30837" w:rsidP="00B265D9">
            <w:pPr>
              <w:pStyle w:val="TableTextRight"/>
            </w:pPr>
            <w:r w:rsidRPr="00F8593C">
              <w:t>4</w:t>
            </w:r>
            <w:r>
              <w:t>1</w:t>
            </w:r>
          </w:p>
        </w:tc>
        <w:tc>
          <w:tcPr>
            <w:tcW w:w="1792" w:type="dxa"/>
            <w:tcBorders>
              <w:top w:val="nil"/>
              <w:left w:val="nil"/>
              <w:bottom w:val="single" w:sz="2" w:space="0" w:color="000000"/>
              <w:right w:val="nil"/>
            </w:tcBorders>
            <w:shd w:val="clear" w:color="auto" w:fill="F2F2F2" w:themeFill="background1" w:themeFillShade="F2"/>
          </w:tcPr>
          <w:p w14:paraId="7A7DB46B" w14:textId="77777777" w:rsidR="00E30837" w:rsidRPr="00F8593C" w:rsidRDefault="00E30837" w:rsidP="00A44210">
            <w:pPr>
              <w:pStyle w:val="TableTextRight"/>
            </w:pPr>
            <w:r w:rsidRPr="00F8593C">
              <w:t>4</w:t>
            </w:r>
            <w:r>
              <w:t>5</w:t>
            </w:r>
          </w:p>
        </w:tc>
        <w:tc>
          <w:tcPr>
            <w:tcW w:w="517" w:type="dxa"/>
            <w:tcBorders>
              <w:top w:val="nil"/>
              <w:left w:val="nil"/>
              <w:bottom w:val="single" w:sz="2" w:space="0" w:color="000000"/>
              <w:right w:val="nil"/>
            </w:tcBorders>
            <w:shd w:val="clear" w:color="auto" w:fill="F2F2F2" w:themeFill="background1" w:themeFillShade="F2"/>
          </w:tcPr>
          <w:p w14:paraId="437F7132" w14:textId="77777777" w:rsidR="00E30837" w:rsidRPr="00AB145E" w:rsidRDefault="00E30837" w:rsidP="00052A87">
            <w:pPr>
              <w:pStyle w:val="TableTextRight"/>
            </w:pPr>
          </w:p>
        </w:tc>
        <w:tc>
          <w:tcPr>
            <w:tcW w:w="1778" w:type="dxa"/>
            <w:tcBorders>
              <w:top w:val="nil"/>
              <w:left w:val="nil"/>
              <w:bottom w:val="single" w:sz="2" w:space="0" w:color="000000"/>
              <w:right w:val="nil"/>
            </w:tcBorders>
            <w:shd w:val="clear" w:color="auto" w:fill="F2F2F2" w:themeFill="background1" w:themeFillShade="F2"/>
          </w:tcPr>
          <w:p w14:paraId="59B5F7C7" w14:textId="77777777" w:rsidR="00E30837" w:rsidRPr="00297540" w:rsidRDefault="00E30837" w:rsidP="00E85101">
            <w:pPr>
              <w:pStyle w:val="TableTextRight"/>
            </w:pPr>
            <w:r>
              <w:t>40</w:t>
            </w:r>
          </w:p>
        </w:tc>
      </w:tr>
      <w:tr w:rsidR="00E30837" w:rsidRPr="00660890" w14:paraId="1BFD088D" w14:textId="77777777" w:rsidTr="00136A95">
        <w:tc>
          <w:tcPr>
            <w:tcW w:w="1843" w:type="dxa"/>
            <w:tcBorders>
              <w:top w:val="single" w:sz="2" w:space="0" w:color="000000"/>
              <w:left w:val="nil"/>
              <w:bottom w:val="nil"/>
              <w:right w:val="nil"/>
            </w:tcBorders>
          </w:tcPr>
          <w:p w14:paraId="60AD4581" w14:textId="77777777" w:rsidR="00E30837" w:rsidRPr="005A0CE4" w:rsidRDefault="00E30837" w:rsidP="00052A87">
            <w:pPr>
              <w:pStyle w:val="TableColumnHeadingLeft"/>
            </w:pPr>
            <w:r w:rsidRPr="005A0CE4">
              <w:t>10</w:t>
            </w:r>
          </w:p>
        </w:tc>
        <w:tc>
          <w:tcPr>
            <w:tcW w:w="1783" w:type="dxa"/>
            <w:tcBorders>
              <w:top w:val="single" w:sz="2" w:space="0" w:color="000000"/>
              <w:left w:val="nil"/>
              <w:bottom w:val="nil"/>
              <w:right w:val="nil"/>
            </w:tcBorders>
          </w:tcPr>
          <w:p w14:paraId="0C38679A" w14:textId="77777777" w:rsidR="00E30837" w:rsidRPr="00F8593C" w:rsidRDefault="00E30837" w:rsidP="006E1039">
            <w:pPr>
              <w:pStyle w:val="TableTextRight"/>
            </w:pPr>
            <w:r>
              <w:t>45</w:t>
            </w:r>
          </w:p>
        </w:tc>
        <w:tc>
          <w:tcPr>
            <w:tcW w:w="1792" w:type="dxa"/>
            <w:tcBorders>
              <w:top w:val="single" w:sz="2" w:space="0" w:color="000000"/>
              <w:left w:val="nil"/>
              <w:bottom w:val="nil"/>
              <w:right w:val="nil"/>
            </w:tcBorders>
          </w:tcPr>
          <w:p w14:paraId="6AEB23BC" w14:textId="77777777" w:rsidR="00E30837" w:rsidRPr="00F8593C" w:rsidRDefault="00E30837" w:rsidP="00E85101">
            <w:pPr>
              <w:pStyle w:val="TableTextRight"/>
            </w:pPr>
            <w:r w:rsidRPr="00F8593C">
              <w:t>80</w:t>
            </w:r>
          </w:p>
        </w:tc>
        <w:tc>
          <w:tcPr>
            <w:tcW w:w="517" w:type="dxa"/>
            <w:tcBorders>
              <w:top w:val="single" w:sz="2" w:space="0" w:color="000000"/>
              <w:left w:val="nil"/>
              <w:bottom w:val="nil"/>
              <w:right w:val="nil"/>
            </w:tcBorders>
          </w:tcPr>
          <w:p w14:paraId="59C6C441" w14:textId="77777777" w:rsidR="00E30837" w:rsidRPr="00AB145E" w:rsidRDefault="00E30837" w:rsidP="00052A87">
            <w:pPr>
              <w:pStyle w:val="TableTextRight"/>
            </w:pPr>
          </w:p>
        </w:tc>
        <w:tc>
          <w:tcPr>
            <w:tcW w:w="1778" w:type="dxa"/>
            <w:tcBorders>
              <w:top w:val="single" w:sz="2" w:space="0" w:color="000000"/>
              <w:left w:val="nil"/>
              <w:bottom w:val="nil"/>
              <w:right w:val="nil"/>
            </w:tcBorders>
          </w:tcPr>
          <w:p w14:paraId="44C02FF8" w14:textId="77777777" w:rsidR="00E30837" w:rsidRPr="00297540" w:rsidRDefault="00E30837" w:rsidP="00E85101">
            <w:pPr>
              <w:pStyle w:val="TableTextRight"/>
            </w:pPr>
            <w:r>
              <w:t>90</w:t>
            </w:r>
          </w:p>
        </w:tc>
      </w:tr>
      <w:tr w:rsidR="00E30837" w:rsidRPr="00660890" w14:paraId="37FA7F8D" w14:textId="77777777" w:rsidTr="00136A95">
        <w:tc>
          <w:tcPr>
            <w:tcW w:w="1843" w:type="dxa"/>
            <w:tcBorders>
              <w:top w:val="nil"/>
              <w:left w:val="nil"/>
              <w:bottom w:val="nil"/>
              <w:right w:val="nil"/>
            </w:tcBorders>
          </w:tcPr>
          <w:p w14:paraId="553DB953" w14:textId="77777777" w:rsidR="00E30837" w:rsidRPr="005A0CE4" w:rsidRDefault="00E30837" w:rsidP="00052A87">
            <w:pPr>
              <w:pStyle w:val="TableColumnHeadingLeft"/>
            </w:pPr>
            <w:r w:rsidRPr="005A0CE4">
              <w:t>11</w:t>
            </w:r>
          </w:p>
        </w:tc>
        <w:tc>
          <w:tcPr>
            <w:tcW w:w="1783" w:type="dxa"/>
            <w:tcBorders>
              <w:top w:val="nil"/>
              <w:left w:val="nil"/>
              <w:bottom w:val="nil"/>
              <w:right w:val="nil"/>
            </w:tcBorders>
          </w:tcPr>
          <w:p w14:paraId="3DCA3F56" w14:textId="77777777" w:rsidR="00E30837" w:rsidRPr="00F8593C" w:rsidRDefault="00E30837" w:rsidP="00B265D9">
            <w:pPr>
              <w:pStyle w:val="TableTextRight"/>
            </w:pPr>
            <w:r>
              <w:t>50</w:t>
            </w:r>
          </w:p>
        </w:tc>
        <w:tc>
          <w:tcPr>
            <w:tcW w:w="1792" w:type="dxa"/>
            <w:tcBorders>
              <w:top w:val="nil"/>
              <w:left w:val="nil"/>
              <w:bottom w:val="nil"/>
              <w:right w:val="nil"/>
            </w:tcBorders>
          </w:tcPr>
          <w:p w14:paraId="12ECA9FA" w14:textId="77777777" w:rsidR="00E30837" w:rsidRPr="00F8593C" w:rsidRDefault="00E30837" w:rsidP="00E85101">
            <w:pPr>
              <w:pStyle w:val="TableTextRight"/>
            </w:pPr>
            <w:r>
              <w:t>5</w:t>
            </w:r>
            <w:r w:rsidRPr="00F8593C">
              <w:t>5</w:t>
            </w:r>
          </w:p>
        </w:tc>
        <w:tc>
          <w:tcPr>
            <w:tcW w:w="517" w:type="dxa"/>
            <w:tcBorders>
              <w:top w:val="nil"/>
              <w:left w:val="nil"/>
              <w:bottom w:val="nil"/>
              <w:right w:val="nil"/>
            </w:tcBorders>
          </w:tcPr>
          <w:p w14:paraId="1C41863B" w14:textId="77777777" w:rsidR="00E30837" w:rsidRPr="00AB145E" w:rsidRDefault="00E30837" w:rsidP="00052A87">
            <w:pPr>
              <w:pStyle w:val="TableTextRight"/>
            </w:pPr>
          </w:p>
        </w:tc>
        <w:tc>
          <w:tcPr>
            <w:tcW w:w="1778" w:type="dxa"/>
            <w:tcBorders>
              <w:top w:val="nil"/>
              <w:left w:val="nil"/>
              <w:bottom w:val="nil"/>
              <w:right w:val="nil"/>
            </w:tcBorders>
          </w:tcPr>
          <w:p w14:paraId="32851EC7" w14:textId="77777777" w:rsidR="00E30837" w:rsidRPr="00297540" w:rsidRDefault="00E30837" w:rsidP="00E85101">
            <w:pPr>
              <w:pStyle w:val="TableTextRight"/>
            </w:pPr>
            <w:r>
              <w:t>70</w:t>
            </w:r>
          </w:p>
        </w:tc>
      </w:tr>
      <w:tr w:rsidR="00E30837" w:rsidRPr="00660890" w14:paraId="5FC0BDF2" w14:textId="77777777" w:rsidTr="00136A95">
        <w:tc>
          <w:tcPr>
            <w:tcW w:w="1843" w:type="dxa"/>
            <w:tcBorders>
              <w:top w:val="nil"/>
              <w:left w:val="nil"/>
              <w:bottom w:val="nil"/>
              <w:right w:val="nil"/>
            </w:tcBorders>
          </w:tcPr>
          <w:p w14:paraId="1FFC1419" w14:textId="77777777" w:rsidR="00E30837" w:rsidRPr="005A0CE4" w:rsidRDefault="00E30837" w:rsidP="00052A87">
            <w:pPr>
              <w:pStyle w:val="TableColumnHeadingLeft"/>
            </w:pPr>
            <w:r w:rsidRPr="005A0CE4">
              <w:t>12</w:t>
            </w:r>
          </w:p>
        </w:tc>
        <w:tc>
          <w:tcPr>
            <w:tcW w:w="1783" w:type="dxa"/>
            <w:tcBorders>
              <w:top w:val="nil"/>
              <w:left w:val="nil"/>
              <w:bottom w:val="nil"/>
              <w:right w:val="nil"/>
            </w:tcBorders>
          </w:tcPr>
          <w:p w14:paraId="0854F3FB" w14:textId="77777777" w:rsidR="00E30837" w:rsidRPr="00F8593C" w:rsidRDefault="00E30837" w:rsidP="006E1039">
            <w:pPr>
              <w:pStyle w:val="TableTextRight"/>
            </w:pPr>
            <w:r>
              <w:t>60</w:t>
            </w:r>
          </w:p>
        </w:tc>
        <w:tc>
          <w:tcPr>
            <w:tcW w:w="1792" w:type="dxa"/>
            <w:tcBorders>
              <w:top w:val="nil"/>
              <w:left w:val="nil"/>
              <w:bottom w:val="nil"/>
              <w:right w:val="nil"/>
            </w:tcBorders>
          </w:tcPr>
          <w:p w14:paraId="3E20A6F2" w14:textId="77777777" w:rsidR="00E30837" w:rsidRPr="00F8593C" w:rsidRDefault="00E30837" w:rsidP="00E85101">
            <w:pPr>
              <w:pStyle w:val="TableTextRight"/>
            </w:pPr>
            <w:r>
              <w:t>45</w:t>
            </w:r>
          </w:p>
        </w:tc>
        <w:tc>
          <w:tcPr>
            <w:tcW w:w="517" w:type="dxa"/>
            <w:tcBorders>
              <w:top w:val="nil"/>
              <w:left w:val="nil"/>
              <w:bottom w:val="nil"/>
              <w:right w:val="nil"/>
            </w:tcBorders>
          </w:tcPr>
          <w:p w14:paraId="05B165B0" w14:textId="77777777" w:rsidR="00E30837" w:rsidRPr="00AB145E" w:rsidRDefault="00E30837" w:rsidP="00052A87">
            <w:pPr>
              <w:pStyle w:val="TableTextRight"/>
            </w:pPr>
          </w:p>
        </w:tc>
        <w:tc>
          <w:tcPr>
            <w:tcW w:w="1778" w:type="dxa"/>
            <w:tcBorders>
              <w:top w:val="nil"/>
              <w:left w:val="nil"/>
              <w:bottom w:val="nil"/>
              <w:right w:val="nil"/>
            </w:tcBorders>
          </w:tcPr>
          <w:p w14:paraId="10672345" w14:textId="77777777" w:rsidR="00E30837" w:rsidRPr="00297540" w:rsidRDefault="00E30837" w:rsidP="00E85101">
            <w:pPr>
              <w:pStyle w:val="TableTextRight"/>
            </w:pPr>
            <w:r>
              <w:t>63</w:t>
            </w:r>
          </w:p>
        </w:tc>
      </w:tr>
      <w:tr w:rsidR="00E30837" w:rsidRPr="00660890" w14:paraId="4E8BC52B" w14:textId="77777777" w:rsidTr="00136A95">
        <w:tc>
          <w:tcPr>
            <w:tcW w:w="1843" w:type="dxa"/>
            <w:tcBorders>
              <w:top w:val="nil"/>
              <w:left w:val="nil"/>
              <w:bottom w:val="nil"/>
              <w:right w:val="nil"/>
            </w:tcBorders>
          </w:tcPr>
          <w:p w14:paraId="0043D4E2" w14:textId="77777777" w:rsidR="00E30837" w:rsidRPr="005A0CE4" w:rsidRDefault="00E30837" w:rsidP="00052A87">
            <w:pPr>
              <w:pStyle w:val="TableColumnHeadingLeft"/>
            </w:pPr>
            <w:r w:rsidRPr="005A0CE4">
              <w:t>13</w:t>
            </w:r>
          </w:p>
        </w:tc>
        <w:tc>
          <w:tcPr>
            <w:tcW w:w="1783" w:type="dxa"/>
            <w:tcBorders>
              <w:top w:val="nil"/>
              <w:left w:val="nil"/>
              <w:bottom w:val="nil"/>
              <w:right w:val="nil"/>
            </w:tcBorders>
          </w:tcPr>
          <w:p w14:paraId="56A17FBC" w14:textId="77777777" w:rsidR="00E30837" w:rsidRPr="00F8593C" w:rsidRDefault="00E30837" w:rsidP="006E1039">
            <w:pPr>
              <w:pStyle w:val="TableTextRight"/>
            </w:pPr>
            <w:r>
              <w:t>55</w:t>
            </w:r>
          </w:p>
        </w:tc>
        <w:tc>
          <w:tcPr>
            <w:tcW w:w="1792" w:type="dxa"/>
            <w:tcBorders>
              <w:top w:val="nil"/>
              <w:left w:val="nil"/>
              <w:bottom w:val="nil"/>
              <w:right w:val="nil"/>
            </w:tcBorders>
          </w:tcPr>
          <w:p w14:paraId="0CAE36ED" w14:textId="77777777" w:rsidR="00E30837" w:rsidRPr="00F8593C" w:rsidRDefault="00E30837" w:rsidP="00E85101">
            <w:pPr>
              <w:pStyle w:val="TableTextRight"/>
            </w:pPr>
            <w:r>
              <w:t>40</w:t>
            </w:r>
          </w:p>
        </w:tc>
        <w:tc>
          <w:tcPr>
            <w:tcW w:w="517" w:type="dxa"/>
            <w:tcBorders>
              <w:top w:val="nil"/>
              <w:left w:val="nil"/>
              <w:bottom w:val="nil"/>
              <w:right w:val="nil"/>
            </w:tcBorders>
          </w:tcPr>
          <w:p w14:paraId="127DDD98" w14:textId="77777777" w:rsidR="00E30837" w:rsidRPr="00AB145E" w:rsidRDefault="00E30837" w:rsidP="00052A87">
            <w:pPr>
              <w:pStyle w:val="TableTextRight"/>
            </w:pPr>
          </w:p>
        </w:tc>
        <w:tc>
          <w:tcPr>
            <w:tcW w:w="1778" w:type="dxa"/>
            <w:tcBorders>
              <w:top w:val="nil"/>
              <w:left w:val="nil"/>
              <w:bottom w:val="nil"/>
              <w:right w:val="nil"/>
            </w:tcBorders>
          </w:tcPr>
          <w:p w14:paraId="106A0699" w14:textId="77777777" w:rsidR="00E30837" w:rsidRPr="00297540" w:rsidRDefault="00E30837" w:rsidP="00E85101">
            <w:pPr>
              <w:pStyle w:val="TableTextRight"/>
            </w:pPr>
            <w:r>
              <w:t>6</w:t>
            </w:r>
            <w:r w:rsidRPr="00297540">
              <w:t>0</w:t>
            </w:r>
          </w:p>
        </w:tc>
      </w:tr>
      <w:tr w:rsidR="00E30837" w:rsidRPr="00660890" w14:paraId="73DED035" w14:textId="77777777" w:rsidTr="00136A95">
        <w:tc>
          <w:tcPr>
            <w:tcW w:w="1843" w:type="dxa"/>
            <w:tcBorders>
              <w:top w:val="nil"/>
              <w:left w:val="nil"/>
              <w:bottom w:val="single" w:sz="2" w:space="0" w:color="000000"/>
              <w:right w:val="nil"/>
            </w:tcBorders>
          </w:tcPr>
          <w:p w14:paraId="6317EC31" w14:textId="77777777" w:rsidR="00E30837" w:rsidRPr="005A0CE4" w:rsidRDefault="00E30837" w:rsidP="00052A87">
            <w:pPr>
              <w:pStyle w:val="TableColumnHeadingLeft"/>
            </w:pPr>
            <w:r w:rsidRPr="005A0CE4">
              <w:t>14</w:t>
            </w:r>
          </w:p>
        </w:tc>
        <w:tc>
          <w:tcPr>
            <w:tcW w:w="1783" w:type="dxa"/>
            <w:tcBorders>
              <w:top w:val="nil"/>
              <w:left w:val="nil"/>
              <w:bottom w:val="single" w:sz="2" w:space="0" w:color="000000"/>
              <w:right w:val="nil"/>
            </w:tcBorders>
          </w:tcPr>
          <w:p w14:paraId="0120A091" w14:textId="77777777" w:rsidR="00E30837" w:rsidRPr="00F8593C" w:rsidRDefault="00E30837" w:rsidP="00B265D9">
            <w:pPr>
              <w:pStyle w:val="TableTextRight"/>
            </w:pPr>
            <w:r>
              <w:t>45</w:t>
            </w:r>
          </w:p>
        </w:tc>
        <w:tc>
          <w:tcPr>
            <w:tcW w:w="1792" w:type="dxa"/>
            <w:tcBorders>
              <w:top w:val="nil"/>
              <w:left w:val="nil"/>
              <w:bottom w:val="single" w:sz="2" w:space="0" w:color="000000"/>
              <w:right w:val="nil"/>
            </w:tcBorders>
          </w:tcPr>
          <w:p w14:paraId="5BBC847C" w14:textId="77777777" w:rsidR="00E30837" w:rsidRPr="00F8593C" w:rsidRDefault="00E30837" w:rsidP="00E85101">
            <w:pPr>
              <w:pStyle w:val="TableTextRight"/>
            </w:pPr>
            <w:r>
              <w:t>40</w:t>
            </w:r>
          </w:p>
        </w:tc>
        <w:tc>
          <w:tcPr>
            <w:tcW w:w="517" w:type="dxa"/>
            <w:tcBorders>
              <w:top w:val="nil"/>
              <w:left w:val="nil"/>
              <w:bottom w:val="single" w:sz="2" w:space="0" w:color="000000"/>
              <w:right w:val="nil"/>
            </w:tcBorders>
          </w:tcPr>
          <w:p w14:paraId="6A337086" w14:textId="77777777" w:rsidR="00E30837" w:rsidRPr="00AB145E" w:rsidRDefault="00E30837" w:rsidP="00052A87">
            <w:pPr>
              <w:pStyle w:val="TableTextRight"/>
            </w:pPr>
          </w:p>
        </w:tc>
        <w:tc>
          <w:tcPr>
            <w:tcW w:w="1778" w:type="dxa"/>
            <w:tcBorders>
              <w:top w:val="nil"/>
              <w:left w:val="nil"/>
              <w:bottom w:val="single" w:sz="2" w:space="0" w:color="000000"/>
              <w:right w:val="nil"/>
            </w:tcBorders>
          </w:tcPr>
          <w:p w14:paraId="4652DC6B" w14:textId="77777777" w:rsidR="00E30837" w:rsidRPr="00297540" w:rsidRDefault="00E30837" w:rsidP="00E85101">
            <w:pPr>
              <w:pStyle w:val="TableTextRight"/>
            </w:pPr>
            <w:r>
              <w:t>53</w:t>
            </w:r>
          </w:p>
        </w:tc>
      </w:tr>
      <w:tr w:rsidR="00E30837" w:rsidRPr="00660890" w14:paraId="1A1C48D8" w14:textId="77777777" w:rsidTr="00136A95">
        <w:tc>
          <w:tcPr>
            <w:tcW w:w="1843" w:type="dxa"/>
            <w:tcBorders>
              <w:top w:val="single" w:sz="2" w:space="0" w:color="000000"/>
              <w:left w:val="nil"/>
              <w:bottom w:val="nil"/>
              <w:right w:val="nil"/>
            </w:tcBorders>
            <w:shd w:val="clear" w:color="auto" w:fill="F2F2F2" w:themeFill="background1" w:themeFillShade="F2"/>
          </w:tcPr>
          <w:p w14:paraId="45E66B34" w14:textId="77777777" w:rsidR="00E30837" w:rsidRPr="005A0CE4" w:rsidRDefault="00E30837" w:rsidP="00052A87">
            <w:pPr>
              <w:pStyle w:val="TableColumnHeadingLeft"/>
            </w:pPr>
            <w:r w:rsidRPr="005A0CE4">
              <w:t>15</w:t>
            </w:r>
          </w:p>
        </w:tc>
        <w:tc>
          <w:tcPr>
            <w:tcW w:w="1783" w:type="dxa"/>
            <w:tcBorders>
              <w:top w:val="single" w:sz="2" w:space="0" w:color="000000"/>
              <w:left w:val="nil"/>
              <w:bottom w:val="nil"/>
              <w:right w:val="nil"/>
            </w:tcBorders>
            <w:shd w:val="clear" w:color="auto" w:fill="F2F2F2" w:themeFill="background1" w:themeFillShade="F2"/>
          </w:tcPr>
          <w:p w14:paraId="54FDB936" w14:textId="77777777" w:rsidR="00E30837" w:rsidRPr="00F8593C" w:rsidRDefault="00E30837" w:rsidP="00B265D9">
            <w:pPr>
              <w:pStyle w:val="TableTextRight"/>
            </w:pPr>
            <w:r>
              <w:t>43</w:t>
            </w:r>
          </w:p>
        </w:tc>
        <w:tc>
          <w:tcPr>
            <w:tcW w:w="1792" w:type="dxa"/>
            <w:tcBorders>
              <w:top w:val="single" w:sz="2" w:space="0" w:color="000000"/>
              <w:left w:val="nil"/>
              <w:bottom w:val="nil"/>
              <w:right w:val="nil"/>
            </w:tcBorders>
            <w:shd w:val="clear" w:color="auto" w:fill="F2F2F2" w:themeFill="background1" w:themeFillShade="F2"/>
          </w:tcPr>
          <w:p w14:paraId="24B71EAA" w14:textId="77777777" w:rsidR="00E30837" w:rsidRPr="00F8593C" w:rsidRDefault="00E30837" w:rsidP="00E85101">
            <w:pPr>
              <w:pStyle w:val="TableTextRight"/>
            </w:pPr>
            <w:r>
              <w:t>40</w:t>
            </w:r>
          </w:p>
        </w:tc>
        <w:tc>
          <w:tcPr>
            <w:tcW w:w="517" w:type="dxa"/>
            <w:tcBorders>
              <w:top w:val="single" w:sz="2" w:space="0" w:color="000000"/>
              <w:left w:val="nil"/>
              <w:bottom w:val="nil"/>
              <w:right w:val="nil"/>
            </w:tcBorders>
            <w:shd w:val="clear" w:color="auto" w:fill="F2F2F2" w:themeFill="background1" w:themeFillShade="F2"/>
          </w:tcPr>
          <w:p w14:paraId="202035A1" w14:textId="77777777" w:rsidR="00E30837" w:rsidRPr="00AB145E" w:rsidRDefault="00E30837" w:rsidP="00052A87">
            <w:pPr>
              <w:pStyle w:val="TableTextRight"/>
            </w:pPr>
          </w:p>
        </w:tc>
        <w:tc>
          <w:tcPr>
            <w:tcW w:w="1778" w:type="dxa"/>
            <w:tcBorders>
              <w:top w:val="single" w:sz="2" w:space="0" w:color="000000"/>
              <w:left w:val="nil"/>
              <w:bottom w:val="nil"/>
              <w:right w:val="nil"/>
            </w:tcBorders>
            <w:shd w:val="clear" w:color="auto" w:fill="F2F2F2" w:themeFill="background1" w:themeFillShade="F2"/>
          </w:tcPr>
          <w:p w14:paraId="7B3ACECB" w14:textId="77777777" w:rsidR="00E30837" w:rsidRPr="00297540" w:rsidRDefault="00E30837" w:rsidP="00E85101">
            <w:pPr>
              <w:pStyle w:val="TableTextRight"/>
            </w:pPr>
            <w:r>
              <w:t>5</w:t>
            </w:r>
            <w:r w:rsidRPr="00297540">
              <w:t>0</w:t>
            </w:r>
          </w:p>
        </w:tc>
      </w:tr>
      <w:tr w:rsidR="00E30837" w:rsidRPr="00660890" w14:paraId="18628893" w14:textId="77777777" w:rsidTr="00136A95">
        <w:tc>
          <w:tcPr>
            <w:tcW w:w="1843" w:type="dxa"/>
            <w:tcBorders>
              <w:top w:val="nil"/>
              <w:left w:val="nil"/>
              <w:bottom w:val="nil"/>
              <w:right w:val="nil"/>
            </w:tcBorders>
            <w:shd w:val="clear" w:color="auto" w:fill="F2F2F2" w:themeFill="background1" w:themeFillShade="F2"/>
          </w:tcPr>
          <w:p w14:paraId="4A234D20" w14:textId="77777777" w:rsidR="00E30837" w:rsidRPr="005A0CE4" w:rsidRDefault="00E30837" w:rsidP="00052A87">
            <w:pPr>
              <w:pStyle w:val="TableColumnHeadingLeft"/>
            </w:pPr>
            <w:r w:rsidRPr="005A0CE4">
              <w:t>16</w:t>
            </w:r>
          </w:p>
        </w:tc>
        <w:tc>
          <w:tcPr>
            <w:tcW w:w="1783" w:type="dxa"/>
            <w:tcBorders>
              <w:top w:val="nil"/>
              <w:left w:val="nil"/>
              <w:bottom w:val="nil"/>
              <w:right w:val="nil"/>
            </w:tcBorders>
            <w:shd w:val="clear" w:color="auto" w:fill="F2F2F2" w:themeFill="background1" w:themeFillShade="F2"/>
          </w:tcPr>
          <w:p w14:paraId="493C99E4" w14:textId="77777777" w:rsidR="00E30837" w:rsidRPr="00F8593C" w:rsidRDefault="00E30837" w:rsidP="006E1039">
            <w:pPr>
              <w:pStyle w:val="TableTextRight"/>
            </w:pPr>
            <w:r>
              <w:t>40</w:t>
            </w:r>
          </w:p>
        </w:tc>
        <w:tc>
          <w:tcPr>
            <w:tcW w:w="1792" w:type="dxa"/>
            <w:tcBorders>
              <w:top w:val="nil"/>
              <w:left w:val="nil"/>
              <w:bottom w:val="nil"/>
              <w:right w:val="nil"/>
            </w:tcBorders>
            <w:shd w:val="clear" w:color="auto" w:fill="F2F2F2" w:themeFill="background1" w:themeFillShade="F2"/>
          </w:tcPr>
          <w:p w14:paraId="34E8A13C" w14:textId="77777777" w:rsidR="00E30837" w:rsidRPr="00F8593C" w:rsidRDefault="00E30837" w:rsidP="00E85101">
            <w:pPr>
              <w:pStyle w:val="TableTextRight"/>
            </w:pPr>
            <w:r>
              <w:t>40</w:t>
            </w:r>
          </w:p>
        </w:tc>
        <w:tc>
          <w:tcPr>
            <w:tcW w:w="517" w:type="dxa"/>
            <w:tcBorders>
              <w:top w:val="nil"/>
              <w:left w:val="nil"/>
              <w:bottom w:val="nil"/>
              <w:right w:val="nil"/>
            </w:tcBorders>
            <w:shd w:val="clear" w:color="auto" w:fill="F2F2F2" w:themeFill="background1" w:themeFillShade="F2"/>
          </w:tcPr>
          <w:p w14:paraId="5B7E59BB"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0FD2786C" w14:textId="77777777" w:rsidR="00E30837" w:rsidRPr="00297540" w:rsidRDefault="00E30837" w:rsidP="00E85101">
            <w:pPr>
              <w:pStyle w:val="TableTextRight"/>
            </w:pPr>
            <w:r>
              <w:t>4</w:t>
            </w:r>
            <w:r w:rsidRPr="00297540">
              <w:t>8</w:t>
            </w:r>
          </w:p>
        </w:tc>
      </w:tr>
      <w:tr w:rsidR="00E30837" w:rsidRPr="00660890" w14:paraId="308C68DB" w14:textId="77777777" w:rsidTr="00136A95">
        <w:tc>
          <w:tcPr>
            <w:tcW w:w="1843" w:type="dxa"/>
            <w:tcBorders>
              <w:top w:val="nil"/>
              <w:left w:val="nil"/>
              <w:bottom w:val="nil"/>
              <w:right w:val="nil"/>
            </w:tcBorders>
            <w:shd w:val="clear" w:color="auto" w:fill="F2F2F2" w:themeFill="background1" w:themeFillShade="F2"/>
          </w:tcPr>
          <w:p w14:paraId="171E31DE" w14:textId="77777777" w:rsidR="00E30837" w:rsidRPr="005A0CE4" w:rsidRDefault="00E30837" w:rsidP="00052A87">
            <w:pPr>
              <w:pStyle w:val="TableColumnHeadingLeft"/>
            </w:pPr>
            <w:r w:rsidRPr="005A0CE4">
              <w:t>17</w:t>
            </w:r>
          </w:p>
        </w:tc>
        <w:tc>
          <w:tcPr>
            <w:tcW w:w="1783" w:type="dxa"/>
            <w:tcBorders>
              <w:top w:val="nil"/>
              <w:left w:val="nil"/>
              <w:bottom w:val="nil"/>
              <w:right w:val="nil"/>
            </w:tcBorders>
            <w:shd w:val="clear" w:color="auto" w:fill="F2F2F2" w:themeFill="background1" w:themeFillShade="F2"/>
          </w:tcPr>
          <w:p w14:paraId="4E1FC6AB" w14:textId="77777777" w:rsidR="00E30837" w:rsidRPr="00F8593C" w:rsidRDefault="00E30837" w:rsidP="006E1039">
            <w:pPr>
              <w:pStyle w:val="TableTextRight"/>
            </w:pPr>
            <w:r>
              <w:t>4</w:t>
            </w:r>
            <w:r w:rsidRPr="00F8593C">
              <w:t>0</w:t>
            </w:r>
          </w:p>
        </w:tc>
        <w:tc>
          <w:tcPr>
            <w:tcW w:w="1792" w:type="dxa"/>
            <w:tcBorders>
              <w:top w:val="nil"/>
              <w:left w:val="nil"/>
              <w:bottom w:val="nil"/>
              <w:right w:val="nil"/>
            </w:tcBorders>
            <w:shd w:val="clear" w:color="auto" w:fill="F2F2F2" w:themeFill="background1" w:themeFillShade="F2"/>
          </w:tcPr>
          <w:p w14:paraId="34155AA0" w14:textId="77777777" w:rsidR="00E30837" w:rsidRPr="00F8593C" w:rsidRDefault="00E30837" w:rsidP="00E85101">
            <w:pPr>
              <w:pStyle w:val="TableTextRight"/>
            </w:pPr>
            <w:r>
              <w:t>4</w:t>
            </w:r>
            <w:r w:rsidRPr="00F8593C">
              <w:t>0</w:t>
            </w:r>
          </w:p>
        </w:tc>
        <w:tc>
          <w:tcPr>
            <w:tcW w:w="517" w:type="dxa"/>
            <w:tcBorders>
              <w:top w:val="nil"/>
              <w:left w:val="nil"/>
              <w:bottom w:val="nil"/>
              <w:right w:val="nil"/>
            </w:tcBorders>
            <w:shd w:val="clear" w:color="auto" w:fill="F2F2F2" w:themeFill="background1" w:themeFillShade="F2"/>
          </w:tcPr>
          <w:p w14:paraId="3242710F"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0082AF51" w14:textId="77777777" w:rsidR="00E30837" w:rsidRPr="00297540" w:rsidRDefault="00E30837" w:rsidP="00E85101">
            <w:pPr>
              <w:pStyle w:val="TableTextRight"/>
            </w:pPr>
            <w:r>
              <w:t>45</w:t>
            </w:r>
          </w:p>
        </w:tc>
      </w:tr>
      <w:tr w:rsidR="00E30837" w:rsidRPr="00660890" w14:paraId="7039C523" w14:textId="77777777" w:rsidTr="00136A95">
        <w:tc>
          <w:tcPr>
            <w:tcW w:w="1843" w:type="dxa"/>
            <w:tcBorders>
              <w:top w:val="nil"/>
              <w:left w:val="nil"/>
              <w:bottom w:val="nil"/>
              <w:right w:val="nil"/>
            </w:tcBorders>
            <w:shd w:val="clear" w:color="auto" w:fill="F2F2F2" w:themeFill="background1" w:themeFillShade="F2"/>
          </w:tcPr>
          <w:p w14:paraId="159F5668" w14:textId="77777777" w:rsidR="00E30837" w:rsidRPr="005A0CE4" w:rsidRDefault="00E30837" w:rsidP="00052A87">
            <w:pPr>
              <w:pStyle w:val="TableColumnHeadingLeft"/>
            </w:pPr>
            <w:r w:rsidRPr="005A0CE4">
              <w:t>18</w:t>
            </w:r>
          </w:p>
        </w:tc>
        <w:tc>
          <w:tcPr>
            <w:tcW w:w="1783" w:type="dxa"/>
            <w:tcBorders>
              <w:top w:val="nil"/>
              <w:left w:val="nil"/>
              <w:bottom w:val="nil"/>
              <w:right w:val="nil"/>
            </w:tcBorders>
            <w:shd w:val="clear" w:color="auto" w:fill="F2F2F2" w:themeFill="background1" w:themeFillShade="F2"/>
          </w:tcPr>
          <w:p w14:paraId="6C999E6B" w14:textId="77777777" w:rsidR="00E30837" w:rsidRPr="00F8593C" w:rsidRDefault="00E30837" w:rsidP="006E1039">
            <w:pPr>
              <w:pStyle w:val="TableTextRight"/>
            </w:pPr>
            <w:r w:rsidRPr="00F8593C">
              <w:t>40</w:t>
            </w:r>
          </w:p>
        </w:tc>
        <w:tc>
          <w:tcPr>
            <w:tcW w:w="1792" w:type="dxa"/>
            <w:tcBorders>
              <w:top w:val="nil"/>
              <w:left w:val="nil"/>
              <w:bottom w:val="nil"/>
              <w:right w:val="nil"/>
            </w:tcBorders>
            <w:shd w:val="clear" w:color="auto" w:fill="F2F2F2" w:themeFill="background1" w:themeFillShade="F2"/>
          </w:tcPr>
          <w:p w14:paraId="5C5F6C56" w14:textId="77777777" w:rsidR="00E30837" w:rsidRPr="00F8593C" w:rsidRDefault="00E30837" w:rsidP="00E85101">
            <w:pPr>
              <w:pStyle w:val="TableTextRight"/>
            </w:pPr>
            <w:r w:rsidRPr="00F8593C">
              <w:t>40</w:t>
            </w:r>
          </w:p>
        </w:tc>
        <w:tc>
          <w:tcPr>
            <w:tcW w:w="517" w:type="dxa"/>
            <w:tcBorders>
              <w:top w:val="nil"/>
              <w:left w:val="nil"/>
              <w:bottom w:val="nil"/>
              <w:right w:val="nil"/>
            </w:tcBorders>
            <w:shd w:val="clear" w:color="auto" w:fill="F2F2F2" w:themeFill="background1" w:themeFillShade="F2"/>
          </w:tcPr>
          <w:p w14:paraId="53CC1242"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33F59AA0" w14:textId="77777777" w:rsidR="00E30837" w:rsidRPr="00297540" w:rsidRDefault="00E30837" w:rsidP="00E85101">
            <w:pPr>
              <w:pStyle w:val="TableTextRight"/>
            </w:pPr>
            <w:r>
              <w:t>40</w:t>
            </w:r>
          </w:p>
        </w:tc>
      </w:tr>
      <w:tr w:rsidR="00E30837" w:rsidRPr="00660890" w14:paraId="34C4D020" w14:textId="77777777" w:rsidTr="00136A95">
        <w:tc>
          <w:tcPr>
            <w:tcW w:w="1843" w:type="dxa"/>
            <w:tcBorders>
              <w:top w:val="nil"/>
              <w:left w:val="nil"/>
              <w:bottom w:val="single" w:sz="2" w:space="0" w:color="000000"/>
              <w:right w:val="nil"/>
            </w:tcBorders>
            <w:shd w:val="clear" w:color="auto" w:fill="F2F2F2" w:themeFill="background1" w:themeFillShade="F2"/>
          </w:tcPr>
          <w:p w14:paraId="734CC7D2" w14:textId="77777777" w:rsidR="00E30837" w:rsidRPr="005A0CE4" w:rsidRDefault="00E30837" w:rsidP="00052A87">
            <w:pPr>
              <w:pStyle w:val="TableColumnHeadingLeft"/>
            </w:pPr>
            <w:r w:rsidRPr="005A0CE4">
              <w:t>19</w:t>
            </w:r>
          </w:p>
        </w:tc>
        <w:tc>
          <w:tcPr>
            <w:tcW w:w="1783" w:type="dxa"/>
            <w:tcBorders>
              <w:top w:val="nil"/>
              <w:left w:val="nil"/>
              <w:bottom w:val="single" w:sz="2" w:space="0" w:color="000000"/>
              <w:right w:val="nil"/>
            </w:tcBorders>
            <w:shd w:val="clear" w:color="auto" w:fill="F2F2F2" w:themeFill="background1" w:themeFillShade="F2"/>
          </w:tcPr>
          <w:p w14:paraId="44477F24" w14:textId="77777777" w:rsidR="00E30837" w:rsidRPr="00F8593C" w:rsidRDefault="00E30837" w:rsidP="00B265D9">
            <w:pPr>
              <w:pStyle w:val="TableTextRight"/>
            </w:pPr>
            <w:r>
              <w:t>40</w:t>
            </w:r>
          </w:p>
        </w:tc>
        <w:tc>
          <w:tcPr>
            <w:tcW w:w="1792" w:type="dxa"/>
            <w:tcBorders>
              <w:top w:val="nil"/>
              <w:left w:val="nil"/>
              <w:bottom w:val="single" w:sz="2" w:space="0" w:color="000000"/>
              <w:right w:val="nil"/>
            </w:tcBorders>
            <w:shd w:val="clear" w:color="auto" w:fill="F2F2F2" w:themeFill="background1" w:themeFillShade="F2"/>
          </w:tcPr>
          <w:p w14:paraId="05E5570E" w14:textId="77777777" w:rsidR="00E30837" w:rsidRPr="00F8593C" w:rsidRDefault="00E30837" w:rsidP="00E85101">
            <w:pPr>
              <w:pStyle w:val="TableTextRight"/>
            </w:pPr>
            <w:r>
              <w:t>43</w:t>
            </w:r>
          </w:p>
        </w:tc>
        <w:tc>
          <w:tcPr>
            <w:tcW w:w="517" w:type="dxa"/>
            <w:tcBorders>
              <w:top w:val="nil"/>
              <w:left w:val="nil"/>
              <w:bottom w:val="single" w:sz="2" w:space="0" w:color="000000"/>
              <w:right w:val="nil"/>
            </w:tcBorders>
            <w:shd w:val="clear" w:color="auto" w:fill="F2F2F2" w:themeFill="background1" w:themeFillShade="F2"/>
          </w:tcPr>
          <w:p w14:paraId="4A4978CB" w14:textId="77777777" w:rsidR="00E30837" w:rsidRPr="00AB145E" w:rsidRDefault="00E30837" w:rsidP="00052A87">
            <w:pPr>
              <w:pStyle w:val="TableTextRight"/>
            </w:pPr>
          </w:p>
        </w:tc>
        <w:tc>
          <w:tcPr>
            <w:tcW w:w="1778" w:type="dxa"/>
            <w:tcBorders>
              <w:top w:val="nil"/>
              <w:left w:val="nil"/>
              <w:bottom w:val="single" w:sz="2" w:space="0" w:color="000000"/>
              <w:right w:val="nil"/>
            </w:tcBorders>
            <w:shd w:val="clear" w:color="auto" w:fill="F2F2F2" w:themeFill="background1" w:themeFillShade="F2"/>
          </w:tcPr>
          <w:p w14:paraId="029F4FCB" w14:textId="77777777" w:rsidR="00E30837" w:rsidRPr="00297540" w:rsidRDefault="00E30837" w:rsidP="00E85101">
            <w:pPr>
              <w:pStyle w:val="TableTextRight"/>
            </w:pPr>
            <w:r>
              <w:t>38</w:t>
            </w:r>
          </w:p>
        </w:tc>
      </w:tr>
      <w:tr w:rsidR="00E30837" w:rsidRPr="00660890" w14:paraId="225E36B9" w14:textId="77777777" w:rsidTr="00136A95">
        <w:tc>
          <w:tcPr>
            <w:tcW w:w="1843" w:type="dxa"/>
            <w:tcBorders>
              <w:top w:val="single" w:sz="2" w:space="0" w:color="000000"/>
              <w:left w:val="nil"/>
              <w:bottom w:val="nil"/>
              <w:right w:val="nil"/>
            </w:tcBorders>
          </w:tcPr>
          <w:p w14:paraId="7D712A00" w14:textId="77777777" w:rsidR="00E30837" w:rsidRPr="005A0CE4" w:rsidRDefault="00E30837" w:rsidP="00052A87">
            <w:pPr>
              <w:pStyle w:val="TableColumnHeadingLeft"/>
            </w:pPr>
            <w:r w:rsidRPr="005A0CE4">
              <w:t>20</w:t>
            </w:r>
          </w:p>
        </w:tc>
        <w:tc>
          <w:tcPr>
            <w:tcW w:w="1783" w:type="dxa"/>
            <w:tcBorders>
              <w:top w:val="single" w:sz="2" w:space="0" w:color="000000"/>
              <w:left w:val="nil"/>
              <w:bottom w:val="nil"/>
              <w:right w:val="nil"/>
            </w:tcBorders>
          </w:tcPr>
          <w:p w14:paraId="3A569155" w14:textId="77777777" w:rsidR="00E30837" w:rsidRPr="00F8593C" w:rsidRDefault="00E30837" w:rsidP="00B265D9">
            <w:pPr>
              <w:pStyle w:val="TableTextRight"/>
            </w:pPr>
            <w:r w:rsidRPr="00F8593C">
              <w:t>4</w:t>
            </w:r>
            <w:r>
              <w:t>0</w:t>
            </w:r>
          </w:p>
        </w:tc>
        <w:tc>
          <w:tcPr>
            <w:tcW w:w="1792" w:type="dxa"/>
            <w:tcBorders>
              <w:top w:val="single" w:sz="2" w:space="0" w:color="000000"/>
              <w:left w:val="nil"/>
              <w:bottom w:val="nil"/>
              <w:right w:val="nil"/>
            </w:tcBorders>
          </w:tcPr>
          <w:p w14:paraId="26124C69" w14:textId="77777777" w:rsidR="00E30837" w:rsidRPr="00F8593C" w:rsidRDefault="00E30837" w:rsidP="00A44210">
            <w:pPr>
              <w:pStyle w:val="TableTextRight"/>
            </w:pPr>
            <w:r w:rsidRPr="00F8593C">
              <w:t>4</w:t>
            </w:r>
            <w:r>
              <w:t>5</w:t>
            </w:r>
          </w:p>
        </w:tc>
        <w:tc>
          <w:tcPr>
            <w:tcW w:w="517" w:type="dxa"/>
            <w:tcBorders>
              <w:top w:val="single" w:sz="2" w:space="0" w:color="000000"/>
              <w:left w:val="nil"/>
              <w:bottom w:val="nil"/>
              <w:right w:val="nil"/>
            </w:tcBorders>
          </w:tcPr>
          <w:p w14:paraId="270A2C84" w14:textId="77777777" w:rsidR="00E30837" w:rsidRPr="00AB145E" w:rsidRDefault="00E30837" w:rsidP="00052A87">
            <w:pPr>
              <w:pStyle w:val="TableTextRight"/>
            </w:pPr>
          </w:p>
        </w:tc>
        <w:tc>
          <w:tcPr>
            <w:tcW w:w="1778" w:type="dxa"/>
            <w:tcBorders>
              <w:top w:val="single" w:sz="2" w:space="0" w:color="000000"/>
              <w:left w:val="nil"/>
              <w:bottom w:val="nil"/>
              <w:right w:val="nil"/>
            </w:tcBorders>
          </w:tcPr>
          <w:p w14:paraId="48ACA5B7" w14:textId="77777777" w:rsidR="00E30837" w:rsidRPr="00297540" w:rsidRDefault="00E30837" w:rsidP="00E85101">
            <w:pPr>
              <w:pStyle w:val="TableTextRight"/>
            </w:pPr>
            <w:r>
              <w:t>45</w:t>
            </w:r>
          </w:p>
        </w:tc>
      </w:tr>
      <w:tr w:rsidR="00E30837" w:rsidRPr="00660890" w14:paraId="73DFE0D0" w14:textId="77777777" w:rsidTr="00136A95">
        <w:tc>
          <w:tcPr>
            <w:tcW w:w="1843" w:type="dxa"/>
            <w:tcBorders>
              <w:top w:val="nil"/>
              <w:left w:val="nil"/>
              <w:bottom w:val="nil"/>
              <w:right w:val="nil"/>
            </w:tcBorders>
          </w:tcPr>
          <w:p w14:paraId="13661780" w14:textId="77777777" w:rsidR="00E30837" w:rsidRPr="005A0CE4" w:rsidRDefault="00E30837" w:rsidP="00052A87">
            <w:pPr>
              <w:pStyle w:val="TableColumnHeadingLeft"/>
            </w:pPr>
            <w:r w:rsidRPr="005A0CE4">
              <w:t>21</w:t>
            </w:r>
          </w:p>
        </w:tc>
        <w:tc>
          <w:tcPr>
            <w:tcW w:w="1783" w:type="dxa"/>
            <w:tcBorders>
              <w:top w:val="nil"/>
              <w:left w:val="nil"/>
              <w:bottom w:val="nil"/>
              <w:right w:val="nil"/>
            </w:tcBorders>
          </w:tcPr>
          <w:p w14:paraId="736FDE94" w14:textId="77777777" w:rsidR="00E30837" w:rsidRPr="00F8593C" w:rsidRDefault="00E30837" w:rsidP="00B265D9">
            <w:pPr>
              <w:pStyle w:val="TableTextRight"/>
            </w:pPr>
            <w:r w:rsidRPr="00F8593C">
              <w:t>4</w:t>
            </w:r>
            <w:r>
              <w:t>0</w:t>
            </w:r>
          </w:p>
        </w:tc>
        <w:tc>
          <w:tcPr>
            <w:tcW w:w="1792" w:type="dxa"/>
            <w:tcBorders>
              <w:top w:val="nil"/>
              <w:left w:val="nil"/>
              <w:bottom w:val="nil"/>
              <w:right w:val="nil"/>
            </w:tcBorders>
          </w:tcPr>
          <w:p w14:paraId="25BABBB1" w14:textId="77777777" w:rsidR="00E30837" w:rsidRPr="00F8593C" w:rsidRDefault="00E30837" w:rsidP="00E85101">
            <w:pPr>
              <w:pStyle w:val="TableTextRight"/>
            </w:pPr>
            <w:r w:rsidRPr="00F8593C">
              <w:t>41</w:t>
            </w:r>
          </w:p>
        </w:tc>
        <w:tc>
          <w:tcPr>
            <w:tcW w:w="517" w:type="dxa"/>
            <w:tcBorders>
              <w:top w:val="nil"/>
              <w:left w:val="nil"/>
              <w:bottom w:val="nil"/>
              <w:right w:val="nil"/>
            </w:tcBorders>
          </w:tcPr>
          <w:p w14:paraId="07BF4CBF" w14:textId="77777777" w:rsidR="00E30837" w:rsidRPr="00AB145E" w:rsidRDefault="00E30837" w:rsidP="00052A87">
            <w:pPr>
              <w:pStyle w:val="TableTextRight"/>
            </w:pPr>
          </w:p>
        </w:tc>
        <w:tc>
          <w:tcPr>
            <w:tcW w:w="1778" w:type="dxa"/>
            <w:tcBorders>
              <w:top w:val="nil"/>
              <w:left w:val="nil"/>
              <w:bottom w:val="nil"/>
              <w:right w:val="nil"/>
            </w:tcBorders>
          </w:tcPr>
          <w:p w14:paraId="1F8607A4" w14:textId="77777777" w:rsidR="00E30837" w:rsidRPr="00297540" w:rsidRDefault="00E30837" w:rsidP="00E85101">
            <w:pPr>
              <w:pStyle w:val="TableTextRight"/>
            </w:pPr>
            <w:r>
              <w:t>75</w:t>
            </w:r>
          </w:p>
        </w:tc>
      </w:tr>
      <w:tr w:rsidR="00E30837" w:rsidRPr="00660890" w14:paraId="62DF8876" w14:textId="77777777" w:rsidTr="00136A95">
        <w:tc>
          <w:tcPr>
            <w:tcW w:w="1843" w:type="dxa"/>
            <w:tcBorders>
              <w:top w:val="nil"/>
              <w:left w:val="nil"/>
              <w:bottom w:val="nil"/>
              <w:right w:val="nil"/>
            </w:tcBorders>
          </w:tcPr>
          <w:p w14:paraId="6EC07B47" w14:textId="77777777" w:rsidR="00E30837" w:rsidRPr="005A0CE4" w:rsidRDefault="00E30837" w:rsidP="00052A87">
            <w:pPr>
              <w:pStyle w:val="TableColumnHeadingLeft"/>
            </w:pPr>
            <w:r w:rsidRPr="005A0CE4">
              <w:t>22</w:t>
            </w:r>
          </w:p>
        </w:tc>
        <w:tc>
          <w:tcPr>
            <w:tcW w:w="1783" w:type="dxa"/>
            <w:tcBorders>
              <w:top w:val="nil"/>
              <w:left w:val="nil"/>
              <w:bottom w:val="nil"/>
              <w:right w:val="nil"/>
            </w:tcBorders>
          </w:tcPr>
          <w:p w14:paraId="48EDDDC4" w14:textId="77777777" w:rsidR="00E30837" w:rsidRPr="00F8593C" w:rsidRDefault="00E30837" w:rsidP="006E1039">
            <w:pPr>
              <w:pStyle w:val="TableTextRight"/>
            </w:pPr>
            <w:r w:rsidRPr="00F8593C">
              <w:t>39</w:t>
            </w:r>
          </w:p>
        </w:tc>
        <w:tc>
          <w:tcPr>
            <w:tcW w:w="1792" w:type="dxa"/>
            <w:tcBorders>
              <w:top w:val="nil"/>
              <w:left w:val="nil"/>
              <w:bottom w:val="nil"/>
              <w:right w:val="nil"/>
            </w:tcBorders>
          </w:tcPr>
          <w:p w14:paraId="68617394" w14:textId="77777777" w:rsidR="00E30837" w:rsidRPr="00F8593C" w:rsidRDefault="00E30837" w:rsidP="00E85101">
            <w:pPr>
              <w:pStyle w:val="TableTextRight"/>
            </w:pPr>
            <w:r w:rsidRPr="00F8593C">
              <w:t>39</w:t>
            </w:r>
          </w:p>
        </w:tc>
        <w:tc>
          <w:tcPr>
            <w:tcW w:w="517" w:type="dxa"/>
            <w:tcBorders>
              <w:top w:val="nil"/>
              <w:left w:val="nil"/>
              <w:bottom w:val="nil"/>
              <w:right w:val="nil"/>
            </w:tcBorders>
          </w:tcPr>
          <w:p w14:paraId="7D9BEAA0" w14:textId="77777777" w:rsidR="00E30837" w:rsidRPr="00AB145E" w:rsidRDefault="00E30837" w:rsidP="00052A87">
            <w:pPr>
              <w:pStyle w:val="TableTextRight"/>
            </w:pPr>
          </w:p>
        </w:tc>
        <w:tc>
          <w:tcPr>
            <w:tcW w:w="1778" w:type="dxa"/>
            <w:tcBorders>
              <w:top w:val="nil"/>
              <w:left w:val="nil"/>
              <w:bottom w:val="nil"/>
              <w:right w:val="nil"/>
            </w:tcBorders>
          </w:tcPr>
          <w:p w14:paraId="4435E6AE" w14:textId="77777777" w:rsidR="00E30837" w:rsidRPr="00297540" w:rsidRDefault="00E30837" w:rsidP="00B265D9">
            <w:pPr>
              <w:pStyle w:val="TableTextRight"/>
            </w:pPr>
            <w:r w:rsidRPr="00297540">
              <w:t>5</w:t>
            </w:r>
            <w:r>
              <w:t>5</w:t>
            </w:r>
          </w:p>
        </w:tc>
      </w:tr>
      <w:tr w:rsidR="00E30837" w:rsidRPr="00660890" w14:paraId="0FE3CD6A" w14:textId="77777777" w:rsidTr="00136A95">
        <w:tc>
          <w:tcPr>
            <w:tcW w:w="1843" w:type="dxa"/>
            <w:tcBorders>
              <w:top w:val="nil"/>
              <w:left w:val="nil"/>
              <w:bottom w:val="nil"/>
              <w:right w:val="nil"/>
            </w:tcBorders>
          </w:tcPr>
          <w:p w14:paraId="3482FC3F" w14:textId="77777777" w:rsidR="00E30837" w:rsidRPr="005A0CE4" w:rsidRDefault="00E30837" w:rsidP="00052A87">
            <w:pPr>
              <w:pStyle w:val="TableColumnHeadingLeft"/>
            </w:pPr>
            <w:r w:rsidRPr="005A0CE4">
              <w:t>23</w:t>
            </w:r>
          </w:p>
        </w:tc>
        <w:tc>
          <w:tcPr>
            <w:tcW w:w="1783" w:type="dxa"/>
            <w:tcBorders>
              <w:top w:val="nil"/>
              <w:left w:val="nil"/>
              <w:bottom w:val="nil"/>
              <w:right w:val="nil"/>
            </w:tcBorders>
          </w:tcPr>
          <w:p w14:paraId="32BFDF26" w14:textId="77777777" w:rsidR="00E30837" w:rsidRPr="00F8593C" w:rsidRDefault="00E30837" w:rsidP="006E1039">
            <w:pPr>
              <w:pStyle w:val="TableTextRight"/>
            </w:pPr>
            <w:r w:rsidRPr="00F8593C">
              <w:t>37</w:t>
            </w:r>
          </w:p>
        </w:tc>
        <w:tc>
          <w:tcPr>
            <w:tcW w:w="1792" w:type="dxa"/>
            <w:tcBorders>
              <w:top w:val="nil"/>
              <w:left w:val="nil"/>
              <w:bottom w:val="nil"/>
              <w:right w:val="nil"/>
            </w:tcBorders>
          </w:tcPr>
          <w:p w14:paraId="05E0965D" w14:textId="77777777" w:rsidR="00E30837" w:rsidRPr="00F8593C" w:rsidRDefault="00E30837" w:rsidP="00E85101">
            <w:pPr>
              <w:pStyle w:val="TableTextRight"/>
            </w:pPr>
            <w:r w:rsidRPr="00F8593C">
              <w:t>37</w:t>
            </w:r>
          </w:p>
        </w:tc>
        <w:tc>
          <w:tcPr>
            <w:tcW w:w="517" w:type="dxa"/>
            <w:tcBorders>
              <w:top w:val="nil"/>
              <w:left w:val="nil"/>
              <w:bottom w:val="nil"/>
              <w:right w:val="nil"/>
            </w:tcBorders>
          </w:tcPr>
          <w:p w14:paraId="13F5344C" w14:textId="77777777" w:rsidR="00E30837" w:rsidRPr="00AB145E" w:rsidRDefault="00E30837" w:rsidP="00052A87">
            <w:pPr>
              <w:pStyle w:val="TableTextRight"/>
            </w:pPr>
          </w:p>
        </w:tc>
        <w:tc>
          <w:tcPr>
            <w:tcW w:w="1778" w:type="dxa"/>
            <w:tcBorders>
              <w:top w:val="nil"/>
              <w:left w:val="nil"/>
              <w:bottom w:val="nil"/>
              <w:right w:val="nil"/>
            </w:tcBorders>
          </w:tcPr>
          <w:p w14:paraId="04B431B6" w14:textId="77777777" w:rsidR="00E30837" w:rsidRPr="00297540" w:rsidRDefault="00E30837" w:rsidP="00E85101">
            <w:pPr>
              <w:pStyle w:val="TableTextRight"/>
            </w:pPr>
            <w:r>
              <w:t>45</w:t>
            </w:r>
          </w:p>
        </w:tc>
      </w:tr>
      <w:tr w:rsidR="00E30837" w:rsidRPr="00660890" w14:paraId="25FF0383" w14:textId="77777777" w:rsidTr="00136A95">
        <w:tc>
          <w:tcPr>
            <w:tcW w:w="1843" w:type="dxa"/>
            <w:tcBorders>
              <w:top w:val="nil"/>
              <w:left w:val="nil"/>
              <w:bottom w:val="single" w:sz="2" w:space="0" w:color="000000"/>
              <w:right w:val="nil"/>
            </w:tcBorders>
          </w:tcPr>
          <w:p w14:paraId="314C1B20" w14:textId="77777777" w:rsidR="00E30837" w:rsidRPr="005A0CE4" w:rsidRDefault="00E30837" w:rsidP="00052A87">
            <w:pPr>
              <w:pStyle w:val="TableColumnHeadingLeft"/>
            </w:pPr>
            <w:r w:rsidRPr="005A0CE4">
              <w:t>24</w:t>
            </w:r>
          </w:p>
        </w:tc>
        <w:tc>
          <w:tcPr>
            <w:tcW w:w="1783" w:type="dxa"/>
            <w:tcBorders>
              <w:top w:val="nil"/>
              <w:left w:val="nil"/>
              <w:bottom w:val="single" w:sz="2" w:space="0" w:color="000000"/>
              <w:right w:val="nil"/>
            </w:tcBorders>
          </w:tcPr>
          <w:p w14:paraId="142F5F06" w14:textId="77777777" w:rsidR="00E30837" w:rsidRPr="00F8593C" w:rsidRDefault="00E30837" w:rsidP="006E1039">
            <w:pPr>
              <w:pStyle w:val="TableTextRight"/>
            </w:pPr>
            <w:r w:rsidRPr="00F8593C">
              <w:t>35</w:t>
            </w:r>
          </w:p>
        </w:tc>
        <w:tc>
          <w:tcPr>
            <w:tcW w:w="1792" w:type="dxa"/>
            <w:tcBorders>
              <w:top w:val="nil"/>
              <w:left w:val="nil"/>
              <w:bottom w:val="single" w:sz="2" w:space="0" w:color="000000"/>
              <w:right w:val="nil"/>
            </w:tcBorders>
          </w:tcPr>
          <w:p w14:paraId="785D275E" w14:textId="77777777" w:rsidR="00E30837" w:rsidRPr="00F8593C" w:rsidRDefault="00E30837" w:rsidP="00E85101">
            <w:pPr>
              <w:pStyle w:val="TableTextRight"/>
            </w:pPr>
            <w:r w:rsidRPr="00F8593C">
              <w:t>35</w:t>
            </w:r>
          </w:p>
        </w:tc>
        <w:tc>
          <w:tcPr>
            <w:tcW w:w="517" w:type="dxa"/>
            <w:tcBorders>
              <w:top w:val="nil"/>
              <w:left w:val="nil"/>
              <w:bottom w:val="single" w:sz="2" w:space="0" w:color="000000"/>
              <w:right w:val="nil"/>
            </w:tcBorders>
          </w:tcPr>
          <w:p w14:paraId="28BC3836" w14:textId="77777777" w:rsidR="00E30837" w:rsidRPr="00AB145E" w:rsidRDefault="00E30837" w:rsidP="00052A87">
            <w:pPr>
              <w:pStyle w:val="TableTextRight"/>
            </w:pPr>
          </w:p>
        </w:tc>
        <w:tc>
          <w:tcPr>
            <w:tcW w:w="1778" w:type="dxa"/>
            <w:tcBorders>
              <w:top w:val="nil"/>
              <w:left w:val="nil"/>
              <w:bottom w:val="single" w:sz="2" w:space="0" w:color="000000"/>
              <w:right w:val="nil"/>
            </w:tcBorders>
          </w:tcPr>
          <w:p w14:paraId="447DB7BF" w14:textId="77777777" w:rsidR="00E30837" w:rsidRPr="00297540" w:rsidRDefault="00E30837" w:rsidP="00B265D9">
            <w:pPr>
              <w:pStyle w:val="TableTextRight"/>
            </w:pPr>
            <w:r w:rsidRPr="00297540">
              <w:t>4</w:t>
            </w:r>
            <w:r>
              <w:t>0</w:t>
            </w:r>
          </w:p>
        </w:tc>
      </w:tr>
      <w:tr w:rsidR="00E30837" w:rsidRPr="00660890" w14:paraId="49A46BA8" w14:textId="77777777" w:rsidTr="00136A95">
        <w:tc>
          <w:tcPr>
            <w:tcW w:w="1843" w:type="dxa"/>
            <w:tcBorders>
              <w:top w:val="single" w:sz="2" w:space="0" w:color="000000"/>
              <w:left w:val="nil"/>
              <w:bottom w:val="nil"/>
              <w:right w:val="nil"/>
            </w:tcBorders>
            <w:shd w:val="clear" w:color="auto" w:fill="F2F2F2" w:themeFill="background1" w:themeFillShade="F2"/>
          </w:tcPr>
          <w:p w14:paraId="43368C5C" w14:textId="77777777" w:rsidR="00E30837" w:rsidRPr="005A0CE4" w:rsidRDefault="00E30837" w:rsidP="00052A87">
            <w:pPr>
              <w:pStyle w:val="TableColumnHeadingLeft"/>
            </w:pPr>
            <w:r w:rsidRPr="005A0CE4">
              <w:t>25</w:t>
            </w:r>
          </w:p>
        </w:tc>
        <w:tc>
          <w:tcPr>
            <w:tcW w:w="1783" w:type="dxa"/>
            <w:tcBorders>
              <w:top w:val="single" w:sz="2" w:space="0" w:color="000000"/>
              <w:left w:val="nil"/>
              <w:bottom w:val="nil"/>
              <w:right w:val="nil"/>
            </w:tcBorders>
            <w:shd w:val="clear" w:color="auto" w:fill="F2F2F2" w:themeFill="background1" w:themeFillShade="F2"/>
          </w:tcPr>
          <w:p w14:paraId="67933A18" w14:textId="77777777" w:rsidR="00E30837" w:rsidRPr="00F8593C" w:rsidRDefault="00E30837" w:rsidP="006E1039">
            <w:pPr>
              <w:pStyle w:val="TableTextRight"/>
            </w:pPr>
            <w:r w:rsidRPr="00F8593C">
              <w:t>33</w:t>
            </w:r>
          </w:p>
        </w:tc>
        <w:tc>
          <w:tcPr>
            <w:tcW w:w="1792" w:type="dxa"/>
            <w:tcBorders>
              <w:top w:val="single" w:sz="2" w:space="0" w:color="000000"/>
              <w:left w:val="nil"/>
              <w:bottom w:val="nil"/>
              <w:right w:val="nil"/>
            </w:tcBorders>
            <w:shd w:val="clear" w:color="auto" w:fill="F2F2F2" w:themeFill="background1" w:themeFillShade="F2"/>
          </w:tcPr>
          <w:p w14:paraId="1628A754" w14:textId="77777777" w:rsidR="00E30837" w:rsidRPr="00F8593C" w:rsidRDefault="00E30837" w:rsidP="00E85101">
            <w:pPr>
              <w:pStyle w:val="TableTextRight"/>
            </w:pPr>
            <w:r w:rsidRPr="00F8593C">
              <w:t>33</w:t>
            </w:r>
          </w:p>
        </w:tc>
        <w:tc>
          <w:tcPr>
            <w:tcW w:w="517" w:type="dxa"/>
            <w:tcBorders>
              <w:top w:val="single" w:sz="2" w:space="0" w:color="000000"/>
              <w:left w:val="nil"/>
              <w:bottom w:val="nil"/>
              <w:right w:val="nil"/>
            </w:tcBorders>
            <w:shd w:val="clear" w:color="auto" w:fill="F2F2F2" w:themeFill="background1" w:themeFillShade="F2"/>
          </w:tcPr>
          <w:p w14:paraId="30A7F79D" w14:textId="77777777" w:rsidR="00E30837" w:rsidRPr="00AB145E" w:rsidRDefault="00E30837" w:rsidP="00052A87">
            <w:pPr>
              <w:pStyle w:val="TableTextRight"/>
            </w:pPr>
          </w:p>
        </w:tc>
        <w:tc>
          <w:tcPr>
            <w:tcW w:w="1778" w:type="dxa"/>
            <w:tcBorders>
              <w:top w:val="single" w:sz="2" w:space="0" w:color="000000"/>
              <w:left w:val="nil"/>
              <w:bottom w:val="nil"/>
              <w:right w:val="nil"/>
            </w:tcBorders>
            <w:shd w:val="clear" w:color="auto" w:fill="F2F2F2" w:themeFill="background1" w:themeFillShade="F2"/>
          </w:tcPr>
          <w:p w14:paraId="5CB5E87A" w14:textId="77777777" w:rsidR="00E30837" w:rsidRPr="00297540" w:rsidRDefault="00E30837" w:rsidP="00B265D9">
            <w:pPr>
              <w:pStyle w:val="TableTextRight"/>
            </w:pPr>
            <w:r w:rsidRPr="00297540">
              <w:t>4</w:t>
            </w:r>
            <w:r>
              <w:t>0</w:t>
            </w:r>
          </w:p>
        </w:tc>
      </w:tr>
      <w:tr w:rsidR="00E30837" w:rsidRPr="00660890" w14:paraId="3E871FA1" w14:textId="77777777" w:rsidTr="00136A95">
        <w:tc>
          <w:tcPr>
            <w:tcW w:w="1843" w:type="dxa"/>
            <w:tcBorders>
              <w:top w:val="nil"/>
              <w:left w:val="nil"/>
              <w:bottom w:val="nil"/>
              <w:right w:val="nil"/>
            </w:tcBorders>
            <w:shd w:val="clear" w:color="auto" w:fill="F2F2F2" w:themeFill="background1" w:themeFillShade="F2"/>
          </w:tcPr>
          <w:p w14:paraId="43C2F5FB" w14:textId="77777777" w:rsidR="00E30837" w:rsidRPr="005A0CE4" w:rsidRDefault="00E30837" w:rsidP="00052A87">
            <w:pPr>
              <w:pStyle w:val="TableColumnHeadingLeft"/>
            </w:pPr>
            <w:r w:rsidRPr="005A0CE4">
              <w:t>26</w:t>
            </w:r>
          </w:p>
        </w:tc>
        <w:tc>
          <w:tcPr>
            <w:tcW w:w="1783" w:type="dxa"/>
            <w:tcBorders>
              <w:top w:val="nil"/>
              <w:left w:val="nil"/>
              <w:bottom w:val="nil"/>
              <w:right w:val="nil"/>
            </w:tcBorders>
            <w:shd w:val="clear" w:color="auto" w:fill="F2F2F2" w:themeFill="background1" w:themeFillShade="F2"/>
          </w:tcPr>
          <w:p w14:paraId="67149A74" w14:textId="77777777" w:rsidR="00E30837" w:rsidRPr="00F8593C" w:rsidRDefault="00E30837" w:rsidP="006E1039">
            <w:pPr>
              <w:pStyle w:val="TableTextRight"/>
            </w:pPr>
            <w:r w:rsidRPr="00F8593C">
              <w:t>33</w:t>
            </w:r>
          </w:p>
        </w:tc>
        <w:tc>
          <w:tcPr>
            <w:tcW w:w="1792" w:type="dxa"/>
            <w:tcBorders>
              <w:top w:val="nil"/>
              <w:left w:val="nil"/>
              <w:bottom w:val="nil"/>
              <w:right w:val="nil"/>
            </w:tcBorders>
            <w:shd w:val="clear" w:color="auto" w:fill="F2F2F2" w:themeFill="background1" w:themeFillShade="F2"/>
          </w:tcPr>
          <w:p w14:paraId="1C764C8E" w14:textId="77777777" w:rsidR="00E30837" w:rsidRPr="00F8593C" w:rsidRDefault="00E30837" w:rsidP="00E85101">
            <w:pPr>
              <w:pStyle w:val="TableTextRight"/>
            </w:pPr>
            <w:r w:rsidRPr="00F8593C">
              <w:t>33</w:t>
            </w:r>
          </w:p>
        </w:tc>
        <w:tc>
          <w:tcPr>
            <w:tcW w:w="517" w:type="dxa"/>
            <w:tcBorders>
              <w:top w:val="nil"/>
              <w:left w:val="nil"/>
              <w:bottom w:val="nil"/>
              <w:right w:val="nil"/>
            </w:tcBorders>
            <w:shd w:val="clear" w:color="auto" w:fill="F2F2F2" w:themeFill="background1" w:themeFillShade="F2"/>
          </w:tcPr>
          <w:p w14:paraId="01639318"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23E90C3C" w14:textId="77777777" w:rsidR="00E30837" w:rsidRPr="00297540" w:rsidRDefault="00E30837" w:rsidP="00B265D9">
            <w:pPr>
              <w:pStyle w:val="TableTextRight"/>
            </w:pPr>
            <w:r w:rsidRPr="00297540">
              <w:t>4</w:t>
            </w:r>
            <w:r>
              <w:t>0</w:t>
            </w:r>
          </w:p>
        </w:tc>
      </w:tr>
      <w:tr w:rsidR="00E30837" w:rsidRPr="00660890" w14:paraId="2658417D" w14:textId="77777777" w:rsidTr="00136A95">
        <w:tc>
          <w:tcPr>
            <w:tcW w:w="1843" w:type="dxa"/>
            <w:tcBorders>
              <w:top w:val="nil"/>
              <w:left w:val="nil"/>
              <w:bottom w:val="nil"/>
              <w:right w:val="nil"/>
            </w:tcBorders>
            <w:shd w:val="clear" w:color="auto" w:fill="F2F2F2" w:themeFill="background1" w:themeFillShade="F2"/>
          </w:tcPr>
          <w:p w14:paraId="60D5486A" w14:textId="77777777" w:rsidR="00E30837" w:rsidRPr="005A0CE4" w:rsidRDefault="00E30837" w:rsidP="00052A87">
            <w:pPr>
              <w:pStyle w:val="TableColumnHeadingLeft"/>
            </w:pPr>
            <w:r w:rsidRPr="005A0CE4">
              <w:t>27</w:t>
            </w:r>
          </w:p>
        </w:tc>
        <w:tc>
          <w:tcPr>
            <w:tcW w:w="1783" w:type="dxa"/>
            <w:tcBorders>
              <w:top w:val="nil"/>
              <w:left w:val="nil"/>
              <w:bottom w:val="nil"/>
              <w:right w:val="nil"/>
            </w:tcBorders>
            <w:shd w:val="clear" w:color="auto" w:fill="F2F2F2" w:themeFill="background1" w:themeFillShade="F2"/>
          </w:tcPr>
          <w:p w14:paraId="71E9EFA4" w14:textId="77777777" w:rsidR="00E30837" w:rsidRPr="00F8593C" w:rsidRDefault="00E30837" w:rsidP="006E1039">
            <w:pPr>
              <w:pStyle w:val="TableTextRight"/>
            </w:pPr>
            <w:r w:rsidRPr="00F8593C">
              <w:t>33</w:t>
            </w:r>
          </w:p>
        </w:tc>
        <w:tc>
          <w:tcPr>
            <w:tcW w:w="1792" w:type="dxa"/>
            <w:tcBorders>
              <w:top w:val="nil"/>
              <w:left w:val="nil"/>
              <w:bottom w:val="nil"/>
              <w:right w:val="nil"/>
            </w:tcBorders>
            <w:shd w:val="clear" w:color="auto" w:fill="F2F2F2" w:themeFill="background1" w:themeFillShade="F2"/>
          </w:tcPr>
          <w:p w14:paraId="369B6C53" w14:textId="77777777" w:rsidR="00E30837" w:rsidRPr="00F8593C" w:rsidRDefault="00E30837" w:rsidP="00E85101">
            <w:pPr>
              <w:pStyle w:val="TableTextRight"/>
            </w:pPr>
            <w:r w:rsidRPr="00F8593C">
              <w:t>33</w:t>
            </w:r>
          </w:p>
        </w:tc>
        <w:tc>
          <w:tcPr>
            <w:tcW w:w="517" w:type="dxa"/>
            <w:tcBorders>
              <w:top w:val="nil"/>
              <w:left w:val="nil"/>
              <w:bottom w:val="nil"/>
              <w:right w:val="nil"/>
            </w:tcBorders>
            <w:shd w:val="clear" w:color="auto" w:fill="F2F2F2" w:themeFill="background1" w:themeFillShade="F2"/>
          </w:tcPr>
          <w:p w14:paraId="03978ED6"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48B01667" w14:textId="77777777" w:rsidR="00E30837" w:rsidRPr="00297540" w:rsidRDefault="00E30837" w:rsidP="00B265D9">
            <w:pPr>
              <w:pStyle w:val="TableTextRight"/>
            </w:pPr>
            <w:r w:rsidRPr="00297540">
              <w:t>4</w:t>
            </w:r>
            <w:r>
              <w:t>0</w:t>
            </w:r>
          </w:p>
        </w:tc>
      </w:tr>
      <w:tr w:rsidR="00E30837" w:rsidRPr="00660890" w14:paraId="77B0267F" w14:textId="77777777" w:rsidTr="00136A95">
        <w:tc>
          <w:tcPr>
            <w:tcW w:w="1843" w:type="dxa"/>
            <w:tcBorders>
              <w:top w:val="nil"/>
              <w:left w:val="nil"/>
              <w:bottom w:val="nil"/>
              <w:right w:val="nil"/>
            </w:tcBorders>
            <w:shd w:val="clear" w:color="auto" w:fill="F2F2F2" w:themeFill="background1" w:themeFillShade="F2"/>
          </w:tcPr>
          <w:p w14:paraId="22D52A9C" w14:textId="77777777" w:rsidR="00E30837" w:rsidRPr="005A0CE4" w:rsidRDefault="00E30837" w:rsidP="00052A87">
            <w:pPr>
              <w:pStyle w:val="TableColumnHeadingLeft"/>
            </w:pPr>
            <w:r w:rsidRPr="005A0CE4">
              <w:t>28</w:t>
            </w:r>
          </w:p>
        </w:tc>
        <w:tc>
          <w:tcPr>
            <w:tcW w:w="1783" w:type="dxa"/>
            <w:tcBorders>
              <w:top w:val="nil"/>
              <w:left w:val="nil"/>
              <w:bottom w:val="nil"/>
              <w:right w:val="nil"/>
            </w:tcBorders>
            <w:shd w:val="clear" w:color="auto" w:fill="F2F2F2" w:themeFill="background1" w:themeFillShade="F2"/>
          </w:tcPr>
          <w:p w14:paraId="63041046" w14:textId="77777777" w:rsidR="00E30837" w:rsidRPr="00F8593C" w:rsidRDefault="00E30837" w:rsidP="006E1039">
            <w:pPr>
              <w:pStyle w:val="TableTextRight"/>
            </w:pPr>
            <w:r w:rsidRPr="00F8593C">
              <w:t>33</w:t>
            </w:r>
          </w:p>
        </w:tc>
        <w:tc>
          <w:tcPr>
            <w:tcW w:w="1792" w:type="dxa"/>
            <w:tcBorders>
              <w:top w:val="nil"/>
              <w:left w:val="nil"/>
              <w:bottom w:val="nil"/>
              <w:right w:val="nil"/>
            </w:tcBorders>
            <w:shd w:val="clear" w:color="auto" w:fill="F2F2F2" w:themeFill="background1" w:themeFillShade="F2"/>
          </w:tcPr>
          <w:p w14:paraId="2DF1422B" w14:textId="77777777" w:rsidR="00E30837" w:rsidRPr="00F8593C" w:rsidRDefault="00E30837" w:rsidP="00E85101">
            <w:pPr>
              <w:pStyle w:val="TableTextRight"/>
            </w:pPr>
            <w:r w:rsidRPr="00F8593C">
              <w:t>33</w:t>
            </w:r>
          </w:p>
        </w:tc>
        <w:tc>
          <w:tcPr>
            <w:tcW w:w="517" w:type="dxa"/>
            <w:tcBorders>
              <w:top w:val="nil"/>
              <w:left w:val="nil"/>
              <w:bottom w:val="nil"/>
              <w:right w:val="nil"/>
            </w:tcBorders>
            <w:shd w:val="clear" w:color="auto" w:fill="F2F2F2" w:themeFill="background1" w:themeFillShade="F2"/>
          </w:tcPr>
          <w:p w14:paraId="1B844550"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5C7460BD" w14:textId="77777777" w:rsidR="00E30837" w:rsidRPr="00297540" w:rsidRDefault="00E30837" w:rsidP="00E85101">
            <w:pPr>
              <w:pStyle w:val="TableTextRight"/>
            </w:pPr>
            <w:r w:rsidRPr="00297540">
              <w:t>43</w:t>
            </w:r>
          </w:p>
        </w:tc>
      </w:tr>
      <w:tr w:rsidR="00E30837" w:rsidRPr="00660890" w14:paraId="1B1B2D21" w14:textId="77777777" w:rsidTr="00136A95">
        <w:tc>
          <w:tcPr>
            <w:tcW w:w="1843" w:type="dxa"/>
            <w:tcBorders>
              <w:top w:val="nil"/>
              <w:left w:val="nil"/>
              <w:bottom w:val="nil"/>
              <w:right w:val="nil"/>
            </w:tcBorders>
            <w:shd w:val="clear" w:color="auto" w:fill="F2F2F2" w:themeFill="background1" w:themeFillShade="F2"/>
          </w:tcPr>
          <w:p w14:paraId="3BC1CF4C" w14:textId="77777777" w:rsidR="00E30837" w:rsidRPr="005A0CE4" w:rsidRDefault="00E30837" w:rsidP="00052A87">
            <w:pPr>
              <w:pStyle w:val="TableColumnHeadingLeft"/>
            </w:pPr>
            <w:r w:rsidRPr="005A0CE4">
              <w:t>29</w:t>
            </w:r>
          </w:p>
        </w:tc>
        <w:tc>
          <w:tcPr>
            <w:tcW w:w="1783" w:type="dxa"/>
            <w:tcBorders>
              <w:top w:val="nil"/>
              <w:left w:val="nil"/>
              <w:bottom w:val="nil"/>
              <w:right w:val="nil"/>
            </w:tcBorders>
            <w:shd w:val="clear" w:color="auto" w:fill="F2F2F2" w:themeFill="background1" w:themeFillShade="F2"/>
          </w:tcPr>
          <w:p w14:paraId="7C551054" w14:textId="77777777" w:rsidR="00E30837" w:rsidRPr="00F8593C" w:rsidRDefault="00E30837" w:rsidP="006E1039">
            <w:pPr>
              <w:pStyle w:val="TableTextRight"/>
            </w:pPr>
            <w:r w:rsidRPr="00F8593C">
              <w:t>37</w:t>
            </w:r>
          </w:p>
        </w:tc>
        <w:tc>
          <w:tcPr>
            <w:tcW w:w="1792" w:type="dxa"/>
            <w:tcBorders>
              <w:top w:val="nil"/>
              <w:left w:val="nil"/>
              <w:bottom w:val="nil"/>
              <w:right w:val="nil"/>
            </w:tcBorders>
            <w:shd w:val="clear" w:color="auto" w:fill="F2F2F2" w:themeFill="background1" w:themeFillShade="F2"/>
          </w:tcPr>
          <w:p w14:paraId="66605A21" w14:textId="77777777" w:rsidR="00E30837" w:rsidRPr="00F8593C" w:rsidRDefault="00E30837" w:rsidP="00E85101">
            <w:pPr>
              <w:pStyle w:val="TableTextRight"/>
            </w:pPr>
            <w:r w:rsidRPr="00F8593C">
              <w:t>37</w:t>
            </w:r>
          </w:p>
        </w:tc>
        <w:tc>
          <w:tcPr>
            <w:tcW w:w="517" w:type="dxa"/>
            <w:tcBorders>
              <w:top w:val="nil"/>
              <w:left w:val="nil"/>
              <w:bottom w:val="nil"/>
              <w:right w:val="nil"/>
            </w:tcBorders>
            <w:shd w:val="clear" w:color="auto" w:fill="F2F2F2" w:themeFill="background1" w:themeFillShade="F2"/>
          </w:tcPr>
          <w:p w14:paraId="196E8852" w14:textId="77777777" w:rsidR="00E30837" w:rsidRPr="00AB145E" w:rsidRDefault="00E30837" w:rsidP="00052A87">
            <w:pPr>
              <w:pStyle w:val="TableTextRight"/>
            </w:pPr>
          </w:p>
        </w:tc>
        <w:tc>
          <w:tcPr>
            <w:tcW w:w="1778" w:type="dxa"/>
            <w:tcBorders>
              <w:top w:val="nil"/>
              <w:left w:val="nil"/>
              <w:bottom w:val="nil"/>
              <w:right w:val="nil"/>
            </w:tcBorders>
            <w:shd w:val="clear" w:color="auto" w:fill="F2F2F2" w:themeFill="background1" w:themeFillShade="F2"/>
          </w:tcPr>
          <w:p w14:paraId="3428C505" w14:textId="77777777" w:rsidR="00E30837" w:rsidRPr="00297540" w:rsidRDefault="00E30837" w:rsidP="00E85101">
            <w:pPr>
              <w:pStyle w:val="TableTextRight"/>
            </w:pPr>
            <w:r w:rsidRPr="00297540">
              <w:t>44</w:t>
            </w:r>
          </w:p>
        </w:tc>
      </w:tr>
      <w:tr w:rsidR="00E30837" w:rsidRPr="00660890" w14:paraId="3D20CEC7" w14:textId="77777777" w:rsidTr="00136A95">
        <w:tc>
          <w:tcPr>
            <w:tcW w:w="1843" w:type="dxa"/>
            <w:tcBorders>
              <w:top w:val="nil"/>
              <w:left w:val="nil"/>
              <w:bottom w:val="single" w:sz="2" w:space="0" w:color="000000"/>
              <w:right w:val="nil"/>
            </w:tcBorders>
            <w:shd w:val="clear" w:color="auto" w:fill="F2F2F2" w:themeFill="background1" w:themeFillShade="F2"/>
          </w:tcPr>
          <w:p w14:paraId="7C9F1C6F" w14:textId="77777777" w:rsidR="00E30837" w:rsidRPr="005A0CE4" w:rsidRDefault="00E30837" w:rsidP="00052A87">
            <w:pPr>
              <w:pStyle w:val="TableColumnHeadingLeft"/>
            </w:pPr>
            <w:r w:rsidRPr="005A0CE4">
              <w:t>30</w:t>
            </w:r>
          </w:p>
        </w:tc>
        <w:tc>
          <w:tcPr>
            <w:tcW w:w="1783" w:type="dxa"/>
            <w:tcBorders>
              <w:top w:val="nil"/>
              <w:left w:val="nil"/>
              <w:bottom w:val="single" w:sz="2" w:space="0" w:color="000000"/>
              <w:right w:val="nil"/>
            </w:tcBorders>
            <w:shd w:val="clear" w:color="auto" w:fill="F2F2F2" w:themeFill="background1" w:themeFillShade="F2"/>
          </w:tcPr>
          <w:p w14:paraId="0C56A793" w14:textId="77777777" w:rsidR="00E30837" w:rsidRDefault="00E30837" w:rsidP="006E1039">
            <w:pPr>
              <w:pStyle w:val="TableTextRight"/>
            </w:pPr>
            <w:r w:rsidRPr="00F8593C">
              <w:t>47</w:t>
            </w:r>
          </w:p>
        </w:tc>
        <w:tc>
          <w:tcPr>
            <w:tcW w:w="1792" w:type="dxa"/>
            <w:tcBorders>
              <w:top w:val="nil"/>
              <w:left w:val="nil"/>
              <w:bottom w:val="single" w:sz="2" w:space="0" w:color="000000"/>
              <w:right w:val="nil"/>
            </w:tcBorders>
            <w:shd w:val="clear" w:color="auto" w:fill="F2F2F2" w:themeFill="background1" w:themeFillShade="F2"/>
          </w:tcPr>
          <w:p w14:paraId="73677D1A" w14:textId="77777777" w:rsidR="00E30837" w:rsidRDefault="00E30837" w:rsidP="00E85101">
            <w:pPr>
              <w:pStyle w:val="TableTextRight"/>
            </w:pPr>
            <w:r w:rsidRPr="00F8593C">
              <w:t>47</w:t>
            </w:r>
          </w:p>
        </w:tc>
        <w:tc>
          <w:tcPr>
            <w:tcW w:w="517" w:type="dxa"/>
            <w:tcBorders>
              <w:top w:val="nil"/>
              <w:left w:val="nil"/>
              <w:bottom w:val="single" w:sz="2" w:space="0" w:color="000000"/>
              <w:right w:val="nil"/>
            </w:tcBorders>
            <w:shd w:val="clear" w:color="auto" w:fill="F2F2F2" w:themeFill="background1" w:themeFillShade="F2"/>
          </w:tcPr>
          <w:p w14:paraId="64375251" w14:textId="77777777" w:rsidR="00E30837" w:rsidRPr="00AB145E" w:rsidRDefault="00E30837" w:rsidP="00052A87">
            <w:pPr>
              <w:pStyle w:val="TableTextRight"/>
            </w:pPr>
          </w:p>
        </w:tc>
        <w:tc>
          <w:tcPr>
            <w:tcW w:w="1778" w:type="dxa"/>
            <w:tcBorders>
              <w:top w:val="nil"/>
              <w:left w:val="nil"/>
              <w:bottom w:val="single" w:sz="2" w:space="0" w:color="000000"/>
              <w:right w:val="nil"/>
            </w:tcBorders>
            <w:shd w:val="clear" w:color="auto" w:fill="F2F2F2" w:themeFill="background1" w:themeFillShade="F2"/>
          </w:tcPr>
          <w:p w14:paraId="61A61FDA" w14:textId="58023347" w:rsidR="00E30837" w:rsidRDefault="00E30837" w:rsidP="00E85101">
            <w:pPr>
              <w:pStyle w:val="TableTextRight"/>
            </w:pPr>
            <w:r w:rsidRPr="00297540">
              <w:t>46</w:t>
            </w:r>
          </w:p>
        </w:tc>
      </w:tr>
    </w:tbl>
    <w:p w14:paraId="2EA9874E" w14:textId="77777777" w:rsidR="00052A87" w:rsidRDefault="00052A87" w:rsidP="00052A87">
      <w:pPr>
        <w:pStyle w:val="SingleParagraph"/>
      </w:pPr>
    </w:p>
    <w:p w14:paraId="38B87B1A" w14:textId="77777777" w:rsidR="00052A87" w:rsidRDefault="00052A87" w:rsidP="00D1063F">
      <w:pPr>
        <w:pStyle w:val="TableMainHeading-Appendix"/>
      </w:pPr>
      <w:r>
        <w:br w:type="page"/>
      </w:r>
      <w:r w:rsidRPr="00F632CA">
        <w:lastRenderedPageBreak/>
        <w:t xml:space="preserve">DFRDB </w:t>
      </w:r>
      <w:r w:rsidR="00F72061" w:rsidRPr="00F632CA">
        <w:t xml:space="preserve">service duration </w:t>
      </w:r>
      <w:r w:rsidRPr="00F632CA">
        <w:t>resignation rates (per 1,000 contributors)</w:t>
      </w:r>
    </w:p>
    <w:tbl>
      <w:tblPr>
        <w:tblW w:w="0" w:type="auto"/>
        <w:tblInd w:w="108" w:type="dxa"/>
        <w:tblBorders>
          <w:top w:val="single" w:sz="2" w:space="0" w:color="000000"/>
          <w:bottom w:val="single" w:sz="2" w:space="0" w:color="000000"/>
        </w:tblBorders>
        <w:tblLayout w:type="fixed"/>
        <w:tblLook w:val="0000" w:firstRow="0" w:lastRow="0" w:firstColumn="0" w:lastColumn="0" w:noHBand="0" w:noVBand="0"/>
      </w:tblPr>
      <w:tblGrid>
        <w:gridCol w:w="1843"/>
        <w:gridCol w:w="2778"/>
        <w:gridCol w:w="312"/>
        <w:gridCol w:w="2778"/>
      </w:tblGrid>
      <w:tr w:rsidR="009E6ADE" w:rsidRPr="00660890" w14:paraId="545E2839" w14:textId="77777777" w:rsidTr="00136A95">
        <w:tc>
          <w:tcPr>
            <w:tcW w:w="1843" w:type="dxa"/>
            <w:vMerge w:val="restart"/>
            <w:tcBorders>
              <w:top w:val="single" w:sz="4" w:space="0" w:color="auto"/>
            </w:tcBorders>
            <w:shd w:val="clear" w:color="auto" w:fill="E6E6E6"/>
            <w:vAlign w:val="center"/>
          </w:tcPr>
          <w:p w14:paraId="18575E07" w14:textId="4F75685B" w:rsidR="009E6ADE" w:rsidRPr="00660890" w:rsidRDefault="009E6ADE" w:rsidP="0062476A">
            <w:pPr>
              <w:pStyle w:val="TableColumnHeadingLeft"/>
              <w:spacing w:before="36" w:after="36"/>
            </w:pPr>
            <w:r>
              <w:t xml:space="preserve">Years of </w:t>
            </w:r>
            <w:r w:rsidRPr="00660890">
              <w:t>service</w:t>
            </w:r>
          </w:p>
        </w:tc>
        <w:tc>
          <w:tcPr>
            <w:tcW w:w="2778" w:type="dxa"/>
            <w:tcBorders>
              <w:top w:val="single" w:sz="4" w:space="0" w:color="auto"/>
              <w:bottom w:val="single" w:sz="4" w:space="0" w:color="auto"/>
            </w:tcBorders>
            <w:shd w:val="clear" w:color="auto" w:fill="E6E6E6"/>
          </w:tcPr>
          <w:p w14:paraId="6ABEF441" w14:textId="77777777" w:rsidR="009E6ADE" w:rsidRPr="00660890" w:rsidRDefault="009E6ADE" w:rsidP="0062476A">
            <w:pPr>
              <w:pStyle w:val="TableColumnHeadingRight"/>
              <w:spacing w:before="36" w:after="36"/>
            </w:pPr>
            <w:r>
              <w:t>Officers</w:t>
            </w:r>
          </w:p>
        </w:tc>
        <w:tc>
          <w:tcPr>
            <w:tcW w:w="312" w:type="dxa"/>
            <w:tcBorders>
              <w:top w:val="single" w:sz="4" w:space="0" w:color="auto"/>
              <w:bottom w:val="nil"/>
            </w:tcBorders>
            <w:shd w:val="clear" w:color="auto" w:fill="E6E6E6"/>
          </w:tcPr>
          <w:p w14:paraId="3AAD46EB" w14:textId="77777777" w:rsidR="009E6ADE" w:rsidRPr="00660890" w:rsidRDefault="009E6ADE" w:rsidP="0062476A">
            <w:pPr>
              <w:pStyle w:val="TableColumnHeadingRight"/>
              <w:spacing w:before="36" w:after="36"/>
            </w:pPr>
          </w:p>
        </w:tc>
        <w:tc>
          <w:tcPr>
            <w:tcW w:w="2778" w:type="dxa"/>
            <w:tcBorders>
              <w:top w:val="single" w:sz="4" w:space="0" w:color="auto"/>
              <w:bottom w:val="single" w:sz="4" w:space="0" w:color="auto"/>
            </w:tcBorders>
            <w:shd w:val="clear" w:color="auto" w:fill="E6E6E6"/>
          </w:tcPr>
          <w:p w14:paraId="24866F07" w14:textId="77777777" w:rsidR="009E6ADE" w:rsidRPr="00660890" w:rsidRDefault="009E6ADE" w:rsidP="0062476A">
            <w:pPr>
              <w:pStyle w:val="TableColumnHeadingRight"/>
              <w:spacing w:before="36" w:after="36"/>
            </w:pPr>
            <w:r>
              <w:t>Other Ranks</w:t>
            </w:r>
          </w:p>
        </w:tc>
      </w:tr>
      <w:tr w:rsidR="009E6ADE" w:rsidRPr="00660890" w14:paraId="49DD3328" w14:textId="77777777" w:rsidTr="00136A95">
        <w:tc>
          <w:tcPr>
            <w:tcW w:w="1843" w:type="dxa"/>
            <w:vMerge/>
            <w:tcBorders>
              <w:bottom w:val="single" w:sz="2" w:space="0" w:color="000000"/>
            </w:tcBorders>
            <w:shd w:val="clear" w:color="auto" w:fill="E6E6E6"/>
          </w:tcPr>
          <w:p w14:paraId="3B39F3E4" w14:textId="1993A2C3" w:rsidR="009E6ADE" w:rsidRPr="00660890" w:rsidRDefault="009E6ADE" w:rsidP="0062476A">
            <w:pPr>
              <w:pStyle w:val="TableColumnHeadingLeft"/>
              <w:spacing w:before="36" w:after="36"/>
            </w:pPr>
          </w:p>
        </w:tc>
        <w:tc>
          <w:tcPr>
            <w:tcW w:w="2778" w:type="dxa"/>
            <w:tcBorders>
              <w:top w:val="single" w:sz="4" w:space="0" w:color="auto"/>
              <w:bottom w:val="single" w:sz="2" w:space="0" w:color="000000"/>
            </w:tcBorders>
            <w:shd w:val="clear" w:color="auto" w:fill="E6E6E6"/>
          </w:tcPr>
          <w:p w14:paraId="394E3BDC" w14:textId="77777777" w:rsidR="009E6ADE" w:rsidRPr="00660890" w:rsidRDefault="009E6ADE" w:rsidP="0062476A">
            <w:pPr>
              <w:pStyle w:val="TableColumnHeadingRight"/>
              <w:spacing w:before="36" w:after="36"/>
            </w:pPr>
            <w:r w:rsidRPr="00660890">
              <w:t>Male</w:t>
            </w:r>
            <w:r>
              <w:t xml:space="preserve"> &amp; Female</w:t>
            </w:r>
          </w:p>
        </w:tc>
        <w:tc>
          <w:tcPr>
            <w:tcW w:w="312" w:type="dxa"/>
            <w:tcBorders>
              <w:top w:val="nil"/>
              <w:bottom w:val="single" w:sz="2" w:space="0" w:color="000000"/>
            </w:tcBorders>
            <w:shd w:val="clear" w:color="auto" w:fill="E6E6E6"/>
          </w:tcPr>
          <w:p w14:paraId="095B2C16" w14:textId="77777777" w:rsidR="009E6ADE" w:rsidRPr="00660890" w:rsidRDefault="009E6ADE" w:rsidP="0062476A">
            <w:pPr>
              <w:pStyle w:val="TableColumnHeadingRight"/>
              <w:spacing w:before="36" w:after="36"/>
            </w:pPr>
          </w:p>
        </w:tc>
        <w:tc>
          <w:tcPr>
            <w:tcW w:w="2778" w:type="dxa"/>
            <w:tcBorders>
              <w:top w:val="single" w:sz="4" w:space="0" w:color="auto"/>
              <w:bottom w:val="single" w:sz="2" w:space="0" w:color="000000"/>
            </w:tcBorders>
            <w:shd w:val="clear" w:color="auto" w:fill="E6E6E6"/>
          </w:tcPr>
          <w:p w14:paraId="09B6EE36" w14:textId="77777777" w:rsidR="009E6ADE" w:rsidRPr="00660890" w:rsidRDefault="009E6ADE" w:rsidP="0062476A">
            <w:pPr>
              <w:pStyle w:val="TableColumnHeadingRight"/>
              <w:spacing w:before="36" w:after="36"/>
            </w:pPr>
            <w:r w:rsidRPr="00660890">
              <w:t>Male</w:t>
            </w:r>
            <w:r>
              <w:t xml:space="preserve"> &amp; Female</w:t>
            </w:r>
          </w:p>
        </w:tc>
      </w:tr>
      <w:tr w:rsidR="00F72061" w:rsidRPr="00660890" w14:paraId="77023B9F" w14:textId="77777777" w:rsidTr="00136A95">
        <w:tc>
          <w:tcPr>
            <w:tcW w:w="1843" w:type="dxa"/>
            <w:tcBorders>
              <w:top w:val="single" w:sz="2" w:space="0" w:color="000000"/>
              <w:bottom w:val="nil"/>
            </w:tcBorders>
            <w:shd w:val="clear" w:color="auto" w:fill="auto"/>
          </w:tcPr>
          <w:p w14:paraId="46005F72" w14:textId="77777777" w:rsidR="00F72061" w:rsidRPr="005A0CE4" w:rsidRDefault="00F72061" w:rsidP="0062476A">
            <w:pPr>
              <w:pStyle w:val="TableColumnHeadingLeft"/>
              <w:spacing w:before="36" w:after="36"/>
            </w:pPr>
            <w:r w:rsidRPr="005A0CE4">
              <w:t>20</w:t>
            </w:r>
          </w:p>
        </w:tc>
        <w:tc>
          <w:tcPr>
            <w:tcW w:w="2778" w:type="dxa"/>
            <w:tcBorders>
              <w:top w:val="single" w:sz="2" w:space="0" w:color="000000"/>
              <w:bottom w:val="nil"/>
            </w:tcBorders>
            <w:shd w:val="clear" w:color="auto" w:fill="auto"/>
            <w:vAlign w:val="bottom"/>
          </w:tcPr>
          <w:p w14:paraId="175A710F" w14:textId="77777777" w:rsidR="00F72061" w:rsidRPr="00FF2C90" w:rsidRDefault="00CE00F6" w:rsidP="0062476A">
            <w:pPr>
              <w:pStyle w:val="TableTextRight"/>
              <w:spacing w:before="36" w:after="36"/>
            </w:pPr>
            <w:r>
              <w:t>100</w:t>
            </w:r>
          </w:p>
        </w:tc>
        <w:tc>
          <w:tcPr>
            <w:tcW w:w="312" w:type="dxa"/>
            <w:tcBorders>
              <w:top w:val="single" w:sz="2" w:space="0" w:color="000000"/>
              <w:bottom w:val="nil"/>
            </w:tcBorders>
          </w:tcPr>
          <w:p w14:paraId="03AFFB5C" w14:textId="77777777" w:rsidR="00F72061" w:rsidRPr="00660890" w:rsidRDefault="00F72061" w:rsidP="0062476A">
            <w:pPr>
              <w:pStyle w:val="TableTextRight"/>
              <w:spacing w:before="36" w:after="36"/>
            </w:pPr>
          </w:p>
        </w:tc>
        <w:tc>
          <w:tcPr>
            <w:tcW w:w="2778" w:type="dxa"/>
            <w:tcBorders>
              <w:top w:val="single" w:sz="2" w:space="0" w:color="000000"/>
              <w:bottom w:val="nil"/>
            </w:tcBorders>
            <w:shd w:val="clear" w:color="auto" w:fill="auto"/>
            <w:vAlign w:val="bottom"/>
          </w:tcPr>
          <w:p w14:paraId="114AA0A9" w14:textId="77777777" w:rsidR="00F72061" w:rsidRPr="00FF2C90" w:rsidRDefault="00CE00F6" w:rsidP="0062476A">
            <w:pPr>
              <w:pStyle w:val="TableTextRight"/>
              <w:spacing w:before="36" w:after="36"/>
            </w:pPr>
            <w:r>
              <w:t>18</w:t>
            </w:r>
            <w:r w:rsidR="00F72061">
              <w:t>0</w:t>
            </w:r>
          </w:p>
        </w:tc>
      </w:tr>
      <w:tr w:rsidR="00F72061" w:rsidRPr="00660890" w14:paraId="036A6ABF" w14:textId="77777777" w:rsidTr="00136A95">
        <w:tc>
          <w:tcPr>
            <w:tcW w:w="1843" w:type="dxa"/>
            <w:tcBorders>
              <w:top w:val="nil"/>
              <w:bottom w:val="nil"/>
            </w:tcBorders>
            <w:shd w:val="clear" w:color="auto" w:fill="auto"/>
          </w:tcPr>
          <w:p w14:paraId="2BB646DD" w14:textId="77777777" w:rsidR="00F72061" w:rsidRPr="005A0CE4" w:rsidRDefault="00F72061" w:rsidP="0062476A">
            <w:pPr>
              <w:pStyle w:val="TableColumnHeadingLeft"/>
              <w:spacing w:before="36" w:after="36"/>
            </w:pPr>
            <w:r w:rsidRPr="005A0CE4">
              <w:t>21</w:t>
            </w:r>
          </w:p>
        </w:tc>
        <w:tc>
          <w:tcPr>
            <w:tcW w:w="2778" w:type="dxa"/>
            <w:tcBorders>
              <w:top w:val="nil"/>
              <w:bottom w:val="nil"/>
            </w:tcBorders>
            <w:shd w:val="clear" w:color="auto" w:fill="auto"/>
            <w:vAlign w:val="bottom"/>
          </w:tcPr>
          <w:p w14:paraId="0AC948C2" w14:textId="77777777" w:rsidR="00F72061" w:rsidRPr="00FF2C90" w:rsidRDefault="00CE00F6" w:rsidP="0062476A">
            <w:pPr>
              <w:pStyle w:val="TableTextRight"/>
              <w:spacing w:before="36" w:after="36"/>
            </w:pPr>
            <w:r>
              <w:t>125</w:t>
            </w:r>
          </w:p>
        </w:tc>
        <w:tc>
          <w:tcPr>
            <w:tcW w:w="312" w:type="dxa"/>
            <w:tcBorders>
              <w:top w:val="nil"/>
              <w:bottom w:val="nil"/>
            </w:tcBorders>
          </w:tcPr>
          <w:p w14:paraId="66F8DDFE"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746936DB" w14:textId="77777777" w:rsidR="00F72061" w:rsidRPr="00FF2C90" w:rsidRDefault="00CE00F6" w:rsidP="0062476A">
            <w:pPr>
              <w:pStyle w:val="TableTextRight"/>
              <w:spacing w:before="36" w:after="36"/>
            </w:pPr>
            <w:r>
              <w:t>17</w:t>
            </w:r>
            <w:r w:rsidR="00F72061">
              <w:t>0</w:t>
            </w:r>
          </w:p>
        </w:tc>
      </w:tr>
      <w:tr w:rsidR="00F72061" w:rsidRPr="00660890" w14:paraId="37C1FDBF" w14:textId="77777777" w:rsidTr="00136A95">
        <w:tc>
          <w:tcPr>
            <w:tcW w:w="1843" w:type="dxa"/>
            <w:tcBorders>
              <w:top w:val="nil"/>
              <w:bottom w:val="nil"/>
            </w:tcBorders>
            <w:shd w:val="clear" w:color="auto" w:fill="auto"/>
          </w:tcPr>
          <w:p w14:paraId="248DC62E" w14:textId="77777777" w:rsidR="00F72061" w:rsidRPr="005A0CE4" w:rsidRDefault="00F72061" w:rsidP="0062476A">
            <w:pPr>
              <w:pStyle w:val="TableColumnHeadingLeft"/>
              <w:spacing w:before="36" w:after="36"/>
            </w:pPr>
            <w:r w:rsidRPr="005A0CE4">
              <w:t>22</w:t>
            </w:r>
          </w:p>
        </w:tc>
        <w:tc>
          <w:tcPr>
            <w:tcW w:w="2778" w:type="dxa"/>
            <w:tcBorders>
              <w:top w:val="nil"/>
              <w:bottom w:val="nil"/>
            </w:tcBorders>
            <w:shd w:val="clear" w:color="auto" w:fill="auto"/>
            <w:vAlign w:val="bottom"/>
          </w:tcPr>
          <w:p w14:paraId="6DF88D4D" w14:textId="77777777" w:rsidR="00F72061" w:rsidRPr="00FF2C90" w:rsidRDefault="00F72061" w:rsidP="0062476A">
            <w:pPr>
              <w:pStyle w:val="TableTextRight"/>
              <w:spacing w:before="36" w:after="36"/>
            </w:pPr>
            <w:r>
              <w:t>1</w:t>
            </w:r>
            <w:r w:rsidR="00CE00F6">
              <w:t>3</w:t>
            </w:r>
            <w:r>
              <w:t>0</w:t>
            </w:r>
          </w:p>
        </w:tc>
        <w:tc>
          <w:tcPr>
            <w:tcW w:w="312" w:type="dxa"/>
            <w:tcBorders>
              <w:top w:val="nil"/>
              <w:bottom w:val="nil"/>
            </w:tcBorders>
          </w:tcPr>
          <w:p w14:paraId="7351C4D2"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22F8A440" w14:textId="77777777" w:rsidR="00F72061" w:rsidRPr="00FF2C90" w:rsidRDefault="00F72061" w:rsidP="0062476A">
            <w:pPr>
              <w:pStyle w:val="TableTextRight"/>
              <w:spacing w:before="36" w:after="36"/>
            </w:pPr>
            <w:r>
              <w:t>1</w:t>
            </w:r>
            <w:r w:rsidR="00CE00F6">
              <w:t>57</w:t>
            </w:r>
          </w:p>
        </w:tc>
      </w:tr>
      <w:tr w:rsidR="00F72061" w:rsidRPr="00660890" w14:paraId="0D33F278" w14:textId="77777777" w:rsidTr="00136A95">
        <w:tc>
          <w:tcPr>
            <w:tcW w:w="1843" w:type="dxa"/>
            <w:tcBorders>
              <w:top w:val="nil"/>
              <w:bottom w:val="nil"/>
            </w:tcBorders>
            <w:shd w:val="clear" w:color="auto" w:fill="auto"/>
          </w:tcPr>
          <w:p w14:paraId="283061B4" w14:textId="77777777" w:rsidR="00F72061" w:rsidRPr="005A0CE4" w:rsidRDefault="00F72061" w:rsidP="0062476A">
            <w:pPr>
              <w:pStyle w:val="TableColumnHeadingLeft"/>
              <w:spacing w:before="36" w:after="36"/>
            </w:pPr>
            <w:r w:rsidRPr="005A0CE4">
              <w:t>23</w:t>
            </w:r>
          </w:p>
        </w:tc>
        <w:tc>
          <w:tcPr>
            <w:tcW w:w="2778" w:type="dxa"/>
            <w:tcBorders>
              <w:top w:val="nil"/>
              <w:bottom w:val="nil"/>
            </w:tcBorders>
            <w:shd w:val="clear" w:color="auto" w:fill="auto"/>
            <w:vAlign w:val="bottom"/>
          </w:tcPr>
          <w:p w14:paraId="6320FDA5" w14:textId="77777777" w:rsidR="00F72061" w:rsidRPr="00FF2C90" w:rsidRDefault="00F72061" w:rsidP="0062476A">
            <w:pPr>
              <w:pStyle w:val="TableTextRight"/>
              <w:spacing w:before="36" w:after="36"/>
            </w:pPr>
            <w:r>
              <w:t>1</w:t>
            </w:r>
            <w:r w:rsidR="00CE00F6">
              <w:t>3</w:t>
            </w:r>
            <w:r>
              <w:t>5</w:t>
            </w:r>
          </w:p>
        </w:tc>
        <w:tc>
          <w:tcPr>
            <w:tcW w:w="312" w:type="dxa"/>
            <w:tcBorders>
              <w:top w:val="nil"/>
              <w:bottom w:val="nil"/>
            </w:tcBorders>
          </w:tcPr>
          <w:p w14:paraId="03AF992F"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02944551" w14:textId="77777777" w:rsidR="00F72061" w:rsidRPr="00FF2C90" w:rsidRDefault="00F72061" w:rsidP="0062476A">
            <w:pPr>
              <w:pStyle w:val="TableTextRight"/>
              <w:spacing w:before="36" w:after="36"/>
            </w:pPr>
            <w:r>
              <w:t>1</w:t>
            </w:r>
            <w:r w:rsidR="00CE00F6">
              <w:t>44</w:t>
            </w:r>
          </w:p>
        </w:tc>
      </w:tr>
      <w:tr w:rsidR="00F72061" w:rsidRPr="00660890" w14:paraId="0CF10511" w14:textId="77777777" w:rsidTr="00136A95">
        <w:tc>
          <w:tcPr>
            <w:tcW w:w="1843" w:type="dxa"/>
            <w:tcBorders>
              <w:top w:val="nil"/>
              <w:bottom w:val="single" w:sz="2" w:space="0" w:color="000000"/>
            </w:tcBorders>
            <w:shd w:val="clear" w:color="auto" w:fill="auto"/>
          </w:tcPr>
          <w:p w14:paraId="1CE9A85C" w14:textId="77777777" w:rsidR="00F72061" w:rsidRPr="005A0CE4" w:rsidRDefault="00F72061" w:rsidP="0062476A">
            <w:pPr>
              <w:pStyle w:val="TableColumnHeadingLeft"/>
              <w:spacing w:before="36" w:after="36"/>
            </w:pPr>
            <w:r w:rsidRPr="005A0CE4">
              <w:t>24</w:t>
            </w:r>
          </w:p>
        </w:tc>
        <w:tc>
          <w:tcPr>
            <w:tcW w:w="2778" w:type="dxa"/>
            <w:tcBorders>
              <w:top w:val="nil"/>
              <w:bottom w:val="single" w:sz="2" w:space="0" w:color="000000"/>
            </w:tcBorders>
            <w:shd w:val="clear" w:color="auto" w:fill="auto"/>
            <w:vAlign w:val="bottom"/>
          </w:tcPr>
          <w:p w14:paraId="4AEC95D2" w14:textId="77777777" w:rsidR="00F72061" w:rsidRPr="00FF2C90" w:rsidRDefault="00F72061" w:rsidP="0062476A">
            <w:pPr>
              <w:pStyle w:val="TableTextRight"/>
              <w:spacing w:before="36" w:after="36"/>
            </w:pPr>
            <w:r>
              <w:t>135</w:t>
            </w:r>
          </w:p>
        </w:tc>
        <w:tc>
          <w:tcPr>
            <w:tcW w:w="312" w:type="dxa"/>
            <w:tcBorders>
              <w:top w:val="nil"/>
              <w:bottom w:val="single" w:sz="2" w:space="0" w:color="000000"/>
            </w:tcBorders>
          </w:tcPr>
          <w:p w14:paraId="713C8406" w14:textId="77777777" w:rsidR="00F72061" w:rsidRPr="00660890" w:rsidRDefault="00F72061" w:rsidP="0062476A">
            <w:pPr>
              <w:pStyle w:val="TableTextRight"/>
              <w:spacing w:before="36" w:after="36"/>
            </w:pPr>
          </w:p>
        </w:tc>
        <w:tc>
          <w:tcPr>
            <w:tcW w:w="2778" w:type="dxa"/>
            <w:tcBorders>
              <w:top w:val="nil"/>
              <w:bottom w:val="single" w:sz="2" w:space="0" w:color="000000"/>
            </w:tcBorders>
            <w:shd w:val="clear" w:color="auto" w:fill="auto"/>
            <w:vAlign w:val="bottom"/>
          </w:tcPr>
          <w:p w14:paraId="39A1BD89" w14:textId="77777777" w:rsidR="00F72061" w:rsidRPr="00FF2C90" w:rsidRDefault="00F72061" w:rsidP="0062476A">
            <w:pPr>
              <w:pStyle w:val="TableTextRight"/>
              <w:spacing w:before="36" w:after="36"/>
            </w:pPr>
            <w:r>
              <w:t>1</w:t>
            </w:r>
            <w:r w:rsidR="00CE00F6">
              <w:t>33</w:t>
            </w:r>
          </w:p>
        </w:tc>
      </w:tr>
      <w:tr w:rsidR="00F72061" w:rsidRPr="00660890" w14:paraId="40C6005A" w14:textId="77777777" w:rsidTr="00136A95">
        <w:tc>
          <w:tcPr>
            <w:tcW w:w="1843" w:type="dxa"/>
            <w:tcBorders>
              <w:top w:val="single" w:sz="2" w:space="0" w:color="000000"/>
              <w:bottom w:val="nil"/>
            </w:tcBorders>
            <w:shd w:val="clear" w:color="auto" w:fill="F2F2F2" w:themeFill="background1" w:themeFillShade="F2"/>
          </w:tcPr>
          <w:p w14:paraId="155C1DEB" w14:textId="77777777" w:rsidR="00F72061" w:rsidRPr="005A0CE4" w:rsidRDefault="00F72061" w:rsidP="0062476A">
            <w:pPr>
              <w:pStyle w:val="TableColumnHeadingLeft"/>
              <w:spacing w:before="36" w:after="36"/>
            </w:pPr>
            <w:r w:rsidRPr="005A0CE4">
              <w:t>25</w:t>
            </w:r>
          </w:p>
        </w:tc>
        <w:tc>
          <w:tcPr>
            <w:tcW w:w="2778" w:type="dxa"/>
            <w:tcBorders>
              <w:top w:val="single" w:sz="2" w:space="0" w:color="000000"/>
              <w:bottom w:val="nil"/>
            </w:tcBorders>
            <w:shd w:val="clear" w:color="auto" w:fill="F2F2F2" w:themeFill="background1" w:themeFillShade="F2"/>
            <w:vAlign w:val="bottom"/>
          </w:tcPr>
          <w:p w14:paraId="09F47174" w14:textId="77777777" w:rsidR="00F72061" w:rsidRPr="00FF2C90" w:rsidRDefault="00F72061" w:rsidP="0062476A">
            <w:pPr>
              <w:pStyle w:val="TableTextRight"/>
              <w:spacing w:before="36" w:after="36"/>
            </w:pPr>
            <w:r>
              <w:t>1</w:t>
            </w:r>
            <w:r w:rsidR="00CE00F6">
              <w:t>30</w:t>
            </w:r>
          </w:p>
        </w:tc>
        <w:tc>
          <w:tcPr>
            <w:tcW w:w="312" w:type="dxa"/>
            <w:tcBorders>
              <w:top w:val="single" w:sz="2" w:space="0" w:color="000000"/>
              <w:bottom w:val="nil"/>
            </w:tcBorders>
            <w:shd w:val="clear" w:color="auto" w:fill="F2F2F2" w:themeFill="background1" w:themeFillShade="F2"/>
          </w:tcPr>
          <w:p w14:paraId="01B121A5" w14:textId="77777777" w:rsidR="00F72061" w:rsidRPr="00660890" w:rsidRDefault="00F72061" w:rsidP="0062476A">
            <w:pPr>
              <w:pStyle w:val="TableTextRight"/>
              <w:spacing w:before="36" w:after="36"/>
            </w:pPr>
          </w:p>
        </w:tc>
        <w:tc>
          <w:tcPr>
            <w:tcW w:w="2778" w:type="dxa"/>
            <w:tcBorders>
              <w:top w:val="single" w:sz="2" w:space="0" w:color="000000"/>
              <w:bottom w:val="nil"/>
            </w:tcBorders>
            <w:shd w:val="clear" w:color="auto" w:fill="F2F2F2" w:themeFill="background1" w:themeFillShade="F2"/>
            <w:vAlign w:val="bottom"/>
          </w:tcPr>
          <w:p w14:paraId="03647AC1" w14:textId="77777777" w:rsidR="00F72061" w:rsidRPr="00FF2C90" w:rsidRDefault="00F72061" w:rsidP="0062476A">
            <w:pPr>
              <w:pStyle w:val="TableTextRight"/>
              <w:spacing w:before="36" w:after="36"/>
            </w:pPr>
            <w:r>
              <w:t>1</w:t>
            </w:r>
            <w:r w:rsidR="00CE00F6">
              <w:t>2</w:t>
            </w:r>
            <w:r>
              <w:t>5</w:t>
            </w:r>
          </w:p>
        </w:tc>
      </w:tr>
      <w:tr w:rsidR="00F72061" w:rsidRPr="00660890" w14:paraId="7E34E825" w14:textId="77777777" w:rsidTr="00136A95">
        <w:tc>
          <w:tcPr>
            <w:tcW w:w="1843" w:type="dxa"/>
            <w:tcBorders>
              <w:top w:val="nil"/>
              <w:bottom w:val="nil"/>
            </w:tcBorders>
            <w:shd w:val="clear" w:color="auto" w:fill="F2F2F2" w:themeFill="background1" w:themeFillShade="F2"/>
          </w:tcPr>
          <w:p w14:paraId="07085D0D" w14:textId="77777777" w:rsidR="00F72061" w:rsidRPr="005A0CE4" w:rsidRDefault="00F72061" w:rsidP="0062476A">
            <w:pPr>
              <w:pStyle w:val="TableColumnHeadingLeft"/>
              <w:spacing w:before="36" w:after="36"/>
            </w:pPr>
            <w:r w:rsidRPr="005A0CE4">
              <w:t>26</w:t>
            </w:r>
          </w:p>
        </w:tc>
        <w:tc>
          <w:tcPr>
            <w:tcW w:w="2778" w:type="dxa"/>
            <w:tcBorders>
              <w:top w:val="nil"/>
              <w:bottom w:val="nil"/>
            </w:tcBorders>
            <w:shd w:val="clear" w:color="auto" w:fill="F2F2F2" w:themeFill="background1" w:themeFillShade="F2"/>
            <w:vAlign w:val="bottom"/>
          </w:tcPr>
          <w:p w14:paraId="66E67E2F" w14:textId="77777777" w:rsidR="00F72061" w:rsidRPr="00FF2C90" w:rsidRDefault="00F72061" w:rsidP="0062476A">
            <w:pPr>
              <w:pStyle w:val="TableTextRight"/>
              <w:spacing w:before="36" w:after="36"/>
            </w:pPr>
            <w:r>
              <w:t>1</w:t>
            </w:r>
            <w:r w:rsidR="00CE00F6">
              <w:t>20</w:t>
            </w:r>
          </w:p>
        </w:tc>
        <w:tc>
          <w:tcPr>
            <w:tcW w:w="312" w:type="dxa"/>
            <w:tcBorders>
              <w:top w:val="nil"/>
              <w:bottom w:val="nil"/>
            </w:tcBorders>
            <w:shd w:val="clear" w:color="auto" w:fill="F2F2F2" w:themeFill="background1" w:themeFillShade="F2"/>
          </w:tcPr>
          <w:p w14:paraId="3383AF56" w14:textId="77777777" w:rsidR="00F72061" w:rsidRPr="00660890" w:rsidRDefault="00F72061"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5DEA3D0C" w14:textId="77777777" w:rsidR="00F72061" w:rsidRPr="00FF2C90" w:rsidRDefault="00F72061" w:rsidP="0062476A">
            <w:pPr>
              <w:pStyle w:val="TableTextRight"/>
              <w:spacing w:before="36" w:after="36"/>
            </w:pPr>
            <w:r>
              <w:t>1</w:t>
            </w:r>
            <w:r w:rsidR="00CE00F6">
              <w:t>16</w:t>
            </w:r>
          </w:p>
        </w:tc>
      </w:tr>
      <w:tr w:rsidR="00F72061" w:rsidRPr="00660890" w14:paraId="74649344" w14:textId="77777777" w:rsidTr="00136A95">
        <w:tc>
          <w:tcPr>
            <w:tcW w:w="1843" w:type="dxa"/>
            <w:tcBorders>
              <w:top w:val="nil"/>
              <w:bottom w:val="nil"/>
            </w:tcBorders>
            <w:shd w:val="clear" w:color="auto" w:fill="F2F2F2" w:themeFill="background1" w:themeFillShade="F2"/>
          </w:tcPr>
          <w:p w14:paraId="4EBADE22" w14:textId="77777777" w:rsidR="00F72061" w:rsidRPr="005A0CE4" w:rsidRDefault="00F72061" w:rsidP="0062476A">
            <w:pPr>
              <w:pStyle w:val="TableColumnHeadingLeft"/>
              <w:spacing w:before="36" w:after="36"/>
            </w:pPr>
            <w:r w:rsidRPr="005A0CE4">
              <w:t>27</w:t>
            </w:r>
          </w:p>
        </w:tc>
        <w:tc>
          <w:tcPr>
            <w:tcW w:w="2778" w:type="dxa"/>
            <w:tcBorders>
              <w:top w:val="nil"/>
              <w:bottom w:val="nil"/>
            </w:tcBorders>
            <w:shd w:val="clear" w:color="auto" w:fill="F2F2F2" w:themeFill="background1" w:themeFillShade="F2"/>
            <w:vAlign w:val="bottom"/>
          </w:tcPr>
          <w:p w14:paraId="71E8A094" w14:textId="77777777" w:rsidR="00F72061" w:rsidRPr="00FF2C90" w:rsidRDefault="00F72061" w:rsidP="0062476A">
            <w:pPr>
              <w:pStyle w:val="TableTextRight"/>
              <w:spacing w:before="36" w:after="36"/>
            </w:pPr>
            <w:r>
              <w:t>98</w:t>
            </w:r>
          </w:p>
        </w:tc>
        <w:tc>
          <w:tcPr>
            <w:tcW w:w="312" w:type="dxa"/>
            <w:tcBorders>
              <w:top w:val="nil"/>
              <w:bottom w:val="nil"/>
            </w:tcBorders>
            <w:shd w:val="clear" w:color="auto" w:fill="F2F2F2" w:themeFill="background1" w:themeFillShade="F2"/>
          </w:tcPr>
          <w:p w14:paraId="046552FE" w14:textId="77777777" w:rsidR="00F72061" w:rsidRPr="00660890" w:rsidRDefault="00F72061"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3E2D8C1A" w14:textId="77777777" w:rsidR="00F72061" w:rsidRPr="00FF2C90" w:rsidRDefault="00F72061" w:rsidP="0062476A">
            <w:pPr>
              <w:pStyle w:val="TableTextRight"/>
              <w:spacing w:before="36" w:after="36"/>
            </w:pPr>
            <w:r>
              <w:t>1</w:t>
            </w:r>
            <w:r w:rsidR="00CE00F6">
              <w:t>08</w:t>
            </w:r>
          </w:p>
        </w:tc>
      </w:tr>
      <w:tr w:rsidR="00F72061" w:rsidRPr="00660890" w14:paraId="55B5ACCD" w14:textId="77777777" w:rsidTr="00136A95">
        <w:tc>
          <w:tcPr>
            <w:tcW w:w="1843" w:type="dxa"/>
            <w:tcBorders>
              <w:top w:val="nil"/>
              <w:bottom w:val="nil"/>
            </w:tcBorders>
            <w:shd w:val="clear" w:color="auto" w:fill="F2F2F2" w:themeFill="background1" w:themeFillShade="F2"/>
          </w:tcPr>
          <w:p w14:paraId="51727F07" w14:textId="77777777" w:rsidR="00F72061" w:rsidRPr="005A0CE4" w:rsidRDefault="00F72061" w:rsidP="0062476A">
            <w:pPr>
              <w:pStyle w:val="TableColumnHeadingLeft"/>
              <w:spacing w:before="36" w:after="36"/>
            </w:pPr>
            <w:r w:rsidRPr="005A0CE4">
              <w:t>28</w:t>
            </w:r>
          </w:p>
        </w:tc>
        <w:tc>
          <w:tcPr>
            <w:tcW w:w="2778" w:type="dxa"/>
            <w:tcBorders>
              <w:top w:val="nil"/>
              <w:bottom w:val="nil"/>
            </w:tcBorders>
            <w:shd w:val="clear" w:color="auto" w:fill="F2F2F2" w:themeFill="background1" w:themeFillShade="F2"/>
            <w:vAlign w:val="bottom"/>
          </w:tcPr>
          <w:p w14:paraId="30801BF7" w14:textId="77777777" w:rsidR="00F72061" w:rsidRPr="00FF2C90" w:rsidRDefault="00F72061" w:rsidP="0062476A">
            <w:pPr>
              <w:pStyle w:val="TableTextRight"/>
              <w:spacing w:before="36" w:after="36"/>
            </w:pPr>
            <w:r>
              <w:t>95</w:t>
            </w:r>
          </w:p>
        </w:tc>
        <w:tc>
          <w:tcPr>
            <w:tcW w:w="312" w:type="dxa"/>
            <w:tcBorders>
              <w:top w:val="nil"/>
              <w:bottom w:val="nil"/>
            </w:tcBorders>
            <w:shd w:val="clear" w:color="auto" w:fill="F2F2F2" w:themeFill="background1" w:themeFillShade="F2"/>
          </w:tcPr>
          <w:p w14:paraId="3DBDA633" w14:textId="77777777" w:rsidR="00F72061" w:rsidRPr="00660890" w:rsidRDefault="00F72061"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2F9DD9B4" w14:textId="77777777" w:rsidR="00F72061" w:rsidRPr="00FF2C90" w:rsidRDefault="00F72061" w:rsidP="0062476A">
            <w:pPr>
              <w:pStyle w:val="TableTextRight"/>
              <w:spacing w:before="36" w:after="36"/>
            </w:pPr>
            <w:r>
              <w:t>1</w:t>
            </w:r>
            <w:r w:rsidR="00CE00F6">
              <w:t>03</w:t>
            </w:r>
          </w:p>
        </w:tc>
      </w:tr>
      <w:tr w:rsidR="00F72061" w:rsidRPr="00660890" w14:paraId="318BF8EB" w14:textId="77777777" w:rsidTr="00136A95">
        <w:tc>
          <w:tcPr>
            <w:tcW w:w="1843" w:type="dxa"/>
            <w:tcBorders>
              <w:top w:val="nil"/>
              <w:bottom w:val="single" w:sz="2" w:space="0" w:color="000000"/>
            </w:tcBorders>
            <w:shd w:val="clear" w:color="auto" w:fill="F2F2F2" w:themeFill="background1" w:themeFillShade="F2"/>
          </w:tcPr>
          <w:p w14:paraId="35B30938" w14:textId="77777777" w:rsidR="00F72061" w:rsidRPr="005A0CE4" w:rsidRDefault="00F72061" w:rsidP="0062476A">
            <w:pPr>
              <w:pStyle w:val="TableColumnHeadingLeft"/>
              <w:spacing w:before="36" w:after="36"/>
            </w:pPr>
            <w:r w:rsidRPr="005A0CE4">
              <w:t>29</w:t>
            </w:r>
          </w:p>
        </w:tc>
        <w:tc>
          <w:tcPr>
            <w:tcW w:w="2778" w:type="dxa"/>
            <w:tcBorders>
              <w:top w:val="nil"/>
              <w:bottom w:val="single" w:sz="2" w:space="0" w:color="000000"/>
            </w:tcBorders>
            <w:shd w:val="clear" w:color="auto" w:fill="F2F2F2" w:themeFill="background1" w:themeFillShade="F2"/>
            <w:vAlign w:val="bottom"/>
          </w:tcPr>
          <w:p w14:paraId="30756D88" w14:textId="77777777" w:rsidR="00F72061" w:rsidRPr="00FF2C90" w:rsidRDefault="00F72061" w:rsidP="0062476A">
            <w:pPr>
              <w:pStyle w:val="TableTextRight"/>
              <w:spacing w:before="36" w:after="36"/>
            </w:pPr>
            <w:r>
              <w:t>93</w:t>
            </w:r>
          </w:p>
        </w:tc>
        <w:tc>
          <w:tcPr>
            <w:tcW w:w="312" w:type="dxa"/>
            <w:tcBorders>
              <w:top w:val="nil"/>
              <w:bottom w:val="single" w:sz="2" w:space="0" w:color="000000"/>
            </w:tcBorders>
            <w:shd w:val="clear" w:color="auto" w:fill="F2F2F2" w:themeFill="background1" w:themeFillShade="F2"/>
          </w:tcPr>
          <w:p w14:paraId="23F7B920" w14:textId="77777777" w:rsidR="00F72061" w:rsidRPr="00660890" w:rsidRDefault="00F72061" w:rsidP="0062476A">
            <w:pPr>
              <w:pStyle w:val="TableTextRight"/>
              <w:spacing w:before="36" w:after="36"/>
            </w:pPr>
          </w:p>
        </w:tc>
        <w:tc>
          <w:tcPr>
            <w:tcW w:w="2778" w:type="dxa"/>
            <w:tcBorders>
              <w:top w:val="nil"/>
              <w:bottom w:val="single" w:sz="2" w:space="0" w:color="000000"/>
            </w:tcBorders>
            <w:shd w:val="clear" w:color="auto" w:fill="F2F2F2" w:themeFill="background1" w:themeFillShade="F2"/>
            <w:vAlign w:val="bottom"/>
          </w:tcPr>
          <w:p w14:paraId="7185B55F" w14:textId="77777777" w:rsidR="00F72061" w:rsidRPr="00FF2C90" w:rsidRDefault="00F72061" w:rsidP="0062476A">
            <w:pPr>
              <w:pStyle w:val="TableTextRight"/>
              <w:spacing w:before="36" w:after="36"/>
            </w:pPr>
            <w:r>
              <w:t>1</w:t>
            </w:r>
            <w:r w:rsidR="00CE00F6">
              <w:t>00</w:t>
            </w:r>
          </w:p>
        </w:tc>
      </w:tr>
      <w:tr w:rsidR="00F72061" w:rsidRPr="00660890" w14:paraId="60BA58C7" w14:textId="77777777" w:rsidTr="00136A95">
        <w:tc>
          <w:tcPr>
            <w:tcW w:w="1843" w:type="dxa"/>
            <w:tcBorders>
              <w:top w:val="single" w:sz="2" w:space="0" w:color="000000"/>
              <w:bottom w:val="nil"/>
            </w:tcBorders>
            <w:shd w:val="clear" w:color="auto" w:fill="auto"/>
          </w:tcPr>
          <w:p w14:paraId="61D92F81" w14:textId="77777777" w:rsidR="00F72061" w:rsidRPr="005A0CE4" w:rsidRDefault="00F72061" w:rsidP="0062476A">
            <w:pPr>
              <w:pStyle w:val="TableColumnHeadingLeft"/>
              <w:spacing w:before="36" w:after="36"/>
            </w:pPr>
            <w:r w:rsidRPr="005A0CE4">
              <w:t>30</w:t>
            </w:r>
          </w:p>
        </w:tc>
        <w:tc>
          <w:tcPr>
            <w:tcW w:w="2778" w:type="dxa"/>
            <w:tcBorders>
              <w:top w:val="single" w:sz="2" w:space="0" w:color="000000"/>
              <w:bottom w:val="nil"/>
            </w:tcBorders>
            <w:shd w:val="clear" w:color="auto" w:fill="auto"/>
            <w:vAlign w:val="bottom"/>
          </w:tcPr>
          <w:p w14:paraId="6400436C" w14:textId="77777777" w:rsidR="00F72061" w:rsidRPr="00FF2C90" w:rsidRDefault="00F72061" w:rsidP="0062476A">
            <w:pPr>
              <w:pStyle w:val="TableTextRight"/>
              <w:spacing w:before="36" w:after="36"/>
            </w:pPr>
            <w:r>
              <w:t>93</w:t>
            </w:r>
          </w:p>
        </w:tc>
        <w:tc>
          <w:tcPr>
            <w:tcW w:w="312" w:type="dxa"/>
            <w:tcBorders>
              <w:top w:val="single" w:sz="2" w:space="0" w:color="000000"/>
              <w:bottom w:val="nil"/>
            </w:tcBorders>
          </w:tcPr>
          <w:p w14:paraId="79278516" w14:textId="77777777" w:rsidR="00F72061" w:rsidRPr="00660890" w:rsidRDefault="00F72061" w:rsidP="0062476A">
            <w:pPr>
              <w:pStyle w:val="TableTextRight"/>
              <w:spacing w:before="36" w:after="36"/>
            </w:pPr>
          </w:p>
        </w:tc>
        <w:tc>
          <w:tcPr>
            <w:tcW w:w="2778" w:type="dxa"/>
            <w:tcBorders>
              <w:top w:val="single" w:sz="2" w:space="0" w:color="000000"/>
              <w:bottom w:val="nil"/>
            </w:tcBorders>
            <w:shd w:val="clear" w:color="auto" w:fill="auto"/>
            <w:vAlign w:val="bottom"/>
          </w:tcPr>
          <w:p w14:paraId="7C298AAF" w14:textId="77777777" w:rsidR="00F72061" w:rsidRPr="00FF2C90" w:rsidRDefault="00F72061" w:rsidP="0062476A">
            <w:pPr>
              <w:pStyle w:val="TableTextRight"/>
              <w:spacing w:before="36" w:after="36"/>
            </w:pPr>
            <w:r>
              <w:t>1</w:t>
            </w:r>
            <w:r w:rsidR="00CE00F6">
              <w:t>03</w:t>
            </w:r>
          </w:p>
        </w:tc>
      </w:tr>
      <w:tr w:rsidR="00F72061" w:rsidRPr="00660890" w14:paraId="64345337" w14:textId="77777777" w:rsidTr="00136A95">
        <w:tc>
          <w:tcPr>
            <w:tcW w:w="1843" w:type="dxa"/>
            <w:tcBorders>
              <w:top w:val="nil"/>
              <w:bottom w:val="nil"/>
            </w:tcBorders>
            <w:shd w:val="clear" w:color="auto" w:fill="auto"/>
          </w:tcPr>
          <w:p w14:paraId="67ECB836" w14:textId="77777777" w:rsidR="00F72061" w:rsidRPr="005A0CE4" w:rsidRDefault="00F72061" w:rsidP="0062476A">
            <w:pPr>
              <w:pStyle w:val="TableColumnHeadingLeft"/>
              <w:spacing w:before="36" w:after="36"/>
            </w:pPr>
            <w:r w:rsidRPr="005A0CE4">
              <w:t>31</w:t>
            </w:r>
          </w:p>
        </w:tc>
        <w:tc>
          <w:tcPr>
            <w:tcW w:w="2778" w:type="dxa"/>
            <w:tcBorders>
              <w:top w:val="nil"/>
              <w:bottom w:val="nil"/>
            </w:tcBorders>
            <w:shd w:val="clear" w:color="auto" w:fill="auto"/>
            <w:vAlign w:val="bottom"/>
          </w:tcPr>
          <w:p w14:paraId="7F63DB5C" w14:textId="77777777" w:rsidR="00F72061" w:rsidRPr="00FF2C90" w:rsidRDefault="00F72061" w:rsidP="0062476A">
            <w:pPr>
              <w:pStyle w:val="TableTextRight"/>
              <w:spacing w:before="36" w:after="36"/>
            </w:pPr>
            <w:r>
              <w:t>95</w:t>
            </w:r>
          </w:p>
        </w:tc>
        <w:tc>
          <w:tcPr>
            <w:tcW w:w="312" w:type="dxa"/>
            <w:tcBorders>
              <w:top w:val="nil"/>
              <w:bottom w:val="nil"/>
            </w:tcBorders>
          </w:tcPr>
          <w:p w14:paraId="34E36045"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11F0F6AF" w14:textId="77777777" w:rsidR="00F72061" w:rsidRPr="00FF2C90" w:rsidRDefault="00F72061" w:rsidP="0062476A">
            <w:pPr>
              <w:pStyle w:val="TableTextRight"/>
              <w:spacing w:before="36" w:after="36"/>
            </w:pPr>
            <w:r>
              <w:t>1</w:t>
            </w:r>
            <w:r w:rsidR="00CE00F6">
              <w:t>07</w:t>
            </w:r>
          </w:p>
        </w:tc>
      </w:tr>
      <w:tr w:rsidR="00F72061" w:rsidRPr="00660890" w14:paraId="2C4378D8" w14:textId="77777777" w:rsidTr="00136A95">
        <w:tc>
          <w:tcPr>
            <w:tcW w:w="1843" w:type="dxa"/>
            <w:tcBorders>
              <w:top w:val="nil"/>
              <w:bottom w:val="nil"/>
            </w:tcBorders>
            <w:shd w:val="clear" w:color="auto" w:fill="auto"/>
          </w:tcPr>
          <w:p w14:paraId="4669554C" w14:textId="77777777" w:rsidR="00F72061" w:rsidRPr="005A0CE4" w:rsidRDefault="00F72061" w:rsidP="0062476A">
            <w:pPr>
              <w:pStyle w:val="TableColumnHeadingLeft"/>
              <w:spacing w:before="36" w:after="36"/>
            </w:pPr>
            <w:r w:rsidRPr="005A0CE4">
              <w:t>32</w:t>
            </w:r>
          </w:p>
        </w:tc>
        <w:tc>
          <w:tcPr>
            <w:tcW w:w="2778" w:type="dxa"/>
            <w:tcBorders>
              <w:top w:val="nil"/>
              <w:bottom w:val="nil"/>
            </w:tcBorders>
            <w:shd w:val="clear" w:color="auto" w:fill="auto"/>
            <w:vAlign w:val="bottom"/>
          </w:tcPr>
          <w:p w14:paraId="51FA292A" w14:textId="77777777" w:rsidR="00F72061" w:rsidRPr="00FF2C90" w:rsidRDefault="00F72061" w:rsidP="0062476A">
            <w:pPr>
              <w:pStyle w:val="TableTextRight"/>
              <w:spacing w:before="36" w:after="36"/>
            </w:pPr>
            <w:r>
              <w:t>10</w:t>
            </w:r>
            <w:r w:rsidR="00CE00F6">
              <w:t>0</w:t>
            </w:r>
          </w:p>
        </w:tc>
        <w:tc>
          <w:tcPr>
            <w:tcW w:w="312" w:type="dxa"/>
            <w:tcBorders>
              <w:top w:val="nil"/>
              <w:bottom w:val="nil"/>
            </w:tcBorders>
          </w:tcPr>
          <w:p w14:paraId="050A00F6"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6BD38287" w14:textId="77777777" w:rsidR="00F72061" w:rsidRPr="00FF2C90" w:rsidRDefault="00F72061" w:rsidP="0062476A">
            <w:pPr>
              <w:pStyle w:val="TableTextRight"/>
              <w:spacing w:before="36" w:after="36"/>
            </w:pPr>
            <w:r>
              <w:t>1</w:t>
            </w:r>
            <w:r w:rsidR="00CE00F6">
              <w:t>14</w:t>
            </w:r>
          </w:p>
        </w:tc>
      </w:tr>
      <w:tr w:rsidR="00F72061" w:rsidRPr="00660890" w14:paraId="2B892735" w14:textId="77777777" w:rsidTr="00136A95">
        <w:tc>
          <w:tcPr>
            <w:tcW w:w="1843" w:type="dxa"/>
            <w:tcBorders>
              <w:top w:val="nil"/>
              <w:bottom w:val="nil"/>
            </w:tcBorders>
            <w:shd w:val="clear" w:color="auto" w:fill="auto"/>
          </w:tcPr>
          <w:p w14:paraId="337FBD6D" w14:textId="77777777" w:rsidR="00F72061" w:rsidRPr="005A0CE4" w:rsidRDefault="00F72061" w:rsidP="0062476A">
            <w:pPr>
              <w:pStyle w:val="TableColumnHeadingLeft"/>
              <w:spacing w:before="36" w:after="36"/>
            </w:pPr>
            <w:r w:rsidRPr="005A0CE4">
              <w:t>33</w:t>
            </w:r>
          </w:p>
        </w:tc>
        <w:tc>
          <w:tcPr>
            <w:tcW w:w="2778" w:type="dxa"/>
            <w:tcBorders>
              <w:top w:val="nil"/>
              <w:bottom w:val="nil"/>
            </w:tcBorders>
            <w:shd w:val="clear" w:color="auto" w:fill="auto"/>
            <w:vAlign w:val="bottom"/>
          </w:tcPr>
          <w:p w14:paraId="4692D8F6" w14:textId="77777777" w:rsidR="00F72061" w:rsidRPr="00FF2C90" w:rsidRDefault="00F72061" w:rsidP="0062476A">
            <w:pPr>
              <w:pStyle w:val="TableTextRight"/>
              <w:spacing w:before="36" w:after="36"/>
            </w:pPr>
            <w:r>
              <w:t>105</w:t>
            </w:r>
          </w:p>
        </w:tc>
        <w:tc>
          <w:tcPr>
            <w:tcW w:w="312" w:type="dxa"/>
            <w:tcBorders>
              <w:top w:val="nil"/>
              <w:bottom w:val="nil"/>
            </w:tcBorders>
          </w:tcPr>
          <w:p w14:paraId="0A9A3175"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5868120B" w14:textId="77777777" w:rsidR="00F72061" w:rsidRPr="00FF2C90" w:rsidRDefault="00F72061" w:rsidP="0062476A">
            <w:pPr>
              <w:pStyle w:val="TableTextRight"/>
              <w:spacing w:before="36" w:after="36"/>
            </w:pPr>
            <w:r>
              <w:t>1</w:t>
            </w:r>
            <w:r w:rsidR="00CE00F6">
              <w:t>22</w:t>
            </w:r>
          </w:p>
        </w:tc>
      </w:tr>
      <w:tr w:rsidR="00F72061" w:rsidRPr="00660890" w14:paraId="307DAB86" w14:textId="77777777" w:rsidTr="00136A95">
        <w:tc>
          <w:tcPr>
            <w:tcW w:w="1843" w:type="dxa"/>
            <w:tcBorders>
              <w:top w:val="nil"/>
              <w:bottom w:val="nil"/>
            </w:tcBorders>
            <w:shd w:val="clear" w:color="auto" w:fill="auto"/>
          </w:tcPr>
          <w:p w14:paraId="47B1F5B8" w14:textId="77777777" w:rsidR="00F72061" w:rsidRPr="005A0CE4" w:rsidRDefault="00F72061" w:rsidP="0062476A">
            <w:pPr>
              <w:pStyle w:val="TableColumnHeadingLeft"/>
              <w:spacing w:before="36" w:after="36"/>
            </w:pPr>
            <w:r w:rsidRPr="005A0CE4">
              <w:t>34</w:t>
            </w:r>
          </w:p>
        </w:tc>
        <w:tc>
          <w:tcPr>
            <w:tcW w:w="2778" w:type="dxa"/>
            <w:tcBorders>
              <w:top w:val="nil"/>
              <w:bottom w:val="nil"/>
            </w:tcBorders>
            <w:shd w:val="clear" w:color="auto" w:fill="auto"/>
            <w:vAlign w:val="bottom"/>
          </w:tcPr>
          <w:p w14:paraId="112C690A" w14:textId="77777777" w:rsidR="00F72061" w:rsidRPr="00FF2C90" w:rsidRDefault="00F72061" w:rsidP="0062476A">
            <w:pPr>
              <w:pStyle w:val="TableTextRight"/>
              <w:spacing w:before="36" w:after="36"/>
            </w:pPr>
            <w:r>
              <w:t>110</w:t>
            </w:r>
          </w:p>
        </w:tc>
        <w:tc>
          <w:tcPr>
            <w:tcW w:w="312" w:type="dxa"/>
            <w:tcBorders>
              <w:top w:val="nil"/>
              <w:bottom w:val="nil"/>
            </w:tcBorders>
          </w:tcPr>
          <w:p w14:paraId="6FC66C43" w14:textId="77777777" w:rsidR="00F72061" w:rsidRPr="00660890" w:rsidRDefault="00F72061" w:rsidP="0062476A">
            <w:pPr>
              <w:pStyle w:val="TableTextRight"/>
              <w:spacing w:before="36" w:after="36"/>
            </w:pPr>
          </w:p>
        </w:tc>
        <w:tc>
          <w:tcPr>
            <w:tcW w:w="2778" w:type="dxa"/>
            <w:tcBorders>
              <w:top w:val="nil"/>
              <w:bottom w:val="nil"/>
            </w:tcBorders>
            <w:shd w:val="clear" w:color="auto" w:fill="auto"/>
            <w:vAlign w:val="bottom"/>
          </w:tcPr>
          <w:p w14:paraId="2A34390F" w14:textId="77777777" w:rsidR="00F72061" w:rsidRPr="00FF2C90" w:rsidRDefault="00F72061" w:rsidP="0062476A">
            <w:pPr>
              <w:pStyle w:val="TableTextRight"/>
              <w:spacing w:before="36" w:after="36"/>
            </w:pPr>
            <w:r>
              <w:t>1</w:t>
            </w:r>
            <w:r w:rsidR="00CE00F6">
              <w:t>32</w:t>
            </w:r>
          </w:p>
        </w:tc>
      </w:tr>
      <w:tr w:rsidR="00D34F95" w:rsidRPr="00660890" w14:paraId="6C4502EC" w14:textId="77777777" w:rsidTr="00136A95">
        <w:tc>
          <w:tcPr>
            <w:tcW w:w="1843" w:type="dxa"/>
            <w:tcBorders>
              <w:top w:val="single" w:sz="2" w:space="0" w:color="000000"/>
              <w:bottom w:val="nil"/>
            </w:tcBorders>
            <w:shd w:val="clear" w:color="auto" w:fill="F2F2F2" w:themeFill="background1" w:themeFillShade="F2"/>
          </w:tcPr>
          <w:p w14:paraId="6029FA8F" w14:textId="77777777" w:rsidR="00D34F95" w:rsidRPr="005A0CE4" w:rsidRDefault="00D34F95" w:rsidP="0062476A">
            <w:pPr>
              <w:pStyle w:val="TableColumnHeadingLeft"/>
              <w:spacing w:before="36" w:after="36"/>
            </w:pPr>
            <w:r>
              <w:t>35</w:t>
            </w:r>
          </w:p>
        </w:tc>
        <w:tc>
          <w:tcPr>
            <w:tcW w:w="2778" w:type="dxa"/>
            <w:tcBorders>
              <w:top w:val="single" w:sz="2" w:space="0" w:color="000000"/>
              <w:bottom w:val="nil"/>
            </w:tcBorders>
            <w:shd w:val="clear" w:color="auto" w:fill="F2F2F2" w:themeFill="background1" w:themeFillShade="F2"/>
            <w:vAlign w:val="bottom"/>
          </w:tcPr>
          <w:p w14:paraId="457E39B5" w14:textId="77777777" w:rsidR="00D34F95" w:rsidRPr="00FF2C90" w:rsidRDefault="00D34F95" w:rsidP="0062476A">
            <w:pPr>
              <w:pStyle w:val="TableTextRight"/>
              <w:spacing w:before="36" w:after="36"/>
            </w:pPr>
            <w:r>
              <w:t>1</w:t>
            </w:r>
            <w:r w:rsidRPr="00FF2C90">
              <w:t>20</w:t>
            </w:r>
          </w:p>
        </w:tc>
        <w:tc>
          <w:tcPr>
            <w:tcW w:w="312" w:type="dxa"/>
            <w:tcBorders>
              <w:top w:val="single" w:sz="2" w:space="0" w:color="000000"/>
              <w:bottom w:val="nil"/>
            </w:tcBorders>
            <w:shd w:val="clear" w:color="auto" w:fill="F2F2F2" w:themeFill="background1" w:themeFillShade="F2"/>
          </w:tcPr>
          <w:p w14:paraId="1678B4F7" w14:textId="77777777" w:rsidR="00D34F95" w:rsidRPr="00660890" w:rsidRDefault="00D34F95" w:rsidP="0062476A">
            <w:pPr>
              <w:pStyle w:val="TableTextRight"/>
              <w:spacing w:before="36" w:after="36"/>
            </w:pPr>
          </w:p>
        </w:tc>
        <w:tc>
          <w:tcPr>
            <w:tcW w:w="2778" w:type="dxa"/>
            <w:tcBorders>
              <w:top w:val="single" w:sz="2" w:space="0" w:color="000000"/>
              <w:bottom w:val="nil"/>
            </w:tcBorders>
            <w:shd w:val="clear" w:color="auto" w:fill="F2F2F2" w:themeFill="background1" w:themeFillShade="F2"/>
            <w:vAlign w:val="bottom"/>
          </w:tcPr>
          <w:p w14:paraId="2FC323E6" w14:textId="77777777" w:rsidR="00D34F95" w:rsidRPr="00FF2C90" w:rsidRDefault="00D34F95" w:rsidP="0062476A">
            <w:pPr>
              <w:pStyle w:val="TableTextRight"/>
              <w:spacing w:before="36" w:after="36"/>
            </w:pPr>
            <w:r>
              <w:t>1</w:t>
            </w:r>
            <w:r w:rsidR="00D22941">
              <w:t>4</w:t>
            </w:r>
            <w:r>
              <w:t>3</w:t>
            </w:r>
          </w:p>
        </w:tc>
      </w:tr>
      <w:tr w:rsidR="00D34F95" w:rsidRPr="00660890" w14:paraId="0338228C" w14:textId="77777777" w:rsidTr="00136A95">
        <w:tc>
          <w:tcPr>
            <w:tcW w:w="1843" w:type="dxa"/>
            <w:tcBorders>
              <w:top w:val="nil"/>
              <w:bottom w:val="nil"/>
            </w:tcBorders>
            <w:shd w:val="clear" w:color="auto" w:fill="F2F2F2" w:themeFill="background1" w:themeFillShade="F2"/>
          </w:tcPr>
          <w:p w14:paraId="2E8E05CE" w14:textId="77777777" w:rsidR="00D34F95" w:rsidRPr="005A0CE4" w:rsidRDefault="00D34F95" w:rsidP="0062476A">
            <w:pPr>
              <w:pStyle w:val="TableColumnHeadingLeft"/>
              <w:spacing w:before="36" w:after="36"/>
            </w:pPr>
            <w:r>
              <w:t>36</w:t>
            </w:r>
          </w:p>
        </w:tc>
        <w:tc>
          <w:tcPr>
            <w:tcW w:w="2778" w:type="dxa"/>
            <w:tcBorders>
              <w:top w:val="nil"/>
              <w:bottom w:val="nil"/>
            </w:tcBorders>
            <w:shd w:val="clear" w:color="auto" w:fill="F2F2F2" w:themeFill="background1" w:themeFillShade="F2"/>
            <w:vAlign w:val="bottom"/>
          </w:tcPr>
          <w:p w14:paraId="1981833C" w14:textId="77777777" w:rsidR="00D34F95" w:rsidRPr="00FF2C90" w:rsidRDefault="00D34F95" w:rsidP="0062476A">
            <w:pPr>
              <w:pStyle w:val="TableTextRight"/>
              <w:spacing w:before="36" w:after="36"/>
            </w:pPr>
            <w:r>
              <w:t>130</w:t>
            </w:r>
          </w:p>
        </w:tc>
        <w:tc>
          <w:tcPr>
            <w:tcW w:w="312" w:type="dxa"/>
            <w:tcBorders>
              <w:top w:val="nil"/>
              <w:bottom w:val="nil"/>
            </w:tcBorders>
            <w:shd w:val="clear" w:color="auto" w:fill="F2F2F2" w:themeFill="background1" w:themeFillShade="F2"/>
          </w:tcPr>
          <w:p w14:paraId="18944EA5" w14:textId="77777777" w:rsidR="00D34F95" w:rsidRPr="00660890" w:rsidRDefault="00D34F95"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0C99CC1D" w14:textId="77777777" w:rsidR="00D34F95" w:rsidRPr="00FF2C90" w:rsidRDefault="00D34F95" w:rsidP="0062476A">
            <w:pPr>
              <w:pStyle w:val="TableTextRight"/>
              <w:spacing w:before="36" w:after="36"/>
            </w:pPr>
            <w:r>
              <w:t>1</w:t>
            </w:r>
            <w:r w:rsidR="00D22941">
              <w:t>62</w:t>
            </w:r>
          </w:p>
        </w:tc>
      </w:tr>
      <w:tr w:rsidR="00D34F95" w:rsidRPr="00660890" w14:paraId="240D1C1F" w14:textId="77777777" w:rsidTr="00136A95">
        <w:tc>
          <w:tcPr>
            <w:tcW w:w="1843" w:type="dxa"/>
            <w:tcBorders>
              <w:top w:val="nil"/>
              <w:bottom w:val="nil"/>
            </w:tcBorders>
            <w:shd w:val="clear" w:color="auto" w:fill="F2F2F2" w:themeFill="background1" w:themeFillShade="F2"/>
          </w:tcPr>
          <w:p w14:paraId="1B91F634" w14:textId="77777777" w:rsidR="00D34F95" w:rsidRPr="005A0CE4" w:rsidRDefault="00D34F95" w:rsidP="0062476A">
            <w:pPr>
              <w:pStyle w:val="TableColumnHeadingLeft"/>
              <w:spacing w:before="36" w:after="36"/>
            </w:pPr>
            <w:r>
              <w:t>37</w:t>
            </w:r>
          </w:p>
        </w:tc>
        <w:tc>
          <w:tcPr>
            <w:tcW w:w="2778" w:type="dxa"/>
            <w:tcBorders>
              <w:top w:val="nil"/>
              <w:bottom w:val="nil"/>
            </w:tcBorders>
            <w:shd w:val="clear" w:color="auto" w:fill="F2F2F2" w:themeFill="background1" w:themeFillShade="F2"/>
            <w:vAlign w:val="bottom"/>
          </w:tcPr>
          <w:p w14:paraId="499EFC37" w14:textId="77777777" w:rsidR="00D34F95" w:rsidRPr="00FF2C90" w:rsidRDefault="00D34F95" w:rsidP="0062476A">
            <w:pPr>
              <w:pStyle w:val="TableTextRight"/>
              <w:spacing w:before="36" w:after="36"/>
            </w:pPr>
            <w:r>
              <w:t>14</w:t>
            </w:r>
            <w:r w:rsidR="00CE00F6">
              <w:t>3</w:t>
            </w:r>
          </w:p>
        </w:tc>
        <w:tc>
          <w:tcPr>
            <w:tcW w:w="312" w:type="dxa"/>
            <w:tcBorders>
              <w:top w:val="nil"/>
              <w:bottom w:val="nil"/>
            </w:tcBorders>
            <w:shd w:val="clear" w:color="auto" w:fill="F2F2F2" w:themeFill="background1" w:themeFillShade="F2"/>
          </w:tcPr>
          <w:p w14:paraId="733E93DB" w14:textId="77777777" w:rsidR="00D34F95" w:rsidRPr="00660890" w:rsidRDefault="00D34F95"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42BB3C82" w14:textId="77777777" w:rsidR="00D34F95" w:rsidRPr="00FF2C90" w:rsidRDefault="00D22941" w:rsidP="0062476A">
            <w:pPr>
              <w:pStyle w:val="TableTextRight"/>
              <w:spacing w:before="36" w:after="36"/>
            </w:pPr>
            <w:r>
              <w:t>182</w:t>
            </w:r>
          </w:p>
        </w:tc>
      </w:tr>
      <w:tr w:rsidR="00D34F95" w:rsidRPr="00660890" w14:paraId="01FCCDFF" w14:textId="77777777" w:rsidTr="00136A95">
        <w:tc>
          <w:tcPr>
            <w:tcW w:w="1843" w:type="dxa"/>
            <w:tcBorders>
              <w:top w:val="nil"/>
              <w:bottom w:val="nil"/>
            </w:tcBorders>
            <w:shd w:val="clear" w:color="auto" w:fill="F2F2F2" w:themeFill="background1" w:themeFillShade="F2"/>
          </w:tcPr>
          <w:p w14:paraId="25FCA363" w14:textId="77777777" w:rsidR="00D34F95" w:rsidRPr="005A0CE4" w:rsidRDefault="00D34F95" w:rsidP="0062476A">
            <w:pPr>
              <w:pStyle w:val="TableColumnHeadingLeft"/>
              <w:spacing w:before="36" w:after="36"/>
            </w:pPr>
            <w:r>
              <w:t>38</w:t>
            </w:r>
          </w:p>
        </w:tc>
        <w:tc>
          <w:tcPr>
            <w:tcW w:w="2778" w:type="dxa"/>
            <w:tcBorders>
              <w:top w:val="nil"/>
              <w:bottom w:val="nil"/>
            </w:tcBorders>
            <w:shd w:val="clear" w:color="auto" w:fill="F2F2F2" w:themeFill="background1" w:themeFillShade="F2"/>
            <w:vAlign w:val="bottom"/>
          </w:tcPr>
          <w:p w14:paraId="6814C370" w14:textId="77777777" w:rsidR="00D34F95" w:rsidRPr="00FF2C90" w:rsidRDefault="00D34F95" w:rsidP="0062476A">
            <w:pPr>
              <w:pStyle w:val="TableTextRight"/>
              <w:spacing w:before="36" w:after="36"/>
            </w:pPr>
            <w:r>
              <w:t>15</w:t>
            </w:r>
            <w:r w:rsidR="00CE00F6">
              <w:t>8</w:t>
            </w:r>
          </w:p>
        </w:tc>
        <w:tc>
          <w:tcPr>
            <w:tcW w:w="312" w:type="dxa"/>
            <w:tcBorders>
              <w:top w:val="nil"/>
              <w:bottom w:val="nil"/>
            </w:tcBorders>
            <w:shd w:val="clear" w:color="auto" w:fill="F2F2F2" w:themeFill="background1" w:themeFillShade="F2"/>
          </w:tcPr>
          <w:p w14:paraId="7F9A7B8C" w14:textId="77777777" w:rsidR="00D34F95" w:rsidRPr="00660890" w:rsidRDefault="00D34F95"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64829E39" w14:textId="77777777" w:rsidR="00D34F95" w:rsidRPr="00FF2C90" w:rsidRDefault="00D34F95" w:rsidP="0062476A">
            <w:pPr>
              <w:pStyle w:val="TableTextRight"/>
              <w:spacing w:before="36" w:after="36"/>
            </w:pPr>
            <w:r>
              <w:t>2</w:t>
            </w:r>
            <w:r w:rsidR="00D22941">
              <w:t>20</w:t>
            </w:r>
          </w:p>
        </w:tc>
      </w:tr>
      <w:tr w:rsidR="00D34F95" w:rsidRPr="00660890" w14:paraId="511B4ABE" w14:textId="77777777" w:rsidTr="00136A95">
        <w:tc>
          <w:tcPr>
            <w:tcW w:w="1843" w:type="dxa"/>
            <w:tcBorders>
              <w:top w:val="nil"/>
              <w:bottom w:val="nil"/>
            </w:tcBorders>
            <w:shd w:val="clear" w:color="auto" w:fill="F2F2F2" w:themeFill="background1" w:themeFillShade="F2"/>
          </w:tcPr>
          <w:p w14:paraId="5A776895" w14:textId="77777777" w:rsidR="00D34F95" w:rsidRPr="005A0CE4" w:rsidRDefault="00D34F95" w:rsidP="0062476A">
            <w:pPr>
              <w:pStyle w:val="TableColumnHeadingLeft"/>
              <w:spacing w:before="36" w:after="36"/>
            </w:pPr>
            <w:r>
              <w:t>39</w:t>
            </w:r>
          </w:p>
        </w:tc>
        <w:tc>
          <w:tcPr>
            <w:tcW w:w="2778" w:type="dxa"/>
            <w:tcBorders>
              <w:top w:val="nil"/>
              <w:bottom w:val="nil"/>
            </w:tcBorders>
            <w:shd w:val="clear" w:color="auto" w:fill="F2F2F2" w:themeFill="background1" w:themeFillShade="F2"/>
            <w:vAlign w:val="bottom"/>
          </w:tcPr>
          <w:p w14:paraId="31F3F7C5" w14:textId="77777777" w:rsidR="00D34F95" w:rsidRPr="00FF2C90" w:rsidRDefault="00D34F95" w:rsidP="0062476A">
            <w:pPr>
              <w:pStyle w:val="TableTextRight"/>
              <w:spacing w:before="36" w:after="36"/>
            </w:pPr>
            <w:r w:rsidRPr="00FF2C90">
              <w:t>2</w:t>
            </w:r>
            <w:r>
              <w:t>0</w:t>
            </w:r>
            <w:r w:rsidRPr="00FF2C90">
              <w:t>0</w:t>
            </w:r>
          </w:p>
        </w:tc>
        <w:tc>
          <w:tcPr>
            <w:tcW w:w="312" w:type="dxa"/>
            <w:tcBorders>
              <w:top w:val="nil"/>
              <w:bottom w:val="nil"/>
            </w:tcBorders>
            <w:shd w:val="clear" w:color="auto" w:fill="F2F2F2" w:themeFill="background1" w:themeFillShade="F2"/>
          </w:tcPr>
          <w:p w14:paraId="777510A9" w14:textId="77777777" w:rsidR="00D34F95" w:rsidRPr="00660890" w:rsidRDefault="00D34F95" w:rsidP="0062476A">
            <w:pPr>
              <w:pStyle w:val="TableTextRight"/>
              <w:spacing w:before="36" w:after="36"/>
            </w:pPr>
          </w:p>
        </w:tc>
        <w:tc>
          <w:tcPr>
            <w:tcW w:w="2778" w:type="dxa"/>
            <w:tcBorders>
              <w:top w:val="nil"/>
              <w:bottom w:val="nil"/>
            </w:tcBorders>
            <w:shd w:val="clear" w:color="auto" w:fill="F2F2F2" w:themeFill="background1" w:themeFillShade="F2"/>
            <w:vAlign w:val="bottom"/>
          </w:tcPr>
          <w:p w14:paraId="610D2A44" w14:textId="77777777" w:rsidR="00D34F95" w:rsidRPr="00FF2C90" w:rsidRDefault="00D22941" w:rsidP="0062476A">
            <w:pPr>
              <w:pStyle w:val="TableTextRight"/>
              <w:spacing w:before="36" w:after="36"/>
            </w:pPr>
            <w:r>
              <w:t>263</w:t>
            </w:r>
          </w:p>
        </w:tc>
      </w:tr>
      <w:tr w:rsidR="00D34F95" w:rsidRPr="00660890" w14:paraId="07BB9FF0" w14:textId="77777777" w:rsidTr="00136A95">
        <w:tc>
          <w:tcPr>
            <w:tcW w:w="1843" w:type="dxa"/>
            <w:tcBorders>
              <w:top w:val="nil"/>
              <w:bottom w:val="single" w:sz="2" w:space="0" w:color="000000"/>
            </w:tcBorders>
            <w:shd w:val="clear" w:color="auto" w:fill="F2F2F2" w:themeFill="background1" w:themeFillShade="F2"/>
          </w:tcPr>
          <w:p w14:paraId="1F0F4546" w14:textId="77777777" w:rsidR="00D34F95" w:rsidRPr="005A0CE4" w:rsidRDefault="00D34F95" w:rsidP="0062476A">
            <w:pPr>
              <w:pStyle w:val="TableColumnHeadingLeft"/>
              <w:spacing w:before="36" w:after="36"/>
            </w:pPr>
            <w:r>
              <w:t>40</w:t>
            </w:r>
          </w:p>
        </w:tc>
        <w:tc>
          <w:tcPr>
            <w:tcW w:w="2778" w:type="dxa"/>
            <w:tcBorders>
              <w:top w:val="nil"/>
              <w:bottom w:val="single" w:sz="2" w:space="0" w:color="000000"/>
            </w:tcBorders>
            <w:shd w:val="clear" w:color="auto" w:fill="F2F2F2" w:themeFill="background1" w:themeFillShade="F2"/>
            <w:vAlign w:val="bottom"/>
          </w:tcPr>
          <w:p w14:paraId="27E157A3" w14:textId="77777777" w:rsidR="00D34F95" w:rsidRPr="00FF2C90" w:rsidRDefault="00D34F95" w:rsidP="0062476A">
            <w:pPr>
              <w:pStyle w:val="TableTextRight"/>
              <w:spacing w:before="36" w:after="36"/>
            </w:pPr>
            <w:r w:rsidRPr="00FF2C90">
              <w:t>2</w:t>
            </w:r>
            <w:r>
              <w:t>5</w:t>
            </w:r>
            <w:r w:rsidRPr="00FF2C90">
              <w:t>0</w:t>
            </w:r>
          </w:p>
        </w:tc>
        <w:tc>
          <w:tcPr>
            <w:tcW w:w="312" w:type="dxa"/>
            <w:tcBorders>
              <w:top w:val="nil"/>
              <w:bottom w:val="single" w:sz="2" w:space="0" w:color="000000"/>
            </w:tcBorders>
            <w:shd w:val="clear" w:color="auto" w:fill="F2F2F2" w:themeFill="background1" w:themeFillShade="F2"/>
          </w:tcPr>
          <w:p w14:paraId="0AEBCD74" w14:textId="77777777" w:rsidR="00D34F95" w:rsidRPr="00660890" w:rsidRDefault="00D34F95" w:rsidP="0062476A">
            <w:pPr>
              <w:pStyle w:val="TableTextRight"/>
              <w:spacing w:before="36" w:after="36"/>
            </w:pPr>
          </w:p>
        </w:tc>
        <w:tc>
          <w:tcPr>
            <w:tcW w:w="2778" w:type="dxa"/>
            <w:tcBorders>
              <w:top w:val="nil"/>
              <w:bottom w:val="single" w:sz="2" w:space="0" w:color="000000"/>
            </w:tcBorders>
            <w:shd w:val="clear" w:color="auto" w:fill="F2F2F2" w:themeFill="background1" w:themeFillShade="F2"/>
            <w:vAlign w:val="bottom"/>
          </w:tcPr>
          <w:p w14:paraId="13358853" w14:textId="77777777" w:rsidR="00D34F95" w:rsidRPr="00FF2C90" w:rsidRDefault="00D34F95" w:rsidP="0062476A">
            <w:pPr>
              <w:pStyle w:val="TableTextRight"/>
              <w:spacing w:before="36" w:after="36"/>
            </w:pPr>
            <w:r>
              <w:t>3</w:t>
            </w:r>
            <w:r w:rsidR="00D22941">
              <w:t>21</w:t>
            </w:r>
          </w:p>
        </w:tc>
      </w:tr>
    </w:tbl>
    <w:p w14:paraId="43F36E1D" w14:textId="77777777" w:rsidR="00052A87" w:rsidRDefault="00052A87" w:rsidP="00973366">
      <w:pPr>
        <w:pStyle w:val="ChartorTableNote"/>
        <w:ind w:hanging="567"/>
      </w:pPr>
      <w:r>
        <w:t>Note:</w:t>
      </w:r>
      <w:r>
        <w:tab/>
      </w:r>
      <w:r w:rsidRPr="00C157F7">
        <w:t>The DFRDB has been closed to new entrants since 1991</w:t>
      </w:r>
      <w:r>
        <w:t>.</w:t>
      </w:r>
    </w:p>
    <w:p w14:paraId="6CD423A7" w14:textId="77777777" w:rsidR="00052A87" w:rsidRPr="007337E9" w:rsidRDefault="00052A87" w:rsidP="00973366">
      <w:pPr>
        <w:pStyle w:val="ChartorTableNote"/>
        <w:ind w:hanging="567"/>
      </w:pPr>
      <w:r>
        <w:tab/>
        <w:t>DFRDB resignation rates include exits under the Invalidity ‘C’ provisions.</w:t>
      </w:r>
    </w:p>
    <w:p w14:paraId="2168A4B2" w14:textId="77777777" w:rsidR="00F72061" w:rsidRPr="0062476A" w:rsidRDefault="00F72061" w:rsidP="0062476A">
      <w:pPr>
        <w:pStyle w:val="Heading3nonumbering"/>
      </w:pPr>
      <w:r w:rsidRPr="0062476A">
        <w:t>Retirement</w:t>
      </w:r>
    </w:p>
    <w:p w14:paraId="46831136" w14:textId="21A00AB3" w:rsidR="00F72061" w:rsidRDefault="00F72061" w:rsidP="00F72061">
      <w:pPr>
        <w:rPr>
          <w:rFonts w:cs="Arial"/>
        </w:rPr>
      </w:pPr>
      <w:r>
        <w:rPr>
          <w:rFonts w:cs="Arial"/>
        </w:rPr>
        <w:t xml:space="preserve">The change to compulsory retirement age has </w:t>
      </w:r>
      <w:r w:rsidR="00A22C5D">
        <w:rPr>
          <w:rFonts w:cs="Arial"/>
        </w:rPr>
        <w:t>means that retirements can now occur over the five years between 55 and 60.</w:t>
      </w:r>
      <w:r w:rsidR="00212C90">
        <w:rPr>
          <w:rFonts w:cs="Arial"/>
        </w:rPr>
        <w:t xml:space="preserve"> </w:t>
      </w:r>
      <w:r w:rsidR="00757432">
        <w:rPr>
          <w:rFonts w:cs="Arial"/>
        </w:rPr>
        <w:t>T</w:t>
      </w:r>
      <w:r w:rsidR="00A22C5D">
        <w:rPr>
          <w:rFonts w:cs="Arial"/>
        </w:rPr>
        <w:t xml:space="preserve">he following retirement rates </w:t>
      </w:r>
      <w:r w:rsidR="00757432">
        <w:rPr>
          <w:rFonts w:cs="Arial"/>
        </w:rPr>
        <w:t xml:space="preserve">have been assumed </w:t>
      </w:r>
      <w:r w:rsidR="00A22C5D">
        <w:rPr>
          <w:rFonts w:cs="Arial"/>
        </w:rPr>
        <w:t>for all contributory members in both the MSBS and DFRDB.</w:t>
      </w:r>
      <w:r w:rsidR="00F52FBF">
        <w:rPr>
          <w:rFonts w:cs="Arial"/>
        </w:rPr>
        <w:t xml:space="preserve"> Any member attaining age 60 is assumed to retire then</w:t>
      </w:r>
      <w:r w:rsidRPr="00C157F7">
        <w:rPr>
          <w:rFonts w:cs="Arial"/>
        </w:rPr>
        <w:t xml:space="preserve">. </w:t>
      </w:r>
    </w:p>
    <w:p w14:paraId="2D382893" w14:textId="77777777" w:rsidR="00A22C5D" w:rsidRDefault="00A22C5D" w:rsidP="00D1063F">
      <w:pPr>
        <w:pStyle w:val="TableMainHeading-Appendix"/>
      </w:pPr>
      <w:r>
        <w:t>Retirement rates (per 1,000 contributors)</w:t>
      </w:r>
    </w:p>
    <w:tbl>
      <w:tblPr>
        <w:tblW w:w="7713" w:type="dxa"/>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43"/>
        <w:gridCol w:w="5870"/>
      </w:tblGrid>
      <w:tr w:rsidR="00A22C5D" w:rsidRPr="009C579D" w14:paraId="63BE8742" w14:textId="77777777" w:rsidTr="0062476A">
        <w:tc>
          <w:tcPr>
            <w:tcW w:w="1843" w:type="dxa"/>
            <w:tcBorders>
              <w:top w:val="single" w:sz="2" w:space="0" w:color="000000"/>
              <w:left w:val="nil"/>
              <w:bottom w:val="single" w:sz="2" w:space="0" w:color="000000"/>
              <w:right w:val="nil"/>
            </w:tcBorders>
            <w:shd w:val="clear" w:color="auto" w:fill="E6E6E6"/>
          </w:tcPr>
          <w:p w14:paraId="5E794EB7" w14:textId="77777777" w:rsidR="00A22C5D" w:rsidRPr="009C579D" w:rsidRDefault="00A22C5D" w:rsidP="0062476A">
            <w:pPr>
              <w:pStyle w:val="TableColumnHeadingLeft"/>
              <w:spacing w:before="36" w:after="36"/>
            </w:pPr>
            <w:r>
              <w:t>Age</w:t>
            </w:r>
          </w:p>
        </w:tc>
        <w:tc>
          <w:tcPr>
            <w:tcW w:w="5870" w:type="dxa"/>
            <w:tcBorders>
              <w:top w:val="single" w:sz="2" w:space="0" w:color="000000"/>
              <w:left w:val="nil"/>
              <w:bottom w:val="single" w:sz="2" w:space="0" w:color="000000"/>
              <w:right w:val="nil"/>
            </w:tcBorders>
            <w:shd w:val="clear" w:color="auto" w:fill="E6E6E6"/>
          </w:tcPr>
          <w:p w14:paraId="6ECDAEF9" w14:textId="77777777" w:rsidR="00A22C5D" w:rsidRPr="009C579D" w:rsidRDefault="00A22C5D" w:rsidP="0062476A">
            <w:pPr>
              <w:pStyle w:val="TableColumnHeadingRight"/>
              <w:spacing w:before="36" w:after="36"/>
            </w:pPr>
            <w:r>
              <w:t>Rate</w:t>
            </w:r>
          </w:p>
        </w:tc>
      </w:tr>
      <w:tr w:rsidR="00A22C5D" w:rsidRPr="009C579D" w14:paraId="140DD06B" w14:textId="77777777" w:rsidTr="0062476A">
        <w:trPr>
          <w:trHeight w:hRule="exact" w:val="300"/>
        </w:trPr>
        <w:tc>
          <w:tcPr>
            <w:tcW w:w="1843" w:type="dxa"/>
            <w:tcBorders>
              <w:top w:val="single" w:sz="2" w:space="0" w:color="000000"/>
              <w:left w:val="nil"/>
              <w:bottom w:val="nil"/>
              <w:right w:val="nil"/>
            </w:tcBorders>
            <w:vAlign w:val="bottom"/>
          </w:tcPr>
          <w:p w14:paraId="1F57D21C" w14:textId="77777777" w:rsidR="00A22C5D" w:rsidRPr="009C579D" w:rsidRDefault="00A22C5D" w:rsidP="0062476A">
            <w:pPr>
              <w:pStyle w:val="TableTextLeft"/>
              <w:spacing w:before="36" w:after="36"/>
            </w:pPr>
            <w:r>
              <w:t>55</w:t>
            </w:r>
          </w:p>
        </w:tc>
        <w:tc>
          <w:tcPr>
            <w:tcW w:w="5870" w:type="dxa"/>
            <w:tcBorders>
              <w:top w:val="single" w:sz="2" w:space="0" w:color="000000"/>
              <w:left w:val="nil"/>
              <w:bottom w:val="nil"/>
              <w:right w:val="nil"/>
            </w:tcBorders>
            <w:vAlign w:val="bottom"/>
          </w:tcPr>
          <w:p w14:paraId="07243B91" w14:textId="77777777" w:rsidR="00A22C5D" w:rsidRPr="009C579D" w:rsidRDefault="00F265DF" w:rsidP="0062476A">
            <w:pPr>
              <w:pStyle w:val="TableTextRight"/>
              <w:spacing w:before="36" w:after="36"/>
            </w:pPr>
            <w:r>
              <w:t>167</w:t>
            </w:r>
          </w:p>
        </w:tc>
      </w:tr>
      <w:tr w:rsidR="00A22C5D" w:rsidRPr="009C579D" w14:paraId="79B0C2F7" w14:textId="77777777" w:rsidTr="0062476A">
        <w:trPr>
          <w:trHeight w:hRule="exact" w:val="300"/>
        </w:trPr>
        <w:tc>
          <w:tcPr>
            <w:tcW w:w="1843" w:type="dxa"/>
            <w:tcBorders>
              <w:top w:val="nil"/>
              <w:left w:val="nil"/>
              <w:bottom w:val="nil"/>
              <w:right w:val="nil"/>
            </w:tcBorders>
            <w:shd w:val="clear" w:color="auto" w:fill="F2F2F2" w:themeFill="background1" w:themeFillShade="F2"/>
            <w:vAlign w:val="bottom"/>
          </w:tcPr>
          <w:p w14:paraId="710148D3" w14:textId="77777777" w:rsidR="00A22C5D" w:rsidRPr="009C579D" w:rsidRDefault="00A22C5D" w:rsidP="0062476A">
            <w:pPr>
              <w:pStyle w:val="TableTextLeft"/>
              <w:spacing w:before="36" w:after="36"/>
            </w:pPr>
            <w:r>
              <w:t>56</w:t>
            </w:r>
          </w:p>
        </w:tc>
        <w:tc>
          <w:tcPr>
            <w:tcW w:w="5870" w:type="dxa"/>
            <w:tcBorders>
              <w:top w:val="nil"/>
              <w:left w:val="nil"/>
              <w:bottom w:val="nil"/>
              <w:right w:val="nil"/>
            </w:tcBorders>
            <w:shd w:val="clear" w:color="auto" w:fill="F2F2F2" w:themeFill="background1" w:themeFillShade="F2"/>
            <w:vAlign w:val="bottom"/>
          </w:tcPr>
          <w:p w14:paraId="5953AA15" w14:textId="77777777" w:rsidR="00A22C5D" w:rsidRPr="009C579D" w:rsidRDefault="00F265DF" w:rsidP="0062476A">
            <w:pPr>
              <w:pStyle w:val="TableTextRight"/>
              <w:spacing w:before="36" w:after="36"/>
            </w:pPr>
            <w:r>
              <w:t>200</w:t>
            </w:r>
          </w:p>
        </w:tc>
      </w:tr>
      <w:tr w:rsidR="00A22C5D" w:rsidRPr="009C579D" w14:paraId="25A50700" w14:textId="77777777" w:rsidTr="0062476A">
        <w:trPr>
          <w:trHeight w:hRule="exact" w:val="300"/>
        </w:trPr>
        <w:tc>
          <w:tcPr>
            <w:tcW w:w="1843" w:type="dxa"/>
            <w:tcBorders>
              <w:top w:val="nil"/>
              <w:left w:val="nil"/>
              <w:bottom w:val="nil"/>
              <w:right w:val="nil"/>
            </w:tcBorders>
            <w:vAlign w:val="bottom"/>
          </w:tcPr>
          <w:p w14:paraId="0D3467AF" w14:textId="77777777" w:rsidR="00A22C5D" w:rsidRPr="009C579D" w:rsidRDefault="00F265DF" w:rsidP="0062476A">
            <w:pPr>
              <w:pStyle w:val="TableTextLeft"/>
              <w:spacing w:before="36" w:after="36"/>
            </w:pPr>
            <w:r>
              <w:t>57</w:t>
            </w:r>
          </w:p>
        </w:tc>
        <w:tc>
          <w:tcPr>
            <w:tcW w:w="5870" w:type="dxa"/>
            <w:tcBorders>
              <w:top w:val="nil"/>
              <w:left w:val="nil"/>
              <w:bottom w:val="nil"/>
              <w:right w:val="nil"/>
            </w:tcBorders>
            <w:vAlign w:val="bottom"/>
          </w:tcPr>
          <w:p w14:paraId="2E7A51E8" w14:textId="77777777" w:rsidR="00A22C5D" w:rsidRPr="009C579D" w:rsidRDefault="00F265DF" w:rsidP="0062476A">
            <w:pPr>
              <w:pStyle w:val="TableTextRight"/>
              <w:spacing w:before="36" w:after="36"/>
            </w:pPr>
            <w:r>
              <w:t>250</w:t>
            </w:r>
          </w:p>
        </w:tc>
      </w:tr>
      <w:tr w:rsidR="00A22C5D" w:rsidRPr="009C579D" w14:paraId="6C3E700D" w14:textId="77777777" w:rsidTr="0062476A">
        <w:trPr>
          <w:trHeight w:hRule="exact" w:val="300"/>
        </w:trPr>
        <w:tc>
          <w:tcPr>
            <w:tcW w:w="1843" w:type="dxa"/>
            <w:tcBorders>
              <w:top w:val="nil"/>
              <w:left w:val="nil"/>
              <w:bottom w:val="nil"/>
              <w:right w:val="nil"/>
            </w:tcBorders>
            <w:shd w:val="clear" w:color="auto" w:fill="F2F2F2" w:themeFill="background1" w:themeFillShade="F2"/>
            <w:vAlign w:val="bottom"/>
          </w:tcPr>
          <w:p w14:paraId="470A5D0C" w14:textId="77777777" w:rsidR="00A22C5D" w:rsidRPr="009C579D" w:rsidRDefault="00F265DF" w:rsidP="0062476A">
            <w:pPr>
              <w:pStyle w:val="TableTextLeft"/>
              <w:spacing w:before="36" w:after="36"/>
            </w:pPr>
            <w:r>
              <w:t>58</w:t>
            </w:r>
          </w:p>
        </w:tc>
        <w:tc>
          <w:tcPr>
            <w:tcW w:w="5870" w:type="dxa"/>
            <w:tcBorders>
              <w:top w:val="nil"/>
              <w:left w:val="nil"/>
              <w:bottom w:val="nil"/>
              <w:right w:val="nil"/>
            </w:tcBorders>
            <w:shd w:val="clear" w:color="auto" w:fill="F2F2F2" w:themeFill="background1" w:themeFillShade="F2"/>
            <w:vAlign w:val="bottom"/>
          </w:tcPr>
          <w:p w14:paraId="73A06B39" w14:textId="77777777" w:rsidR="00A22C5D" w:rsidRPr="009C579D" w:rsidRDefault="00F265DF" w:rsidP="0062476A">
            <w:pPr>
              <w:pStyle w:val="TableTextRight"/>
              <w:spacing w:before="36" w:after="36"/>
            </w:pPr>
            <w:r>
              <w:t>333</w:t>
            </w:r>
          </w:p>
        </w:tc>
      </w:tr>
      <w:tr w:rsidR="00A22C5D" w:rsidRPr="009C579D" w14:paraId="69E94F89" w14:textId="77777777" w:rsidTr="0062476A">
        <w:trPr>
          <w:trHeight w:hRule="exact" w:val="300"/>
        </w:trPr>
        <w:tc>
          <w:tcPr>
            <w:tcW w:w="1843" w:type="dxa"/>
            <w:tcBorders>
              <w:top w:val="nil"/>
              <w:left w:val="nil"/>
              <w:bottom w:val="single" w:sz="2" w:space="0" w:color="000000"/>
              <w:right w:val="nil"/>
            </w:tcBorders>
            <w:vAlign w:val="bottom"/>
          </w:tcPr>
          <w:p w14:paraId="325D96CA" w14:textId="77777777" w:rsidR="00A22C5D" w:rsidRPr="009C579D" w:rsidRDefault="00F265DF" w:rsidP="0062476A">
            <w:pPr>
              <w:pStyle w:val="TableTextLeft"/>
              <w:spacing w:before="36" w:after="36"/>
            </w:pPr>
            <w:r>
              <w:t>59</w:t>
            </w:r>
          </w:p>
        </w:tc>
        <w:tc>
          <w:tcPr>
            <w:tcW w:w="5870" w:type="dxa"/>
            <w:tcBorders>
              <w:top w:val="nil"/>
              <w:left w:val="nil"/>
              <w:bottom w:val="single" w:sz="2" w:space="0" w:color="000000"/>
              <w:right w:val="nil"/>
            </w:tcBorders>
            <w:vAlign w:val="bottom"/>
          </w:tcPr>
          <w:p w14:paraId="4B6E84CB" w14:textId="77777777" w:rsidR="00A22C5D" w:rsidRPr="009C579D" w:rsidRDefault="00F265DF" w:rsidP="0062476A">
            <w:pPr>
              <w:pStyle w:val="TableTextRight"/>
              <w:spacing w:before="36" w:after="36"/>
            </w:pPr>
            <w:r>
              <w:t>500</w:t>
            </w:r>
          </w:p>
        </w:tc>
      </w:tr>
    </w:tbl>
    <w:p w14:paraId="369D3B46" w14:textId="47261D30" w:rsidR="00A22C5D" w:rsidRPr="00D26518" w:rsidRDefault="00D26518" w:rsidP="00973366">
      <w:pPr>
        <w:pStyle w:val="ChartorTableNote"/>
        <w:ind w:hanging="567"/>
      </w:pPr>
      <w:r w:rsidRPr="00D26518">
        <w:t>Note:</w:t>
      </w:r>
      <w:r w:rsidR="00973366">
        <w:tab/>
      </w:r>
      <w:r w:rsidRPr="00D26518">
        <w:t>Preserved benefits are assumed to be taken at age 55.</w:t>
      </w:r>
    </w:p>
    <w:p w14:paraId="48F7B39D" w14:textId="77777777" w:rsidR="00052A87" w:rsidRPr="00C157F7" w:rsidRDefault="00052A87" w:rsidP="00EB2452">
      <w:pPr>
        <w:pStyle w:val="Heading3nonumbering"/>
      </w:pPr>
      <w:r w:rsidRPr="00C157F7">
        <w:lastRenderedPageBreak/>
        <w:t xml:space="preserve">Retrenchment and </w:t>
      </w:r>
      <w:r>
        <w:t>r</w:t>
      </w:r>
      <w:r w:rsidRPr="00C157F7">
        <w:t>edundancy</w:t>
      </w:r>
    </w:p>
    <w:p w14:paraId="61B256F0" w14:textId="64F8D3CD" w:rsidR="00052A87" w:rsidRPr="00C157F7" w:rsidRDefault="00052A87" w:rsidP="00052A87">
      <w:pPr>
        <w:rPr>
          <w:rFonts w:cs="Arial"/>
        </w:rPr>
      </w:pPr>
      <w:r w:rsidRPr="00C157F7">
        <w:rPr>
          <w:rFonts w:cs="Arial"/>
        </w:rPr>
        <w:t>No allowance has been made for the effects of retrenchments and redundancies as the retrenchment and redundancy decision is unpredictable and impossibl</w:t>
      </w:r>
      <w:r w:rsidR="00C40369">
        <w:rPr>
          <w:rFonts w:cs="Arial"/>
        </w:rPr>
        <w:t>e to model with any confidence.</w:t>
      </w:r>
    </w:p>
    <w:p w14:paraId="11BE2B47" w14:textId="351412EE" w:rsidR="00052A87" w:rsidRPr="00C157F7" w:rsidRDefault="00052A87" w:rsidP="00EB2452">
      <w:pPr>
        <w:pStyle w:val="Heading3nonumbering"/>
        <w:keepNext/>
      </w:pPr>
      <w:r w:rsidRPr="00C157F7">
        <w:t xml:space="preserve">New </w:t>
      </w:r>
      <w:r>
        <w:t>e</w:t>
      </w:r>
      <w:r w:rsidRPr="00C157F7">
        <w:t>ntrants (</w:t>
      </w:r>
      <w:r w:rsidR="007912EC">
        <w:t>MSBS</w:t>
      </w:r>
      <w:r w:rsidRPr="00C157F7">
        <w:t>)</w:t>
      </w:r>
    </w:p>
    <w:p w14:paraId="478F0075" w14:textId="77777777" w:rsidR="00052A87" w:rsidRDefault="00052A87" w:rsidP="00052A87">
      <w:pPr>
        <w:spacing w:after="200"/>
        <w:rPr>
          <w:rFonts w:cs="Arial"/>
        </w:rPr>
      </w:pPr>
      <w:r w:rsidRPr="00C157F7">
        <w:rPr>
          <w:rFonts w:cs="Arial"/>
        </w:rPr>
        <w:t>The following table shows figures for the assumed age distribution and average salaries of male new entrants.</w:t>
      </w:r>
    </w:p>
    <w:p w14:paraId="54117526" w14:textId="77777777" w:rsidR="00052A87" w:rsidRPr="00C157F7" w:rsidRDefault="00052A87" w:rsidP="00D1063F">
      <w:pPr>
        <w:pStyle w:val="TableMainHeading-Appendix"/>
      </w:pPr>
      <w:r>
        <w:t>New entrants</w:t>
      </w:r>
    </w:p>
    <w:tbl>
      <w:tblPr>
        <w:tblW w:w="0" w:type="auto"/>
        <w:tblInd w:w="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3"/>
        <w:gridCol w:w="624"/>
        <w:gridCol w:w="851"/>
        <w:gridCol w:w="907"/>
        <w:gridCol w:w="624"/>
        <w:gridCol w:w="851"/>
        <w:gridCol w:w="907"/>
        <w:gridCol w:w="624"/>
        <w:gridCol w:w="851"/>
        <w:gridCol w:w="907"/>
      </w:tblGrid>
      <w:tr w:rsidR="0062476A" w:rsidRPr="00B85C14" w14:paraId="21E796EA" w14:textId="77777777" w:rsidTr="00EE22F6">
        <w:tc>
          <w:tcPr>
            <w:tcW w:w="553" w:type="dxa"/>
            <w:tcBorders>
              <w:top w:val="single" w:sz="2" w:space="0" w:color="000000"/>
              <w:left w:val="nil"/>
              <w:bottom w:val="nil"/>
              <w:right w:val="nil"/>
            </w:tcBorders>
            <w:shd w:val="clear" w:color="auto" w:fill="E6E6E6"/>
          </w:tcPr>
          <w:p w14:paraId="3CC81B2E" w14:textId="77777777" w:rsidR="0062476A" w:rsidRPr="00B85C14" w:rsidRDefault="0062476A" w:rsidP="00052A87">
            <w:pPr>
              <w:pStyle w:val="TableColumnHeadingLeft"/>
            </w:pPr>
          </w:p>
        </w:tc>
        <w:tc>
          <w:tcPr>
            <w:tcW w:w="1475" w:type="dxa"/>
            <w:gridSpan w:val="2"/>
            <w:tcBorders>
              <w:top w:val="single" w:sz="2" w:space="0" w:color="000000"/>
              <w:left w:val="nil"/>
              <w:bottom w:val="single" w:sz="2" w:space="0" w:color="000000"/>
              <w:right w:val="nil"/>
            </w:tcBorders>
            <w:shd w:val="clear" w:color="auto" w:fill="E6E6E6"/>
          </w:tcPr>
          <w:p w14:paraId="63C78E86" w14:textId="750F7BCE" w:rsidR="0062476A" w:rsidRDefault="0062476A" w:rsidP="00052A87">
            <w:pPr>
              <w:pStyle w:val="TableColumnHeadingCentred"/>
            </w:pPr>
            <w:r>
              <w:t>Officers</w:t>
            </w:r>
          </w:p>
        </w:tc>
        <w:tc>
          <w:tcPr>
            <w:tcW w:w="907" w:type="dxa"/>
            <w:tcBorders>
              <w:top w:val="single" w:sz="2" w:space="0" w:color="000000"/>
              <w:left w:val="nil"/>
              <w:bottom w:val="nil"/>
              <w:right w:val="nil"/>
            </w:tcBorders>
            <w:shd w:val="clear" w:color="auto" w:fill="E6E6E6"/>
          </w:tcPr>
          <w:p w14:paraId="79B38A36" w14:textId="77777777" w:rsidR="0062476A" w:rsidRPr="00B85C14" w:rsidRDefault="0062476A" w:rsidP="00052A87">
            <w:pPr>
              <w:pStyle w:val="TableColumnHeadingRight"/>
            </w:pPr>
          </w:p>
        </w:tc>
        <w:tc>
          <w:tcPr>
            <w:tcW w:w="1475" w:type="dxa"/>
            <w:gridSpan w:val="2"/>
            <w:tcBorders>
              <w:top w:val="single" w:sz="2" w:space="0" w:color="000000"/>
              <w:left w:val="nil"/>
              <w:bottom w:val="single" w:sz="2" w:space="0" w:color="000000"/>
              <w:right w:val="nil"/>
            </w:tcBorders>
            <w:shd w:val="clear" w:color="auto" w:fill="E6E6E6"/>
          </w:tcPr>
          <w:p w14:paraId="77CA2A28" w14:textId="3C5ECAF4" w:rsidR="0062476A" w:rsidRDefault="0062476A" w:rsidP="00052A87">
            <w:pPr>
              <w:pStyle w:val="TableColumnHeadingCentred"/>
            </w:pPr>
            <w:r>
              <w:t>Other ranks</w:t>
            </w:r>
          </w:p>
        </w:tc>
        <w:tc>
          <w:tcPr>
            <w:tcW w:w="907" w:type="dxa"/>
            <w:tcBorders>
              <w:top w:val="single" w:sz="2" w:space="0" w:color="000000"/>
              <w:left w:val="nil"/>
              <w:bottom w:val="nil"/>
              <w:right w:val="nil"/>
            </w:tcBorders>
            <w:shd w:val="clear" w:color="auto" w:fill="E6E6E6"/>
          </w:tcPr>
          <w:p w14:paraId="21C039FE" w14:textId="77777777" w:rsidR="0062476A" w:rsidRPr="00B85C14" w:rsidRDefault="0062476A" w:rsidP="00052A87">
            <w:pPr>
              <w:pStyle w:val="TableColumnHeadingRight"/>
            </w:pPr>
          </w:p>
        </w:tc>
        <w:tc>
          <w:tcPr>
            <w:tcW w:w="1475" w:type="dxa"/>
            <w:gridSpan w:val="2"/>
            <w:tcBorders>
              <w:top w:val="single" w:sz="2" w:space="0" w:color="000000"/>
              <w:left w:val="nil"/>
              <w:bottom w:val="single" w:sz="2" w:space="0" w:color="000000"/>
              <w:right w:val="nil"/>
            </w:tcBorders>
            <w:shd w:val="clear" w:color="auto" w:fill="E6E6E6"/>
          </w:tcPr>
          <w:p w14:paraId="667D89AE" w14:textId="00230AEF" w:rsidR="0062476A" w:rsidRDefault="0062476A" w:rsidP="00052A87">
            <w:pPr>
              <w:pStyle w:val="TableColumnHeadingCentred"/>
            </w:pPr>
            <w:r>
              <w:t>Cadets</w:t>
            </w:r>
          </w:p>
        </w:tc>
        <w:tc>
          <w:tcPr>
            <w:tcW w:w="907" w:type="dxa"/>
            <w:tcBorders>
              <w:top w:val="single" w:sz="2" w:space="0" w:color="000000"/>
              <w:left w:val="nil"/>
              <w:bottom w:val="nil"/>
              <w:right w:val="nil"/>
            </w:tcBorders>
            <w:shd w:val="clear" w:color="auto" w:fill="E6E6E6"/>
          </w:tcPr>
          <w:p w14:paraId="7917D231" w14:textId="77777777" w:rsidR="0062476A" w:rsidRPr="00B85C14" w:rsidRDefault="0062476A" w:rsidP="00052A87">
            <w:pPr>
              <w:pStyle w:val="TableColumnHeadingRight"/>
            </w:pPr>
          </w:p>
        </w:tc>
      </w:tr>
      <w:tr w:rsidR="0062476A" w:rsidRPr="00B85C14" w14:paraId="1EA8968C" w14:textId="77777777" w:rsidTr="0062476A">
        <w:tc>
          <w:tcPr>
            <w:tcW w:w="553" w:type="dxa"/>
            <w:tcBorders>
              <w:top w:val="nil"/>
              <w:left w:val="nil"/>
              <w:bottom w:val="single" w:sz="2" w:space="0" w:color="000000"/>
              <w:right w:val="nil"/>
            </w:tcBorders>
            <w:shd w:val="clear" w:color="auto" w:fill="E6E6E6"/>
          </w:tcPr>
          <w:p w14:paraId="4C956540" w14:textId="77777777" w:rsidR="00052A87" w:rsidRPr="00B85C14" w:rsidRDefault="00052A87" w:rsidP="00052A87">
            <w:pPr>
              <w:pStyle w:val="TableColumnHeadingLeft"/>
            </w:pPr>
            <w:r w:rsidRPr="00B85C14">
              <w:t>Age</w:t>
            </w:r>
          </w:p>
        </w:tc>
        <w:tc>
          <w:tcPr>
            <w:tcW w:w="624" w:type="dxa"/>
            <w:tcBorders>
              <w:top w:val="single" w:sz="2" w:space="0" w:color="000000"/>
              <w:left w:val="nil"/>
              <w:bottom w:val="single" w:sz="2" w:space="0" w:color="000000"/>
              <w:right w:val="nil"/>
            </w:tcBorders>
            <w:shd w:val="clear" w:color="auto" w:fill="E6E6E6"/>
          </w:tcPr>
          <w:p w14:paraId="1A5A24B7" w14:textId="77777777" w:rsidR="00052A87" w:rsidRPr="00B85C14" w:rsidRDefault="00052A87" w:rsidP="00052A87">
            <w:pPr>
              <w:pStyle w:val="TableColumnHeadingRight"/>
            </w:pPr>
            <w:r>
              <w:t xml:space="preserve">Males </w:t>
            </w:r>
            <w:r>
              <w:br/>
            </w:r>
            <w:r w:rsidRPr="00B85C14">
              <w:t>%</w:t>
            </w:r>
          </w:p>
        </w:tc>
        <w:tc>
          <w:tcPr>
            <w:tcW w:w="851" w:type="dxa"/>
            <w:tcBorders>
              <w:top w:val="single" w:sz="2" w:space="0" w:color="000000"/>
              <w:left w:val="nil"/>
              <w:bottom w:val="single" w:sz="2" w:space="0" w:color="000000"/>
              <w:right w:val="nil"/>
            </w:tcBorders>
            <w:shd w:val="clear" w:color="auto" w:fill="E6E6E6"/>
          </w:tcPr>
          <w:p w14:paraId="0F3F3981" w14:textId="77777777" w:rsidR="00052A87" w:rsidRPr="00B85C14" w:rsidRDefault="00052A87" w:rsidP="00052A87">
            <w:pPr>
              <w:pStyle w:val="TableColumnHeadingRight"/>
            </w:pPr>
            <w:r>
              <w:t xml:space="preserve">Females </w:t>
            </w:r>
            <w:r>
              <w:br/>
              <w:t>%</w:t>
            </w:r>
          </w:p>
        </w:tc>
        <w:tc>
          <w:tcPr>
            <w:tcW w:w="907" w:type="dxa"/>
            <w:tcBorders>
              <w:top w:val="nil"/>
              <w:left w:val="nil"/>
              <w:bottom w:val="single" w:sz="2" w:space="0" w:color="000000"/>
              <w:right w:val="nil"/>
            </w:tcBorders>
            <w:shd w:val="clear" w:color="auto" w:fill="E6E6E6"/>
          </w:tcPr>
          <w:p w14:paraId="078DC61C" w14:textId="0A131C95" w:rsidR="00052A87" w:rsidRPr="00B85C14" w:rsidRDefault="00052A87" w:rsidP="0013056A">
            <w:pPr>
              <w:pStyle w:val="TableColumnHeadingRight"/>
            </w:pPr>
            <w:r w:rsidRPr="00B85C14">
              <w:t>Average salary</w:t>
            </w:r>
            <w:r w:rsidR="0013056A">
              <w:t xml:space="preserve"> ($)</w:t>
            </w:r>
          </w:p>
        </w:tc>
        <w:tc>
          <w:tcPr>
            <w:tcW w:w="624" w:type="dxa"/>
            <w:tcBorders>
              <w:top w:val="single" w:sz="2" w:space="0" w:color="000000"/>
              <w:left w:val="nil"/>
              <w:bottom w:val="single" w:sz="2" w:space="0" w:color="000000"/>
              <w:right w:val="nil"/>
            </w:tcBorders>
            <w:shd w:val="clear" w:color="auto" w:fill="E6E6E6"/>
          </w:tcPr>
          <w:p w14:paraId="64F5D525" w14:textId="77777777" w:rsidR="00052A87" w:rsidRPr="00B85C14" w:rsidRDefault="00052A87" w:rsidP="00052A87">
            <w:pPr>
              <w:pStyle w:val="TableColumnHeadingRight"/>
            </w:pPr>
            <w:r>
              <w:t xml:space="preserve">Males </w:t>
            </w:r>
            <w:r>
              <w:br/>
            </w:r>
            <w:r w:rsidRPr="00B85C14">
              <w:t>%</w:t>
            </w:r>
          </w:p>
        </w:tc>
        <w:tc>
          <w:tcPr>
            <w:tcW w:w="851" w:type="dxa"/>
            <w:tcBorders>
              <w:top w:val="single" w:sz="2" w:space="0" w:color="000000"/>
              <w:left w:val="nil"/>
              <w:bottom w:val="single" w:sz="2" w:space="0" w:color="000000"/>
              <w:right w:val="nil"/>
            </w:tcBorders>
            <w:shd w:val="clear" w:color="auto" w:fill="E6E6E6"/>
          </w:tcPr>
          <w:p w14:paraId="45FED664" w14:textId="77777777" w:rsidR="00052A87" w:rsidRPr="00B85C14" w:rsidRDefault="00052A87" w:rsidP="00052A87">
            <w:pPr>
              <w:pStyle w:val="TableColumnHeadingRight"/>
            </w:pPr>
            <w:r>
              <w:t>Females %</w:t>
            </w:r>
          </w:p>
        </w:tc>
        <w:tc>
          <w:tcPr>
            <w:tcW w:w="907" w:type="dxa"/>
            <w:tcBorders>
              <w:top w:val="nil"/>
              <w:left w:val="nil"/>
              <w:bottom w:val="single" w:sz="2" w:space="0" w:color="000000"/>
              <w:right w:val="nil"/>
            </w:tcBorders>
            <w:shd w:val="clear" w:color="auto" w:fill="E6E6E6"/>
          </w:tcPr>
          <w:p w14:paraId="5C738E06" w14:textId="3983EC7E" w:rsidR="00052A87" w:rsidRPr="00B85C14" w:rsidRDefault="00052A87" w:rsidP="0013056A">
            <w:pPr>
              <w:pStyle w:val="TableColumnHeadingRight"/>
            </w:pPr>
            <w:r w:rsidRPr="00B85C14">
              <w:t>Average salar</w:t>
            </w:r>
            <w:r w:rsidR="0013056A">
              <w:t>y ($)</w:t>
            </w:r>
          </w:p>
        </w:tc>
        <w:tc>
          <w:tcPr>
            <w:tcW w:w="624" w:type="dxa"/>
            <w:tcBorders>
              <w:top w:val="single" w:sz="2" w:space="0" w:color="000000"/>
              <w:left w:val="nil"/>
              <w:bottom w:val="single" w:sz="2" w:space="0" w:color="000000"/>
              <w:right w:val="nil"/>
            </w:tcBorders>
            <w:shd w:val="clear" w:color="auto" w:fill="E6E6E6"/>
          </w:tcPr>
          <w:p w14:paraId="581C51E6" w14:textId="77777777" w:rsidR="00052A87" w:rsidRPr="00B85C14" w:rsidRDefault="00052A87" w:rsidP="00052A87">
            <w:pPr>
              <w:pStyle w:val="TableColumnHeadingRight"/>
            </w:pPr>
            <w:r>
              <w:t xml:space="preserve">Males </w:t>
            </w:r>
            <w:r w:rsidRPr="00B85C14">
              <w:t>%</w:t>
            </w:r>
          </w:p>
        </w:tc>
        <w:tc>
          <w:tcPr>
            <w:tcW w:w="851" w:type="dxa"/>
            <w:tcBorders>
              <w:top w:val="single" w:sz="2" w:space="0" w:color="000000"/>
              <w:left w:val="nil"/>
              <w:bottom w:val="single" w:sz="2" w:space="0" w:color="000000"/>
              <w:right w:val="nil"/>
            </w:tcBorders>
            <w:shd w:val="clear" w:color="auto" w:fill="E6E6E6"/>
          </w:tcPr>
          <w:p w14:paraId="517EB69A" w14:textId="77777777" w:rsidR="00052A87" w:rsidRPr="00B85C14" w:rsidRDefault="00052A87" w:rsidP="00052A87">
            <w:pPr>
              <w:pStyle w:val="TableColumnHeadingRight"/>
            </w:pPr>
            <w:r>
              <w:t>Females %</w:t>
            </w:r>
          </w:p>
        </w:tc>
        <w:tc>
          <w:tcPr>
            <w:tcW w:w="907" w:type="dxa"/>
            <w:tcBorders>
              <w:top w:val="nil"/>
              <w:left w:val="nil"/>
              <w:bottom w:val="single" w:sz="2" w:space="0" w:color="000000"/>
              <w:right w:val="nil"/>
            </w:tcBorders>
            <w:shd w:val="clear" w:color="auto" w:fill="E6E6E6"/>
          </w:tcPr>
          <w:p w14:paraId="053007D1" w14:textId="44E5DB3A" w:rsidR="00052A87" w:rsidRPr="00B85C14" w:rsidRDefault="00052A87" w:rsidP="0013056A">
            <w:pPr>
              <w:pStyle w:val="TableColumnHeadingRight"/>
            </w:pPr>
            <w:r w:rsidRPr="00B85C14">
              <w:t>Average salar</w:t>
            </w:r>
            <w:r w:rsidR="0013056A">
              <w:t>y ($)</w:t>
            </w:r>
          </w:p>
        </w:tc>
      </w:tr>
      <w:tr w:rsidR="0062476A" w:rsidRPr="00B85C14" w14:paraId="7A989892" w14:textId="77777777" w:rsidTr="0062476A">
        <w:tc>
          <w:tcPr>
            <w:tcW w:w="553" w:type="dxa"/>
            <w:tcBorders>
              <w:top w:val="single" w:sz="2" w:space="0" w:color="000000"/>
              <w:left w:val="nil"/>
              <w:bottom w:val="nil"/>
              <w:right w:val="nil"/>
            </w:tcBorders>
          </w:tcPr>
          <w:p w14:paraId="44A4467C" w14:textId="77777777" w:rsidR="00E21E38" w:rsidRPr="005A0CE4" w:rsidRDefault="00E21E38" w:rsidP="00A72EA9">
            <w:pPr>
              <w:pStyle w:val="TableColumnHeadingLeft"/>
              <w:spacing w:before="36" w:after="36"/>
            </w:pPr>
            <w:r w:rsidRPr="005A0CE4">
              <w:t>17</w:t>
            </w:r>
          </w:p>
        </w:tc>
        <w:tc>
          <w:tcPr>
            <w:tcW w:w="624" w:type="dxa"/>
            <w:tcBorders>
              <w:top w:val="single" w:sz="2" w:space="0" w:color="000000"/>
              <w:left w:val="nil"/>
              <w:bottom w:val="nil"/>
              <w:right w:val="nil"/>
            </w:tcBorders>
          </w:tcPr>
          <w:p w14:paraId="6D30E3C7" w14:textId="77777777" w:rsidR="00E21E38" w:rsidRPr="00B85C14" w:rsidRDefault="00E21E38" w:rsidP="00A72EA9">
            <w:pPr>
              <w:pStyle w:val="TableTextRight"/>
              <w:spacing w:before="36" w:after="36"/>
              <w:rPr>
                <w:snapToGrid w:val="0"/>
                <w:lang w:val="en-US"/>
              </w:rPr>
            </w:pPr>
            <w:r>
              <w:rPr>
                <w:snapToGrid w:val="0"/>
                <w:lang w:val="en-US"/>
              </w:rPr>
              <w:noBreakHyphen/>
            </w:r>
          </w:p>
        </w:tc>
        <w:tc>
          <w:tcPr>
            <w:tcW w:w="851" w:type="dxa"/>
            <w:tcBorders>
              <w:top w:val="single" w:sz="2" w:space="0" w:color="000000"/>
              <w:left w:val="nil"/>
              <w:bottom w:val="nil"/>
              <w:right w:val="nil"/>
            </w:tcBorders>
          </w:tcPr>
          <w:p w14:paraId="079F363E" w14:textId="77777777" w:rsidR="00E21E38" w:rsidRPr="00FF3826" w:rsidRDefault="00E21E38" w:rsidP="00A72EA9">
            <w:pPr>
              <w:pStyle w:val="TableTextRight"/>
              <w:spacing w:before="36" w:after="36"/>
              <w:rPr>
                <w:snapToGrid w:val="0"/>
                <w:lang w:val="en-US"/>
              </w:rPr>
            </w:pPr>
            <w:r>
              <w:rPr>
                <w:snapToGrid w:val="0"/>
                <w:lang w:val="en-US"/>
              </w:rPr>
              <w:noBreakHyphen/>
            </w:r>
          </w:p>
        </w:tc>
        <w:tc>
          <w:tcPr>
            <w:tcW w:w="907" w:type="dxa"/>
            <w:tcBorders>
              <w:top w:val="single" w:sz="2" w:space="0" w:color="000000"/>
              <w:left w:val="nil"/>
              <w:bottom w:val="nil"/>
              <w:right w:val="nil"/>
            </w:tcBorders>
          </w:tcPr>
          <w:p w14:paraId="01F0A00D" w14:textId="77777777" w:rsidR="00E21E38" w:rsidRPr="00B85C14" w:rsidRDefault="00E21E38" w:rsidP="00A72EA9">
            <w:pPr>
              <w:pStyle w:val="TableTextRight"/>
              <w:spacing w:before="36" w:after="36"/>
              <w:rPr>
                <w:snapToGrid w:val="0"/>
                <w:lang w:val="en-US"/>
              </w:rPr>
            </w:pPr>
            <w:r>
              <w:rPr>
                <w:snapToGrid w:val="0"/>
                <w:lang w:val="en-US"/>
              </w:rPr>
              <w:noBreakHyphen/>
            </w:r>
          </w:p>
        </w:tc>
        <w:tc>
          <w:tcPr>
            <w:tcW w:w="624" w:type="dxa"/>
            <w:tcBorders>
              <w:top w:val="single" w:sz="2" w:space="0" w:color="000000"/>
              <w:left w:val="nil"/>
              <w:bottom w:val="nil"/>
              <w:right w:val="nil"/>
            </w:tcBorders>
          </w:tcPr>
          <w:p w14:paraId="0738B6B1" w14:textId="77777777" w:rsidR="00E21E38" w:rsidRPr="00B85C14" w:rsidRDefault="000766BE" w:rsidP="00A72EA9">
            <w:pPr>
              <w:pStyle w:val="TableTextRight"/>
              <w:spacing w:before="36" w:after="36"/>
              <w:rPr>
                <w:snapToGrid w:val="0"/>
                <w:lang w:val="en-US"/>
              </w:rPr>
            </w:pPr>
            <w:r>
              <w:rPr>
                <w:snapToGrid w:val="0"/>
                <w:lang w:val="en-US"/>
              </w:rPr>
              <w:t>9</w:t>
            </w:r>
            <w:r w:rsidR="00E21E38">
              <w:rPr>
                <w:snapToGrid w:val="0"/>
                <w:lang w:val="en-US"/>
              </w:rPr>
              <w:t>.0</w:t>
            </w:r>
          </w:p>
        </w:tc>
        <w:tc>
          <w:tcPr>
            <w:tcW w:w="851" w:type="dxa"/>
            <w:tcBorders>
              <w:top w:val="single" w:sz="2" w:space="0" w:color="000000"/>
              <w:left w:val="nil"/>
              <w:bottom w:val="nil"/>
              <w:right w:val="nil"/>
            </w:tcBorders>
          </w:tcPr>
          <w:p w14:paraId="25C55EF9" w14:textId="77777777" w:rsidR="00E21E38" w:rsidRPr="00FF3826" w:rsidRDefault="00E21E38" w:rsidP="00A72EA9">
            <w:pPr>
              <w:pStyle w:val="TableTextRight"/>
              <w:spacing w:before="36" w:after="36"/>
              <w:rPr>
                <w:snapToGrid w:val="0"/>
                <w:lang w:val="en-US"/>
              </w:rPr>
            </w:pPr>
            <w:r>
              <w:rPr>
                <w:snapToGrid w:val="0"/>
                <w:lang w:val="en-US"/>
              </w:rPr>
              <w:t>1</w:t>
            </w:r>
            <w:r w:rsidR="00915158">
              <w:rPr>
                <w:snapToGrid w:val="0"/>
                <w:lang w:val="en-US"/>
              </w:rPr>
              <w:t>0</w:t>
            </w:r>
            <w:r>
              <w:rPr>
                <w:snapToGrid w:val="0"/>
                <w:lang w:val="en-US"/>
              </w:rPr>
              <w:t>.0</w:t>
            </w:r>
          </w:p>
        </w:tc>
        <w:tc>
          <w:tcPr>
            <w:tcW w:w="907" w:type="dxa"/>
            <w:tcBorders>
              <w:top w:val="single" w:sz="2" w:space="0" w:color="000000"/>
              <w:left w:val="nil"/>
              <w:bottom w:val="nil"/>
              <w:right w:val="nil"/>
            </w:tcBorders>
            <w:vAlign w:val="bottom"/>
          </w:tcPr>
          <w:p w14:paraId="1FD9498C" w14:textId="77777777" w:rsidR="00E21E38" w:rsidRPr="00EF645E" w:rsidRDefault="006B5D86" w:rsidP="00A72EA9">
            <w:pPr>
              <w:pStyle w:val="TableTextRight"/>
              <w:spacing w:before="36" w:after="36"/>
              <w:rPr>
                <w:snapToGrid w:val="0"/>
                <w:lang w:val="en-US"/>
              </w:rPr>
            </w:pPr>
            <w:r>
              <w:rPr>
                <w:snapToGrid w:val="0"/>
                <w:lang w:val="en-US"/>
              </w:rPr>
              <w:t>48,700</w:t>
            </w:r>
          </w:p>
        </w:tc>
        <w:tc>
          <w:tcPr>
            <w:tcW w:w="624" w:type="dxa"/>
            <w:tcBorders>
              <w:top w:val="single" w:sz="2" w:space="0" w:color="000000"/>
              <w:left w:val="nil"/>
              <w:bottom w:val="nil"/>
              <w:right w:val="nil"/>
            </w:tcBorders>
          </w:tcPr>
          <w:p w14:paraId="6DE734F2" w14:textId="77777777" w:rsidR="00E21E38" w:rsidRPr="00B85C14" w:rsidRDefault="00E21E38" w:rsidP="00A72EA9">
            <w:pPr>
              <w:pStyle w:val="TableTextRight"/>
              <w:spacing w:before="36" w:after="36"/>
              <w:rPr>
                <w:snapToGrid w:val="0"/>
                <w:lang w:val="en-US"/>
              </w:rPr>
            </w:pPr>
            <w:r>
              <w:rPr>
                <w:snapToGrid w:val="0"/>
                <w:lang w:val="en-US"/>
              </w:rPr>
              <w:t>20.7</w:t>
            </w:r>
          </w:p>
        </w:tc>
        <w:tc>
          <w:tcPr>
            <w:tcW w:w="851" w:type="dxa"/>
            <w:tcBorders>
              <w:top w:val="single" w:sz="2" w:space="0" w:color="000000"/>
              <w:left w:val="nil"/>
              <w:bottom w:val="nil"/>
              <w:right w:val="nil"/>
            </w:tcBorders>
          </w:tcPr>
          <w:p w14:paraId="59E70922" w14:textId="77777777" w:rsidR="00E21E38" w:rsidRPr="00B85C14" w:rsidRDefault="00E21E38" w:rsidP="00A72EA9">
            <w:pPr>
              <w:pStyle w:val="TableTextRight"/>
              <w:spacing w:before="36" w:after="36"/>
              <w:rPr>
                <w:snapToGrid w:val="0"/>
                <w:lang w:val="en-US"/>
              </w:rPr>
            </w:pPr>
            <w:r>
              <w:rPr>
                <w:snapToGrid w:val="0"/>
                <w:lang w:val="en-US"/>
              </w:rPr>
              <w:t>20.7</w:t>
            </w:r>
          </w:p>
        </w:tc>
        <w:tc>
          <w:tcPr>
            <w:tcW w:w="907" w:type="dxa"/>
            <w:tcBorders>
              <w:top w:val="single" w:sz="2" w:space="0" w:color="000000"/>
              <w:left w:val="nil"/>
              <w:bottom w:val="nil"/>
              <w:right w:val="nil"/>
            </w:tcBorders>
            <w:vAlign w:val="bottom"/>
          </w:tcPr>
          <w:p w14:paraId="0F563E16" w14:textId="77777777" w:rsidR="00E21E38" w:rsidRPr="00EF645E" w:rsidRDefault="00E21E38" w:rsidP="00A72EA9">
            <w:pPr>
              <w:pStyle w:val="TableTextRight"/>
              <w:spacing w:before="36" w:after="36"/>
              <w:rPr>
                <w:snapToGrid w:val="0"/>
                <w:lang w:val="en-US"/>
              </w:rPr>
            </w:pPr>
            <w:r>
              <w:rPr>
                <w:snapToGrid w:val="0"/>
                <w:lang w:val="en-US"/>
              </w:rPr>
              <w:t>3</w:t>
            </w:r>
            <w:r w:rsidR="00642AA9">
              <w:rPr>
                <w:snapToGrid w:val="0"/>
                <w:lang w:val="en-US"/>
              </w:rPr>
              <w:t>9</w:t>
            </w:r>
            <w:r>
              <w:rPr>
                <w:snapToGrid w:val="0"/>
                <w:lang w:val="en-US"/>
              </w:rPr>
              <w:t>,</w:t>
            </w:r>
            <w:r w:rsidR="00642AA9">
              <w:rPr>
                <w:snapToGrid w:val="0"/>
                <w:lang w:val="en-US"/>
              </w:rPr>
              <w:t>564</w:t>
            </w:r>
          </w:p>
        </w:tc>
      </w:tr>
      <w:tr w:rsidR="0062476A" w:rsidRPr="00B85C14" w14:paraId="315C7BF7" w14:textId="77777777" w:rsidTr="0062476A">
        <w:tc>
          <w:tcPr>
            <w:tcW w:w="553" w:type="dxa"/>
            <w:tcBorders>
              <w:top w:val="nil"/>
              <w:left w:val="nil"/>
              <w:bottom w:val="nil"/>
              <w:right w:val="nil"/>
            </w:tcBorders>
          </w:tcPr>
          <w:p w14:paraId="4B221D4A" w14:textId="77777777" w:rsidR="006B5D86" w:rsidRPr="005A0CE4" w:rsidRDefault="006B5D86" w:rsidP="00A72EA9">
            <w:pPr>
              <w:pStyle w:val="TableColumnHeadingLeft"/>
              <w:spacing w:before="36" w:after="36"/>
            </w:pPr>
            <w:r w:rsidRPr="005A0CE4">
              <w:t>18</w:t>
            </w:r>
          </w:p>
        </w:tc>
        <w:tc>
          <w:tcPr>
            <w:tcW w:w="624" w:type="dxa"/>
            <w:tcBorders>
              <w:top w:val="nil"/>
              <w:left w:val="nil"/>
              <w:bottom w:val="nil"/>
              <w:right w:val="nil"/>
            </w:tcBorders>
          </w:tcPr>
          <w:p w14:paraId="76CA6A49" w14:textId="77777777" w:rsidR="006B5D86" w:rsidRPr="00190D6C" w:rsidRDefault="006B5D86" w:rsidP="00A72EA9">
            <w:pPr>
              <w:pStyle w:val="TableTextRight"/>
              <w:spacing w:before="36" w:after="36"/>
              <w:rPr>
                <w:snapToGrid w:val="0"/>
                <w:lang w:val="en-US"/>
              </w:rPr>
            </w:pPr>
            <w:r w:rsidRPr="00190D6C">
              <w:rPr>
                <w:snapToGrid w:val="0"/>
                <w:lang w:val="en-US"/>
              </w:rPr>
              <w:t xml:space="preserve"> 0.5 </w:t>
            </w:r>
          </w:p>
        </w:tc>
        <w:tc>
          <w:tcPr>
            <w:tcW w:w="851" w:type="dxa"/>
            <w:tcBorders>
              <w:top w:val="nil"/>
              <w:left w:val="nil"/>
              <w:bottom w:val="nil"/>
              <w:right w:val="nil"/>
            </w:tcBorders>
          </w:tcPr>
          <w:p w14:paraId="4E5C5A85" w14:textId="5C05DD2A" w:rsidR="006B5D86" w:rsidRPr="00190D6C" w:rsidRDefault="006B5D86"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907" w:type="dxa"/>
            <w:tcBorders>
              <w:top w:val="nil"/>
              <w:left w:val="nil"/>
              <w:bottom w:val="nil"/>
              <w:right w:val="nil"/>
            </w:tcBorders>
          </w:tcPr>
          <w:p w14:paraId="48097EA7" w14:textId="77777777" w:rsidR="006B5D86" w:rsidRPr="006B5D86" w:rsidRDefault="006B5D86" w:rsidP="00A72EA9">
            <w:pPr>
              <w:pStyle w:val="TableTextRight"/>
              <w:spacing w:before="36" w:after="36"/>
              <w:rPr>
                <w:snapToGrid w:val="0"/>
                <w:lang w:val="en-US"/>
              </w:rPr>
            </w:pPr>
            <w:r w:rsidRPr="006B5D86">
              <w:rPr>
                <w:snapToGrid w:val="0"/>
                <w:lang w:val="en-US"/>
              </w:rPr>
              <w:t xml:space="preserve"> 54,782 </w:t>
            </w:r>
          </w:p>
        </w:tc>
        <w:tc>
          <w:tcPr>
            <w:tcW w:w="624" w:type="dxa"/>
            <w:tcBorders>
              <w:top w:val="nil"/>
              <w:left w:val="nil"/>
              <w:bottom w:val="nil"/>
              <w:right w:val="nil"/>
            </w:tcBorders>
          </w:tcPr>
          <w:p w14:paraId="2F4C9A72"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18</w:t>
            </w:r>
            <w:r w:rsidRPr="00190D6C">
              <w:rPr>
                <w:snapToGrid w:val="0"/>
                <w:lang w:val="en-US"/>
              </w:rPr>
              <w:t>.</w:t>
            </w:r>
            <w:r>
              <w:rPr>
                <w:snapToGrid w:val="0"/>
                <w:lang w:val="en-US"/>
              </w:rPr>
              <w:t>9</w:t>
            </w:r>
            <w:r w:rsidRPr="00190D6C">
              <w:rPr>
                <w:snapToGrid w:val="0"/>
                <w:lang w:val="en-US"/>
              </w:rPr>
              <w:t xml:space="preserve"> </w:t>
            </w:r>
          </w:p>
        </w:tc>
        <w:tc>
          <w:tcPr>
            <w:tcW w:w="851" w:type="dxa"/>
            <w:tcBorders>
              <w:top w:val="nil"/>
              <w:left w:val="nil"/>
              <w:bottom w:val="nil"/>
              <w:right w:val="nil"/>
            </w:tcBorders>
          </w:tcPr>
          <w:p w14:paraId="28CDCFB9"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w:t>
            </w:r>
            <w:r>
              <w:rPr>
                <w:snapToGrid w:val="0"/>
                <w:lang w:val="en-US"/>
              </w:rPr>
              <w:t>0</w:t>
            </w:r>
            <w:r w:rsidRPr="00190D6C">
              <w:rPr>
                <w:snapToGrid w:val="0"/>
                <w:lang w:val="en-US"/>
              </w:rPr>
              <w:t>.</w:t>
            </w:r>
            <w:r>
              <w:rPr>
                <w:snapToGrid w:val="0"/>
                <w:lang w:val="en-US"/>
              </w:rPr>
              <w:t>0</w:t>
            </w:r>
            <w:r w:rsidRPr="00190D6C">
              <w:rPr>
                <w:snapToGrid w:val="0"/>
                <w:lang w:val="en-US"/>
              </w:rPr>
              <w:t xml:space="preserve"> </w:t>
            </w:r>
          </w:p>
        </w:tc>
        <w:tc>
          <w:tcPr>
            <w:tcW w:w="907" w:type="dxa"/>
            <w:tcBorders>
              <w:top w:val="nil"/>
              <w:left w:val="nil"/>
              <w:bottom w:val="nil"/>
              <w:right w:val="nil"/>
            </w:tcBorders>
          </w:tcPr>
          <w:p w14:paraId="7AA6AA8B"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49,100</w:t>
            </w:r>
            <w:r w:rsidRPr="000E13F8">
              <w:rPr>
                <w:snapToGrid w:val="0"/>
                <w:lang w:val="en-US"/>
              </w:rPr>
              <w:t xml:space="preserve"> </w:t>
            </w:r>
          </w:p>
        </w:tc>
        <w:tc>
          <w:tcPr>
            <w:tcW w:w="624" w:type="dxa"/>
            <w:tcBorders>
              <w:top w:val="nil"/>
              <w:left w:val="nil"/>
              <w:bottom w:val="nil"/>
              <w:right w:val="nil"/>
            </w:tcBorders>
          </w:tcPr>
          <w:p w14:paraId="66E99B7E" w14:textId="77777777" w:rsidR="006B5D86" w:rsidRPr="000E13F8" w:rsidRDefault="006B5D86" w:rsidP="00A72EA9">
            <w:pPr>
              <w:pStyle w:val="TableTextRight"/>
              <w:spacing w:before="36" w:after="36"/>
              <w:rPr>
                <w:snapToGrid w:val="0"/>
                <w:lang w:val="en-US"/>
              </w:rPr>
            </w:pPr>
            <w:r w:rsidRPr="000E13F8">
              <w:rPr>
                <w:snapToGrid w:val="0"/>
                <w:lang w:val="en-US"/>
              </w:rPr>
              <w:t xml:space="preserve"> 3</w:t>
            </w:r>
            <w:r>
              <w:rPr>
                <w:snapToGrid w:val="0"/>
                <w:lang w:val="en-US"/>
              </w:rPr>
              <w:t>1</w:t>
            </w:r>
            <w:r w:rsidRPr="000E13F8">
              <w:rPr>
                <w:snapToGrid w:val="0"/>
                <w:lang w:val="en-US"/>
              </w:rPr>
              <w:t>.</w:t>
            </w:r>
            <w:r>
              <w:rPr>
                <w:snapToGrid w:val="0"/>
                <w:lang w:val="en-US"/>
              </w:rPr>
              <w:t>5</w:t>
            </w:r>
            <w:r w:rsidRPr="000E13F8">
              <w:rPr>
                <w:snapToGrid w:val="0"/>
                <w:lang w:val="en-US"/>
              </w:rPr>
              <w:t xml:space="preserve"> </w:t>
            </w:r>
          </w:p>
        </w:tc>
        <w:tc>
          <w:tcPr>
            <w:tcW w:w="851" w:type="dxa"/>
            <w:tcBorders>
              <w:top w:val="nil"/>
              <w:left w:val="nil"/>
              <w:bottom w:val="nil"/>
              <w:right w:val="nil"/>
            </w:tcBorders>
          </w:tcPr>
          <w:p w14:paraId="2AFF1A80" w14:textId="77777777" w:rsidR="006B5D86" w:rsidRPr="000E13F8" w:rsidRDefault="006B5D86" w:rsidP="00A72EA9">
            <w:pPr>
              <w:pStyle w:val="TableTextRight"/>
              <w:spacing w:before="36" w:after="36"/>
              <w:rPr>
                <w:snapToGrid w:val="0"/>
                <w:lang w:val="en-US"/>
              </w:rPr>
            </w:pPr>
            <w:r w:rsidRPr="000E13F8">
              <w:rPr>
                <w:snapToGrid w:val="0"/>
                <w:lang w:val="en-US"/>
              </w:rPr>
              <w:t xml:space="preserve"> 3</w:t>
            </w:r>
            <w:r>
              <w:rPr>
                <w:snapToGrid w:val="0"/>
                <w:lang w:val="en-US"/>
              </w:rPr>
              <w:t>1</w:t>
            </w:r>
            <w:r w:rsidRPr="000E13F8">
              <w:rPr>
                <w:snapToGrid w:val="0"/>
                <w:lang w:val="en-US"/>
              </w:rPr>
              <w:t>.</w:t>
            </w:r>
            <w:r>
              <w:rPr>
                <w:snapToGrid w:val="0"/>
                <w:lang w:val="en-US"/>
              </w:rPr>
              <w:t>5</w:t>
            </w:r>
            <w:r w:rsidRPr="000E13F8">
              <w:rPr>
                <w:snapToGrid w:val="0"/>
                <w:lang w:val="en-US"/>
              </w:rPr>
              <w:t xml:space="preserve"> </w:t>
            </w:r>
          </w:p>
        </w:tc>
        <w:tc>
          <w:tcPr>
            <w:tcW w:w="907" w:type="dxa"/>
            <w:tcBorders>
              <w:top w:val="nil"/>
              <w:left w:val="nil"/>
              <w:bottom w:val="nil"/>
              <w:right w:val="nil"/>
            </w:tcBorders>
          </w:tcPr>
          <w:p w14:paraId="17A85F4B"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40</w:t>
            </w:r>
            <w:r w:rsidRPr="000E13F8">
              <w:rPr>
                <w:snapToGrid w:val="0"/>
                <w:lang w:val="en-US"/>
              </w:rPr>
              <w:t>,</w:t>
            </w:r>
            <w:r w:rsidR="00642AA9">
              <w:rPr>
                <w:snapToGrid w:val="0"/>
                <w:lang w:val="en-US"/>
              </w:rPr>
              <w:t>289</w:t>
            </w:r>
            <w:r w:rsidRPr="000E13F8">
              <w:rPr>
                <w:snapToGrid w:val="0"/>
                <w:lang w:val="en-US"/>
              </w:rPr>
              <w:t xml:space="preserve"> </w:t>
            </w:r>
          </w:p>
        </w:tc>
      </w:tr>
      <w:tr w:rsidR="0062476A" w:rsidRPr="00B85C14" w14:paraId="461DE925" w14:textId="77777777" w:rsidTr="0062476A">
        <w:tc>
          <w:tcPr>
            <w:tcW w:w="553" w:type="dxa"/>
            <w:tcBorders>
              <w:top w:val="nil"/>
              <w:left w:val="nil"/>
              <w:bottom w:val="single" w:sz="2" w:space="0" w:color="000000"/>
              <w:right w:val="nil"/>
            </w:tcBorders>
          </w:tcPr>
          <w:p w14:paraId="440C83A7" w14:textId="77777777" w:rsidR="006B5D86" w:rsidRPr="005A0CE4" w:rsidRDefault="006B5D86" w:rsidP="00A72EA9">
            <w:pPr>
              <w:pStyle w:val="TableColumnHeadingLeft"/>
              <w:spacing w:before="36" w:after="36"/>
            </w:pPr>
            <w:r w:rsidRPr="005A0CE4">
              <w:t>19</w:t>
            </w:r>
          </w:p>
        </w:tc>
        <w:tc>
          <w:tcPr>
            <w:tcW w:w="624" w:type="dxa"/>
            <w:tcBorders>
              <w:top w:val="nil"/>
              <w:left w:val="nil"/>
              <w:bottom w:val="single" w:sz="2" w:space="0" w:color="000000"/>
              <w:right w:val="nil"/>
            </w:tcBorders>
          </w:tcPr>
          <w:p w14:paraId="2F237E1A"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1.0 </w:t>
            </w:r>
          </w:p>
        </w:tc>
        <w:tc>
          <w:tcPr>
            <w:tcW w:w="851" w:type="dxa"/>
            <w:tcBorders>
              <w:top w:val="nil"/>
              <w:left w:val="nil"/>
              <w:bottom w:val="single" w:sz="2" w:space="0" w:color="000000"/>
              <w:right w:val="nil"/>
            </w:tcBorders>
          </w:tcPr>
          <w:p w14:paraId="7FA97C84" w14:textId="4029C80C" w:rsidR="006B5D86" w:rsidRPr="00190D6C" w:rsidRDefault="006B5D86"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907" w:type="dxa"/>
            <w:tcBorders>
              <w:top w:val="nil"/>
              <w:left w:val="nil"/>
              <w:bottom w:val="single" w:sz="2" w:space="0" w:color="000000"/>
              <w:right w:val="nil"/>
            </w:tcBorders>
          </w:tcPr>
          <w:p w14:paraId="241AC253" w14:textId="77777777" w:rsidR="006B5D86" w:rsidRPr="006B5D86" w:rsidRDefault="006B5D86" w:rsidP="00A72EA9">
            <w:pPr>
              <w:pStyle w:val="TableTextRight"/>
              <w:spacing w:before="36" w:after="36"/>
              <w:rPr>
                <w:snapToGrid w:val="0"/>
                <w:lang w:val="en-US"/>
              </w:rPr>
            </w:pPr>
            <w:r w:rsidRPr="006B5D86">
              <w:rPr>
                <w:snapToGrid w:val="0"/>
                <w:lang w:val="en-US"/>
              </w:rPr>
              <w:t xml:space="preserve"> 56,862 </w:t>
            </w:r>
          </w:p>
        </w:tc>
        <w:tc>
          <w:tcPr>
            <w:tcW w:w="624" w:type="dxa"/>
            <w:tcBorders>
              <w:top w:val="nil"/>
              <w:left w:val="nil"/>
              <w:bottom w:val="single" w:sz="2" w:space="0" w:color="000000"/>
              <w:right w:val="nil"/>
            </w:tcBorders>
          </w:tcPr>
          <w:p w14:paraId="319DB30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w:t>
            </w:r>
            <w:r>
              <w:rPr>
                <w:snapToGrid w:val="0"/>
                <w:lang w:val="en-US"/>
              </w:rPr>
              <w:t>6</w:t>
            </w:r>
            <w:r w:rsidRPr="00190D6C">
              <w:rPr>
                <w:snapToGrid w:val="0"/>
                <w:lang w:val="en-US"/>
              </w:rPr>
              <w:t>.</w:t>
            </w:r>
            <w:r>
              <w:rPr>
                <w:snapToGrid w:val="0"/>
                <w:lang w:val="en-US"/>
              </w:rPr>
              <w:t>0</w:t>
            </w:r>
            <w:r w:rsidRPr="00190D6C">
              <w:rPr>
                <w:snapToGrid w:val="0"/>
                <w:lang w:val="en-US"/>
              </w:rPr>
              <w:t xml:space="preserve"> </w:t>
            </w:r>
          </w:p>
        </w:tc>
        <w:tc>
          <w:tcPr>
            <w:tcW w:w="851" w:type="dxa"/>
            <w:tcBorders>
              <w:top w:val="nil"/>
              <w:left w:val="nil"/>
              <w:bottom w:val="single" w:sz="2" w:space="0" w:color="000000"/>
              <w:right w:val="nil"/>
            </w:tcBorders>
          </w:tcPr>
          <w:p w14:paraId="09EB162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w:t>
            </w:r>
            <w:r>
              <w:rPr>
                <w:snapToGrid w:val="0"/>
                <w:lang w:val="en-US"/>
              </w:rPr>
              <w:t>5</w:t>
            </w:r>
            <w:r w:rsidRPr="00190D6C">
              <w:rPr>
                <w:snapToGrid w:val="0"/>
                <w:lang w:val="en-US"/>
              </w:rPr>
              <w:t xml:space="preserve">.0 </w:t>
            </w:r>
          </w:p>
        </w:tc>
        <w:tc>
          <w:tcPr>
            <w:tcW w:w="907" w:type="dxa"/>
            <w:tcBorders>
              <w:top w:val="nil"/>
              <w:left w:val="nil"/>
              <w:bottom w:val="single" w:sz="2" w:space="0" w:color="000000"/>
              <w:right w:val="nil"/>
            </w:tcBorders>
          </w:tcPr>
          <w:p w14:paraId="1ABE7A04"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Pr>
                <w:snapToGrid w:val="0"/>
                <w:lang w:val="en-US"/>
              </w:rPr>
              <w:t>9</w:t>
            </w:r>
            <w:r w:rsidRPr="000E13F8">
              <w:rPr>
                <w:snapToGrid w:val="0"/>
                <w:lang w:val="en-US"/>
              </w:rPr>
              <w:t>,</w:t>
            </w:r>
            <w:r>
              <w:rPr>
                <w:snapToGrid w:val="0"/>
                <w:lang w:val="en-US"/>
              </w:rPr>
              <w:t>500</w:t>
            </w:r>
            <w:r w:rsidRPr="000E13F8">
              <w:rPr>
                <w:snapToGrid w:val="0"/>
                <w:lang w:val="en-US"/>
              </w:rPr>
              <w:t xml:space="preserve"> </w:t>
            </w:r>
          </w:p>
        </w:tc>
        <w:tc>
          <w:tcPr>
            <w:tcW w:w="624" w:type="dxa"/>
            <w:tcBorders>
              <w:top w:val="nil"/>
              <w:left w:val="nil"/>
              <w:bottom w:val="single" w:sz="2" w:space="0" w:color="000000"/>
              <w:right w:val="nil"/>
            </w:tcBorders>
          </w:tcPr>
          <w:p w14:paraId="185BB1B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3</w:t>
            </w:r>
            <w:r w:rsidRPr="000E13F8">
              <w:rPr>
                <w:snapToGrid w:val="0"/>
                <w:lang w:val="en-US"/>
              </w:rPr>
              <w:t>.</w:t>
            </w:r>
            <w:r>
              <w:rPr>
                <w:snapToGrid w:val="0"/>
                <w:lang w:val="en-US"/>
              </w:rPr>
              <w:t>1</w:t>
            </w:r>
            <w:r w:rsidRPr="000E13F8">
              <w:rPr>
                <w:snapToGrid w:val="0"/>
                <w:lang w:val="en-US"/>
              </w:rPr>
              <w:t xml:space="preserve"> </w:t>
            </w:r>
          </w:p>
        </w:tc>
        <w:tc>
          <w:tcPr>
            <w:tcW w:w="851" w:type="dxa"/>
            <w:tcBorders>
              <w:top w:val="nil"/>
              <w:left w:val="nil"/>
              <w:bottom w:val="single" w:sz="2" w:space="0" w:color="000000"/>
              <w:right w:val="nil"/>
            </w:tcBorders>
          </w:tcPr>
          <w:p w14:paraId="10BE61A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3</w:t>
            </w:r>
            <w:r w:rsidRPr="000E13F8">
              <w:rPr>
                <w:snapToGrid w:val="0"/>
                <w:lang w:val="en-US"/>
              </w:rPr>
              <w:t>.</w:t>
            </w:r>
            <w:r>
              <w:rPr>
                <w:snapToGrid w:val="0"/>
                <w:lang w:val="en-US"/>
              </w:rPr>
              <w:t>1</w:t>
            </w:r>
            <w:r w:rsidRPr="000E13F8">
              <w:rPr>
                <w:snapToGrid w:val="0"/>
                <w:lang w:val="en-US"/>
              </w:rPr>
              <w:t xml:space="preserve"> </w:t>
            </w:r>
          </w:p>
        </w:tc>
        <w:tc>
          <w:tcPr>
            <w:tcW w:w="907" w:type="dxa"/>
            <w:tcBorders>
              <w:top w:val="nil"/>
              <w:left w:val="nil"/>
              <w:bottom w:val="single" w:sz="2" w:space="0" w:color="000000"/>
              <w:right w:val="nil"/>
            </w:tcBorders>
          </w:tcPr>
          <w:p w14:paraId="72B5DE4B"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42</w:t>
            </w:r>
            <w:r w:rsidRPr="000E13F8">
              <w:rPr>
                <w:snapToGrid w:val="0"/>
                <w:lang w:val="en-US"/>
              </w:rPr>
              <w:t>,</w:t>
            </w:r>
            <w:r w:rsidR="00642AA9">
              <w:rPr>
                <w:snapToGrid w:val="0"/>
                <w:lang w:val="en-US"/>
              </w:rPr>
              <w:t>619</w:t>
            </w:r>
            <w:r w:rsidRPr="000E13F8">
              <w:rPr>
                <w:snapToGrid w:val="0"/>
                <w:lang w:val="en-US"/>
              </w:rPr>
              <w:t xml:space="preserve"> </w:t>
            </w:r>
          </w:p>
        </w:tc>
      </w:tr>
      <w:tr w:rsidR="0062476A" w:rsidRPr="00B85C14" w14:paraId="2FB3D94B" w14:textId="77777777" w:rsidTr="0062476A">
        <w:tc>
          <w:tcPr>
            <w:tcW w:w="553" w:type="dxa"/>
            <w:tcBorders>
              <w:top w:val="single" w:sz="2" w:space="0" w:color="000000"/>
              <w:left w:val="nil"/>
              <w:bottom w:val="nil"/>
              <w:right w:val="nil"/>
            </w:tcBorders>
            <w:shd w:val="clear" w:color="auto" w:fill="F2F2F2" w:themeFill="background1" w:themeFillShade="F2"/>
          </w:tcPr>
          <w:p w14:paraId="0485FAB3" w14:textId="77777777" w:rsidR="006B5D86" w:rsidRPr="005A0CE4" w:rsidRDefault="006B5D86" w:rsidP="00A72EA9">
            <w:pPr>
              <w:pStyle w:val="TableColumnHeadingLeft"/>
              <w:spacing w:before="36" w:after="36"/>
            </w:pPr>
            <w:r w:rsidRPr="005A0CE4">
              <w:t>20</w:t>
            </w:r>
          </w:p>
        </w:tc>
        <w:tc>
          <w:tcPr>
            <w:tcW w:w="624" w:type="dxa"/>
            <w:tcBorders>
              <w:top w:val="single" w:sz="2" w:space="0" w:color="000000"/>
              <w:left w:val="nil"/>
              <w:bottom w:val="nil"/>
              <w:right w:val="nil"/>
            </w:tcBorders>
            <w:shd w:val="clear" w:color="auto" w:fill="F2F2F2" w:themeFill="background1" w:themeFillShade="F2"/>
          </w:tcPr>
          <w:p w14:paraId="22EF58B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1.5 </w:t>
            </w:r>
          </w:p>
        </w:tc>
        <w:tc>
          <w:tcPr>
            <w:tcW w:w="851" w:type="dxa"/>
            <w:tcBorders>
              <w:top w:val="single" w:sz="2" w:space="0" w:color="000000"/>
              <w:left w:val="nil"/>
              <w:bottom w:val="nil"/>
              <w:right w:val="nil"/>
            </w:tcBorders>
            <w:shd w:val="clear" w:color="auto" w:fill="F2F2F2" w:themeFill="background1" w:themeFillShade="F2"/>
          </w:tcPr>
          <w:p w14:paraId="532BBE25" w14:textId="77777777" w:rsidR="006B5D86" w:rsidRPr="00190D6C" w:rsidRDefault="006B5D86" w:rsidP="00A72EA9">
            <w:pPr>
              <w:pStyle w:val="TableTextRight"/>
              <w:spacing w:before="36" w:after="36"/>
              <w:rPr>
                <w:snapToGrid w:val="0"/>
                <w:lang w:val="en-US"/>
              </w:rPr>
            </w:pPr>
            <w:r w:rsidRPr="00190D6C">
              <w:rPr>
                <w:snapToGrid w:val="0"/>
                <w:lang w:val="en-US"/>
              </w:rPr>
              <w:t>-</w:t>
            </w:r>
          </w:p>
        </w:tc>
        <w:tc>
          <w:tcPr>
            <w:tcW w:w="907" w:type="dxa"/>
            <w:tcBorders>
              <w:top w:val="single" w:sz="2" w:space="0" w:color="000000"/>
              <w:left w:val="nil"/>
              <w:bottom w:val="nil"/>
              <w:right w:val="nil"/>
            </w:tcBorders>
            <w:shd w:val="clear" w:color="auto" w:fill="F2F2F2" w:themeFill="background1" w:themeFillShade="F2"/>
          </w:tcPr>
          <w:p w14:paraId="502A84D5" w14:textId="77777777" w:rsidR="006B5D86" w:rsidRPr="006B5D86" w:rsidRDefault="006B5D86" w:rsidP="00A72EA9">
            <w:pPr>
              <w:pStyle w:val="TableTextRight"/>
              <w:spacing w:before="36" w:after="36"/>
              <w:rPr>
                <w:snapToGrid w:val="0"/>
                <w:lang w:val="en-US"/>
              </w:rPr>
            </w:pPr>
            <w:r w:rsidRPr="006B5D86">
              <w:rPr>
                <w:snapToGrid w:val="0"/>
                <w:lang w:val="en-US"/>
              </w:rPr>
              <w:t xml:space="preserve"> 58,942 </w:t>
            </w:r>
          </w:p>
        </w:tc>
        <w:tc>
          <w:tcPr>
            <w:tcW w:w="624" w:type="dxa"/>
            <w:tcBorders>
              <w:top w:val="single" w:sz="2" w:space="0" w:color="000000"/>
              <w:left w:val="nil"/>
              <w:bottom w:val="nil"/>
              <w:right w:val="nil"/>
            </w:tcBorders>
            <w:shd w:val="clear" w:color="auto" w:fill="F2F2F2" w:themeFill="background1" w:themeFillShade="F2"/>
          </w:tcPr>
          <w:p w14:paraId="0A36AEB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10.</w:t>
            </w:r>
            <w:r>
              <w:rPr>
                <w:snapToGrid w:val="0"/>
                <w:lang w:val="en-US"/>
              </w:rPr>
              <w:t>6</w:t>
            </w:r>
            <w:r w:rsidRPr="00190D6C">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6ED9FD1E"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10</w:t>
            </w:r>
            <w:r w:rsidRPr="00190D6C">
              <w:rPr>
                <w:snapToGrid w:val="0"/>
                <w:lang w:val="en-US"/>
              </w:rPr>
              <w:t xml:space="preserve">.0 </w:t>
            </w:r>
          </w:p>
        </w:tc>
        <w:tc>
          <w:tcPr>
            <w:tcW w:w="907" w:type="dxa"/>
            <w:tcBorders>
              <w:top w:val="single" w:sz="2" w:space="0" w:color="000000"/>
              <w:left w:val="nil"/>
              <w:bottom w:val="nil"/>
              <w:right w:val="nil"/>
            </w:tcBorders>
            <w:shd w:val="clear" w:color="auto" w:fill="F2F2F2" w:themeFill="background1" w:themeFillShade="F2"/>
          </w:tcPr>
          <w:p w14:paraId="3BD06926"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Pr>
                <w:snapToGrid w:val="0"/>
                <w:lang w:val="en-US"/>
              </w:rPr>
              <w:t>9</w:t>
            </w:r>
            <w:r w:rsidRPr="000E13F8">
              <w:rPr>
                <w:snapToGrid w:val="0"/>
                <w:lang w:val="en-US"/>
              </w:rPr>
              <w:t>,</w:t>
            </w:r>
            <w:r>
              <w:rPr>
                <w:snapToGrid w:val="0"/>
                <w:lang w:val="en-US"/>
              </w:rPr>
              <w:t>800</w:t>
            </w:r>
            <w:r w:rsidRPr="000E13F8">
              <w:rPr>
                <w:snapToGrid w:val="0"/>
                <w:lang w:val="en-US"/>
              </w:rPr>
              <w:t xml:space="preserve"> </w:t>
            </w:r>
          </w:p>
        </w:tc>
        <w:tc>
          <w:tcPr>
            <w:tcW w:w="624" w:type="dxa"/>
            <w:tcBorders>
              <w:top w:val="single" w:sz="2" w:space="0" w:color="000000"/>
              <w:left w:val="nil"/>
              <w:bottom w:val="nil"/>
              <w:right w:val="nil"/>
            </w:tcBorders>
            <w:shd w:val="clear" w:color="auto" w:fill="F2F2F2" w:themeFill="background1" w:themeFillShade="F2"/>
          </w:tcPr>
          <w:p w14:paraId="455EBD62"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8</w:t>
            </w:r>
            <w:r w:rsidRPr="000E13F8">
              <w:rPr>
                <w:snapToGrid w:val="0"/>
                <w:lang w:val="en-US"/>
              </w:rPr>
              <w:t>.</w:t>
            </w:r>
            <w:r>
              <w:rPr>
                <w:snapToGrid w:val="0"/>
                <w:lang w:val="en-US"/>
              </w:rPr>
              <w:t>6</w:t>
            </w:r>
            <w:r w:rsidRPr="000E13F8">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5E9425A0"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8</w:t>
            </w:r>
            <w:r w:rsidRPr="000E13F8">
              <w:rPr>
                <w:snapToGrid w:val="0"/>
                <w:lang w:val="en-US"/>
              </w:rPr>
              <w:t>.</w:t>
            </w:r>
            <w:r>
              <w:rPr>
                <w:snapToGrid w:val="0"/>
                <w:lang w:val="en-US"/>
              </w:rPr>
              <w:t>6</w:t>
            </w:r>
            <w:r w:rsidRPr="000E13F8">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747460D6"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44</w:t>
            </w:r>
            <w:r w:rsidRPr="000E13F8">
              <w:rPr>
                <w:snapToGrid w:val="0"/>
                <w:lang w:val="en-US"/>
              </w:rPr>
              <w:t>,</w:t>
            </w:r>
            <w:r w:rsidR="00642AA9">
              <w:rPr>
                <w:snapToGrid w:val="0"/>
                <w:lang w:val="en-US"/>
              </w:rPr>
              <w:t>969</w:t>
            </w:r>
            <w:r w:rsidRPr="000E13F8">
              <w:rPr>
                <w:snapToGrid w:val="0"/>
                <w:lang w:val="en-US"/>
              </w:rPr>
              <w:t xml:space="preserve"> </w:t>
            </w:r>
          </w:p>
        </w:tc>
      </w:tr>
      <w:tr w:rsidR="0062476A" w:rsidRPr="00B85C14" w14:paraId="4DD6DFF2" w14:textId="77777777" w:rsidTr="0062476A">
        <w:tc>
          <w:tcPr>
            <w:tcW w:w="553" w:type="dxa"/>
            <w:tcBorders>
              <w:top w:val="nil"/>
              <w:left w:val="nil"/>
              <w:bottom w:val="nil"/>
              <w:right w:val="nil"/>
            </w:tcBorders>
            <w:shd w:val="clear" w:color="auto" w:fill="F2F2F2" w:themeFill="background1" w:themeFillShade="F2"/>
          </w:tcPr>
          <w:p w14:paraId="21A3ED23" w14:textId="77777777" w:rsidR="006B5D86" w:rsidRPr="005A0CE4" w:rsidRDefault="006B5D86" w:rsidP="00A72EA9">
            <w:pPr>
              <w:pStyle w:val="TableColumnHeadingLeft"/>
              <w:spacing w:before="36" w:after="36"/>
            </w:pPr>
            <w:r w:rsidRPr="005A0CE4">
              <w:t>21</w:t>
            </w:r>
          </w:p>
        </w:tc>
        <w:tc>
          <w:tcPr>
            <w:tcW w:w="624" w:type="dxa"/>
            <w:tcBorders>
              <w:top w:val="nil"/>
              <w:left w:val="nil"/>
              <w:bottom w:val="nil"/>
              <w:right w:val="nil"/>
            </w:tcBorders>
            <w:shd w:val="clear" w:color="auto" w:fill="F2F2F2" w:themeFill="background1" w:themeFillShade="F2"/>
          </w:tcPr>
          <w:p w14:paraId="28CD17D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2.0 </w:t>
            </w:r>
          </w:p>
        </w:tc>
        <w:tc>
          <w:tcPr>
            <w:tcW w:w="851" w:type="dxa"/>
            <w:tcBorders>
              <w:top w:val="nil"/>
              <w:left w:val="nil"/>
              <w:bottom w:val="nil"/>
              <w:right w:val="nil"/>
            </w:tcBorders>
            <w:shd w:val="clear" w:color="auto" w:fill="F2F2F2" w:themeFill="background1" w:themeFillShade="F2"/>
          </w:tcPr>
          <w:p w14:paraId="5F18F29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1.0 </w:t>
            </w:r>
          </w:p>
        </w:tc>
        <w:tc>
          <w:tcPr>
            <w:tcW w:w="907" w:type="dxa"/>
            <w:tcBorders>
              <w:top w:val="nil"/>
              <w:left w:val="nil"/>
              <w:bottom w:val="nil"/>
              <w:right w:val="nil"/>
            </w:tcBorders>
            <w:shd w:val="clear" w:color="auto" w:fill="F2F2F2" w:themeFill="background1" w:themeFillShade="F2"/>
          </w:tcPr>
          <w:p w14:paraId="5B206ADE" w14:textId="77777777" w:rsidR="006B5D86" w:rsidRPr="006B5D86" w:rsidRDefault="006B5D86" w:rsidP="00A72EA9">
            <w:pPr>
              <w:pStyle w:val="TableTextRight"/>
              <w:spacing w:before="36" w:after="36"/>
              <w:rPr>
                <w:snapToGrid w:val="0"/>
                <w:lang w:val="en-US"/>
              </w:rPr>
            </w:pPr>
            <w:r w:rsidRPr="006B5D86">
              <w:rPr>
                <w:snapToGrid w:val="0"/>
                <w:lang w:val="en-US"/>
              </w:rPr>
              <w:t xml:space="preserve"> 61,022 </w:t>
            </w:r>
          </w:p>
        </w:tc>
        <w:tc>
          <w:tcPr>
            <w:tcW w:w="624" w:type="dxa"/>
            <w:tcBorders>
              <w:top w:val="nil"/>
              <w:left w:val="nil"/>
              <w:bottom w:val="nil"/>
              <w:right w:val="nil"/>
            </w:tcBorders>
            <w:shd w:val="clear" w:color="auto" w:fill="F2F2F2" w:themeFill="background1" w:themeFillShade="F2"/>
          </w:tcPr>
          <w:p w14:paraId="05B0ADD4"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8</w:t>
            </w:r>
            <w:r w:rsidRPr="00190D6C">
              <w:rPr>
                <w:snapToGrid w:val="0"/>
                <w:lang w:val="en-US"/>
              </w:rPr>
              <w:t>.</w:t>
            </w:r>
            <w:r>
              <w:rPr>
                <w:snapToGrid w:val="0"/>
                <w:lang w:val="en-US"/>
              </w:rPr>
              <w:t>2</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6609560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8</w:t>
            </w:r>
            <w:r w:rsidRPr="00190D6C">
              <w:rPr>
                <w:snapToGrid w:val="0"/>
                <w:lang w:val="en-US"/>
              </w:rPr>
              <w:t>.</w:t>
            </w:r>
            <w:r>
              <w:rPr>
                <w:snapToGrid w:val="0"/>
                <w:lang w:val="en-US"/>
              </w:rPr>
              <w:t>0</w:t>
            </w:r>
            <w:r w:rsidRPr="00190D6C">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0F37788F"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50</w:t>
            </w:r>
            <w:r w:rsidRPr="000E13F8">
              <w:rPr>
                <w:snapToGrid w:val="0"/>
                <w:lang w:val="en-US"/>
              </w:rPr>
              <w:t>,</w:t>
            </w:r>
            <w:r>
              <w:rPr>
                <w:snapToGrid w:val="0"/>
                <w:lang w:val="en-US"/>
              </w:rPr>
              <w:t>100</w:t>
            </w:r>
            <w:r w:rsidRPr="000E13F8">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5E18CA22" w14:textId="77777777" w:rsidR="006B5D86" w:rsidRPr="000E13F8" w:rsidRDefault="006B5D86" w:rsidP="00A72EA9">
            <w:pPr>
              <w:pStyle w:val="TableTextRight"/>
              <w:spacing w:before="36" w:after="36"/>
              <w:rPr>
                <w:snapToGrid w:val="0"/>
                <w:lang w:val="en-US"/>
              </w:rPr>
            </w:pPr>
            <w:r w:rsidRPr="000E13F8">
              <w:rPr>
                <w:snapToGrid w:val="0"/>
                <w:lang w:val="en-US"/>
              </w:rPr>
              <w:t xml:space="preserve"> 5.</w:t>
            </w:r>
            <w:r>
              <w:rPr>
                <w:snapToGrid w:val="0"/>
                <w:lang w:val="en-US"/>
              </w:rPr>
              <w:t>6</w:t>
            </w:r>
            <w:r w:rsidRPr="000E13F8">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780F5F6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5.</w:t>
            </w:r>
            <w:r>
              <w:rPr>
                <w:snapToGrid w:val="0"/>
                <w:lang w:val="en-US"/>
              </w:rPr>
              <w:t>6</w:t>
            </w:r>
            <w:r w:rsidRPr="000E13F8">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00CCDA14"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sidR="00642AA9">
              <w:rPr>
                <w:snapToGrid w:val="0"/>
                <w:lang w:val="en-US"/>
              </w:rPr>
              <w:t>7</w:t>
            </w:r>
            <w:r w:rsidRPr="000E13F8">
              <w:rPr>
                <w:snapToGrid w:val="0"/>
                <w:lang w:val="en-US"/>
              </w:rPr>
              <w:t>,</w:t>
            </w:r>
            <w:r w:rsidR="00642AA9">
              <w:rPr>
                <w:snapToGrid w:val="0"/>
                <w:lang w:val="en-US"/>
              </w:rPr>
              <w:t>340</w:t>
            </w:r>
            <w:r w:rsidRPr="000E13F8">
              <w:rPr>
                <w:snapToGrid w:val="0"/>
                <w:lang w:val="en-US"/>
              </w:rPr>
              <w:t xml:space="preserve"> </w:t>
            </w:r>
          </w:p>
        </w:tc>
      </w:tr>
      <w:tr w:rsidR="0062476A" w:rsidRPr="00B85C14" w14:paraId="3B4CFD3F" w14:textId="77777777" w:rsidTr="0062476A">
        <w:tc>
          <w:tcPr>
            <w:tcW w:w="553" w:type="dxa"/>
            <w:tcBorders>
              <w:top w:val="nil"/>
              <w:left w:val="nil"/>
              <w:bottom w:val="nil"/>
              <w:right w:val="nil"/>
            </w:tcBorders>
            <w:shd w:val="clear" w:color="auto" w:fill="F2F2F2" w:themeFill="background1" w:themeFillShade="F2"/>
          </w:tcPr>
          <w:p w14:paraId="475A26F9" w14:textId="77777777" w:rsidR="006B5D86" w:rsidRPr="005A0CE4" w:rsidRDefault="006B5D86" w:rsidP="00A72EA9">
            <w:pPr>
              <w:pStyle w:val="TableColumnHeadingLeft"/>
              <w:spacing w:before="36" w:after="36"/>
            </w:pPr>
            <w:r w:rsidRPr="005A0CE4">
              <w:t>22</w:t>
            </w:r>
          </w:p>
        </w:tc>
        <w:tc>
          <w:tcPr>
            <w:tcW w:w="624" w:type="dxa"/>
            <w:tcBorders>
              <w:top w:val="nil"/>
              <w:left w:val="nil"/>
              <w:bottom w:val="nil"/>
              <w:right w:val="nil"/>
            </w:tcBorders>
            <w:shd w:val="clear" w:color="auto" w:fill="F2F2F2" w:themeFill="background1" w:themeFillShade="F2"/>
          </w:tcPr>
          <w:p w14:paraId="6895FE83" w14:textId="77777777" w:rsidR="006B5D86" w:rsidRPr="00190D6C" w:rsidRDefault="006B5D86" w:rsidP="00A72EA9">
            <w:pPr>
              <w:pStyle w:val="TableTextRight"/>
              <w:spacing w:before="36" w:after="36"/>
              <w:rPr>
                <w:snapToGrid w:val="0"/>
                <w:lang w:val="en-US"/>
              </w:rPr>
            </w:pPr>
            <w:r w:rsidRPr="00190D6C">
              <w:rPr>
                <w:snapToGrid w:val="0"/>
                <w:lang w:val="en-US"/>
              </w:rPr>
              <w:t xml:space="preserve"> 3.4 </w:t>
            </w:r>
          </w:p>
        </w:tc>
        <w:tc>
          <w:tcPr>
            <w:tcW w:w="851" w:type="dxa"/>
            <w:tcBorders>
              <w:top w:val="nil"/>
              <w:left w:val="nil"/>
              <w:bottom w:val="nil"/>
              <w:right w:val="nil"/>
            </w:tcBorders>
            <w:shd w:val="clear" w:color="auto" w:fill="F2F2F2" w:themeFill="background1" w:themeFillShade="F2"/>
          </w:tcPr>
          <w:p w14:paraId="5D51E28C" w14:textId="77777777" w:rsidR="006B5D86" w:rsidRPr="00190D6C" w:rsidRDefault="006B5D86" w:rsidP="00A72EA9">
            <w:pPr>
              <w:pStyle w:val="TableTextRight"/>
              <w:spacing w:before="36" w:after="36"/>
              <w:rPr>
                <w:snapToGrid w:val="0"/>
                <w:lang w:val="en-US"/>
              </w:rPr>
            </w:pPr>
            <w:r w:rsidRPr="00190D6C">
              <w:rPr>
                <w:snapToGrid w:val="0"/>
                <w:lang w:val="en-US"/>
              </w:rPr>
              <w:t xml:space="preserve"> 4.1 </w:t>
            </w:r>
          </w:p>
        </w:tc>
        <w:tc>
          <w:tcPr>
            <w:tcW w:w="907" w:type="dxa"/>
            <w:tcBorders>
              <w:top w:val="nil"/>
              <w:left w:val="nil"/>
              <w:bottom w:val="nil"/>
              <w:right w:val="nil"/>
            </w:tcBorders>
            <w:shd w:val="clear" w:color="auto" w:fill="F2F2F2" w:themeFill="background1" w:themeFillShade="F2"/>
          </w:tcPr>
          <w:p w14:paraId="296CF179" w14:textId="77777777" w:rsidR="006B5D86" w:rsidRPr="006B5D86" w:rsidRDefault="006B5D86" w:rsidP="00A72EA9">
            <w:pPr>
              <w:pStyle w:val="TableTextRight"/>
              <w:spacing w:before="36" w:after="36"/>
              <w:rPr>
                <w:snapToGrid w:val="0"/>
                <w:lang w:val="en-US"/>
              </w:rPr>
            </w:pPr>
            <w:r w:rsidRPr="006B5D86">
              <w:rPr>
                <w:snapToGrid w:val="0"/>
                <w:lang w:val="en-US"/>
              </w:rPr>
              <w:t xml:space="preserve"> 63,102 </w:t>
            </w:r>
          </w:p>
        </w:tc>
        <w:tc>
          <w:tcPr>
            <w:tcW w:w="624" w:type="dxa"/>
            <w:tcBorders>
              <w:top w:val="nil"/>
              <w:left w:val="nil"/>
              <w:bottom w:val="nil"/>
              <w:right w:val="nil"/>
            </w:tcBorders>
            <w:shd w:val="clear" w:color="auto" w:fill="F2F2F2" w:themeFill="background1" w:themeFillShade="F2"/>
          </w:tcPr>
          <w:p w14:paraId="537875EA"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6</w:t>
            </w:r>
            <w:r w:rsidRPr="00190D6C">
              <w:rPr>
                <w:snapToGrid w:val="0"/>
                <w:lang w:val="en-US"/>
              </w:rPr>
              <w:t>.</w:t>
            </w:r>
            <w:r>
              <w:rPr>
                <w:snapToGrid w:val="0"/>
                <w:lang w:val="en-US"/>
              </w:rPr>
              <w:t>8</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4F506C5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6</w:t>
            </w:r>
            <w:r w:rsidRPr="00190D6C">
              <w:rPr>
                <w:snapToGrid w:val="0"/>
                <w:lang w:val="en-US"/>
              </w:rPr>
              <w:t xml:space="preserve">.5 </w:t>
            </w:r>
          </w:p>
        </w:tc>
        <w:tc>
          <w:tcPr>
            <w:tcW w:w="907" w:type="dxa"/>
            <w:tcBorders>
              <w:top w:val="nil"/>
              <w:left w:val="nil"/>
              <w:bottom w:val="nil"/>
              <w:right w:val="nil"/>
            </w:tcBorders>
            <w:shd w:val="clear" w:color="auto" w:fill="F2F2F2" w:themeFill="background1" w:themeFillShade="F2"/>
          </w:tcPr>
          <w:p w14:paraId="5B5A5499"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50,400</w:t>
            </w:r>
            <w:r w:rsidRPr="000E13F8">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336C547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w:t>
            </w:r>
            <w:r w:rsidRPr="000E13F8">
              <w:rPr>
                <w:snapToGrid w:val="0"/>
                <w:lang w:val="en-US"/>
              </w:rPr>
              <w:t>.</w:t>
            </w:r>
            <w:r>
              <w:rPr>
                <w:snapToGrid w:val="0"/>
                <w:lang w:val="en-US"/>
              </w:rPr>
              <w:t>0</w:t>
            </w:r>
            <w:r w:rsidRPr="000E13F8">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5DF21042"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w:t>
            </w:r>
            <w:r w:rsidRPr="000E13F8">
              <w:rPr>
                <w:snapToGrid w:val="0"/>
                <w:lang w:val="en-US"/>
              </w:rPr>
              <w:t>.</w:t>
            </w:r>
            <w:r>
              <w:rPr>
                <w:snapToGrid w:val="0"/>
                <w:lang w:val="en-US"/>
              </w:rPr>
              <w:t>0</w:t>
            </w:r>
            <w:r w:rsidRPr="000E13F8">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2A668D71"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sidR="00642AA9">
              <w:rPr>
                <w:snapToGrid w:val="0"/>
                <w:lang w:val="en-US"/>
              </w:rPr>
              <w:t>9</w:t>
            </w:r>
            <w:r w:rsidRPr="000E13F8">
              <w:rPr>
                <w:snapToGrid w:val="0"/>
                <w:lang w:val="en-US"/>
              </w:rPr>
              <w:t>,</w:t>
            </w:r>
            <w:r w:rsidR="00642AA9">
              <w:rPr>
                <w:snapToGrid w:val="0"/>
                <w:lang w:val="en-US"/>
              </w:rPr>
              <w:t>612</w:t>
            </w:r>
            <w:r w:rsidRPr="000E13F8">
              <w:rPr>
                <w:snapToGrid w:val="0"/>
                <w:lang w:val="en-US"/>
              </w:rPr>
              <w:t xml:space="preserve"> </w:t>
            </w:r>
          </w:p>
        </w:tc>
      </w:tr>
      <w:tr w:rsidR="0062476A" w:rsidRPr="00B85C14" w14:paraId="2A216B01" w14:textId="77777777" w:rsidTr="0062476A">
        <w:tc>
          <w:tcPr>
            <w:tcW w:w="553" w:type="dxa"/>
            <w:tcBorders>
              <w:top w:val="nil"/>
              <w:left w:val="nil"/>
              <w:bottom w:val="nil"/>
              <w:right w:val="nil"/>
            </w:tcBorders>
            <w:shd w:val="clear" w:color="auto" w:fill="F2F2F2" w:themeFill="background1" w:themeFillShade="F2"/>
          </w:tcPr>
          <w:p w14:paraId="139C2185" w14:textId="77777777" w:rsidR="006B5D86" w:rsidRPr="005A0CE4" w:rsidRDefault="006B5D86" w:rsidP="00A72EA9">
            <w:pPr>
              <w:pStyle w:val="TableColumnHeadingLeft"/>
              <w:spacing w:before="36" w:after="36"/>
            </w:pPr>
            <w:r w:rsidRPr="005A0CE4">
              <w:t>23</w:t>
            </w:r>
          </w:p>
        </w:tc>
        <w:tc>
          <w:tcPr>
            <w:tcW w:w="624" w:type="dxa"/>
            <w:tcBorders>
              <w:top w:val="nil"/>
              <w:left w:val="nil"/>
              <w:bottom w:val="nil"/>
              <w:right w:val="nil"/>
            </w:tcBorders>
            <w:shd w:val="clear" w:color="auto" w:fill="F2F2F2" w:themeFill="background1" w:themeFillShade="F2"/>
          </w:tcPr>
          <w:p w14:paraId="67BEB7A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6</w:t>
            </w:r>
            <w:r w:rsidRPr="00190D6C">
              <w:rPr>
                <w:snapToGrid w:val="0"/>
                <w:lang w:val="en-US"/>
              </w:rPr>
              <w:t>.</w:t>
            </w:r>
            <w:r>
              <w:rPr>
                <w:snapToGrid w:val="0"/>
                <w:lang w:val="en-US"/>
              </w:rPr>
              <w:t>0</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1A98F87C" w14:textId="77777777" w:rsidR="006B5D86" w:rsidRPr="00190D6C" w:rsidRDefault="006B5D86" w:rsidP="00A72EA9">
            <w:pPr>
              <w:pStyle w:val="TableTextRight"/>
              <w:spacing w:before="36" w:after="36"/>
              <w:rPr>
                <w:snapToGrid w:val="0"/>
                <w:lang w:val="en-US"/>
              </w:rPr>
            </w:pPr>
            <w:r w:rsidRPr="00190D6C">
              <w:rPr>
                <w:snapToGrid w:val="0"/>
                <w:lang w:val="en-US"/>
              </w:rPr>
              <w:t xml:space="preserve"> 6.0 </w:t>
            </w:r>
          </w:p>
        </w:tc>
        <w:tc>
          <w:tcPr>
            <w:tcW w:w="907" w:type="dxa"/>
            <w:tcBorders>
              <w:top w:val="nil"/>
              <w:left w:val="nil"/>
              <w:bottom w:val="nil"/>
              <w:right w:val="nil"/>
            </w:tcBorders>
            <w:shd w:val="clear" w:color="auto" w:fill="F2F2F2" w:themeFill="background1" w:themeFillShade="F2"/>
          </w:tcPr>
          <w:p w14:paraId="79816CF5" w14:textId="77777777" w:rsidR="006B5D86" w:rsidRPr="006B5D86" w:rsidRDefault="006B5D86" w:rsidP="00A72EA9">
            <w:pPr>
              <w:pStyle w:val="TableTextRight"/>
              <w:spacing w:before="36" w:after="36"/>
              <w:rPr>
                <w:snapToGrid w:val="0"/>
                <w:lang w:val="en-US"/>
              </w:rPr>
            </w:pPr>
            <w:r w:rsidRPr="006B5D86">
              <w:rPr>
                <w:snapToGrid w:val="0"/>
                <w:lang w:val="en-US"/>
              </w:rPr>
              <w:t xml:space="preserve"> 65,182 </w:t>
            </w:r>
          </w:p>
        </w:tc>
        <w:tc>
          <w:tcPr>
            <w:tcW w:w="624" w:type="dxa"/>
            <w:tcBorders>
              <w:top w:val="nil"/>
              <w:left w:val="nil"/>
              <w:bottom w:val="nil"/>
              <w:right w:val="nil"/>
            </w:tcBorders>
            <w:shd w:val="clear" w:color="auto" w:fill="F2F2F2" w:themeFill="background1" w:themeFillShade="F2"/>
          </w:tcPr>
          <w:p w14:paraId="753DF0E1"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5</w:t>
            </w:r>
            <w:r w:rsidRPr="00190D6C">
              <w:rPr>
                <w:snapToGrid w:val="0"/>
                <w:lang w:val="en-US"/>
              </w:rPr>
              <w:t>.</w:t>
            </w:r>
            <w:r>
              <w:rPr>
                <w:snapToGrid w:val="0"/>
                <w:lang w:val="en-US"/>
              </w:rPr>
              <w:t>6</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644EEDE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5</w:t>
            </w:r>
            <w:r w:rsidRPr="00190D6C">
              <w:rPr>
                <w:snapToGrid w:val="0"/>
                <w:lang w:val="en-US"/>
              </w:rPr>
              <w:t xml:space="preserve">.5 </w:t>
            </w:r>
          </w:p>
        </w:tc>
        <w:tc>
          <w:tcPr>
            <w:tcW w:w="907" w:type="dxa"/>
            <w:tcBorders>
              <w:top w:val="nil"/>
              <w:left w:val="nil"/>
              <w:bottom w:val="nil"/>
              <w:right w:val="nil"/>
            </w:tcBorders>
            <w:shd w:val="clear" w:color="auto" w:fill="F2F2F2" w:themeFill="background1" w:themeFillShade="F2"/>
          </w:tcPr>
          <w:p w14:paraId="430ACFF4"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50,700</w:t>
            </w:r>
            <w:r w:rsidRPr="000E13F8">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10D88D39"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Pr>
                <w:snapToGrid w:val="0"/>
                <w:lang w:val="en-US"/>
              </w:rPr>
              <w:t>3</w:t>
            </w:r>
            <w:r w:rsidRPr="000E13F8">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5EAE856B" w14:textId="77777777" w:rsidR="006B5D86" w:rsidRPr="000E13F8" w:rsidRDefault="006B5D86" w:rsidP="00A72EA9">
            <w:pPr>
              <w:pStyle w:val="TableTextRight"/>
              <w:spacing w:before="36" w:after="36"/>
              <w:rPr>
                <w:snapToGrid w:val="0"/>
                <w:lang w:val="en-US"/>
              </w:rPr>
            </w:pPr>
            <w:r w:rsidRPr="000E13F8">
              <w:rPr>
                <w:snapToGrid w:val="0"/>
                <w:lang w:val="en-US"/>
              </w:rPr>
              <w:t xml:space="preserve"> 4.</w:t>
            </w:r>
            <w:r>
              <w:rPr>
                <w:snapToGrid w:val="0"/>
                <w:lang w:val="en-US"/>
              </w:rPr>
              <w:t>3</w:t>
            </w:r>
            <w:r w:rsidRPr="000E13F8">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68413F2C"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50</w:t>
            </w:r>
            <w:r w:rsidRPr="000E13F8">
              <w:rPr>
                <w:snapToGrid w:val="0"/>
                <w:lang w:val="en-US"/>
              </w:rPr>
              <w:t>,</w:t>
            </w:r>
            <w:r w:rsidR="00642AA9">
              <w:rPr>
                <w:snapToGrid w:val="0"/>
                <w:lang w:val="en-US"/>
              </w:rPr>
              <w:t>543</w:t>
            </w:r>
            <w:r w:rsidRPr="000E13F8">
              <w:rPr>
                <w:snapToGrid w:val="0"/>
                <w:lang w:val="en-US"/>
              </w:rPr>
              <w:t xml:space="preserve"> </w:t>
            </w:r>
          </w:p>
        </w:tc>
      </w:tr>
      <w:tr w:rsidR="0062476A" w:rsidRPr="00B85C14" w14:paraId="673094C2" w14:textId="77777777" w:rsidTr="0062476A">
        <w:tc>
          <w:tcPr>
            <w:tcW w:w="553" w:type="dxa"/>
            <w:tcBorders>
              <w:top w:val="nil"/>
              <w:left w:val="nil"/>
              <w:bottom w:val="single" w:sz="2" w:space="0" w:color="000000"/>
              <w:right w:val="nil"/>
            </w:tcBorders>
            <w:shd w:val="clear" w:color="auto" w:fill="F2F2F2" w:themeFill="background1" w:themeFillShade="F2"/>
          </w:tcPr>
          <w:p w14:paraId="5F12CE0B" w14:textId="77777777" w:rsidR="006B5D86" w:rsidRPr="005A0CE4" w:rsidRDefault="006B5D86" w:rsidP="00A72EA9">
            <w:pPr>
              <w:pStyle w:val="TableColumnHeadingLeft"/>
              <w:spacing w:before="36" w:after="36"/>
            </w:pPr>
            <w:r w:rsidRPr="005A0CE4">
              <w:t>24</w:t>
            </w:r>
          </w:p>
        </w:tc>
        <w:tc>
          <w:tcPr>
            <w:tcW w:w="624" w:type="dxa"/>
            <w:tcBorders>
              <w:top w:val="nil"/>
              <w:left w:val="nil"/>
              <w:bottom w:val="single" w:sz="2" w:space="0" w:color="000000"/>
              <w:right w:val="nil"/>
            </w:tcBorders>
            <w:shd w:val="clear" w:color="auto" w:fill="F2F2F2" w:themeFill="background1" w:themeFillShade="F2"/>
          </w:tcPr>
          <w:p w14:paraId="6F775D2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6</w:t>
            </w:r>
            <w:r w:rsidRPr="00190D6C">
              <w:rPr>
                <w:snapToGrid w:val="0"/>
                <w:lang w:val="en-US"/>
              </w:rPr>
              <w:t>.</w:t>
            </w:r>
            <w:r>
              <w:rPr>
                <w:snapToGrid w:val="0"/>
                <w:lang w:val="en-US"/>
              </w:rPr>
              <w:t>3</w:t>
            </w:r>
            <w:r w:rsidRPr="00190D6C">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513E77B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10</w:t>
            </w:r>
            <w:r w:rsidRPr="00190D6C">
              <w:rPr>
                <w:snapToGrid w:val="0"/>
                <w:lang w:val="en-US"/>
              </w:rPr>
              <w:t>.</w:t>
            </w:r>
            <w:r>
              <w:rPr>
                <w:snapToGrid w:val="0"/>
                <w:lang w:val="en-US"/>
              </w:rPr>
              <w:t>0</w:t>
            </w:r>
            <w:r w:rsidRPr="00190D6C">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6484792E" w14:textId="77777777" w:rsidR="006B5D86" w:rsidRPr="006B5D86" w:rsidRDefault="006B5D86" w:rsidP="00A72EA9">
            <w:pPr>
              <w:pStyle w:val="TableTextRight"/>
              <w:spacing w:before="36" w:after="36"/>
              <w:rPr>
                <w:snapToGrid w:val="0"/>
                <w:lang w:val="en-US"/>
              </w:rPr>
            </w:pPr>
            <w:r w:rsidRPr="006B5D86">
              <w:rPr>
                <w:snapToGrid w:val="0"/>
                <w:lang w:val="en-US"/>
              </w:rPr>
              <w:t xml:space="preserve"> 67,262 </w:t>
            </w:r>
          </w:p>
        </w:tc>
        <w:tc>
          <w:tcPr>
            <w:tcW w:w="624" w:type="dxa"/>
            <w:tcBorders>
              <w:top w:val="nil"/>
              <w:left w:val="nil"/>
              <w:bottom w:val="single" w:sz="2" w:space="0" w:color="000000"/>
              <w:right w:val="nil"/>
            </w:tcBorders>
            <w:shd w:val="clear" w:color="auto" w:fill="F2F2F2" w:themeFill="background1" w:themeFillShade="F2"/>
          </w:tcPr>
          <w:p w14:paraId="4929CCA7" w14:textId="77777777" w:rsidR="006B5D86" w:rsidRPr="00190D6C" w:rsidRDefault="006B5D86" w:rsidP="00A72EA9">
            <w:pPr>
              <w:pStyle w:val="TableTextRight"/>
              <w:spacing w:before="36" w:after="36"/>
              <w:rPr>
                <w:snapToGrid w:val="0"/>
                <w:lang w:val="en-US"/>
              </w:rPr>
            </w:pPr>
            <w:r w:rsidRPr="00190D6C">
              <w:rPr>
                <w:snapToGrid w:val="0"/>
                <w:lang w:val="en-US"/>
              </w:rPr>
              <w:t xml:space="preserve"> 4.</w:t>
            </w:r>
            <w:r>
              <w:rPr>
                <w:snapToGrid w:val="0"/>
                <w:lang w:val="en-US"/>
              </w:rPr>
              <w:t>4</w:t>
            </w:r>
            <w:r w:rsidRPr="00190D6C">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639CEE92"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4</w:t>
            </w:r>
            <w:r w:rsidRPr="00190D6C">
              <w:rPr>
                <w:snapToGrid w:val="0"/>
                <w:lang w:val="en-US"/>
              </w:rPr>
              <w:t xml:space="preserve">.5 </w:t>
            </w:r>
          </w:p>
        </w:tc>
        <w:tc>
          <w:tcPr>
            <w:tcW w:w="907" w:type="dxa"/>
            <w:tcBorders>
              <w:top w:val="nil"/>
              <w:left w:val="nil"/>
              <w:bottom w:val="single" w:sz="2" w:space="0" w:color="000000"/>
              <w:right w:val="nil"/>
            </w:tcBorders>
            <w:shd w:val="clear" w:color="auto" w:fill="F2F2F2" w:themeFill="background1" w:themeFillShade="F2"/>
          </w:tcPr>
          <w:p w14:paraId="167930F5"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51,000</w:t>
            </w:r>
            <w:r w:rsidRPr="000E13F8">
              <w:rPr>
                <w:snapToGrid w:val="0"/>
                <w:lang w:val="en-US"/>
              </w:rPr>
              <w:t xml:space="preserve"> </w:t>
            </w:r>
          </w:p>
        </w:tc>
        <w:tc>
          <w:tcPr>
            <w:tcW w:w="624" w:type="dxa"/>
            <w:tcBorders>
              <w:top w:val="nil"/>
              <w:left w:val="nil"/>
              <w:bottom w:val="single" w:sz="2" w:space="0" w:color="000000"/>
              <w:right w:val="nil"/>
            </w:tcBorders>
            <w:shd w:val="clear" w:color="auto" w:fill="F2F2F2" w:themeFill="background1" w:themeFillShade="F2"/>
          </w:tcPr>
          <w:p w14:paraId="4257D948" w14:textId="77777777" w:rsidR="006B5D86" w:rsidRPr="000E13F8" w:rsidRDefault="006B5D86" w:rsidP="00A72EA9">
            <w:pPr>
              <w:pStyle w:val="TableTextRight"/>
              <w:spacing w:before="36" w:after="36"/>
              <w:rPr>
                <w:snapToGrid w:val="0"/>
                <w:lang w:val="en-US"/>
              </w:rPr>
            </w:pPr>
            <w:r w:rsidRPr="000E13F8">
              <w:rPr>
                <w:snapToGrid w:val="0"/>
                <w:lang w:val="en-US"/>
              </w:rPr>
              <w:t xml:space="preserve"> 3.</w:t>
            </w:r>
            <w:r>
              <w:rPr>
                <w:snapToGrid w:val="0"/>
                <w:lang w:val="en-US"/>
              </w:rPr>
              <w:t>7</w:t>
            </w:r>
            <w:r w:rsidRPr="000E13F8">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3F37746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3.</w:t>
            </w:r>
            <w:r>
              <w:rPr>
                <w:snapToGrid w:val="0"/>
                <w:lang w:val="en-US"/>
              </w:rPr>
              <w:t>7</w:t>
            </w:r>
            <w:r w:rsidRPr="000E13F8">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4D7A4832"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51</w:t>
            </w:r>
            <w:r w:rsidRPr="000E13F8">
              <w:rPr>
                <w:snapToGrid w:val="0"/>
                <w:lang w:val="en-US"/>
              </w:rPr>
              <w:t>,</w:t>
            </w:r>
            <w:r w:rsidR="00642AA9">
              <w:rPr>
                <w:snapToGrid w:val="0"/>
                <w:lang w:val="en-US"/>
              </w:rPr>
              <w:t>305</w:t>
            </w:r>
            <w:r w:rsidRPr="000E13F8">
              <w:rPr>
                <w:snapToGrid w:val="0"/>
                <w:lang w:val="en-US"/>
              </w:rPr>
              <w:t xml:space="preserve"> </w:t>
            </w:r>
          </w:p>
        </w:tc>
      </w:tr>
      <w:tr w:rsidR="0062476A" w:rsidRPr="00B85C14" w14:paraId="6CD46B02" w14:textId="77777777" w:rsidTr="0062476A">
        <w:tc>
          <w:tcPr>
            <w:tcW w:w="553" w:type="dxa"/>
            <w:tcBorders>
              <w:top w:val="single" w:sz="2" w:space="0" w:color="000000"/>
              <w:left w:val="nil"/>
              <w:bottom w:val="nil"/>
              <w:right w:val="nil"/>
            </w:tcBorders>
          </w:tcPr>
          <w:p w14:paraId="4DC7B436" w14:textId="77777777" w:rsidR="006B5D86" w:rsidRPr="005A0CE4" w:rsidRDefault="006B5D86" w:rsidP="00A72EA9">
            <w:pPr>
              <w:pStyle w:val="TableColumnHeadingLeft"/>
              <w:spacing w:before="36" w:after="36"/>
            </w:pPr>
            <w:r w:rsidRPr="005A0CE4">
              <w:t>25</w:t>
            </w:r>
          </w:p>
        </w:tc>
        <w:tc>
          <w:tcPr>
            <w:tcW w:w="624" w:type="dxa"/>
            <w:tcBorders>
              <w:top w:val="single" w:sz="2" w:space="0" w:color="000000"/>
              <w:left w:val="nil"/>
              <w:bottom w:val="nil"/>
              <w:right w:val="nil"/>
            </w:tcBorders>
          </w:tcPr>
          <w:p w14:paraId="01595E60" w14:textId="77777777" w:rsidR="006B5D86" w:rsidRPr="00190D6C" w:rsidRDefault="006B5D86" w:rsidP="00A72EA9">
            <w:pPr>
              <w:pStyle w:val="TableTextRight"/>
              <w:spacing w:before="36" w:after="36"/>
              <w:rPr>
                <w:snapToGrid w:val="0"/>
                <w:lang w:val="en-US"/>
              </w:rPr>
            </w:pPr>
            <w:r w:rsidRPr="00190D6C">
              <w:rPr>
                <w:snapToGrid w:val="0"/>
                <w:lang w:val="en-US"/>
              </w:rPr>
              <w:t xml:space="preserve"> 5.5 </w:t>
            </w:r>
          </w:p>
        </w:tc>
        <w:tc>
          <w:tcPr>
            <w:tcW w:w="851" w:type="dxa"/>
            <w:tcBorders>
              <w:top w:val="single" w:sz="2" w:space="0" w:color="000000"/>
              <w:left w:val="nil"/>
              <w:bottom w:val="nil"/>
              <w:right w:val="nil"/>
            </w:tcBorders>
          </w:tcPr>
          <w:p w14:paraId="5C864BC9" w14:textId="77777777" w:rsidR="006B5D86" w:rsidRPr="00190D6C" w:rsidRDefault="006B5D86" w:rsidP="00A72EA9">
            <w:pPr>
              <w:pStyle w:val="TableTextRight"/>
              <w:spacing w:before="36" w:after="36"/>
              <w:rPr>
                <w:snapToGrid w:val="0"/>
                <w:lang w:val="en-US"/>
              </w:rPr>
            </w:pPr>
            <w:r w:rsidRPr="00190D6C">
              <w:rPr>
                <w:snapToGrid w:val="0"/>
                <w:lang w:val="en-US"/>
              </w:rPr>
              <w:t xml:space="preserve"> 8.2 </w:t>
            </w:r>
          </w:p>
        </w:tc>
        <w:tc>
          <w:tcPr>
            <w:tcW w:w="907" w:type="dxa"/>
            <w:tcBorders>
              <w:top w:val="single" w:sz="2" w:space="0" w:color="000000"/>
              <w:left w:val="nil"/>
              <w:bottom w:val="nil"/>
              <w:right w:val="nil"/>
            </w:tcBorders>
          </w:tcPr>
          <w:p w14:paraId="27163FBB" w14:textId="77777777" w:rsidR="006B5D86" w:rsidRPr="006B5D86" w:rsidRDefault="006B5D86" w:rsidP="00A72EA9">
            <w:pPr>
              <w:pStyle w:val="TableTextRight"/>
              <w:spacing w:before="36" w:after="36"/>
              <w:rPr>
                <w:snapToGrid w:val="0"/>
                <w:lang w:val="en-US"/>
              </w:rPr>
            </w:pPr>
            <w:r w:rsidRPr="006B5D86">
              <w:rPr>
                <w:snapToGrid w:val="0"/>
                <w:lang w:val="en-US"/>
              </w:rPr>
              <w:t xml:space="preserve"> 69,342 </w:t>
            </w:r>
          </w:p>
        </w:tc>
        <w:tc>
          <w:tcPr>
            <w:tcW w:w="624" w:type="dxa"/>
            <w:tcBorders>
              <w:top w:val="single" w:sz="2" w:space="0" w:color="000000"/>
              <w:left w:val="nil"/>
              <w:bottom w:val="nil"/>
              <w:right w:val="nil"/>
            </w:tcBorders>
          </w:tcPr>
          <w:p w14:paraId="1B97A27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3.</w:t>
            </w:r>
            <w:r>
              <w:rPr>
                <w:snapToGrid w:val="0"/>
                <w:lang w:val="en-US"/>
              </w:rPr>
              <w:t>5</w:t>
            </w:r>
            <w:r w:rsidRPr="00190D6C">
              <w:rPr>
                <w:snapToGrid w:val="0"/>
                <w:lang w:val="en-US"/>
              </w:rPr>
              <w:t xml:space="preserve"> </w:t>
            </w:r>
          </w:p>
        </w:tc>
        <w:tc>
          <w:tcPr>
            <w:tcW w:w="851" w:type="dxa"/>
            <w:tcBorders>
              <w:top w:val="single" w:sz="2" w:space="0" w:color="000000"/>
              <w:left w:val="nil"/>
              <w:bottom w:val="nil"/>
              <w:right w:val="nil"/>
            </w:tcBorders>
          </w:tcPr>
          <w:p w14:paraId="23410F58" w14:textId="77777777" w:rsidR="006B5D86" w:rsidRPr="00190D6C" w:rsidRDefault="006B5D86" w:rsidP="00A72EA9">
            <w:pPr>
              <w:pStyle w:val="TableTextRight"/>
              <w:spacing w:before="36" w:after="36"/>
              <w:rPr>
                <w:snapToGrid w:val="0"/>
                <w:lang w:val="en-US"/>
              </w:rPr>
            </w:pPr>
            <w:r w:rsidRPr="00190D6C">
              <w:rPr>
                <w:snapToGrid w:val="0"/>
                <w:lang w:val="en-US"/>
              </w:rPr>
              <w:t xml:space="preserve"> 3.</w:t>
            </w:r>
            <w:r>
              <w:rPr>
                <w:snapToGrid w:val="0"/>
                <w:lang w:val="en-US"/>
              </w:rPr>
              <w:t>6</w:t>
            </w:r>
            <w:r w:rsidRPr="00190D6C">
              <w:rPr>
                <w:snapToGrid w:val="0"/>
                <w:lang w:val="en-US"/>
              </w:rPr>
              <w:t xml:space="preserve"> </w:t>
            </w:r>
          </w:p>
        </w:tc>
        <w:tc>
          <w:tcPr>
            <w:tcW w:w="907" w:type="dxa"/>
            <w:tcBorders>
              <w:top w:val="single" w:sz="2" w:space="0" w:color="000000"/>
              <w:left w:val="nil"/>
              <w:bottom w:val="nil"/>
              <w:right w:val="nil"/>
            </w:tcBorders>
          </w:tcPr>
          <w:p w14:paraId="11F66176" w14:textId="77777777" w:rsidR="006B5D86" w:rsidRPr="006B5D86" w:rsidRDefault="006B5D86" w:rsidP="00A72EA9">
            <w:pPr>
              <w:pStyle w:val="TableTextRight"/>
              <w:spacing w:before="36" w:after="36"/>
              <w:rPr>
                <w:snapToGrid w:val="0"/>
                <w:lang w:val="en-US"/>
              </w:rPr>
            </w:pPr>
            <w:r w:rsidRPr="004A5B59">
              <w:rPr>
                <w:snapToGrid w:val="0"/>
                <w:lang w:val="en-US"/>
              </w:rPr>
              <w:t xml:space="preserve"> 51,</w:t>
            </w:r>
            <w:r w:rsidR="00021528">
              <w:rPr>
                <w:snapToGrid w:val="0"/>
                <w:lang w:val="en-US"/>
              </w:rPr>
              <w:t>3</w:t>
            </w:r>
            <w:r w:rsidRPr="004A5B59">
              <w:rPr>
                <w:snapToGrid w:val="0"/>
                <w:lang w:val="en-US"/>
              </w:rPr>
              <w:t xml:space="preserve">00 </w:t>
            </w:r>
          </w:p>
        </w:tc>
        <w:tc>
          <w:tcPr>
            <w:tcW w:w="624" w:type="dxa"/>
            <w:tcBorders>
              <w:top w:val="single" w:sz="2" w:space="0" w:color="000000"/>
              <w:left w:val="nil"/>
              <w:bottom w:val="nil"/>
              <w:right w:val="nil"/>
            </w:tcBorders>
          </w:tcPr>
          <w:p w14:paraId="3405B213"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3</w:t>
            </w:r>
            <w:r w:rsidRPr="000E13F8">
              <w:rPr>
                <w:snapToGrid w:val="0"/>
                <w:lang w:val="en-US"/>
              </w:rPr>
              <w:t>.</w:t>
            </w:r>
            <w:r>
              <w:rPr>
                <w:snapToGrid w:val="0"/>
                <w:lang w:val="en-US"/>
              </w:rPr>
              <w:t>1</w:t>
            </w:r>
            <w:r w:rsidRPr="000E13F8">
              <w:rPr>
                <w:snapToGrid w:val="0"/>
                <w:lang w:val="en-US"/>
              </w:rPr>
              <w:t xml:space="preserve"> </w:t>
            </w:r>
          </w:p>
        </w:tc>
        <w:tc>
          <w:tcPr>
            <w:tcW w:w="851" w:type="dxa"/>
            <w:tcBorders>
              <w:top w:val="single" w:sz="2" w:space="0" w:color="000000"/>
              <w:left w:val="nil"/>
              <w:bottom w:val="nil"/>
              <w:right w:val="nil"/>
            </w:tcBorders>
          </w:tcPr>
          <w:p w14:paraId="598D644F"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Pr>
                <w:snapToGrid w:val="0"/>
                <w:lang w:val="en-US"/>
              </w:rPr>
              <w:t>3</w:t>
            </w:r>
            <w:r w:rsidRPr="000E13F8">
              <w:rPr>
                <w:snapToGrid w:val="0"/>
                <w:lang w:val="en-US"/>
              </w:rPr>
              <w:t>.</w:t>
            </w:r>
            <w:r>
              <w:rPr>
                <w:snapToGrid w:val="0"/>
                <w:lang w:val="en-US"/>
              </w:rPr>
              <w:t>1</w:t>
            </w:r>
            <w:r w:rsidRPr="000E13F8">
              <w:rPr>
                <w:snapToGrid w:val="0"/>
                <w:lang w:val="en-US"/>
              </w:rPr>
              <w:t xml:space="preserve"> </w:t>
            </w:r>
          </w:p>
        </w:tc>
        <w:tc>
          <w:tcPr>
            <w:tcW w:w="907" w:type="dxa"/>
            <w:tcBorders>
              <w:top w:val="single" w:sz="2" w:space="0" w:color="000000"/>
              <w:left w:val="nil"/>
              <w:bottom w:val="nil"/>
              <w:right w:val="nil"/>
            </w:tcBorders>
          </w:tcPr>
          <w:p w14:paraId="204E09A3"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51</w:t>
            </w:r>
            <w:r w:rsidRPr="000E13F8">
              <w:rPr>
                <w:snapToGrid w:val="0"/>
                <w:lang w:val="en-US"/>
              </w:rPr>
              <w:t>,</w:t>
            </w:r>
            <w:r w:rsidR="00642AA9">
              <w:rPr>
                <w:snapToGrid w:val="0"/>
                <w:lang w:val="en-US"/>
              </w:rPr>
              <w:t>745</w:t>
            </w:r>
            <w:r w:rsidRPr="000E13F8">
              <w:rPr>
                <w:snapToGrid w:val="0"/>
                <w:lang w:val="en-US"/>
              </w:rPr>
              <w:t xml:space="preserve"> </w:t>
            </w:r>
          </w:p>
        </w:tc>
      </w:tr>
      <w:tr w:rsidR="0062476A" w:rsidRPr="00B85C14" w14:paraId="6A72DAC4" w14:textId="77777777" w:rsidTr="0062476A">
        <w:tc>
          <w:tcPr>
            <w:tcW w:w="553" w:type="dxa"/>
            <w:tcBorders>
              <w:top w:val="nil"/>
              <w:left w:val="nil"/>
              <w:bottom w:val="nil"/>
              <w:right w:val="nil"/>
            </w:tcBorders>
          </w:tcPr>
          <w:p w14:paraId="2C1A1FCB" w14:textId="77777777" w:rsidR="006B5D86" w:rsidRPr="005A0CE4" w:rsidRDefault="006B5D86" w:rsidP="00A72EA9">
            <w:pPr>
              <w:pStyle w:val="TableColumnHeadingLeft"/>
              <w:spacing w:before="36" w:after="36"/>
            </w:pPr>
            <w:r w:rsidRPr="005A0CE4">
              <w:t>26</w:t>
            </w:r>
          </w:p>
        </w:tc>
        <w:tc>
          <w:tcPr>
            <w:tcW w:w="624" w:type="dxa"/>
            <w:tcBorders>
              <w:top w:val="nil"/>
              <w:left w:val="nil"/>
              <w:bottom w:val="nil"/>
              <w:right w:val="nil"/>
            </w:tcBorders>
          </w:tcPr>
          <w:p w14:paraId="0142702A" w14:textId="77777777" w:rsidR="006B5D86" w:rsidRPr="00190D6C" w:rsidRDefault="006B5D86" w:rsidP="00A72EA9">
            <w:pPr>
              <w:pStyle w:val="TableTextRight"/>
              <w:spacing w:before="36" w:after="36"/>
              <w:rPr>
                <w:snapToGrid w:val="0"/>
                <w:lang w:val="en-US"/>
              </w:rPr>
            </w:pPr>
            <w:r w:rsidRPr="00190D6C">
              <w:rPr>
                <w:snapToGrid w:val="0"/>
                <w:lang w:val="en-US"/>
              </w:rPr>
              <w:t xml:space="preserve"> 5.</w:t>
            </w:r>
            <w:r>
              <w:rPr>
                <w:snapToGrid w:val="0"/>
                <w:lang w:val="en-US"/>
              </w:rPr>
              <w:t>2</w:t>
            </w:r>
            <w:r w:rsidRPr="00190D6C">
              <w:rPr>
                <w:snapToGrid w:val="0"/>
                <w:lang w:val="en-US"/>
              </w:rPr>
              <w:t xml:space="preserve"> </w:t>
            </w:r>
          </w:p>
        </w:tc>
        <w:tc>
          <w:tcPr>
            <w:tcW w:w="851" w:type="dxa"/>
            <w:tcBorders>
              <w:top w:val="nil"/>
              <w:left w:val="nil"/>
              <w:bottom w:val="nil"/>
              <w:right w:val="nil"/>
            </w:tcBorders>
          </w:tcPr>
          <w:p w14:paraId="6CD59E52" w14:textId="77777777" w:rsidR="006B5D86" w:rsidRPr="00190D6C" w:rsidRDefault="006B5D86" w:rsidP="00A72EA9">
            <w:pPr>
              <w:pStyle w:val="TableTextRight"/>
              <w:spacing w:before="36" w:after="36"/>
              <w:rPr>
                <w:snapToGrid w:val="0"/>
                <w:lang w:val="en-US"/>
              </w:rPr>
            </w:pPr>
            <w:r w:rsidRPr="00190D6C">
              <w:rPr>
                <w:snapToGrid w:val="0"/>
                <w:lang w:val="en-US"/>
              </w:rPr>
              <w:t xml:space="preserve"> 7.2 </w:t>
            </w:r>
          </w:p>
        </w:tc>
        <w:tc>
          <w:tcPr>
            <w:tcW w:w="907" w:type="dxa"/>
            <w:tcBorders>
              <w:top w:val="nil"/>
              <w:left w:val="nil"/>
              <w:bottom w:val="nil"/>
              <w:right w:val="nil"/>
            </w:tcBorders>
          </w:tcPr>
          <w:p w14:paraId="5A27B04A" w14:textId="77777777" w:rsidR="006B5D86" w:rsidRPr="006B5D86" w:rsidRDefault="006B5D86" w:rsidP="00A72EA9">
            <w:pPr>
              <w:pStyle w:val="TableTextRight"/>
              <w:spacing w:before="36" w:after="36"/>
              <w:rPr>
                <w:snapToGrid w:val="0"/>
                <w:lang w:val="en-US"/>
              </w:rPr>
            </w:pPr>
            <w:r w:rsidRPr="006B5D86">
              <w:rPr>
                <w:snapToGrid w:val="0"/>
                <w:lang w:val="en-US"/>
              </w:rPr>
              <w:t xml:space="preserve"> 71,422 </w:t>
            </w:r>
          </w:p>
        </w:tc>
        <w:tc>
          <w:tcPr>
            <w:tcW w:w="624" w:type="dxa"/>
            <w:tcBorders>
              <w:top w:val="nil"/>
              <w:left w:val="nil"/>
              <w:bottom w:val="nil"/>
              <w:right w:val="nil"/>
            </w:tcBorders>
          </w:tcPr>
          <w:p w14:paraId="3FA2FFE4"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w:t>
            </w:r>
            <w:r>
              <w:rPr>
                <w:snapToGrid w:val="0"/>
                <w:lang w:val="en-US"/>
              </w:rPr>
              <w:t>9</w:t>
            </w:r>
            <w:r w:rsidRPr="00190D6C">
              <w:rPr>
                <w:snapToGrid w:val="0"/>
                <w:lang w:val="en-US"/>
              </w:rPr>
              <w:t xml:space="preserve"> </w:t>
            </w:r>
          </w:p>
        </w:tc>
        <w:tc>
          <w:tcPr>
            <w:tcW w:w="851" w:type="dxa"/>
            <w:tcBorders>
              <w:top w:val="nil"/>
              <w:left w:val="nil"/>
              <w:bottom w:val="nil"/>
              <w:right w:val="nil"/>
            </w:tcBorders>
          </w:tcPr>
          <w:p w14:paraId="6B3FB514"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w:t>
            </w:r>
            <w:r>
              <w:rPr>
                <w:snapToGrid w:val="0"/>
                <w:lang w:val="en-US"/>
              </w:rPr>
              <w:t>9</w:t>
            </w:r>
            <w:r w:rsidRPr="00190D6C">
              <w:rPr>
                <w:snapToGrid w:val="0"/>
                <w:lang w:val="en-US"/>
              </w:rPr>
              <w:t xml:space="preserve"> </w:t>
            </w:r>
          </w:p>
        </w:tc>
        <w:tc>
          <w:tcPr>
            <w:tcW w:w="907" w:type="dxa"/>
            <w:tcBorders>
              <w:top w:val="nil"/>
              <w:left w:val="nil"/>
              <w:bottom w:val="nil"/>
              <w:right w:val="nil"/>
            </w:tcBorders>
          </w:tcPr>
          <w:p w14:paraId="0612A5A6" w14:textId="77777777" w:rsidR="006B5D86" w:rsidRPr="006B5D86" w:rsidRDefault="006B5D86" w:rsidP="00A72EA9">
            <w:pPr>
              <w:pStyle w:val="TableTextRight"/>
              <w:spacing w:before="36" w:after="36"/>
              <w:rPr>
                <w:snapToGrid w:val="0"/>
                <w:lang w:val="en-US"/>
              </w:rPr>
            </w:pPr>
            <w:r w:rsidRPr="004A5B59">
              <w:rPr>
                <w:snapToGrid w:val="0"/>
                <w:lang w:val="en-US"/>
              </w:rPr>
              <w:t xml:space="preserve"> 51,</w:t>
            </w:r>
            <w:r w:rsidR="00021528">
              <w:rPr>
                <w:snapToGrid w:val="0"/>
                <w:lang w:val="en-US"/>
              </w:rPr>
              <w:t>5</w:t>
            </w:r>
            <w:r w:rsidRPr="004A5B59">
              <w:rPr>
                <w:snapToGrid w:val="0"/>
                <w:lang w:val="en-US"/>
              </w:rPr>
              <w:t xml:space="preserve">00 </w:t>
            </w:r>
          </w:p>
        </w:tc>
        <w:tc>
          <w:tcPr>
            <w:tcW w:w="624" w:type="dxa"/>
            <w:tcBorders>
              <w:top w:val="nil"/>
              <w:left w:val="nil"/>
              <w:bottom w:val="nil"/>
              <w:right w:val="nil"/>
            </w:tcBorders>
          </w:tcPr>
          <w:p w14:paraId="14697BA4" w14:textId="77777777" w:rsidR="006B5D86" w:rsidRPr="000E13F8" w:rsidRDefault="006B5D86" w:rsidP="00A72EA9">
            <w:pPr>
              <w:pStyle w:val="TableTextRight"/>
              <w:spacing w:before="36" w:after="36"/>
              <w:rPr>
                <w:snapToGrid w:val="0"/>
                <w:lang w:val="en-US"/>
              </w:rPr>
            </w:pPr>
            <w:r w:rsidRPr="000E13F8">
              <w:rPr>
                <w:snapToGrid w:val="0"/>
                <w:lang w:val="en-US"/>
              </w:rPr>
              <w:t xml:space="preserve"> 2.</w:t>
            </w:r>
            <w:r>
              <w:rPr>
                <w:snapToGrid w:val="0"/>
                <w:lang w:val="en-US"/>
              </w:rPr>
              <w:t>5</w:t>
            </w:r>
            <w:r w:rsidRPr="000E13F8">
              <w:rPr>
                <w:snapToGrid w:val="0"/>
                <w:lang w:val="en-US"/>
              </w:rPr>
              <w:t xml:space="preserve"> </w:t>
            </w:r>
          </w:p>
        </w:tc>
        <w:tc>
          <w:tcPr>
            <w:tcW w:w="851" w:type="dxa"/>
            <w:tcBorders>
              <w:top w:val="nil"/>
              <w:left w:val="nil"/>
              <w:bottom w:val="nil"/>
              <w:right w:val="nil"/>
            </w:tcBorders>
          </w:tcPr>
          <w:p w14:paraId="2DB90E1B" w14:textId="77777777" w:rsidR="006B5D86" w:rsidRPr="000E13F8" w:rsidRDefault="006B5D86" w:rsidP="00A72EA9">
            <w:pPr>
              <w:pStyle w:val="TableTextRight"/>
              <w:spacing w:before="36" w:after="36"/>
              <w:rPr>
                <w:snapToGrid w:val="0"/>
                <w:lang w:val="en-US"/>
              </w:rPr>
            </w:pPr>
            <w:r w:rsidRPr="000E13F8">
              <w:rPr>
                <w:snapToGrid w:val="0"/>
                <w:lang w:val="en-US"/>
              </w:rPr>
              <w:t xml:space="preserve"> 2.</w:t>
            </w:r>
            <w:r>
              <w:rPr>
                <w:snapToGrid w:val="0"/>
                <w:lang w:val="en-US"/>
              </w:rPr>
              <w:t>5</w:t>
            </w:r>
            <w:r w:rsidRPr="000E13F8">
              <w:rPr>
                <w:snapToGrid w:val="0"/>
                <w:lang w:val="en-US"/>
              </w:rPr>
              <w:t xml:space="preserve"> </w:t>
            </w:r>
          </w:p>
        </w:tc>
        <w:tc>
          <w:tcPr>
            <w:tcW w:w="907" w:type="dxa"/>
            <w:tcBorders>
              <w:top w:val="nil"/>
              <w:left w:val="nil"/>
              <w:bottom w:val="nil"/>
              <w:right w:val="nil"/>
            </w:tcBorders>
          </w:tcPr>
          <w:p w14:paraId="2F5EFF3F"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52</w:t>
            </w:r>
            <w:r w:rsidRPr="000E13F8">
              <w:rPr>
                <w:snapToGrid w:val="0"/>
                <w:lang w:val="en-US"/>
              </w:rPr>
              <w:t>,</w:t>
            </w:r>
            <w:r w:rsidR="00642AA9">
              <w:rPr>
                <w:snapToGrid w:val="0"/>
                <w:lang w:val="en-US"/>
              </w:rPr>
              <w:t>184</w:t>
            </w:r>
            <w:r w:rsidRPr="000E13F8">
              <w:rPr>
                <w:snapToGrid w:val="0"/>
                <w:lang w:val="en-US"/>
              </w:rPr>
              <w:t xml:space="preserve"> </w:t>
            </w:r>
          </w:p>
        </w:tc>
      </w:tr>
      <w:tr w:rsidR="0062476A" w:rsidRPr="00B85C14" w14:paraId="5B3E9FD5" w14:textId="77777777" w:rsidTr="0062476A">
        <w:tc>
          <w:tcPr>
            <w:tcW w:w="553" w:type="dxa"/>
            <w:tcBorders>
              <w:top w:val="nil"/>
              <w:left w:val="nil"/>
              <w:bottom w:val="nil"/>
              <w:right w:val="nil"/>
            </w:tcBorders>
          </w:tcPr>
          <w:p w14:paraId="533F8AF6" w14:textId="77777777" w:rsidR="006B5D86" w:rsidRPr="005A0CE4" w:rsidRDefault="006B5D86" w:rsidP="00A72EA9">
            <w:pPr>
              <w:pStyle w:val="TableColumnHeadingLeft"/>
              <w:spacing w:before="36" w:after="36"/>
            </w:pPr>
            <w:r w:rsidRPr="005A0CE4">
              <w:t>27</w:t>
            </w:r>
          </w:p>
        </w:tc>
        <w:tc>
          <w:tcPr>
            <w:tcW w:w="624" w:type="dxa"/>
            <w:tcBorders>
              <w:top w:val="nil"/>
              <w:left w:val="nil"/>
              <w:bottom w:val="nil"/>
              <w:right w:val="nil"/>
            </w:tcBorders>
          </w:tcPr>
          <w:p w14:paraId="47C2DF93" w14:textId="77777777" w:rsidR="006B5D86" w:rsidRPr="00190D6C" w:rsidRDefault="006B5D86" w:rsidP="00A72EA9">
            <w:pPr>
              <w:pStyle w:val="TableTextRight"/>
              <w:spacing w:before="36" w:after="36"/>
              <w:rPr>
                <w:snapToGrid w:val="0"/>
                <w:lang w:val="en-US"/>
              </w:rPr>
            </w:pPr>
            <w:r w:rsidRPr="00190D6C">
              <w:rPr>
                <w:snapToGrid w:val="0"/>
                <w:lang w:val="en-US"/>
              </w:rPr>
              <w:t xml:space="preserve"> 5.</w:t>
            </w:r>
            <w:r>
              <w:rPr>
                <w:snapToGrid w:val="0"/>
                <w:lang w:val="en-US"/>
              </w:rPr>
              <w:t>1</w:t>
            </w:r>
            <w:r w:rsidRPr="00190D6C">
              <w:rPr>
                <w:snapToGrid w:val="0"/>
                <w:lang w:val="en-US"/>
              </w:rPr>
              <w:t xml:space="preserve"> </w:t>
            </w:r>
          </w:p>
        </w:tc>
        <w:tc>
          <w:tcPr>
            <w:tcW w:w="851" w:type="dxa"/>
            <w:tcBorders>
              <w:top w:val="nil"/>
              <w:left w:val="nil"/>
              <w:bottom w:val="nil"/>
              <w:right w:val="nil"/>
            </w:tcBorders>
          </w:tcPr>
          <w:p w14:paraId="1A07ECF0" w14:textId="77777777" w:rsidR="006B5D86" w:rsidRPr="00190D6C" w:rsidRDefault="006B5D86" w:rsidP="00A72EA9">
            <w:pPr>
              <w:pStyle w:val="TableTextRight"/>
              <w:spacing w:before="36" w:after="36"/>
              <w:rPr>
                <w:snapToGrid w:val="0"/>
                <w:lang w:val="en-US"/>
              </w:rPr>
            </w:pPr>
            <w:r w:rsidRPr="00190D6C">
              <w:rPr>
                <w:snapToGrid w:val="0"/>
                <w:lang w:val="en-US"/>
              </w:rPr>
              <w:t xml:space="preserve"> 6.1 </w:t>
            </w:r>
          </w:p>
        </w:tc>
        <w:tc>
          <w:tcPr>
            <w:tcW w:w="907" w:type="dxa"/>
            <w:tcBorders>
              <w:top w:val="nil"/>
              <w:left w:val="nil"/>
              <w:bottom w:val="nil"/>
              <w:right w:val="nil"/>
            </w:tcBorders>
          </w:tcPr>
          <w:p w14:paraId="3D196132" w14:textId="77777777" w:rsidR="006B5D86" w:rsidRPr="006B5D86" w:rsidRDefault="006B5D86" w:rsidP="00A72EA9">
            <w:pPr>
              <w:pStyle w:val="TableTextRight"/>
              <w:spacing w:before="36" w:after="36"/>
              <w:rPr>
                <w:snapToGrid w:val="0"/>
                <w:lang w:val="en-US"/>
              </w:rPr>
            </w:pPr>
            <w:r w:rsidRPr="006B5D86">
              <w:rPr>
                <w:snapToGrid w:val="0"/>
                <w:lang w:val="en-US"/>
              </w:rPr>
              <w:t xml:space="preserve"> 73,502 </w:t>
            </w:r>
          </w:p>
        </w:tc>
        <w:tc>
          <w:tcPr>
            <w:tcW w:w="624" w:type="dxa"/>
            <w:tcBorders>
              <w:top w:val="nil"/>
              <w:left w:val="nil"/>
              <w:bottom w:val="nil"/>
              <w:right w:val="nil"/>
            </w:tcBorders>
          </w:tcPr>
          <w:p w14:paraId="11B282E0"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w:t>
            </w:r>
            <w:r>
              <w:rPr>
                <w:snapToGrid w:val="0"/>
                <w:lang w:val="en-US"/>
              </w:rPr>
              <w:t>4</w:t>
            </w:r>
            <w:r w:rsidRPr="00190D6C">
              <w:rPr>
                <w:snapToGrid w:val="0"/>
                <w:lang w:val="en-US"/>
              </w:rPr>
              <w:t xml:space="preserve"> </w:t>
            </w:r>
          </w:p>
        </w:tc>
        <w:tc>
          <w:tcPr>
            <w:tcW w:w="851" w:type="dxa"/>
            <w:tcBorders>
              <w:top w:val="nil"/>
              <w:left w:val="nil"/>
              <w:bottom w:val="nil"/>
              <w:right w:val="nil"/>
            </w:tcBorders>
          </w:tcPr>
          <w:p w14:paraId="08537856" w14:textId="77777777" w:rsidR="006B5D86" w:rsidRPr="00190D6C" w:rsidRDefault="006B5D86" w:rsidP="00A72EA9">
            <w:pPr>
              <w:pStyle w:val="TableTextRight"/>
              <w:spacing w:before="36" w:after="36"/>
              <w:rPr>
                <w:snapToGrid w:val="0"/>
                <w:lang w:val="en-US"/>
              </w:rPr>
            </w:pPr>
            <w:r w:rsidRPr="00190D6C">
              <w:rPr>
                <w:snapToGrid w:val="0"/>
                <w:lang w:val="en-US"/>
              </w:rPr>
              <w:t xml:space="preserve"> 2.</w:t>
            </w:r>
            <w:r>
              <w:rPr>
                <w:snapToGrid w:val="0"/>
                <w:lang w:val="en-US"/>
              </w:rPr>
              <w:t>5</w:t>
            </w:r>
            <w:r w:rsidRPr="00190D6C">
              <w:rPr>
                <w:snapToGrid w:val="0"/>
                <w:lang w:val="en-US"/>
              </w:rPr>
              <w:t xml:space="preserve"> </w:t>
            </w:r>
          </w:p>
        </w:tc>
        <w:tc>
          <w:tcPr>
            <w:tcW w:w="907" w:type="dxa"/>
            <w:tcBorders>
              <w:top w:val="nil"/>
              <w:left w:val="nil"/>
              <w:bottom w:val="nil"/>
              <w:right w:val="nil"/>
            </w:tcBorders>
          </w:tcPr>
          <w:p w14:paraId="053C2E1F" w14:textId="77777777" w:rsidR="006B5D86" w:rsidRPr="006B5D86" w:rsidRDefault="006B5D86" w:rsidP="00A72EA9">
            <w:pPr>
              <w:pStyle w:val="TableTextRight"/>
              <w:spacing w:before="36" w:after="36"/>
              <w:rPr>
                <w:snapToGrid w:val="0"/>
                <w:lang w:val="en-US"/>
              </w:rPr>
            </w:pPr>
            <w:r w:rsidRPr="004A5B59">
              <w:rPr>
                <w:snapToGrid w:val="0"/>
                <w:lang w:val="en-US"/>
              </w:rPr>
              <w:t xml:space="preserve"> 51,</w:t>
            </w:r>
            <w:r w:rsidR="00021528">
              <w:rPr>
                <w:snapToGrid w:val="0"/>
                <w:lang w:val="en-US"/>
              </w:rPr>
              <w:t>7</w:t>
            </w:r>
            <w:r w:rsidRPr="004A5B59">
              <w:rPr>
                <w:snapToGrid w:val="0"/>
                <w:lang w:val="en-US"/>
              </w:rPr>
              <w:t xml:space="preserve">00 </w:t>
            </w:r>
          </w:p>
        </w:tc>
        <w:tc>
          <w:tcPr>
            <w:tcW w:w="624" w:type="dxa"/>
            <w:tcBorders>
              <w:top w:val="nil"/>
              <w:left w:val="nil"/>
              <w:bottom w:val="nil"/>
              <w:right w:val="nil"/>
            </w:tcBorders>
          </w:tcPr>
          <w:p w14:paraId="70C21B8C"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9</w:t>
            </w:r>
            <w:r w:rsidRPr="000E13F8">
              <w:rPr>
                <w:snapToGrid w:val="0"/>
                <w:lang w:val="en-US"/>
              </w:rPr>
              <w:t xml:space="preserve"> </w:t>
            </w:r>
          </w:p>
        </w:tc>
        <w:tc>
          <w:tcPr>
            <w:tcW w:w="851" w:type="dxa"/>
            <w:tcBorders>
              <w:top w:val="nil"/>
              <w:left w:val="nil"/>
              <w:bottom w:val="nil"/>
              <w:right w:val="nil"/>
            </w:tcBorders>
          </w:tcPr>
          <w:p w14:paraId="61A7C437"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9</w:t>
            </w:r>
            <w:r w:rsidRPr="000E13F8">
              <w:rPr>
                <w:snapToGrid w:val="0"/>
                <w:lang w:val="en-US"/>
              </w:rPr>
              <w:t xml:space="preserve"> </w:t>
            </w:r>
          </w:p>
        </w:tc>
        <w:tc>
          <w:tcPr>
            <w:tcW w:w="907" w:type="dxa"/>
            <w:tcBorders>
              <w:top w:val="nil"/>
              <w:left w:val="nil"/>
              <w:bottom w:val="nil"/>
              <w:right w:val="nil"/>
            </w:tcBorders>
          </w:tcPr>
          <w:p w14:paraId="7C1F63A5"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52</w:t>
            </w:r>
            <w:r w:rsidRPr="000E13F8">
              <w:rPr>
                <w:snapToGrid w:val="0"/>
                <w:lang w:val="en-US"/>
              </w:rPr>
              <w:t>,</w:t>
            </w:r>
            <w:r w:rsidR="00642AA9">
              <w:rPr>
                <w:snapToGrid w:val="0"/>
                <w:lang w:val="en-US"/>
              </w:rPr>
              <w:t>352</w:t>
            </w:r>
            <w:r w:rsidRPr="000E13F8">
              <w:rPr>
                <w:snapToGrid w:val="0"/>
                <w:lang w:val="en-US"/>
              </w:rPr>
              <w:t xml:space="preserve"> </w:t>
            </w:r>
          </w:p>
        </w:tc>
      </w:tr>
      <w:tr w:rsidR="0062476A" w:rsidRPr="00B85C14" w14:paraId="7AFC7680" w14:textId="77777777" w:rsidTr="0062476A">
        <w:tc>
          <w:tcPr>
            <w:tcW w:w="553" w:type="dxa"/>
            <w:tcBorders>
              <w:top w:val="nil"/>
              <w:left w:val="nil"/>
              <w:bottom w:val="nil"/>
              <w:right w:val="nil"/>
            </w:tcBorders>
          </w:tcPr>
          <w:p w14:paraId="0C86A7FE" w14:textId="77777777" w:rsidR="006B5D86" w:rsidRPr="005A0CE4" w:rsidRDefault="006B5D86" w:rsidP="00A72EA9">
            <w:pPr>
              <w:pStyle w:val="TableColumnHeadingLeft"/>
              <w:spacing w:before="36" w:after="36"/>
            </w:pPr>
            <w:r w:rsidRPr="005A0CE4">
              <w:t>28</w:t>
            </w:r>
          </w:p>
        </w:tc>
        <w:tc>
          <w:tcPr>
            <w:tcW w:w="624" w:type="dxa"/>
            <w:tcBorders>
              <w:top w:val="nil"/>
              <w:left w:val="nil"/>
              <w:bottom w:val="nil"/>
              <w:right w:val="nil"/>
            </w:tcBorders>
          </w:tcPr>
          <w:p w14:paraId="24E7672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4.5 </w:t>
            </w:r>
          </w:p>
        </w:tc>
        <w:tc>
          <w:tcPr>
            <w:tcW w:w="851" w:type="dxa"/>
            <w:tcBorders>
              <w:top w:val="nil"/>
              <w:left w:val="nil"/>
              <w:bottom w:val="nil"/>
              <w:right w:val="nil"/>
            </w:tcBorders>
          </w:tcPr>
          <w:p w14:paraId="5C6E3A7B" w14:textId="77777777" w:rsidR="006B5D86" w:rsidRPr="00190D6C" w:rsidRDefault="006B5D86" w:rsidP="00A72EA9">
            <w:pPr>
              <w:pStyle w:val="TableTextRight"/>
              <w:spacing w:before="36" w:after="36"/>
              <w:rPr>
                <w:snapToGrid w:val="0"/>
                <w:lang w:val="en-US"/>
              </w:rPr>
            </w:pPr>
            <w:r w:rsidRPr="00190D6C">
              <w:rPr>
                <w:snapToGrid w:val="0"/>
                <w:lang w:val="en-US"/>
              </w:rPr>
              <w:t xml:space="preserve"> 5.3 </w:t>
            </w:r>
          </w:p>
        </w:tc>
        <w:tc>
          <w:tcPr>
            <w:tcW w:w="907" w:type="dxa"/>
            <w:tcBorders>
              <w:top w:val="nil"/>
              <w:left w:val="nil"/>
              <w:bottom w:val="nil"/>
              <w:right w:val="nil"/>
            </w:tcBorders>
          </w:tcPr>
          <w:p w14:paraId="0BC67AAC" w14:textId="77777777" w:rsidR="006B5D86" w:rsidRPr="006B5D86" w:rsidRDefault="006B5D86" w:rsidP="00A72EA9">
            <w:pPr>
              <w:pStyle w:val="TableTextRight"/>
              <w:spacing w:before="36" w:after="36"/>
              <w:rPr>
                <w:snapToGrid w:val="0"/>
                <w:lang w:val="en-US"/>
              </w:rPr>
            </w:pPr>
            <w:r w:rsidRPr="006B5D86">
              <w:rPr>
                <w:snapToGrid w:val="0"/>
                <w:lang w:val="en-US"/>
              </w:rPr>
              <w:t xml:space="preserve"> 75,582 </w:t>
            </w:r>
          </w:p>
        </w:tc>
        <w:tc>
          <w:tcPr>
            <w:tcW w:w="624" w:type="dxa"/>
            <w:tcBorders>
              <w:top w:val="nil"/>
              <w:left w:val="nil"/>
              <w:bottom w:val="nil"/>
              <w:right w:val="nil"/>
            </w:tcBorders>
          </w:tcPr>
          <w:p w14:paraId="585CC0DF"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w:t>
            </w:r>
            <w:r>
              <w:rPr>
                <w:snapToGrid w:val="0"/>
                <w:lang w:val="en-US"/>
              </w:rPr>
              <w:t>9</w:t>
            </w:r>
            <w:r w:rsidRPr="00190D6C">
              <w:rPr>
                <w:snapToGrid w:val="0"/>
                <w:lang w:val="en-US"/>
              </w:rPr>
              <w:t xml:space="preserve"> </w:t>
            </w:r>
          </w:p>
        </w:tc>
        <w:tc>
          <w:tcPr>
            <w:tcW w:w="851" w:type="dxa"/>
            <w:tcBorders>
              <w:top w:val="nil"/>
              <w:left w:val="nil"/>
              <w:bottom w:val="nil"/>
              <w:right w:val="nil"/>
            </w:tcBorders>
          </w:tcPr>
          <w:p w14:paraId="7960012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w:t>
            </w:r>
            <w:r>
              <w:rPr>
                <w:snapToGrid w:val="0"/>
                <w:lang w:val="en-US"/>
              </w:rPr>
              <w:t>2</w:t>
            </w:r>
            <w:r w:rsidRPr="00190D6C">
              <w:rPr>
                <w:snapToGrid w:val="0"/>
                <w:lang w:val="en-US"/>
              </w:rPr>
              <w:t>.</w:t>
            </w:r>
            <w:r>
              <w:rPr>
                <w:snapToGrid w:val="0"/>
                <w:lang w:val="en-US"/>
              </w:rPr>
              <w:t>0</w:t>
            </w:r>
            <w:r w:rsidRPr="00190D6C">
              <w:rPr>
                <w:snapToGrid w:val="0"/>
                <w:lang w:val="en-US"/>
              </w:rPr>
              <w:t xml:space="preserve"> </w:t>
            </w:r>
          </w:p>
        </w:tc>
        <w:tc>
          <w:tcPr>
            <w:tcW w:w="907" w:type="dxa"/>
            <w:tcBorders>
              <w:top w:val="nil"/>
              <w:left w:val="nil"/>
              <w:bottom w:val="nil"/>
              <w:right w:val="nil"/>
            </w:tcBorders>
          </w:tcPr>
          <w:p w14:paraId="731A1734" w14:textId="77777777" w:rsidR="006B5D86" w:rsidRPr="006B5D86" w:rsidRDefault="006B5D86" w:rsidP="00A72EA9">
            <w:pPr>
              <w:pStyle w:val="TableTextRight"/>
              <w:spacing w:before="36" w:after="36"/>
              <w:rPr>
                <w:snapToGrid w:val="0"/>
                <w:lang w:val="en-US"/>
              </w:rPr>
            </w:pPr>
            <w:r w:rsidRPr="004A5B59">
              <w:rPr>
                <w:snapToGrid w:val="0"/>
                <w:lang w:val="en-US"/>
              </w:rPr>
              <w:t xml:space="preserve"> 51,</w:t>
            </w:r>
            <w:r w:rsidR="00021528">
              <w:rPr>
                <w:snapToGrid w:val="0"/>
                <w:lang w:val="en-US"/>
              </w:rPr>
              <w:t>9</w:t>
            </w:r>
            <w:r w:rsidRPr="004A5B59">
              <w:rPr>
                <w:snapToGrid w:val="0"/>
                <w:lang w:val="en-US"/>
              </w:rPr>
              <w:t xml:space="preserve">00 </w:t>
            </w:r>
          </w:p>
        </w:tc>
        <w:tc>
          <w:tcPr>
            <w:tcW w:w="624" w:type="dxa"/>
            <w:tcBorders>
              <w:top w:val="nil"/>
              <w:left w:val="nil"/>
              <w:bottom w:val="nil"/>
              <w:right w:val="nil"/>
            </w:tcBorders>
          </w:tcPr>
          <w:p w14:paraId="4AF90978"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2</w:t>
            </w:r>
            <w:r w:rsidRPr="000E13F8">
              <w:rPr>
                <w:snapToGrid w:val="0"/>
                <w:lang w:val="en-US"/>
              </w:rPr>
              <w:t xml:space="preserve"> </w:t>
            </w:r>
          </w:p>
        </w:tc>
        <w:tc>
          <w:tcPr>
            <w:tcW w:w="851" w:type="dxa"/>
            <w:tcBorders>
              <w:top w:val="nil"/>
              <w:left w:val="nil"/>
              <w:bottom w:val="nil"/>
              <w:right w:val="nil"/>
            </w:tcBorders>
          </w:tcPr>
          <w:p w14:paraId="4EED29DE" w14:textId="77777777" w:rsidR="006B5D86" w:rsidRPr="000E13F8" w:rsidRDefault="006B5D86" w:rsidP="00A72EA9">
            <w:pPr>
              <w:pStyle w:val="TableTextRight"/>
              <w:spacing w:before="36" w:after="36"/>
              <w:rPr>
                <w:snapToGrid w:val="0"/>
                <w:lang w:val="en-US"/>
              </w:rPr>
            </w:pPr>
            <w:r w:rsidRPr="000E13F8">
              <w:rPr>
                <w:snapToGrid w:val="0"/>
                <w:lang w:val="en-US"/>
              </w:rPr>
              <w:t xml:space="preserve"> 1.</w:t>
            </w:r>
            <w:r>
              <w:rPr>
                <w:snapToGrid w:val="0"/>
                <w:lang w:val="en-US"/>
              </w:rPr>
              <w:t>2</w:t>
            </w:r>
            <w:r w:rsidRPr="000E13F8">
              <w:rPr>
                <w:snapToGrid w:val="0"/>
                <w:lang w:val="en-US"/>
              </w:rPr>
              <w:t xml:space="preserve"> </w:t>
            </w:r>
          </w:p>
        </w:tc>
        <w:tc>
          <w:tcPr>
            <w:tcW w:w="907" w:type="dxa"/>
            <w:tcBorders>
              <w:top w:val="nil"/>
              <w:left w:val="nil"/>
              <w:bottom w:val="nil"/>
              <w:right w:val="nil"/>
            </w:tcBorders>
          </w:tcPr>
          <w:p w14:paraId="7B6C0B5A"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52</w:t>
            </w:r>
            <w:r w:rsidRPr="000E13F8">
              <w:rPr>
                <w:snapToGrid w:val="0"/>
                <w:lang w:val="en-US"/>
              </w:rPr>
              <w:t>,</w:t>
            </w:r>
            <w:r w:rsidR="00642AA9">
              <w:rPr>
                <w:snapToGrid w:val="0"/>
                <w:lang w:val="en-US"/>
              </w:rPr>
              <w:t>620</w:t>
            </w:r>
            <w:r w:rsidRPr="000E13F8">
              <w:rPr>
                <w:snapToGrid w:val="0"/>
                <w:lang w:val="en-US"/>
              </w:rPr>
              <w:t xml:space="preserve"> </w:t>
            </w:r>
          </w:p>
        </w:tc>
      </w:tr>
      <w:tr w:rsidR="0062476A" w:rsidRPr="00B85C14" w14:paraId="38B78B9A" w14:textId="77777777" w:rsidTr="0062476A">
        <w:tc>
          <w:tcPr>
            <w:tcW w:w="553" w:type="dxa"/>
            <w:tcBorders>
              <w:top w:val="nil"/>
              <w:left w:val="nil"/>
              <w:bottom w:val="single" w:sz="2" w:space="0" w:color="000000"/>
              <w:right w:val="nil"/>
            </w:tcBorders>
          </w:tcPr>
          <w:p w14:paraId="425B019D" w14:textId="77777777" w:rsidR="006B5D86" w:rsidRPr="005A0CE4" w:rsidRDefault="006B5D86" w:rsidP="00A72EA9">
            <w:pPr>
              <w:pStyle w:val="TableColumnHeadingLeft"/>
              <w:spacing w:before="36" w:after="36"/>
            </w:pPr>
            <w:r w:rsidRPr="005A0CE4">
              <w:t>29</w:t>
            </w:r>
          </w:p>
        </w:tc>
        <w:tc>
          <w:tcPr>
            <w:tcW w:w="624" w:type="dxa"/>
            <w:tcBorders>
              <w:top w:val="nil"/>
              <w:left w:val="nil"/>
              <w:bottom w:val="single" w:sz="2" w:space="0" w:color="000000"/>
              <w:right w:val="nil"/>
            </w:tcBorders>
          </w:tcPr>
          <w:p w14:paraId="3859BA47" w14:textId="77777777" w:rsidR="006B5D86" w:rsidRPr="00190D6C" w:rsidRDefault="006B5D86" w:rsidP="00A72EA9">
            <w:pPr>
              <w:pStyle w:val="TableTextRight"/>
              <w:spacing w:before="36" w:after="36"/>
              <w:rPr>
                <w:snapToGrid w:val="0"/>
                <w:lang w:val="en-US"/>
              </w:rPr>
            </w:pPr>
            <w:r w:rsidRPr="00190D6C">
              <w:rPr>
                <w:snapToGrid w:val="0"/>
                <w:lang w:val="en-US"/>
              </w:rPr>
              <w:t xml:space="preserve"> 4.1 </w:t>
            </w:r>
          </w:p>
        </w:tc>
        <w:tc>
          <w:tcPr>
            <w:tcW w:w="851" w:type="dxa"/>
            <w:tcBorders>
              <w:top w:val="nil"/>
              <w:left w:val="nil"/>
              <w:bottom w:val="single" w:sz="2" w:space="0" w:color="000000"/>
              <w:right w:val="nil"/>
            </w:tcBorders>
          </w:tcPr>
          <w:p w14:paraId="654C1241" w14:textId="77777777" w:rsidR="006B5D86" w:rsidRPr="00190D6C" w:rsidRDefault="006B5D86" w:rsidP="00A72EA9">
            <w:pPr>
              <w:pStyle w:val="TableTextRight"/>
              <w:spacing w:before="36" w:after="36"/>
              <w:rPr>
                <w:snapToGrid w:val="0"/>
                <w:lang w:val="en-US"/>
              </w:rPr>
            </w:pPr>
            <w:r w:rsidRPr="00190D6C">
              <w:rPr>
                <w:snapToGrid w:val="0"/>
                <w:lang w:val="en-US"/>
              </w:rPr>
              <w:t xml:space="preserve"> 4.</w:t>
            </w:r>
            <w:r>
              <w:rPr>
                <w:snapToGrid w:val="0"/>
                <w:lang w:val="en-US"/>
              </w:rPr>
              <w:t>5</w:t>
            </w:r>
            <w:r w:rsidRPr="00190D6C">
              <w:rPr>
                <w:snapToGrid w:val="0"/>
                <w:lang w:val="en-US"/>
              </w:rPr>
              <w:t xml:space="preserve"> </w:t>
            </w:r>
          </w:p>
        </w:tc>
        <w:tc>
          <w:tcPr>
            <w:tcW w:w="907" w:type="dxa"/>
            <w:tcBorders>
              <w:top w:val="nil"/>
              <w:left w:val="nil"/>
              <w:bottom w:val="single" w:sz="2" w:space="0" w:color="000000"/>
              <w:right w:val="nil"/>
            </w:tcBorders>
          </w:tcPr>
          <w:p w14:paraId="32652700" w14:textId="77777777" w:rsidR="006B5D86" w:rsidRPr="006B5D86" w:rsidRDefault="006B5D86" w:rsidP="00A72EA9">
            <w:pPr>
              <w:pStyle w:val="TableTextRight"/>
              <w:spacing w:before="36" w:after="36"/>
              <w:rPr>
                <w:snapToGrid w:val="0"/>
                <w:lang w:val="en-US"/>
              </w:rPr>
            </w:pPr>
            <w:r w:rsidRPr="006B5D86">
              <w:rPr>
                <w:snapToGrid w:val="0"/>
                <w:lang w:val="en-US"/>
              </w:rPr>
              <w:t xml:space="preserve"> 77,662 </w:t>
            </w:r>
          </w:p>
        </w:tc>
        <w:tc>
          <w:tcPr>
            <w:tcW w:w="624" w:type="dxa"/>
            <w:tcBorders>
              <w:top w:val="nil"/>
              <w:left w:val="nil"/>
              <w:bottom w:val="single" w:sz="2" w:space="0" w:color="000000"/>
              <w:right w:val="nil"/>
            </w:tcBorders>
          </w:tcPr>
          <w:p w14:paraId="6D95E73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w:t>
            </w:r>
            <w:r>
              <w:rPr>
                <w:snapToGrid w:val="0"/>
                <w:lang w:val="en-US"/>
              </w:rPr>
              <w:t>6</w:t>
            </w:r>
            <w:r w:rsidRPr="00190D6C">
              <w:rPr>
                <w:snapToGrid w:val="0"/>
                <w:lang w:val="en-US"/>
              </w:rPr>
              <w:t xml:space="preserve"> </w:t>
            </w:r>
          </w:p>
        </w:tc>
        <w:tc>
          <w:tcPr>
            <w:tcW w:w="851" w:type="dxa"/>
            <w:tcBorders>
              <w:top w:val="nil"/>
              <w:left w:val="nil"/>
              <w:bottom w:val="single" w:sz="2" w:space="0" w:color="000000"/>
              <w:right w:val="nil"/>
            </w:tcBorders>
          </w:tcPr>
          <w:p w14:paraId="2AD510DD" w14:textId="77777777" w:rsidR="006B5D86" w:rsidRPr="00190D6C" w:rsidRDefault="006B5D86" w:rsidP="00A72EA9">
            <w:pPr>
              <w:pStyle w:val="TableTextRight"/>
              <w:spacing w:before="36" w:after="36"/>
              <w:rPr>
                <w:snapToGrid w:val="0"/>
                <w:lang w:val="en-US"/>
              </w:rPr>
            </w:pPr>
            <w:r w:rsidRPr="00190D6C">
              <w:rPr>
                <w:snapToGrid w:val="0"/>
                <w:lang w:val="en-US"/>
              </w:rPr>
              <w:t xml:space="preserve"> 1.6 </w:t>
            </w:r>
          </w:p>
        </w:tc>
        <w:tc>
          <w:tcPr>
            <w:tcW w:w="907" w:type="dxa"/>
            <w:tcBorders>
              <w:top w:val="nil"/>
              <w:left w:val="nil"/>
              <w:bottom w:val="single" w:sz="2" w:space="0" w:color="000000"/>
              <w:right w:val="nil"/>
            </w:tcBorders>
          </w:tcPr>
          <w:p w14:paraId="4AF4B1F2" w14:textId="77777777" w:rsidR="006B5D86" w:rsidRPr="006B5D86" w:rsidRDefault="006B5D86" w:rsidP="00A72EA9">
            <w:pPr>
              <w:pStyle w:val="TableTextRight"/>
              <w:spacing w:before="36" w:after="36"/>
              <w:rPr>
                <w:snapToGrid w:val="0"/>
                <w:lang w:val="en-US"/>
              </w:rPr>
            </w:pPr>
            <w:r w:rsidRPr="004A5B59">
              <w:rPr>
                <w:snapToGrid w:val="0"/>
                <w:lang w:val="en-US"/>
              </w:rPr>
              <w:t xml:space="preserve"> 5</w:t>
            </w:r>
            <w:r w:rsidR="00021528">
              <w:rPr>
                <w:snapToGrid w:val="0"/>
                <w:lang w:val="en-US"/>
              </w:rPr>
              <w:t>2</w:t>
            </w:r>
            <w:r w:rsidRPr="004A5B59">
              <w:rPr>
                <w:snapToGrid w:val="0"/>
                <w:lang w:val="en-US"/>
              </w:rPr>
              <w:t>,</w:t>
            </w:r>
            <w:r w:rsidR="00021528">
              <w:rPr>
                <w:snapToGrid w:val="0"/>
                <w:lang w:val="en-US"/>
              </w:rPr>
              <w:t>1</w:t>
            </w:r>
            <w:r w:rsidRPr="004A5B59">
              <w:rPr>
                <w:snapToGrid w:val="0"/>
                <w:lang w:val="en-US"/>
              </w:rPr>
              <w:t xml:space="preserve">00 </w:t>
            </w:r>
          </w:p>
        </w:tc>
        <w:tc>
          <w:tcPr>
            <w:tcW w:w="624" w:type="dxa"/>
            <w:tcBorders>
              <w:top w:val="nil"/>
              <w:left w:val="nil"/>
              <w:bottom w:val="single" w:sz="2" w:space="0" w:color="000000"/>
              <w:right w:val="nil"/>
            </w:tcBorders>
          </w:tcPr>
          <w:p w14:paraId="285B6B94" w14:textId="77777777" w:rsidR="006B5D86" w:rsidRPr="000E13F8" w:rsidRDefault="006B5D86" w:rsidP="00A72EA9">
            <w:pPr>
              <w:pStyle w:val="TableTextRight"/>
              <w:spacing w:before="36" w:after="36"/>
              <w:rPr>
                <w:snapToGrid w:val="0"/>
                <w:lang w:val="en-US"/>
              </w:rPr>
            </w:pPr>
            <w:r w:rsidRPr="000E13F8">
              <w:rPr>
                <w:snapToGrid w:val="0"/>
                <w:lang w:val="en-US"/>
              </w:rPr>
              <w:t xml:space="preserve"> 0.6 </w:t>
            </w:r>
          </w:p>
        </w:tc>
        <w:tc>
          <w:tcPr>
            <w:tcW w:w="851" w:type="dxa"/>
            <w:tcBorders>
              <w:top w:val="nil"/>
              <w:left w:val="nil"/>
              <w:bottom w:val="single" w:sz="2" w:space="0" w:color="000000"/>
              <w:right w:val="nil"/>
            </w:tcBorders>
          </w:tcPr>
          <w:p w14:paraId="563ADE5D" w14:textId="77777777" w:rsidR="006B5D86" w:rsidRPr="000E13F8" w:rsidRDefault="006B5D86" w:rsidP="00A72EA9">
            <w:pPr>
              <w:pStyle w:val="TableTextRight"/>
              <w:spacing w:before="36" w:after="36"/>
              <w:rPr>
                <w:snapToGrid w:val="0"/>
                <w:lang w:val="en-US"/>
              </w:rPr>
            </w:pPr>
            <w:r w:rsidRPr="000E13F8">
              <w:rPr>
                <w:snapToGrid w:val="0"/>
                <w:lang w:val="en-US"/>
              </w:rPr>
              <w:t xml:space="preserve"> 0.6 </w:t>
            </w:r>
          </w:p>
        </w:tc>
        <w:tc>
          <w:tcPr>
            <w:tcW w:w="907" w:type="dxa"/>
            <w:tcBorders>
              <w:top w:val="nil"/>
              <w:left w:val="nil"/>
              <w:bottom w:val="single" w:sz="2" w:space="0" w:color="000000"/>
              <w:right w:val="nil"/>
            </w:tcBorders>
          </w:tcPr>
          <w:p w14:paraId="2B716835" w14:textId="77777777" w:rsidR="006B5D86" w:rsidRPr="000E13F8" w:rsidRDefault="006B5D86" w:rsidP="00A72EA9">
            <w:pPr>
              <w:pStyle w:val="TableTextRight"/>
              <w:spacing w:before="36" w:after="36"/>
              <w:rPr>
                <w:snapToGrid w:val="0"/>
                <w:lang w:val="en-US"/>
              </w:rPr>
            </w:pPr>
            <w:r w:rsidRPr="000E13F8">
              <w:rPr>
                <w:snapToGrid w:val="0"/>
                <w:lang w:val="en-US"/>
              </w:rPr>
              <w:t xml:space="preserve"> </w:t>
            </w:r>
            <w:r w:rsidR="00642AA9">
              <w:rPr>
                <w:snapToGrid w:val="0"/>
                <w:lang w:val="en-US"/>
              </w:rPr>
              <w:t>52</w:t>
            </w:r>
            <w:r w:rsidRPr="000E13F8">
              <w:rPr>
                <w:snapToGrid w:val="0"/>
                <w:lang w:val="en-US"/>
              </w:rPr>
              <w:t>,</w:t>
            </w:r>
            <w:r w:rsidR="00642AA9">
              <w:rPr>
                <w:snapToGrid w:val="0"/>
                <w:lang w:val="en-US"/>
              </w:rPr>
              <w:t>889</w:t>
            </w:r>
            <w:r w:rsidRPr="000E13F8">
              <w:rPr>
                <w:snapToGrid w:val="0"/>
                <w:lang w:val="en-US"/>
              </w:rPr>
              <w:t xml:space="preserve"> </w:t>
            </w:r>
          </w:p>
        </w:tc>
      </w:tr>
      <w:tr w:rsidR="0062476A" w:rsidRPr="00B85C14" w14:paraId="013C7FE5" w14:textId="77777777" w:rsidTr="0062476A">
        <w:tc>
          <w:tcPr>
            <w:tcW w:w="553" w:type="dxa"/>
            <w:tcBorders>
              <w:top w:val="single" w:sz="2" w:space="0" w:color="000000"/>
              <w:left w:val="nil"/>
              <w:bottom w:val="nil"/>
              <w:right w:val="nil"/>
            </w:tcBorders>
            <w:shd w:val="clear" w:color="auto" w:fill="F2F2F2" w:themeFill="background1" w:themeFillShade="F2"/>
          </w:tcPr>
          <w:p w14:paraId="74735E52" w14:textId="77777777" w:rsidR="00642AA9" w:rsidRPr="005A0CE4" w:rsidRDefault="00642AA9" w:rsidP="00A72EA9">
            <w:pPr>
              <w:pStyle w:val="TableColumnHeadingLeft"/>
              <w:spacing w:before="36" w:after="36"/>
            </w:pPr>
            <w:r w:rsidRPr="005A0CE4">
              <w:t>30</w:t>
            </w:r>
          </w:p>
        </w:tc>
        <w:tc>
          <w:tcPr>
            <w:tcW w:w="624" w:type="dxa"/>
            <w:tcBorders>
              <w:top w:val="single" w:sz="2" w:space="0" w:color="000000"/>
              <w:left w:val="nil"/>
              <w:bottom w:val="nil"/>
              <w:right w:val="nil"/>
            </w:tcBorders>
            <w:shd w:val="clear" w:color="auto" w:fill="F2F2F2" w:themeFill="background1" w:themeFillShade="F2"/>
          </w:tcPr>
          <w:p w14:paraId="08F665A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w:t>
            </w:r>
            <w:r>
              <w:rPr>
                <w:snapToGrid w:val="0"/>
                <w:lang w:val="en-US"/>
              </w:rPr>
              <w:t>5</w:t>
            </w:r>
            <w:r w:rsidRPr="00190D6C">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6FA686DD"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w:t>
            </w:r>
            <w:r>
              <w:rPr>
                <w:snapToGrid w:val="0"/>
                <w:lang w:val="en-US"/>
              </w:rPr>
              <w:t>9</w:t>
            </w:r>
            <w:r w:rsidRPr="00190D6C">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6290CC43" w14:textId="77777777" w:rsidR="00642AA9" w:rsidRPr="006B5D86" w:rsidRDefault="00642AA9" w:rsidP="00A72EA9">
            <w:pPr>
              <w:pStyle w:val="TableTextRight"/>
              <w:spacing w:before="36" w:after="36"/>
              <w:rPr>
                <w:snapToGrid w:val="0"/>
                <w:lang w:val="en-US"/>
              </w:rPr>
            </w:pPr>
            <w:r w:rsidRPr="006B5D86">
              <w:rPr>
                <w:snapToGrid w:val="0"/>
                <w:lang w:val="en-US"/>
              </w:rPr>
              <w:t xml:space="preserve"> 79,742 </w:t>
            </w:r>
          </w:p>
        </w:tc>
        <w:tc>
          <w:tcPr>
            <w:tcW w:w="624" w:type="dxa"/>
            <w:tcBorders>
              <w:top w:val="single" w:sz="2" w:space="0" w:color="000000"/>
              <w:left w:val="nil"/>
              <w:bottom w:val="nil"/>
              <w:right w:val="nil"/>
            </w:tcBorders>
            <w:shd w:val="clear" w:color="auto" w:fill="F2F2F2" w:themeFill="background1" w:themeFillShade="F2"/>
          </w:tcPr>
          <w:p w14:paraId="67F9097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1.</w:t>
            </w:r>
            <w:r>
              <w:rPr>
                <w:snapToGrid w:val="0"/>
                <w:lang w:val="en-US"/>
              </w:rPr>
              <w:t>3</w:t>
            </w:r>
            <w:r w:rsidRPr="00190D6C">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57ED265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1.4 </w:t>
            </w:r>
          </w:p>
        </w:tc>
        <w:tc>
          <w:tcPr>
            <w:tcW w:w="907" w:type="dxa"/>
            <w:tcBorders>
              <w:top w:val="single" w:sz="2" w:space="0" w:color="000000"/>
              <w:left w:val="nil"/>
              <w:bottom w:val="nil"/>
              <w:right w:val="nil"/>
            </w:tcBorders>
            <w:shd w:val="clear" w:color="auto" w:fill="F2F2F2" w:themeFill="background1" w:themeFillShade="F2"/>
          </w:tcPr>
          <w:p w14:paraId="3FE4F16F"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2</w:t>
            </w:r>
            <w:r w:rsidRPr="004A5B59">
              <w:rPr>
                <w:snapToGrid w:val="0"/>
                <w:lang w:val="en-US"/>
              </w:rPr>
              <w:t>,</w:t>
            </w:r>
            <w:r>
              <w:rPr>
                <w:snapToGrid w:val="0"/>
                <w:lang w:val="en-US"/>
              </w:rPr>
              <w:t>3</w:t>
            </w:r>
            <w:r w:rsidRPr="004A5B59">
              <w:rPr>
                <w:snapToGrid w:val="0"/>
                <w:lang w:val="en-US"/>
              </w:rPr>
              <w:t xml:space="preserve">00 </w:t>
            </w:r>
          </w:p>
        </w:tc>
        <w:tc>
          <w:tcPr>
            <w:tcW w:w="624" w:type="dxa"/>
            <w:tcBorders>
              <w:top w:val="single" w:sz="2" w:space="0" w:color="000000"/>
              <w:left w:val="nil"/>
              <w:bottom w:val="nil"/>
              <w:right w:val="nil"/>
            </w:tcBorders>
            <w:shd w:val="clear" w:color="auto" w:fill="F2F2F2" w:themeFill="background1" w:themeFillShade="F2"/>
          </w:tcPr>
          <w:p w14:paraId="4D0F05A4" w14:textId="0DDCC810"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54584802" w14:textId="4A75A116"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59CF4FFD"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15C8C38C" w14:textId="77777777" w:rsidTr="0062476A">
        <w:tc>
          <w:tcPr>
            <w:tcW w:w="553" w:type="dxa"/>
            <w:tcBorders>
              <w:top w:val="nil"/>
              <w:left w:val="nil"/>
              <w:bottom w:val="nil"/>
              <w:right w:val="nil"/>
            </w:tcBorders>
            <w:shd w:val="clear" w:color="auto" w:fill="F2F2F2" w:themeFill="background1" w:themeFillShade="F2"/>
          </w:tcPr>
          <w:p w14:paraId="090325A6" w14:textId="77777777" w:rsidR="00642AA9" w:rsidRPr="005A0CE4" w:rsidRDefault="00642AA9" w:rsidP="00A72EA9">
            <w:pPr>
              <w:pStyle w:val="TableColumnHeadingLeft"/>
              <w:spacing w:before="36" w:after="36"/>
            </w:pPr>
            <w:r w:rsidRPr="005A0CE4">
              <w:t>31</w:t>
            </w:r>
          </w:p>
        </w:tc>
        <w:tc>
          <w:tcPr>
            <w:tcW w:w="624" w:type="dxa"/>
            <w:tcBorders>
              <w:top w:val="nil"/>
              <w:left w:val="nil"/>
              <w:bottom w:val="nil"/>
              <w:right w:val="nil"/>
            </w:tcBorders>
            <w:shd w:val="clear" w:color="auto" w:fill="F2F2F2" w:themeFill="background1" w:themeFillShade="F2"/>
          </w:tcPr>
          <w:p w14:paraId="58C80049"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w:t>
            </w:r>
            <w:r>
              <w:rPr>
                <w:snapToGrid w:val="0"/>
                <w:lang w:val="en-US"/>
              </w:rPr>
              <w:t>3</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0BBFD19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3.4 </w:t>
            </w:r>
          </w:p>
        </w:tc>
        <w:tc>
          <w:tcPr>
            <w:tcW w:w="907" w:type="dxa"/>
            <w:tcBorders>
              <w:top w:val="nil"/>
              <w:left w:val="nil"/>
              <w:bottom w:val="nil"/>
              <w:right w:val="nil"/>
            </w:tcBorders>
            <w:shd w:val="clear" w:color="auto" w:fill="F2F2F2" w:themeFill="background1" w:themeFillShade="F2"/>
          </w:tcPr>
          <w:p w14:paraId="58D860A6" w14:textId="77777777" w:rsidR="00642AA9" w:rsidRPr="006B5D86" w:rsidRDefault="00642AA9" w:rsidP="00A72EA9">
            <w:pPr>
              <w:pStyle w:val="TableTextRight"/>
              <w:spacing w:before="36" w:after="36"/>
              <w:rPr>
                <w:snapToGrid w:val="0"/>
                <w:lang w:val="en-US"/>
              </w:rPr>
            </w:pPr>
            <w:r w:rsidRPr="006B5D86">
              <w:rPr>
                <w:snapToGrid w:val="0"/>
                <w:lang w:val="en-US"/>
              </w:rPr>
              <w:t xml:space="preserve"> 81,822 </w:t>
            </w:r>
          </w:p>
        </w:tc>
        <w:tc>
          <w:tcPr>
            <w:tcW w:w="624" w:type="dxa"/>
            <w:tcBorders>
              <w:top w:val="nil"/>
              <w:left w:val="nil"/>
              <w:bottom w:val="nil"/>
              <w:right w:val="nil"/>
            </w:tcBorders>
            <w:shd w:val="clear" w:color="auto" w:fill="F2F2F2" w:themeFill="background1" w:themeFillShade="F2"/>
          </w:tcPr>
          <w:p w14:paraId="0000B57F" w14:textId="77777777" w:rsidR="00642AA9" w:rsidRPr="00190D6C" w:rsidRDefault="00642AA9" w:rsidP="00A72EA9">
            <w:pPr>
              <w:pStyle w:val="TableTextRight"/>
              <w:spacing w:before="36" w:after="36"/>
              <w:rPr>
                <w:snapToGrid w:val="0"/>
                <w:lang w:val="en-US"/>
              </w:rPr>
            </w:pPr>
            <w:r w:rsidRPr="00190D6C">
              <w:rPr>
                <w:snapToGrid w:val="0"/>
                <w:lang w:val="en-US"/>
              </w:rPr>
              <w:t xml:space="preserve"> 1.</w:t>
            </w:r>
            <w:r>
              <w:rPr>
                <w:snapToGrid w:val="0"/>
                <w:lang w:val="en-US"/>
              </w:rPr>
              <w:t>1</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363F7FE9" w14:textId="77777777" w:rsidR="00642AA9" w:rsidRPr="00190D6C" w:rsidRDefault="00642AA9" w:rsidP="00A72EA9">
            <w:pPr>
              <w:pStyle w:val="TableTextRight"/>
              <w:spacing w:before="36" w:after="36"/>
              <w:rPr>
                <w:snapToGrid w:val="0"/>
                <w:lang w:val="en-US"/>
              </w:rPr>
            </w:pPr>
            <w:r w:rsidRPr="00190D6C">
              <w:rPr>
                <w:snapToGrid w:val="0"/>
                <w:lang w:val="en-US"/>
              </w:rPr>
              <w:t xml:space="preserve"> 1.2 </w:t>
            </w:r>
          </w:p>
        </w:tc>
        <w:tc>
          <w:tcPr>
            <w:tcW w:w="907" w:type="dxa"/>
            <w:tcBorders>
              <w:top w:val="nil"/>
              <w:left w:val="nil"/>
              <w:bottom w:val="nil"/>
              <w:right w:val="nil"/>
            </w:tcBorders>
            <w:shd w:val="clear" w:color="auto" w:fill="F2F2F2" w:themeFill="background1" w:themeFillShade="F2"/>
          </w:tcPr>
          <w:p w14:paraId="3D1ADF05"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2</w:t>
            </w:r>
            <w:r w:rsidRPr="004A5B59">
              <w:rPr>
                <w:snapToGrid w:val="0"/>
                <w:lang w:val="en-US"/>
              </w:rPr>
              <w:t>,</w:t>
            </w:r>
            <w:r>
              <w:rPr>
                <w:snapToGrid w:val="0"/>
                <w:lang w:val="en-US"/>
              </w:rPr>
              <w:t>5</w:t>
            </w:r>
            <w:r w:rsidRPr="004A5B59">
              <w:rPr>
                <w:snapToGrid w:val="0"/>
                <w:lang w:val="en-US"/>
              </w:rPr>
              <w:t xml:space="preserve">00 </w:t>
            </w:r>
          </w:p>
        </w:tc>
        <w:tc>
          <w:tcPr>
            <w:tcW w:w="624" w:type="dxa"/>
            <w:tcBorders>
              <w:top w:val="nil"/>
              <w:left w:val="nil"/>
              <w:bottom w:val="nil"/>
              <w:right w:val="nil"/>
            </w:tcBorders>
            <w:shd w:val="clear" w:color="auto" w:fill="F2F2F2" w:themeFill="background1" w:themeFillShade="F2"/>
          </w:tcPr>
          <w:p w14:paraId="4AEA8E1E" w14:textId="41002B3A"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235B03CB" w14:textId="60E9F221"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75AD55FD"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24A13080" w14:textId="77777777" w:rsidTr="0062476A">
        <w:tc>
          <w:tcPr>
            <w:tcW w:w="553" w:type="dxa"/>
            <w:tcBorders>
              <w:top w:val="nil"/>
              <w:left w:val="nil"/>
              <w:bottom w:val="nil"/>
              <w:right w:val="nil"/>
            </w:tcBorders>
            <w:shd w:val="clear" w:color="auto" w:fill="F2F2F2" w:themeFill="background1" w:themeFillShade="F2"/>
          </w:tcPr>
          <w:p w14:paraId="52029645" w14:textId="77777777" w:rsidR="00642AA9" w:rsidRPr="005A0CE4" w:rsidRDefault="00642AA9" w:rsidP="00A72EA9">
            <w:pPr>
              <w:pStyle w:val="TableColumnHeadingLeft"/>
              <w:spacing w:before="36" w:after="36"/>
            </w:pPr>
            <w:r w:rsidRPr="005A0CE4">
              <w:t>32</w:t>
            </w:r>
          </w:p>
        </w:tc>
        <w:tc>
          <w:tcPr>
            <w:tcW w:w="624" w:type="dxa"/>
            <w:tcBorders>
              <w:top w:val="nil"/>
              <w:left w:val="nil"/>
              <w:bottom w:val="nil"/>
              <w:right w:val="nil"/>
            </w:tcBorders>
            <w:shd w:val="clear" w:color="auto" w:fill="F2F2F2" w:themeFill="background1" w:themeFillShade="F2"/>
          </w:tcPr>
          <w:p w14:paraId="484BA8B0"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w:t>
            </w:r>
            <w:r>
              <w:rPr>
                <w:snapToGrid w:val="0"/>
                <w:lang w:val="en-US"/>
              </w:rPr>
              <w:t>0</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199336B1" w14:textId="77777777" w:rsidR="00642AA9" w:rsidRPr="00190D6C" w:rsidRDefault="00642AA9" w:rsidP="00A72EA9">
            <w:pPr>
              <w:pStyle w:val="TableTextRight"/>
              <w:spacing w:before="36" w:after="36"/>
              <w:rPr>
                <w:snapToGrid w:val="0"/>
                <w:lang w:val="en-US"/>
              </w:rPr>
            </w:pPr>
            <w:r w:rsidRPr="00190D6C">
              <w:rPr>
                <w:snapToGrid w:val="0"/>
                <w:lang w:val="en-US"/>
              </w:rPr>
              <w:t xml:space="preserve"> 3.0 </w:t>
            </w:r>
          </w:p>
        </w:tc>
        <w:tc>
          <w:tcPr>
            <w:tcW w:w="907" w:type="dxa"/>
            <w:tcBorders>
              <w:top w:val="nil"/>
              <w:left w:val="nil"/>
              <w:bottom w:val="nil"/>
              <w:right w:val="nil"/>
            </w:tcBorders>
            <w:shd w:val="clear" w:color="auto" w:fill="F2F2F2" w:themeFill="background1" w:themeFillShade="F2"/>
          </w:tcPr>
          <w:p w14:paraId="3FA5D41B" w14:textId="77777777" w:rsidR="00642AA9" w:rsidRPr="006B5D86" w:rsidRDefault="00642AA9" w:rsidP="00A72EA9">
            <w:pPr>
              <w:pStyle w:val="TableTextRight"/>
              <w:spacing w:before="36" w:after="36"/>
              <w:rPr>
                <w:snapToGrid w:val="0"/>
                <w:lang w:val="en-US"/>
              </w:rPr>
            </w:pPr>
            <w:r w:rsidRPr="006B5D86">
              <w:rPr>
                <w:snapToGrid w:val="0"/>
                <w:lang w:val="en-US"/>
              </w:rPr>
              <w:t xml:space="preserve"> 83,902 </w:t>
            </w:r>
          </w:p>
        </w:tc>
        <w:tc>
          <w:tcPr>
            <w:tcW w:w="624" w:type="dxa"/>
            <w:tcBorders>
              <w:top w:val="nil"/>
              <w:left w:val="nil"/>
              <w:bottom w:val="nil"/>
              <w:right w:val="nil"/>
            </w:tcBorders>
            <w:shd w:val="clear" w:color="auto" w:fill="F2F2F2" w:themeFill="background1" w:themeFillShade="F2"/>
          </w:tcPr>
          <w:p w14:paraId="57C6E54D" w14:textId="77777777" w:rsidR="00642AA9" w:rsidRPr="00190D6C" w:rsidRDefault="00642AA9" w:rsidP="00A72EA9">
            <w:pPr>
              <w:pStyle w:val="TableTextRight"/>
              <w:spacing w:before="36" w:after="36"/>
              <w:rPr>
                <w:snapToGrid w:val="0"/>
                <w:lang w:val="en-US"/>
              </w:rPr>
            </w:pPr>
            <w:r w:rsidRPr="00190D6C">
              <w:rPr>
                <w:snapToGrid w:val="0"/>
                <w:lang w:val="en-US"/>
              </w:rPr>
              <w:t xml:space="preserve"> </w:t>
            </w:r>
            <w:r>
              <w:rPr>
                <w:snapToGrid w:val="0"/>
                <w:lang w:val="en-US"/>
              </w:rPr>
              <w:t>1</w:t>
            </w:r>
            <w:r w:rsidRPr="00190D6C">
              <w:rPr>
                <w:snapToGrid w:val="0"/>
                <w:lang w:val="en-US"/>
              </w:rPr>
              <w:t>.</w:t>
            </w:r>
            <w:r>
              <w:rPr>
                <w:snapToGrid w:val="0"/>
                <w:lang w:val="en-US"/>
              </w:rPr>
              <w:t>0</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04579E7B" w14:textId="77777777" w:rsidR="00642AA9" w:rsidRPr="00190D6C" w:rsidRDefault="00642AA9" w:rsidP="00A72EA9">
            <w:pPr>
              <w:pStyle w:val="TableTextRight"/>
              <w:spacing w:before="36" w:after="36"/>
              <w:rPr>
                <w:snapToGrid w:val="0"/>
                <w:lang w:val="en-US"/>
              </w:rPr>
            </w:pPr>
            <w:r w:rsidRPr="00190D6C">
              <w:rPr>
                <w:snapToGrid w:val="0"/>
                <w:lang w:val="en-US"/>
              </w:rPr>
              <w:t xml:space="preserve"> 1.0 </w:t>
            </w:r>
          </w:p>
        </w:tc>
        <w:tc>
          <w:tcPr>
            <w:tcW w:w="907" w:type="dxa"/>
            <w:tcBorders>
              <w:top w:val="nil"/>
              <w:left w:val="nil"/>
              <w:bottom w:val="nil"/>
              <w:right w:val="nil"/>
            </w:tcBorders>
            <w:shd w:val="clear" w:color="auto" w:fill="F2F2F2" w:themeFill="background1" w:themeFillShade="F2"/>
          </w:tcPr>
          <w:p w14:paraId="3067908D"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2</w:t>
            </w:r>
            <w:r w:rsidRPr="004A5B59">
              <w:rPr>
                <w:snapToGrid w:val="0"/>
                <w:lang w:val="en-US"/>
              </w:rPr>
              <w:t>,</w:t>
            </w:r>
            <w:r>
              <w:rPr>
                <w:snapToGrid w:val="0"/>
                <w:lang w:val="en-US"/>
              </w:rPr>
              <w:t>7</w:t>
            </w:r>
            <w:r w:rsidRPr="004A5B59">
              <w:rPr>
                <w:snapToGrid w:val="0"/>
                <w:lang w:val="en-US"/>
              </w:rPr>
              <w:t xml:space="preserve">00 </w:t>
            </w:r>
          </w:p>
        </w:tc>
        <w:tc>
          <w:tcPr>
            <w:tcW w:w="624" w:type="dxa"/>
            <w:tcBorders>
              <w:top w:val="nil"/>
              <w:left w:val="nil"/>
              <w:bottom w:val="nil"/>
              <w:right w:val="nil"/>
            </w:tcBorders>
            <w:shd w:val="clear" w:color="auto" w:fill="F2F2F2" w:themeFill="background1" w:themeFillShade="F2"/>
          </w:tcPr>
          <w:p w14:paraId="10215016" w14:textId="71D95ACA"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690A0DD1" w14:textId="7515073C"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41C1031C"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040E18E6" w14:textId="77777777" w:rsidTr="0062476A">
        <w:tc>
          <w:tcPr>
            <w:tcW w:w="553" w:type="dxa"/>
            <w:tcBorders>
              <w:top w:val="nil"/>
              <w:left w:val="nil"/>
              <w:bottom w:val="nil"/>
              <w:right w:val="nil"/>
            </w:tcBorders>
            <w:shd w:val="clear" w:color="auto" w:fill="F2F2F2" w:themeFill="background1" w:themeFillShade="F2"/>
          </w:tcPr>
          <w:p w14:paraId="56CE647B" w14:textId="77777777" w:rsidR="00642AA9" w:rsidRPr="005A0CE4" w:rsidRDefault="00642AA9" w:rsidP="00A72EA9">
            <w:pPr>
              <w:pStyle w:val="TableColumnHeadingLeft"/>
              <w:spacing w:before="36" w:after="36"/>
            </w:pPr>
            <w:r w:rsidRPr="005A0CE4">
              <w:t>33</w:t>
            </w:r>
          </w:p>
        </w:tc>
        <w:tc>
          <w:tcPr>
            <w:tcW w:w="624" w:type="dxa"/>
            <w:tcBorders>
              <w:top w:val="nil"/>
              <w:left w:val="nil"/>
              <w:bottom w:val="nil"/>
              <w:right w:val="nil"/>
            </w:tcBorders>
            <w:shd w:val="clear" w:color="auto" w:fill="F2F2F2" w:themeFill="background1" w:themeFillShade="F2"/>
          </w:tcPr>
          <w:p w14:paraId="46F1B58C" w14:textId="77777777" w:rsidR="00642AA9" w:rsidRPr="00190D6C" w:rsidRDefault="00642AA9" w:rsidP="00A72EA9">
            <w:pPr>
              <w:pStyle w:val="TableTextRight"/>
              <w:spacing w:before="36" w:after="36"/>
              <w:rPr>
                <w:snapToGrid w:val="0"/>
                <w:lang w:val="en-US"/>
              </w:rPr>
            </w:pPr>
            <w:r w:rsidRPr="00190D6C">
              <w:rPr>
                <w:snapToGrid w:val="0"/>
                <w:lang w:val="en-US"/>
              </w:rPr>
              <w:t xml:space="preserve"> </w:t>
            </w:r>
            <w:r>
              <w:rPr>
                <w:snapToGrid w:val="0"/>
                <w:lang w:val="en-US"/>
              </w:rPr>
              <w:t>2</w:t>
            </w:r>
            <w:r w:rsidRPr="00190D6C">
              <w:rPr>
                <w:snapToGrid w:val="0"/>
                <w:lang w:val="en-US"/>
              </w:rPr>
              <w:t>.</w:t>
            </w:r>
            <w:r>
              <w:rPr>
                <w:snapToGrid w:val="0"/>
                <w:lang w:val="en-US"/>
              </w:rPr>
              <w:t>9</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41CEA72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2.8 </w:t>
            </w:r>
          </w:p>
        </w:tc>
        <w:tc>
          <w:tcPr>
            <w:tcW w:w="907" w:type="dxa"/>
            <w:tcBorders>
              <w:top w:val="nil"/>
              <w:left w:val="nil"/>
              <w:bottom w:val="nil"/>
              <w:right w:val="nil"/>
            </w:tcBorders>
            <w:shd w:val="clear" w:color="auto" w:fill="F2F2F2" w:themeFill="background1" w:themeFillShade="F2"/>
          </w:tcPr>
          <w:p w14:paraId="2FEF8791" w14:textId="77777777" w:rsidR="00642AA9" w:rsidRPr="006B5D86" w:rsidRDefault="00642AA9" w:rsidP="00A72EA9">
            <w:pPr>
              <w:pStyle w:val="TableTextRight"/>
              <w:spacing w:before="36" w:after="36"/>
              <w:rPr>
                <w:snapToGrid w:val="0"/>
                <w:lang w:val="en-US"/>
              </w:rPr>
            </w:pPr>
            <w:r w:rsidRPr="006B5D86">
              <w:rPr>
                <w:snapToGrid w:val="0"/>
                <w:lang w:val="en-US"/>
              </w:rPr>
              <w:t xml:space="preserve"> 85,982 </w:t>
            </w:r>
          </w:p>
        </w:tc>
        <w:tc>
          <w:tcPr>
            <w:tcW w:w="624" w:type="dxa"/>
            <w:tcBorders>
              <w:top w:val="nil"/>
              <w:left w:val="nil"/>
              <w:bottom w:val="nil"/>
              <w:right w:val="nil"/>
            </w:tcBorders>
            <w:shd w:val="clear" w:color="auto" w:fill="F2F2F2" w:themeFill="background1" w:themeFillShade="F2"/>
          </w:tcPr>
          <w:p w14:paraId="13309DF2"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8</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4B27FF57"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0.9 </w:t>
            </w:r>
          </w:p>
        </w:tc>
        <w:tc>
          <w:tcPr>
            <w:tcW w:w="907" w:type="dxa"/>
            <w:tcBorders>
              <w:top w:val="nil"/>
              <w:left w:val="nil"/>
              <w:bottom w:val="nil"/>
              <w:right w:val="nil"/>
            </w:tcBorders>
            <w:shd w:val="clear" w:color="auto" w:fill="F2F2F2" w:themeFill="background1" w:themeFillShade="F2"/>
          </w:tcPr>
          <w:p w14:paraId="587B8FCF"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2</w:t>
            </w:r>
            <w:r w:rsidRPr="004A5B59">
              <w:rPr>
                <w:snapToGrid w:val="0"/>
                <w:lang w:val="en-US"/>
              </w:rPr>
              <w:t>,</w:t>
            </w:r>
            <w:r>
              <w:rPr>
                <w:snapToGrid w:val="0"/>
                <w:lang w:val="en-US"/>
              </w:rPr>
              <w:t>9</w:t>
            </w:r>
            <w:r w:rsidRPr="004A5B59">
              <w:rPr>
                <w:snapToGrid w:val="0"/>
                <w:lang w:val="en-US"/>
              </w:rPr>
              <w:t xml:space="preserve">00 </w:t>
            </w:r>
          </w:p>
        </w:tc>
        <w:tc>
          <w:tcPr>
            <w:tcW w:w="624" w:type="dxa"/>
            <w:tcBorders>
              <w:top w:val="nil"/>
              <w:left w:val="nil"/>
              <w:bottom w:val="nil"/>
              <w:right w:val="nil"/>
            </w:tcBorders>
            <w:shd w:val="clear" w:color="auto" w:fill="F2F2F2" w:themeFill="background1" w:themeFillShade="F2"/>
          </w:tcPr>
          <w:p w14:paraId="1748E4EC" w14:textId="5ED3C021"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6282FAB6" w14:textId="20E9119C"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55D9152C"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03E3165D" w14:textId="77777777" w:rsidTr="0062476A">
        <w:tc>
          <w:tcPr>
            <w:tcW w:w="553" w:type="dxa"/>
            <w:tcBorders>
              <w:top w:val="nil"/>
              <w:left w:val="nil"/>
              <w:bottom w:val="single" w:sz="2" w:space="0" w:color="000000"/>
              <w:right w:val="nil"/>
            </w:tcBorders>
            <w:shd w:val="clear" w:color="auto" w:fill="F2F2F2" w:themeFill="background1" w:themeFillShade="F2"/>
          </w:tcPr>
          <w:p w14:paraId="2BDDCFDA" w14:textId="77777777" w:rsidR="00642AA9" w:rsidRPr="005A0CE4" w:rsidRDefault="00642AA9" w:rsidP="00A72EA9">
            <w:pPr>
              <w:pStyle w:val="TableColumnHeadingLeft"/>
              <w:spacing w:before="36" w:after="36"/>
            </w:pPr>
            <w:r w:rsidRPr="005A0CE4">
              <w:t>34</w:t>
            </w:r>
          </w:p>
        </w:tc>
        <w:tc>
          <w:tcPr>
            <w:tcW w:w="624" w:type="dxa"/>
            <w:tcBorders>
              <w:top w:val="nil"/>
              <w:left w:val="nil"/>
              <w:bottom w:val="single" w:sz="2" w:space="0" w:color="000000"/>
              <w:right w:val="nil"/>
            </w:tcBorders>
            <w:shd w:val="clear" w:color="auto" w:fill="F2F2F2" w:themeFill="background1" w:themeFillShade="F2"/>
          </w:tcPr>
          <w:p w14:paraId="777B9CAF"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w:t>
            </w:r>
            <w:r>
              <w:rPr>
                <w:snapToGrid w:val="0"/>
                <w:lang w:val="en-US"/>
              </w:rPr>
              <w:t>7</w:t>
            </w:r>
            <w:r w:rsidRPr="00190D6C">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5C36D225"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2.5 </w:t>
            </w:r>
          </w:p>
        </w:tc>
        <w:tc>
          <w:tcPr>
            <w:tcW w:w="907" w:type="dxa"/>
            <w:tcBorders>
              <w:top w:val="nil"/>
              <w:left w:val="nil"/>
              <w:bottom w:val="single" w:sz="2" w:space="0" w:color="000000"/>
              <w:right w:val="nil"/>
            </w:tcBorders>
            <w:shd w:val="clear" w:color="auto" w:fill="F2F2F2" w:themeFill="background1" w:themeFillShade="F2"/>
          </w:tcPr>
          <w:p w14:paraId="3E28B6EC" w14:textId="77777777" w:rsidR="00642AA9" w:rsidRPr="006B5D86" w:rsidRDefault="00642AA9" w:rsidP="00A72EA9">
            <w:pPr>
              <w:pStyle w:val="TableTextRight"/>
              <w:spacing w:before="36" w:after="36"/>
              <w:rPr>
                <w:snapToGrid w:val="0"/>
                <w:lang w:val="en-US"/>
              </w:rPr>
            </w:pPr>
            <w:r w:rsidRPr="006B5D86">
              <w:rPr>
                <w:snapToGrid w:val="0"/>
                <w:lang w:val="en-US"/>
              </w:rPr>
              <w:t xml:space="preserve"> 88,062 </w:t>
            </w:r>
          </w:p>
        </w:tc>
        <w:tc>
          <w:tcPr>
            <w:tcW w:w="624" w:type="dxa"/>
            <w:tcBorders>
              <w:top w:val="nil"/>
              <w:left w:val="nil"/>
              <w:bottom w:val="single" w:sz="2" w:space="0" w:color="000000"/>
              <w:right w:val="nil"/>
            </w:tcBorders>
            <w:shd w:val="clear" w:color="auto" w:fill="F2F2F2" w:themeFill="background1" w:themeFillShade="F2"/>
          </w:tcPr>
          <w:p w14:paraId="3AFE61A3"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7</w:t>
            </w:r>
            <w:r w:rsidRPr="00190D6C">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4BF48541"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0.7 </w:t>
            </w:r>
          </w:p>
        </w:tc>
        <w:tc>
          <w:tcPr>
            <w:tcW w:w="907" w:type="dxa"/>
            <w:tcBorders>
              <w:top w:val="nil"/>
              <w:left w:val="nil"/>
              <w:bottom w:val="single" w:sz="2" w:space="0" w:color="000000"/>
              <w:right w:val="nil"/>
            </w:tcBorders>
            <w:shd w:val="clear" w:color="auto" w:fill="F2F2F2" w:themeFill="background1" w:themeFillShade="F2"/>
          </w:tcPr>
          <w:p w14:paraId="7EA8DCAF"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3</w:t>
            </w:r>
            <w:r w:rsidRPr="004A5B59">
              <w:rPr>
                <w:snapToGrid w:val="0"/>
                <w:lang w:val="en-US"/>
              </w:rPr>
              <w:t>,</w:t>
            </w:r>
            <w:r>
              <w:rPr>
                <w:snapToGrid w:val="0"/>
                <w:lang w:val="en-US"/>
              </w:rPr>
              <w:t>319</w:t>
            </w:r>
            <w:r w:rsidRPr="004A5B59">
              <w:rPr>
                <w:snapToGrid w:val="0"/>
                <w:lang w:val="en-US"/>
              </w:rPr>
              <w:t xml:space="preserve"> </w:t>
            </w:r>
          </w:p>
        </w:tc>
        <w:tc>
          <w:tcPr>
            <w:tcW w:w="624" w:type="dxa"/>
            <w:tcBorders>
              <w:top w:val="nil"/>
              <w:left w:val="nil"/>
              <w:bottom w:val="single" w:sz="2" w:space="0" w:color="000000"/>
              <w:right w:val="nil"/>
            </w:tcBorders>
            <w:shd w:val="clear" w:color="auto" w:fill="F2F2F2" w:themeFill="background1" w:themeFillShade="F2"/>
          </w:tcPr>
          <w:p w14:paraId="2F27301E" w14:textId="46C61E68"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0D6DC332" w14:textId="64C62502"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46E615E7"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10FEFADA" w14:textId="77777777" w:rsidTr="0062476A">
        <w:tc>
          <w:tcPr>
            <w:tcW w:w="553" w:type="dxa"/>
            <w:tcBorders>
              <w:top w:val="single" w:sz="2" w:space="0" w:color="000000"/>
              <w:left w:val="nil"/>
              <w:bottom w:val="nil"/>
              <w:right w:val="nil"/>
            </w:tcBorders>
          </w:tcPr>
          <w:p w14:paraId="39DDA04A" w14:textId="77777777" w:rsidR="00642AA9" w:rsidRPr="005A0CE4" w:rsidRDefault="00642AA9" w:rsidP="00A72EA9">
            <w:pPr>
              <w:pStyle w:val="TableColumnHeadingLeft"/>
              <w:spacing w:before="36" w:after="36"/>
            </w:pPr>
            <w:r w:rsidRPr="005A0CE4">
              <w:t>35</w:t>
            </w:r>
          </w:p>
        </w:tc>
        <w:tc>
          <w:tcPr>
            <w:tcW w:w="624" w:type="dxa"/>
            <w:tcBorders>
              <w:top w:val="single" w:sz="2" w:space="0" w:color="000000"/>
              <w:left w:val="nil"/>
              <w:bottom w:val="nil"/>
              <w:right w:val="nil"/>
            </w:tcBorders>
          </w:tcPr>
          <w:p w14:paraId="065AFAB2"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w:t>
            </w:r>
            <w:r>
              <w:rPr>
                <w:snapToGrid w:val="0"/>
                <w:lang w:val="en-US"/>
              </w:rPr>
              <w:t>5</w:t>
            </w:r>
            <w:r w:rsidRPr="00190D6C">
              <w:rPr>
                <w:snapToGrid w:val="0"/>
                <w:lang w:val="en-US"/>
              </w:rPr>
              <w:t xml:space="preserve"> </w:t>
            </w:r>
          </w:p>
        </w:tc>
        <w:tc>
          <w:tcPr>
            <w:tcW w:w="851" w:type="dxa"/>
            <w:tcBorders>
              <w:top w:val="single" w:sz="2" w:space="0" w:color="000000"/>
              <w:left w:val="nil"/>
              <w:bottom w:val="nil"/>
              <w:right w:val="nil"/>
            </w:tcBorders>
          </w:tcPr>
          <w:p w14:paraId="6B5040E6"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907" w:type="dxa"/>
            <w:tcBorders>
              <w:top w:val="single" w:sz="2" w:space="0" w:color="000000"/>
              <w:left w:val="nil"/>
              <w:bottom w:val="nil"/>
              <w:right w:val="nil"/>
            </w:tcBorders>
          </w:tcPr>
          <w:p w14:paraId="00D6A747"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90,142 </w:t>
            </w:r>
          </w:p>
        </w:tc>
        <w:tc>
          <w:tcPr>
            <w:tcW w:w="624" w:type="dxa"/>
            <w:tcBorders>
              <w:top w:val="single" w:sz="2" w:space="0" w:color="000000"/>
              <w:left w:val="nil"/>
              <w:bottom w:val="nil"/>
              <w:right w:val="nil"/>
            </w:tcBorders>
          </w:tcPr>
          <w:p w14:paraId="45DBFBAD"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6</w:t>
            </w:r>
            <w:r w:rsidRPr="00190D6C">
              <w:rPr>
                <w:snapToGrid w:val="0"/>
                <w:lang w:val="en-US"/>
              </w:rPr>
              <w:t xml:space="preserve"> </w:t>
            </w:r>
          </w:p>
        </w:tc>
        <w:tc>
          <w:tcPr>
            <w:tcW w:w="851" w:type="dxa"/>
            <w:tcBorders>
              <w:top w:val="single" w:sz="2" w:space="0" w:color="000000"/>
              <w:left w:val="nil"/>
              <w:bottom w:val="nil"/>
              <w:right w:val="nil"/>
            </w:tcBorders>
          </w:tcPr>
          <w:p w14:paraId="2352EE1F"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0.6 </w:t>
            </w:r>
          </w:p>
        </w:tc>
        <w:tc>
          <w:tcPr>
            <w:tcW w:w="907" w:type="dxa"/>
            <w:tcBorders>
              <w:top w:val="single" w:sz="2" w:space="0" w:color="000000"/>
              <w:left w:val="nil"/>
              <w:bottom w:val="nil"/>
              <w:right w:val="nil"/>
            </w:tcBorders>
          </w:tcPr>
          <w:p w14:paraId="3F85EB23"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4</w:t>
            </w:r>
            <w:r w:rsidRPr="004A5B59">
              <w:rPr>
                <w:snapToGrid w:val="0"/>
                <w:lang w:val="en-US"/>
              </w:rPr>
              <w:t>,</w:t>
            </w:r>
            <w:r>
              <w:rPr>
                <w:snapToGrid w:val="0"/>
                <w:lang w:val="en-US"/>
              </w:rPr>
              <w:t>282</w:t>
            </w:r>
            <w:r w:rsidRPr="004A5B59">
              <w:rPr>
                <w:snapToGrid w:val="0"/>
                <w:lang w:val="en-US"/>
              </w:rPr>
              <w:t xml:space="preserve"> </w:t>
            </w:r>
          </w:p>
        </w:tc>
        <w:tc>
          <w:tcPr>
            <w:tcW w:w="624" w:type="dxa"/>
            <w:tcBorders>
              <w:top w:val="single" w:sz="2" w:space="0" w:color="000000"/>
              <w:left w:val="nil"/>
              <w:bottom w:val="nil"/>
              <w:right w:val="nil"/>
            </w:tcBorders>
          </w:tcPr>
          <w:p w14:paraId="0F9A6952" w14:textId="6B1491EF"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single" w:sz="2" w:space="0" w:color="000000"/>
              <w:left w:val="nil"/>
              <w:bottom w:val="nil"/>
              <w:right w:val="nil"/>
            </w:tcBorders>
          </w:tcPr>
          <w:p w14:paraId="31C72CD5" w14:textId="29D7DD2D"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single" w:sz="2" w:space="0" w:color="000000"/>
              <w:left w:val="nil"/>
              <w:bottom w:val="nil"/>
              <w:right w:val="nil"/>
            </w:tcBorders>
          </w:tcPr>
          <w:p w14:paraId="410FAA24"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54A3BB9E" w14:textId="77777777" w:rsidTr="0062476A">
        <w:tc>
          <w:tcPr>
            <w:tcW w:w="553" w:type="dxa"/>
            <w:tcBorders>
              <w:top w:val="nil"/>
              <w:left w:val="nil"/>
              <w:bottom w:val="nil"/>
              <w:right w:val="nil"/>
            </w:tcBorders>
          </w:tcPr>
          <w:p w14:paraId="20EA3385" w14:textId="77777777" w:rsidR="00642AA9" w:rsidRPr="005A0CE4" w:rsidRDefault="00642AA9" w:rsidP="00A72EA9">
            <w:pPr>
              <w:pStyle w:val="TableColumnHeadingLeft"/>
              <w:spacing w:before="36" w:after="36"/>
            </w:pPr>
            <w:r w:rsidRPr="005A0CE4">
              <w:t>36</w:t>
            </w:r>
          </w:p>
        </w:tc>
        <w:tc>
          <w:tcPr>
            <w:tcW w:w="624" w:type="dxa"/>
            <w:tcBorders>
              <w:top w:val="nil"/>
              <w:left w:val="nil"/>
              <w:bottom w:val="nil"/>
              <w:right w:val="nil"/>
            </w:tcBorders>
          </w:tcPr>
          <w:p w14:paraId="53C7433E"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2.5 </w:t>
            </w:r>
          </w:p>
        </w:tc>
        <w:tc>
          <w:tcPr>
            <w:tcW w:w="851" w:type="dxa"/>
            <w:tcBorders>
              <w:top w:val="nil"/>
              <w:left w:val="nil"/>
              <w:bottom w:val="nil"/>
              <w:right w:val="nil"/>
            </w:tcBorders>
          </w:tcPr>
          <w:p w14:paraId="1E6B77C5"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2.3 </w:t>
            </w:r>
          </w:p>
        </w:tc>
        <w:tc>
          <w:tcPr>
            <w:tcW w:w="907" w:type="dxa"/>
            <w:tcBorders>
              <w:top w:val="nil"/>
              <w:left w:val="nil"/>
              <w:bottom w:val="nil"/>
              <w:right w:val="nil"/>
            </w:tcBorders>
          </w:tcPr>
          <w:p w14:paraId="1BDE76AB"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92,222 </w:t>
            </w:r>
          </w:p>
        </w:tc>
        <w:tc>
          <w:tcPr>
            <w:tcW w:w="624" w:type="dxa"/>
            <w:tcBorders>
              <w:top w:val="nil"/>
              <w:left w:val="nil"/>
              <w:bottom w:val="nil"/>
              <w:right w:val="nil"/>
            </w:tcBorders>
          </w:tcPr>
          <w:p w14:paraId="407B3724"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5</w:t>
            </w:r>
            <w:r w:rsidRPr="00190D6C">
              <w:rPr>
                <w:snapToGrid w:val="0"/>
                <w:lang w:val="en-US"/>
              </w:rPr>
              <w:t xml:space="preserve"> </w:t>
            </w:r>
          </w:p>
        </w:tc>
        <w:tc>
          <w:tcPr>
            <w:tcW w:w="851" w:type="dxa"/>
            <w:tcBorders>
              <w:top w:val="nil"/>
              <w:left w:val="nil"/>
              <w:bottom w:val="nil"/>
              <w:right w:val="nil"/>
            </w:tcBorders>
          </w:tcPr>
          <w:p w14:paraId="51FF42AF"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0.5 </w:t>
            </w:r>
          </w:p>
        </w:tc>
        <w:tc>
          <w:tcPr>
            <w:tcW w:w="907" w:type="dxa"/>
            <w:tcBorders>
              <w:top w:val="nil"/>
              <w:left w:val="nil"/>
              <w:bottom w:val="nil"/>
              <w:right w:val="nil"/>
            </w:tcBorders>
          </w:tcPr>
          <w:p w14:paraId="48AE0EE9"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5</w:t>
            </w:r>
            <w:r w:rsidRPr="004A5B59">
              <w:rPr>
                <w:snapToGrid w:val="0"/>
                <w:lang w:val="en-US"/>
              </w:rPr>
              <w:t>,</w:t>
            </w:r>
            <w:r>
              <w:rPr>
                <w:snapToGrid w:val="0"/>
                <w:lang w:val="en-US"/>
              </w:rPr>
              <w:t>276</w:t>
            </w:r>
            <w:r w:rsidRPr="004A5B59">
              <w:rPr>
                <w:snapToGrid w:val="0"/>
                <w:lang w:val="en-US"/>
              </w:rPr>
              <w:t xml:space="preserve"> </w:t>
            </w:r>
          </w:p>
        </w:tc>
        <w:tc>
          <w:tcPr>
            <w:tcW w:w="624" w:type="dxa"/>
            <w:tcBorders>
              <w:top w:val="nil"/>
              <w:left w:val="nil"/>
              <w:bottom w:val="nil"/>
              <w:right w:val="nil"/>
            </w:tcBorders>
          </w:tcPr>
          <w:p w14:paraId="587EEA98" w14:textId="73CCB29A"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tcPr>
          <w:p w14:paraId="17FA9CEB" w14:textId="278A548B"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tcPr>
          <w:p w14:paraId="046292BB"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216F4389" w14:textId="77777777" w:rsidTr="0062476A">
        <w:tc>
          <w:tcPr>
            <w:tcW w:w="553" w:type="dxa"/>
            <w:tcBorders>
              <w:top w:val="nil"/>
              <w:left w:val="nil"/>
              <w:bottom w:val="nil"/>
              <w:right w:val="nil"/>
            </w:tcBorders>
          </w:tcPr>
          <w:p w14:paraId="28617245" w14:textId="77777777" w:rsidR="00642AA9" w:rsidRPr="005A0CE4" w:rsidRDefault="00642AA9" w:rsidP="00A72EA9">
            <w:pPr>
              <w:pStyle w:val="TableColumnHeadingLeft"/>
              <w:spacing w:before="36" w:after="36"/>
            </w:pPr>
            <w:r w:rsidRPr="005A0CE4">
              <w:t>37</w:t>
            </w:r>
          </w:p>
        </w:tc>
        <w:tc>
          <w:tcPr>
            <w:tcW w:w="624" w:type="dxa"/>
            <w:tcBorders>
              <w:top w:val="nil"/>
              <w:left w:val="nil"/>
              <w:bottom w:val="nil"/>
              <w:right w:val="nil"/>
            </w:tcBorders>
          </w:tcPr>
          <w:p w14:paraId="3D697AB0"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tcPr>
          <w:p w14:paraId="12947F91"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tcPr>
          <w:p w14:paraId="65EE980B"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94,302 </w:t>
            </w:r>
          </w:p>
        </w:tc>
        <w:tc>
          <w:tcPr>
            <w:tcW w:w="624" w:type="dxa"/>
            <w:tcBorders>
              <w:top w:val="nil"/>
              <w:left w:val="nil"/>
              <w:bottom w:val="nil"/>
              <w:right w:val="nil"/>
            </w:tcBorders>
          </w:tcPr>
          <w:p w14:paraId="0D4BCAF2"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4</w:t>
            </w:r>
            <w:r w:rsidRPr="00190D6C">
              <w:rPr>
                <w:snapToGrid w:val="0"/>
                <w:lang w:val="en-US"/>
              </w:rPr>
              <w:t xml:space="preserve"> </w:t>
            </w:r>
          </w:p>
        </w:tc>
        <w:tc>
          <w:tcPr>
            <w:tcW w:w="851" w:type="dxa"/>
            <w:tcBorders>
              <w:top w:val="nil"/>
              <w:left w:val="nil"/>
              <w:bottom w:val="nil"/>
              <w:right w:val="nil"/>
            </w:tcBorders>
          </w:tcPr>
          <w:p w14:paraId="2FB55D70"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0.4 </w:t>
            </w:r>
          </w:p>
        </w:tc>
        <w:tc>
          <w:tcPr>
            <w:tcW w:w="907" w:type="dxa"/>
            <w:tcBorders>
              <w:top w:val="nil"/>
              <w:left w:val="nil"/>
              <w:bottom w:val="nil"/>
              <w:right w:val="nil"/>
            </w:tcBorders>
          </w:tcPr>
          <w:p w14:paraId="5BCE5C04"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6</w:t>
            </w:r>
            <w:r w:rsidRPr="004A5B59">
              <w:rPr>
                <w:snapToGrid w:val="0"/>
                <w:lang w:val="en-US"/>
              </w:rPr>
              <w:t>,</w:t>
            </w:r>
            <w:r>
              <w:rPr>
                <w:snapToGrid w:val="0"/>
                <w:lang w:val="en-US"/>
              </w:rPr>
              <w:t>293</w:t>
            </w:r>
            <w:r w:rsidRPr="004A5B59">
              <w:rPr>
                <w:snapToGrid w:val="0"/>
                <w:lang w:val="en-US"/>
              </w:rPr>
              <w:t xml:space="preserve"> </w:t>
            </w:r>
          </w:p>
        </w:tc>
        <w:tc>
          <w:tcPr>
            <w:tcW w:w="624" w:type="dxa"/>
            <w:tcBorders>
              <w:top w:val="nil"/>
              <w:left w:val="nil"/>
              <w:bottom w:val="nil"/>
              <w:right w:val="nil"/>
            </w:tcBorders>
          </w:tcPr>
          <w:p w14:paraId="16ACE67D" w14:textId="4C684ED2"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tcPr>
          <w:p w14:paraId="02130582" w14:textId="40FAE9CE"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tcPr>
          <w:p w14:paraId="2EC6F344"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63E6D3FF" w14:textId="77777777" w:rsidTr="0062476A">
        <w:tc>
          <w:tcPr>
            <w:tcW w:w="553" w:type="dxa"/>
            <w:tcBorders>
              <w:top w:val="nil"/>
              <w:left w:val="nil"/>
              <w:bottom w:val="nil"/>
              <w:right w:val="nil"/>
            </w:tcBorders>
          </w:tcPr>
          <w:p w14:paraId="447EA25B" w14:textId="77777777" w:rsidR="00642AA9" w:rsidRPr="005A0CE4" w:rsidRDefault="00642AA9" w:rsidP="00A72EA9">
            <w:pPr>
              <w:pStyle w:val="TableColumnHeadingLeft"/>
              <w:spacing w:before="36" w:after="36"/>
            </w:pPr>
            <w:r w:rsidRPr="005A0CE4">
              <w:t>38</w:t>
            </w:r>
          </w:p>
        </w:tc>
        <w:tc>
          <w:tcPr>
            <w:tcW w:w="624" w:type="dxa"/>
            <w:tcBorders>
              <w:top w:val="nil"/>
              <w:left w:val="nil"/>
              <w:bottom w:val="nil"/>
              <w:right w:val="nil"/>
            </w:tcBorders>
          </w:tcPr>
          <w:p w14:paraId="492750C1"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tcPr>
          <w:p w14:paraId="0451D1D6"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tcPr>
          <w:p w14:paraId="51EBAA6D"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96,382 </w:t>
            </w:r>
          </w:p>
        </w:tc>
        <w:tc>
          <w:tcPr>
            <w:tcW w:w="624" w:type="dxa"/>
            <w:tcBorders>
              <w:top w:val="nil"/>
              <w:left w:val="nil"/>
              <w:bottom w:val="nil"/>
              <w:right w:val="nil"/>
            </w:tcBorders>
          </w:tcPr>
          <w:p w14:paraId="58F5ED77"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4</w:t>
            </w:r>
            <w:r w:rsidRPr="00190D6C">
              <w:rPr>
                <w:snapToGrid w:val="0"/>
                <w:lang w:val="en-US"/>
              </w:rPr>
              <w:t xml:space="preserve"> </w:t>
            </w:r>
          </w:p>
        </w:tc>
        <w:tc>
          <w:tcPr>
            <w:tcW w:w="851" w:type="dxa"/>
            <w:tcBorders>
              <w:top w:val="nil"/>
              <w:left w:val="nil"/>
              <w:bottom w:val="nil"/>
              <w:right w:val="nil"/>
            </w:tcBorders>
          </w:tcPr>
          <w:p w14:paraId="6DA3CE36"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0.4 </w:t>
            </w:r>
          </w:p>
        </w:tc>
        <w:tc>
          <w:tcPr>
            <w:tcW w:w="907" w:type="dxa"/>
            <w:tcBorders>
              <w:top w:val="nil"/>
              <w:left w:val="nil"/>
              <w:bottom w:val="nil"/>
              <w:right w:val="nil"/>
            </w:tcBorders>
          </w:tcPr>
          <w:p w14:paraId="402AE19B"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7</w:t>
            </w:r>
            <w:r w:rsidRPr="004A5B59">
              <w:rPr>
                <w:snapToGrid w:val="0"/>
                <w:lang w:val="en-US"/>
              </w:rPr>
              <w:t>,</w:t>
            </w:r>
            <w:r>
              <w:rPr>
                <w:snapToGrid w:val="0"/>
                <w:lang w:val="en-US"/>
              </w:rPr>
              <w:t>327</w:t>
            </w:r>
            <w:r w:rsidRPr="004A5B59">
              <w:rPr>
                <w:snapToGrid w:val="0"/>
                <w:lang w:val="en-US"/>
              </w:rPr>
              <w:t xml:space="preserve"> </w:t>
            </w:r>
          </w:p>
        </w:tc>
        <w:tc>
          <w:tcPr>
            <w:tcW w:w="624" w:type="dxa"/>
            <w:tcBorders>
              <w:top w:val="nil"/>
              <w:left w:val="nil"/>
              <w:bottom w:val="nil"/>
              <w:right w:val="nil"/>
            </w:tcBorders>
          </w:tcPr>
          <w:p w14:paraId="481DD80A" w14:textId="0FBADA68"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tcPr>
          <w:p w14:paraId="3BF5E494" w14:textId="17F77A61"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tcPr>
          <w:p w14:paraId="634EDFA6"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7E43E8C9" w14:textId="77777777" w:rsidTr="0062476A">
        <w:tc>
          <w:tcPr>
            <w:tcW w:w="553" w:type="dxa"/>
            <w:tcBorders>
              <w:top w:val="nil"/>
              <w:left w:val="nil"/>
              <w:bottom w:val="single" w:sz="2" w:space="0" w:color="000000"/>
              <w:right w:val="nil"/>
            </w:tcBorders>
          </w:tcPr>
          <w:p w14:paraId="295FBEAC" w14:textId="77777777" w:rsidR="00642AA9" w:rsidRPr="005A0CE4" w:rsidRDefault="00642AA9" w:rsidP="00A72EA9">
            <w:pPr>
              <w:pStyle w:val="TableColumnHeadingLeft"/>
              <w:spacing w:before="36" w:after="36"/>
            </w:pPr>
            <w:r w:rsidRPr="005A0CE4">
              <w:t>39</w:t>
            </w:r>
          </w:p>
        </w:tc>
        <w:tc>
          <w:tcPr>
            <w:tcW w:w="624" w:type="dxa"/>
            <w:tcBorders>
              <w:top w:val="nil"/>
              <w:left w:val="nil"/>
              <w:bottom w:val="single" w:sz="2" w:space="0" w:color="000000"/>
              <w:right w:val="nil"/>
            </w:tcBorders>
          </w:tcPr>
          <w:p w14:paraId="59228893"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single" w:sz="2" w:space="0" w:color="000000"/>
              <w:right w:val="nil"/>
            </w:tcBorders>
          </w:tcPr>
          <w:p w14:paraId="1CDE632B"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single" w:sz="2" w:space="0" w:color="000000"/>
              <w:right w:val="nil"/>
            </w:tcBorders>
          </w:tcPr>
          <w:p w14:paraId="1A8F3473"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98,462 </w:t>
            </w:r>
          </w:p>
        </w:tc>
        <w:tc>
          <w:tcPr>
            <w:tcW w:w="624" w:type="dxa"/>
            <w:tcBorders>
              <w:top w:val="nil"/>
              <w:left w:val="nil"/>
              <w:bottom w:val="single" w:sz="2" w:space="0" w:color="000000"/>
              <w:right w:val="nil"/>
            </w:tcBorders>
          </w:tcPr>
          <w:p w14:paraId="02DBF2BA"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3</w:t>
            </w:r>
            <w:r w:rsidRPr="00190D6C">
              <w:rPr>
                <w:snapToGrid w:val="0"/>
                <w:lang w:val="en-US"/>
              </w:rPr>
              <w:t xml:space="preserve"> </w:t>
            </w:r>
          </w:p>
        </w:tc>
        <w:tc>
          <w:tcPr>
            <w:tcW w:w="851" w:type="dxa"/>
            <w:tcBorders>
              <w:top w:val="nil"/>
              <w:left w:val="nil"/>
              <w:bottom w:val="single" w:sz="2" w:space="0" w:color="000000"/>
              <w:right w:val="nil"/>
            </w:tcBorders>
          </w:tcPr>
          <w:p w14:paraId="4AFB7FF8"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0.3 </w:t>
            </w:r>
          </w:p>
        </w:tc>
        <w:tc>
          <w:tcPr>
            <w:tcW w:w="907" w:type="dxa"/>
            <w:tcBorders>
              <w:top w:val="nil"/>
              <w:left w:val="nil"/>
              <w:bottom w:val="single" w:sz="2" w:space="0" w:color="000000"/>
              <w:right w:val="nil"/>
            </w:tcBorders>
          </w:tcPr>
          <w:p w14:paraId="2D6921FE"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8</w:t>
            </w:r>
            <w:r w:rsidRPr="004A5B59">
              <w:rPr>
                <w:snapToGrid w:val="0"/>
                <w:lang w:val="en-US"/>
              </w:rPr>
              <w:t>,</w:t>
            </w:r>
            <w:r>
              <w:rPr>
                <w:snapToGrid w:val="0"/>
                <w:lang w:val="en-US"/>
              </w:rPr>
              <w:t>369</w:t>
            </w:r>
            <w:r w:rsidRPr="004A5B59">
              <w:rPr>
                <w:snapToGrid w:val="0"/>
                <w:lang w:val="en-US"/>
              </w:rPr>
              <w:t xml:space="preserve"> </w:t>
            </w:r>
          </w:p>
        </w:tc>
        <w:tc>
          <w:tcPr>
            <w:tcW w:w="624" w:type="dxa"/>
            <w:tcBorders>
              <w:top w:val="nil"/>
              <w:left w:val="nil"/>
              <w:bottom w:val="single" w:sz="2" w:space="0" w:color="000000"/>
              <w:right w:val="nil"/>
            </w:tcBorders>
          </w:tcPr>
          <w:p w14:paraId="3549D009" w14:textId="0B8991D4"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single" w:sz="2" w:space="0" w:color="000000"/>
              <w:right w:val="nil"/>
            </w:tcBorders>
          </w:tcPr>
          <w:p w14:paraId="6BBEBD09" w14:textId="6277A0D3"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single" w:sz="2" w:space="0" w:color="000000"/>
              <w:right w:val="nil"/>
            </w:tcBorders>
          </w:tcPr>
          <w:p w14:paraId="0F670553"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66A3CB61" w14:textId="77777777" w:rsidTr="0062476A">
        <w:tc>
          <w:tcPr>
            <w:tcW w:w="553" w:type="dxa"/>
            <w:tcBorders>
              <w:top w:val="single" w:sz="2" w:space="0" w:color="000000"/>
              <w:left w:val="nil"/>
              <w:bottom w:val="nil"/>
              <w:right w:val="nil"/>
            </w:tcBorders>
            <w:shd w:val="clear" w:color="auto" w:fill="F2F2F2" w:themeFill="background1" w:themeFillShade="F2"/>
          </w:tcPr>
          <w:p w14:paraId="0E466A99" w14:textId="77777777" w:rsidR="00642AA9" w:rsidRPr="005A0CE4" w:rsidRDefault="00642AA9" w:rsidP="00A72EA9">
            <w:pPr>
              <w:pStyle w:val="TableColumnHeadingLeft"/>
              <w:spacing w:before="36" w:after="36"/>
            </w:pPr>
            <w:r w:rsidRPr="005A0CE4">
              <w:t>40</w:t>
            </w:r>
          </w:p>
        </w:tc>
        <w:tc>
          <w:tcPr>
            <w:tcW w:w="624" w:type="dxa"/>
            <w:tcBorders>
              <w:top w:val="single" w:sz="2" w:space="0" w:color="000000"/>
              <w:left w:val="nil"/>
              <w:bottom w:val="nil"/>
              <w:right w:val="nil"/>
            </w:tcBorders>
            <w:shd w:val="clear" w:color="auto" w:fill="F2F2F2" w:themeFill="background1" w:themeFillShade="F2"/>
          </w:tcPr>
          <w:p w14:paraId="3E74218F"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single" w:sz="2" w:space="0" w:color="000000"/>
              <w:left w:val="nil"/>
              <w:bottom w:val="nil"/>
              <w:right w:val="nil"/>
            </w:tcBorders>
            <w:shd w:val="clear" w:color="auto" w:fill="F2F2F2" w:themeFill="background1" w:themeFillShade="F2"/>
          </w:tcPr>
          <w:p w14:paraId="08384AB6"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single" w:sz="2" w:space="0" w:color="000000"/>
              <w:left w:val="nil"/>
              <w:bottom w:val="nil"/>
              <w:right w:val="nil"/>
            </w:tcBorders>
            <w:shd w:val="clear" w:color="auto" w:fill="F2F2F2" w:themeFill="background1" w:themeFillShade="F2"/>
          </w:tcPr>
          <w:p w14:paraId="7296E0D6"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99,999 </w:t>
            </w:r>
          </w:p>
        </w:tc>
        <w:tc>
          <w:tcPr>
            <w:tcW w:w="624" w:type="dxa"/>
            <w:tcBorders>
              <w:top w:val="single" w:sz="2" w:space="0" w:color="000000"/>
              <w:left w:val="nil"/>
              <w:bottom w:val="nil"/>
              <w:right w:val="nil"/>
            </w:tcBorders>
            <w:shd w:val="clear" w:color="auto" w:fill="F2F2F2" w:themeFill="background1" w:themeFillShade="F2"/>
          </w:tcPr>
          <w:p w14:paraId="213C5ED7"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3</w:t>
            </w:r>
            <w:r w:rsidRPr="00190D6C">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240F2391"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0.3 </w:t>
            </w:r>
          </w:p>
        </w:tc>
        <w:tc>
          <w:tcPr>
            <w:tcW w:w="907" w:type="dxa"/>
            <w:tcBorders>
              <w:top w:val="single" w:sz="2" w:space="0" w:color="000000"/>
              <w:left w:val="nil"/>
              <w:bottom w:val="nil"/>
              <w:right w:val="nil"/>
            </w:tcBorders>
            <w:shd w:val="clear" w:color="auto" w:fill="F2F2F2" w:themeFill="background1" w:themeFillShade="F2"/>
          </w:tcPr>
          <w:p w14:paraId="73D433C2" w14:textId="77777777" w:rsidR="00642AA9" w:rsidRPr="006B5D86" w:rsidRDefault="00642AA9" w:rsidP="00A72EA9">
            <w:pPr>
              <w:pStyle w:val="TableTextRight"/>
              <w:spacing w:before="36" w:after="36"/>
              <w:rPr>
                <w:snapToGrid w:val="0"/>
                <w:lang w:val="en-US"/>
              </w:rPr>
            </w:pPr>
            <w:r w:rsidRPr="004A5B59">
              <w:rPr>
                <w:snapToGrid w:val="0"/>
                <w:lang w:val="en-US"/>
              </w:rPr>
              <w:t xml:space="preserve"> 5</w:t>
            </w:r>
            <w:r>
              <w:rPr>
                <w:snapToGrid w:val="0"/>
                <w:lang w:val="en-US"/>
              </w:rPr>
              <w:t>9</w:t>
            </w:r>
            <w:r w:rsidRPr="004A5B59">
              <w:rPr>
                <w:snapToGrid w:val="0"/>
                <w:lang w:val="en-US"/>
              </w:rPr>
              <w:t>,</w:t>
            </w:r>
            <w:r>
              <w:rPr>
                <w:snapToGrid w:val="0"/>
                <w:lang w:val="en-US"/>
              </w:rPr>
              <w:t>414</w:t>
            </w:r>
            <w:r w:rsidRPr="004A5B59">
              <w:rPr>
                <w:snapToGrid w:val="0"/>
                <w:lang w:val="en-US"/>
              </w:rPr>
              <w:t xml:space="preserve"> </w:t>
            </w:r>
          </w:p>
        </w:tc>
        <w:tc>
          <w:tcPr>
            <w:tcW w:w="624" w:type="dxa"/>
            <w:tcBorders>
              <w:top w:val="single" w:sz="2" w:space="0" w:color="000000"/>
              <w:left w:val="nil"/>
              <w:bottom w:val="nil"/>
              <w:right w:val="nil"/>
            </w:tcBorders>
            <w:shd w:val="clear" w:color="auto" w:fill="F2F2F2" w:themeFill="background1" w:themeFillShade="F2"/>
          </w:tcPr>
          <w:p w14:paraId="2ED2A19F" w14:textId="15072CBE"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618F2C3F" w14:textId="38168409"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4CA164C6"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6C6D2899" w14:textId="77777777" w:rsidTr="0062476A">
        <w:tc>
          <w:tcPr>
            <w:tcW w:w="553" w:type="dxa"/>
            <w:tcBorders>
              <w:top w:val="nil"/>
              <w:left w:val="nil"/>
              <w:bottom w:val="nil"/>
              <w:right w:val="nil"/>
            </w:tcBorders>
            <w:shd w:val="clear" w:color="auto" w:fill="F2F2F2" w:themeFill="background1" w:themeFillShade="F2"/>
          </w:tcPr>
          <w:p w14:paraId="34BE4512" w14:textId="77777777" w:rsidR="00642AA9" w:rsidRPr="005A0CE4" w:rsidRDefault="00642AA9" w:rsidP="00A72EA9">
            <w:pPr>
              <w:pStyle w:val="TableColumnHeadingLeft"/>
              <w:spacing w:before="36" w:after="36"/>
            </w:pPr>
            <w:r w:rsidRPr="005A0CE4">
              <w:t>41</w:t>
            </w:r>
          </w:p>
        </w:tc>
        <w:tc>
          <w:tcPr>
            <w:tcW w:w="624" w:type="dxa"/>
            <w:tcBorders>
              <w:top w:val="nil"/>
              <w:left w:val="nil"/>
              <w:bottom w:val="nil"/>
              <w:right w:val="nil"/>
            </w:tcBorders>
            <w:shd w:val="clear" w:color="auto" w:fill="F2F2F2" w:themeFill="background1" w:themeFillShade="F2"/>
          </w:tcPr>
          <w:p w14:paraId="026C8E8C"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shd w:val="clear" w:color="auto" w:fill="F2F2F2" w:themeFill="background1" w:themeFillShade="F2"/>
          </w:tcPr>
          <w:p w14:paraId="19A53D85"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shd w:val="clear" w:color="auto" w:fill="F2F2F2" w:themeFill="background1" w:themeFillShade="F2"/>
          </w:tcPr>
          <w:p w14:paraId="7335D4AF"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99,999 </w:t>
            </w:r>
          </w:p>
        </w:tc>
        <w:tc>
          <w:tcPr>
            <w:tcW w:w="624" w:type="dxa"/>
            <w:tcBorders>
              <w:top w:val="nil"/>
              <w:left w:val="nil"/>
              <w:bottom w:val="nil"/>
              <w:right w:val="nil"/>
            </w:tcBorders>
            <w:shd w:val="clear" w:color="auto" w:fill="F2F2F2" w:themeFill="background1" w:themeFillShade="F2"/>
          </w:tcPr>
          <w:p w14:paraId="732D2559"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w:t>
            </w:r>
            <w:r>
              <w:rPr>
                <w:snapToGrid w:val="0"/>
                <w:lang w:val="en-US"/>
              </w:rPr>
              <w:t>2</w:t>
            </w:r>
            <w:r w:rsidRPr="00190D6C">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25FEB734" w14:textId="77777777" w:rsidR="00642AA9" w:rsidRPr="00190D6C" w:rsidRDefault="00642AA9" w:rsidP="00A72EA9">
            <w:pPr>
              <w:pStyle w:val="TableTextRight"/>
              <w:spacing w:before="36" w:after="36"/>
              <w:rPr>
                <w:snapToGrid w:val="0"/>
                <w:lang w:val="en-US"/>
              </w:rPr>
            </w:pPr>
            <w:r w:rsidRPr="00190D6C">
              <w:rPr>
                <w:snapToGrid w:val="0"/>
                <w:lang w:val="en-US"/>
              </w:rPr>
              <w:t xml:space="preserve"> 0.2 </w:t>
            </w:r>
          </w:p>
        </w:tc>
        <w:tc>
          <w:tcPr>
            <w:tcW w:w="907" w:type="dxa"/>
            <w:tcBorders>
              <w:top w:val="nil"/>
              <w:left w:val="nil"/>
              <w:bottom w:val="nil"/>
              <w:right w:val="nil"/>
            </w:tcBorders>
            <w:shd w:val="clear" w:color="auto" w:fill="F2F2F2" w:themeFill="background1" w:themeFillShade="F2"/>
          </w:tcPr>
          <w:p w14:paraId="37C700B6" w14:textId="77777777" w:rsidR="00642AA9" w:rsidRPr="006B5D86" w:rsidRDefault="00642AA9" w:rsidP="00A72EA9">
            <w:pPr>
              <w:pStyle w:val="TableTextRight"/>
              <w:spacing w:before="36" w:after="36"/>
              <w:rPr>
                <w:snapToGrid w:val="0"/>
                <w:lang w:val="en-US"/>
              </w:rPr>
            </w:pPr>
            <w:r w:rsidRPr="004A5B59">
              <w:rPr>
                <w:snapToGrid w:val="0"/>
                <w:lang w:val="en-US"/>
              </w:rPr>
              <w:t xml:space="preserve"> </w:t>
            </w:r>
            <w:r>
              <w:rPr>
                <w:snapToGrid w:val="0"/>
                <w:lang w:val="en-US"/>
              </w:rPr>
              <w:t>60</w:t>
            </w:r>
            <w:r w:rsidRPr="004A5B59">
              <w:rPr>
                <w:snapToGrid w:val="0"/>
                <w:lang w:val="en-US"/>
              </w:rPr>
              <w:t>,</w:t>
            </w:r>
            <w:r>
              <w:rPr>
                <w:snapToGrid w:val="0"/>
                <w:lang w:val="en-US"/>
              </w:rPr>
              <w:t>452</w:t>
            </w:r>
            <w:r w:rsidRPr="004A5B59">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68731025" w14:textId="2D580C97"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213F46F7" w14:textId="4863D083"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13923E4F"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688095A7" w14:textId="77777777" w:rsidTr="0062476A">
        <w:tc>
          <w:tcPr>
            <w:tcW w:w="553" w:type="dxa"/>
            <w:tcBorders>
              <w:top w:val="nil"/>
              <w:left w:val="nil"/>
              <w:bottom w:val="nil"/>
              <w:right w:val="nil"/>
            </w:tcBorders>
            <w:shd w:val="clear" w:color="auto" w:fill="F2F2F2" w:themeFill="background1" w:themeFillShade="F2"/>
          </w:tcPr>
          <w:p w14:paraId="32BB75DC" w14:textId="77777777" w:rsidR="00642AA9" w:rsidRPr="005A0CE4" w:rsidRDefault="00642AA9" w:rsidP="00A72EA9">
            <w:pPr>
              <w:pStyle w:val="TableColumnHeadingLeft"/>
              <w:spacing w:before="36" w:after="36"/>
            </w:pPr>
            <w:r w:rsidRPr="005A0CE4">
              <w:t>42</w:t>
            </w:r>
          </w:p>
        </w:tc>
        <w:tc>
          <w:tcPr>
            <w:tcW w:w="624" w:type="dxa"/>
            <w:tcBorders>
              <w:top w:val="nil"/>
              <w:left w:val="nil"/>
              <w:bottom w:val="nil"/>
              <w:right w:val="nil"/>
            </w:tcBorders>
            <w:shd w:val="clear" w:color="auto" w:fill="F2F2F2" w:themeFill="background1" w:themeFillShade="F2"/>
          </w:tcPr>
          <w:p w14:paraId="5CA55190"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shd w:val="clear" w:color="auto" w:fill="F2F2F2" w:themeFill="background1" w:themeFillShade="F2"/>
          </w:tcPr>
          <w:p w14:paraId="4D36D695"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shd w:val="clear" w:color="auto" w:fill="F2F2F2" w:themeFill="background1" w:themeFillShade="F2"/>
          </w:tcPr>
          <w:p w14:paraId="4BD2E0BA"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99,999 </w:t>
            </w:r>
          </w:p>
        </w:tc>
        <w:tc>
          <w:tcPr>
            <w:tcW w:w="624" w:type="dxa"/>
            <w:tcBorders>
              <w:top w:val="nil"/>
              <w:left w:val="nil"/>
              <w:bottom w:val="nil"/>
              <w:right w:val="nil"/>
            </w:tcBorders>
            <w:shd w:val="clear" w:color="auto" w:fill="F2F2F2" w:themeFill="background1" w:themeFillShade="F2"/>
          </w:tcPr>
          <w:p w14:paraId="74042E29" w14:textId="7DA49D71"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5F6BDEFE" w14:textId="3753AA77"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4856991B" w14:textId="77777777" w:rsidR="00642AA9" w:rsidRPr="000E13F8" w:rsidRDefault="00642AA9" w:rsidP="00A72EA9">
            <w:pPr>
              <w:pStyle w:val="TableTextRight"/>
              <w:spacing w:before="36" w:after="36"/>
              <w:rPr>
                <w:snapToGrid w:val="0"/>
                <w:lang w:val="en-US"/>
              </w:rPr>
            </w:pPr>
            <w:r>
              <w:rPr>
                <w:snapToGrid w:val="0"/>
                <w:lang w:val="en-US"/>
              </w:rPr>
              <w:t>-</w:t>
            </w:r>
          </w:p>
        </w:tc>
        <w:tc>
          <w:tcPr>
            <w:tcW w:w="624" w:type="dxa"/>
            <w:tcBorders>
              <w:top w:val="nil"/>
              <w:left w:val="nil"/>
              <w:bottom w:val="nil"/>
              <w:right w:val="nil"/>
            </w:tcBorders>
            <w:shd w:val="clear" w:color="auto" w:fill="F2F2F2" w:themeFill="background1" w:themeFillShade="F2"/>
          </w:tcPr>
          <w:p w14:paraId="3D3C6AB0" w14:textId="0CEEC1E6"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51D5BF86" w14:textId="65A216CB"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10214C80"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777B2E1B" w14:textId="77777777" w:rsidTr="0062476A">
        <w:tc>
          <w:tcPr>
            <w:tcW w:w="553" w:type="dxa"/>
            <w:tcBorders>
              <w:top w:val="nil"/>
              <w:left w:val="nil"/>
              <w:bottom w:val="nil"/>
              <w:right w:val="nil"/>
            </w:tcBorders>
            <w:shd w:val="clear" w:color="auto" w:fill="F2F2F2" w:themeFill="background1" w:themeFillShade="F2"/>
          </w:tcPr>
          <w:p w14:paraId="27FA08A1" w14:textId="77777777" w:rsidR="00642AA9" w:rsidRPr="005A0CE4" w:rsidRDefault="00642AA9" w:rsidP="00A72EA9">
            <w:pPr>
              <w:pStyle w:val="TableColumnHeadingLeft"/>
              <w:spacing w:before="36" w:after="36"/>
            </w:pPr>
            <w:r w:rsidRPr="005A0CE4">
              <w:t>43</w:t>
            </w:r>
          </w:p>
        </w:tc>
        <w:tc>
          <w:tcPr>
            <w:tcW w:w="624" w:type="dxa"/>
            <w:tcBorders>
              <w:top w:val="nil"/>
              <w:left w:val="nil"/>
              <w:bottom w:val="nil"/>
              <w:right w:val="nil"/>
            </w:tcBorders>
            <w:shd w:val="clear" w:color="auto" w:fill="F2F2F2" w:themeFill="background1" w:themeFillShade="F2"/>
          </w:tcPr>
          <w:p w14:paraId="3E29BD9D"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shd w:val="clear" w:color="auto" w:fill="F2F2F2" w:themeFill="background1" w:themeFillShade="F2"/>
          </w:tcPr>
          <w:p w14:paraId="625C018E"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shd w:val="clear" w:color="auto" w:fill="F2F2F2" w:themeFill="background1" w:themeFillShade="F2"/>
          </w:tcPr>
          <w:p w14:paraId="7EB49666"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99,999 </w:t>
            </w:r>
          </w:p>
        </w:tc>
        <w:tc>
          <w:tcPr>
            <w:tcW w:w="624" w:type="dxa"/>
            <w:tcBorders>
              <w:top w:val="nil"/>
              <w:left w:val="nil"/>
              <w:bottom w:val="nil"/>
              <w:right w:val="nil"/>
            </w:tcBorders>
            <w:shd w:val="clear" w:color="auto" w:fill="F2F2F2" w:themeFill="background1" w:themeFillShade="F2"/>
          </w:tcPr>
          <w:p w14:paraId="70FAC3E2" w14:textId="495523BD"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5F39A677" w14:textId="20A2DECE"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41B41CB0" w14:textId="77777777" w:rsidR="00642AA9" w:rsidRPr="000E13F8" w:rsidRDefault="00642AA9" w:rsidP="00A72EA9">
            <w:pPr>
              <w:pStyle w:val="TableTextRight"/>
              <w:spacing w:before="36" w:after="36"/>
              <w:rPr>
                <w:snapToGrid w:val="0"/>
                <w:lang w:val="en-US"/>
              </w:rPr>
            </w:pPr>
            <w:r>
              <w:rPr>
                <w:snapToGrid w:val="0"/>
                <w:lang w:val="en-US"/>
              </w:rPr>
              <w:t>-</w:t>
            </w:r>
          </w:p>
        </w:tc>
        <w:tc>
          <w:tcPr>
            <w:tcW w:w="624" w:type="dxa"/>
            <w:tcBorders>
              <w:top w:val="nil"/>
              <w:left w:val="nil"/>
              <w:bottom w:val="nil"/>
              <w:right w:val="nil"/>
            </w:tcBorders>
            <w:shd w:val="clear" w:color="auto" w:fill="F2F2F2" w:themeFill="background1" w:themeFillShade="F2"/>
          </w:tcPr>
          <w:p w14:paraId="35BD76A3" w14:textId="733F3122"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407D17DE" w14:textId="53572706"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1A097286"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r w:rsidR="0062476A" w:rsidRPr="00B85C14" w14:paraId="390EBE6E" w14:textId="77777777" w:rsidTr="0062476A">
        <w:tc>
          <w:tcPr>
            <w:tcW w:w="553" w:type="dxa"/>
            <w:tcBorders>
              <w:top w:val="nil"/>
              <w:left w:val="nil"/>
              <w:bottom w:val="single" w:sz="2" w:space="0" w:color="000000"/>
              <w:right w:val="nil"/>
            </w:tcBorders>
            <w:shd w:val="clear" w:color="auto" w:fill="F2F2F2" w:themeFill="background1" w:themeFillShade="F2"/>
          </w:tcPr>
          <w:p w14:paraId="4BA4C130" w14:textId="77777777" w:rsidR="00642AA9" w:rsidRPr="005A0CE4" w:rsidRDefault="00642AA9" w:rsidP="00A72EA9">
            <w:pPr>
              <w:pStyle w:val="TableColumnHeadingLeft"/>
              <w:spacing w:before="36" w:after="36"/>
            </w:pPr>
            <w:r w:rsidRPr="005A0CE4">
              <w:t>44</w:t>
            </w:r>
          </w:p>
        </w:tc>
        <w:tc>
          <w:tcPr>
            <w:tcW w:w="624" w:type="dxa"/>
            <w:tcBorders>
              <w:top w:val="nil"/>
              <w:left w:val="nil"/>
              <w:bottom w:val="single" w:sz="2" w:space="0" w:color="000000"/>
              <w:right w:val="nil"/>
            </w:tcBorders>
            <w:shd w:val="clear" w:color="auto" w:fill="F2F2F2" w:themeFill="background1" w:themeFillShade="F2"/>
          </w:tcPr>
          <w:p w14:paraId="0A942030"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single" w:sz="2" w:space="0" w:color="000000"/>
              <w:right w:val="nil"/>
            </w:tcBorders>
            <w:shd w:val="clear" w:color="auto" w:fill="F2F2F2" w:themeFill="background1" w:themeFillShade="F2"/>
          </w:tcPr>
          <w:p w14:paraId="6FA38B6E" w14:textId="77777777" w:rsidR="00642AA9" w:rsidRPr="00190D6C" w:rsidRDefault="00642AA9" w:rsidP="00A72EA9">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single" w:sz="2" w:space="0" w:color="000000"/>
              <w:right w:val="nil"/>
            </w:tcBorders>
            <w:shd w:val="clear" w:color="auto" w:fill="F2F2F2" w:themeFill="background1" w:themeFillShade="F2"/>
          </w:tcPr>
          <w:p w14:paraId="7028EB6D" w14:textId="77777777" w:rsidR="00642AA9" w:rsidRPr="006B5D86" w:rsidRDefault="00642AA9" w:rsidP="00A72EA9">
            <w:pPr>
              <w:pStyle w:val="TableTextRight"/>
              <w:spacing w:before="36" w:after="36"/>
              <w:rPr>
                <w:snapToGrid w:val="0"/>
                <w:lang w:val="en-US"/>
              </w:rPr>
            </w:pPr>
            <w:r w:rsidRPr="006B5D86">
              <w:rPr>
                <w:snapToGrid w:val="0"/>
                <w:lang w:val="en-US"/>
              </w:rPr>
              <w:t xml:space="preserve"> 99,999 </w:t>
            </w:r>
          </w:p>
        </w:tc>
        <w:tc>
          <w:tcPr>
            <w:tcW w:w="624" w:type="dxa"/>
            <w:tcBorders>
              <w:top w:val="nil"/>
              <w:left w:val="nil"/>
              <w:bottom w:val="single" w:sz="2" w:space="0" w:color="000000"/>
              <w:right w:val="nil"/>
            </w:tcBorders>
            <w:shd w:val="clear" w:color="auto" w:fill="F2F2F2" w:themeFill="background1" w:themeFillShade="F2"/>
          </w:tcPr>
          <w:p w14:paraId="6CDCA729" w14:textId="5B827C71"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6805C5C1" w14:textId="15A14A21" w:rsidR="00642AA9" w:rsidRPr="00190D6C" w:rsidRDefault="00642AA9" w:rsidP="00A72EA9">
            <w:pPr>
              <w:pStyle w:val="TableTextRight"/>
              <w:spacing w:before="36" w:after="36"/>
              <w:rPr>
                <w:snapToGrid w:val="0"/>
                <w:lang w:val="en-US"/>
              </w:rPr>
            </w:pPr>
            <w:r w:rsidRPr="00190D6C">
              <w:rPr>
                <w:snapToGrid w:val="0"/>
                <w:lang w:val="en-US"/>
              </w:rPr>
              <w:t xml:space="preserve"> -</w:t>
            </w:r>
            <w:r w:rsidR="00212C90">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408072AD" w14:textId="77777777" w:rsidR="00642AA9" w:rsidRPr="000E13F8" w:rsidRDefault="00642AA9" w:rsidP="00A72EA9">
            <w:pPr>
              <w:pStyle w:val="TableTextRight"/>
              <w:spacing w:before="36" w:after="36"/>
              <w:rPr>
                <w:snapToGrid w:val="0"/>
                <w:lang w:val="en-US"/>
              </w:rPr>
            </w:pPr>
            <w:r>
              <w:rPr>
                <w:snapToGrid w:val="0"/>
                <w:lang w:val="en-US"/>
              </w:rPr>
              <w:t>-</w:t>
            </w:r>
          </w:p>
        </w:tc>
        <w:tc>
          <w:tcPr>
            <w:tcW w:w="624" w:type="dxa"/>
            <w:tcBorders>
              <w:top w:val="nil"/>
              <w:left w:val="nil"/>
              <w:bottom w:val="single" w:sz="2" w:space="0" w:color="000000"/>
              <w:right w:val="nil"/>
            </w:tcBorders>
            <w:shd w:val="clear" w:color="auto" w:fill="F2F2F2" w:themeFill="background1" w:themeFillShade="F2"/>
          </w:tcPr>
          <w:p w14:paraId="1ABC3077" w14:textId="569DB721"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409C01FF" w14:textId="1407B2E6" w:rsidR="00642AA9" w:rsidRPr="000E13F8" w:rsidRDefault="00642AA9" w:rsidP="00A72EA9">
            <w:pPr>
              <w:pStyle w:val="TableTextRight"/>
              <w:spacing w:before="36" w:after="36"/>
              <w:rPr>
                <w:snapToGrid w:val="0"/>
                <w:lang w:val="en-US"/>
              </w:rPr>
            </w:pPr>
            <w:r w:rsidRPr="000E13F8">
              <w:rPr>
                <w:snapToGrid w:val="0"/>
                <w:lang w:val="en-US"/>
              </w:rPr>
              <w:t xml:space="preserve"> -</w:t>
            </w:r>
            <w:r w:rsidR="00212C90">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3C057964" w14:textId="77777777" w:rsidR="00642AA9" w:rsidRPr="00642AA9" w:rsidRDefault="00642AA9" w:rsidP="00A72EA9">
            <w:pPr>
              <w:pStyle w:val="TableTextRight"/>
              <w:spacing w:before="36" w:after="36"/>
              <w:rPr>
                <w:snapToGrid w:val="0"/>
                <w:lang w:val="en-US"/>
              </w:rPr>
            </w:pPr>
            <w:r w:rsidRPr="00462F5D">
              <w:rPr>
                <w:snapToGrid w:val="0"/>
                <w:lang w:val="en-US"/>
              </w:rPr>
              <w:t xml:space="preserve"> - </w:t>
            </w:r>
          </w:p>
        </w:tc>
      </w:tr>
    </w:tbl>
    <w:p w14:paraId="6A4F3A9A" w14:textId="15475898" w:rsidR="00064A44" w:rsidRDefault="0062476A" w:rsidP="0062476A">
      <w:pPr>
        <w:pStyle w:val="TableMainHeading-Appendix"/>
      </w:pPr>
      <w:r>
        <w:lastRenderedPageBreak/>
        <w:t>New entrants (continued)</w:t>
      </w:r>
    </w:p>
    <w:tbl>
      <w:tblPr>
        <w:tblW w:w="0" w:type="auto"/>
        <w:tblInd w:w="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3"/>
        <w:gridCol w:w="624"/>
        <w:gridCol w:w="851"/>
        <w:gridCol w:w="907"/>
        <w:gridCol w:w="624"/>
        <w:gridCol w:w="851"/>
        <w:gridCol w:w="907"/>
        <w:gridCol w:w="624"/>
        <w:gridCol w:w="851"/>
        <w:gridCol w:w="907"/>
      </w:tblGrid>
      <w:tr w:rsidR="0062476A" w:rsidRPr="00B85C14" w14:paraId="49B7D3FB" w14:textId="77777777" w:rsidTr="00EE22F6">
        <w:tc>
          <w:tcPr>
            <w:tcW w:w="553" w:type="dxa"/>
            <w:tcBorders>
              <w:top w:val="single" w:sz="2" w:space="0" w:color="000000"/>
              <w:left w:val="nil"/>
              <w:bottom w:val="nil"/>
              <w:right w:val="nil"/>
            </w:tcBorders>
            <w:shd w:val="clear" w:color="auto" w:fill="E6E6E6"/>
          </w:tcPr>
          <w:p w14:paraId="2198BBAB" w14:textId="77777777" w:rsidR="0062476A" w:rsidRPr="00B85C14" w:rsidRDefault="0062476A" w:rsidP="00EE22F6">
            <w:pPr>
              <w:pStyle w:val="TableColumnHeadingLeft"/>
            </w:pPr>
          </w:p>
        </w:tc>
        <w:tc>
          <w:tcPr>
            <w:tcW w:w="1475" w:type="dxa"/>
            <w:gridSpan w:val="2"/>
            <w:tcBorders>
              <w:top w:val="single" w:sz="2" w:space="0" w:color="000000"/>
              <w:left w:val="nil"/>
              <w:bottom w:val="single" w:sz="2" w:space="0" w:color="000000"/>
              <w:right w:val="nil"/>
            </w:tcBorders>
            <w:shd w:val="clear" w:color="auto" w:fill="E6E6E6"/>
          </w:tcPr>
          <w:p w14:paraId="7B644451" w14:textId="77777777" w:rsidR="0062476A" w:rsidRDefault="0062476A" w:rsidP="00EE22F6">
            <w:pPr>
              <w:pStyle w:val="TableColumnHeadingCentred"/>
            </w:pPr>
            <w:r>
              <w:t>Officers</w:t>
            </w:r>
          </w:p>
        </w:tc>
        <w:tc>
          <w:tcPr>
            <w:tcW w:w="907" w:type="dxa"/>
            <w:tcBorders>
              <w:top w:val="single" w:sz="2" w:space="0" w:color="000000"/>
              <w:left w:val="nil"/>
              <w:bottom w:val="nil"/>
              <w:right w:val="nil"/>
            </w:tcBorders>
            <w:shd w:val="clear" w:color="auto" w:fill="E6E6E6"/>
          </w:tcPr>
          <w:p w14:paraId="509DD647" w14:textId="77777777" w:rsidR="0062476A" w:rsidRPr="00B85C14" w:rsidRDefault="0062476A" w:rsidP="00EE22F6">
            <w:pPr>
              <w:pStyle w:val="TableColumnHeadingRight"/>
            </w:pPr>
          </w:p>
        </w:tc>
        <w:tc>
          <w:tcPr>
            <w:tcW w:w="1475" w:type="dxa"/>
            <w:gridSpan w:val="2"/>
            <w:tcBorders>
              <w:top w:val="single" w:sz="2" w:space="0" w:color="000000"/>
              <w:left w:val="nil"/>
              <w:bottom w:val="single" w:sz="2" w:space="0" w:color="000000"/>
              <w:right w:val="nil"/>
            </w:tcBorders>
            <w:shd w:val="clear" w:color="auto" w:fill="E6E6E6"/>
          </w:tcPr>
          <w:p w14:paraId="52324F90" w14:textId="77777777" w:rsidR="0062476A" w:rsidRDefault="0062476A" w:rsidP="00EE22F6">
            <w:pPr>
              <w:pStyle w:val="TableColumnHeadingCentred"/>
            </w:pPr>
            <w:r>
              <w:t>Other ranks</w:t>
            </w:r>
          </w:p>
        </w:tc>
        <w:tc>
          <w:tcPr>
            <w:tcW w:w="907" w:type="dxa"/>
            <w:tcBorders>
              <w:top w:val="single" w:sz="2" w:space="0" w:color="000000"/>
              <w:left w:val="nil"/>
              <w:bottom w:val="nil"/>
              <w:right w:val="nil"/>
            </w:tcBorders>
            <w:shd w:val="clear" w:color="auto" w:fill="E6E6E6"/>
          </w:tcPr>
          <w:p w14:paraId="6F23251F" w14:textId="77777777" w:rsidR="0062476A" w:rsidRPr="00B85C14" w:rsidRDefault="0062476A" w:rsidP="00EE22F6">
            <w:pPr>
              <w:pStyle w:val="TableColumnHeadingRight"/>
            </w:pPr>
          </w:p>
        </w:tc>
        <w:tc>
          <w:tcPr>
            <w:tcW w:w="1475" w:type="dxa"/>
            <w:gridSpan w:val="2"/>
            <w:tcBorders>
              <w:top w:val="single" w:sz="2" w:space="0" w:color="000000"/>
              <w:left w:val="nil"/>
              <w:bottom w:val="single" w:sz="2" w:space="0" w:color="000000"/>
              <w:right w:val="nil"/>
            </w:tcBorders>
            <w:shd w:val="clear" w:color="auto" w:fill="E6E6E6"/>
          </w:tcPr>
          <w:p w14:paraId="3253FFFD" w14:textId="77777777" w:rsidR="0062476A" w:rsidRDefault="0062476A" w:rsidP="00EE22F6">
            <w:pPr>
              <w:pStyle w:val="TableColumnHeadingCentred"/>
            </w:pPr>
            <w:r>
              <w:t>Cadets</w:t>
            </w:r>
          </w:p>
        </w:tc>
        <w:tc>
          <w:tcPr>
            <w:tcW w:w="907" w:type="dxa"/>
            <w:tcBorders>
              <w:top w:val="single" w:sz="2" w:space="0" w:color="000000"/>
              <w:left w:val="nil"/>
              <w:bottom w:val="nil"/>
              <w:right w:val="nil"/>
            </w:tcBorders>
            <w:shd w:val="clear" w:color="auto" w:fill="E6E6E6"/>
          </w:tcPr>
          <w:p w14:paraId="5B904BC6" w14:textId="77777777" w:rsidR="0062476A" w:rsidRPr="00B85C14" w:rsidRDefault="0062476A" w:rsidP="00EE22F6">
            <w:pPr>
              <w:pStyle w:val="TableColumnHeadingRight"/>
            </w:pPr>
          </w:p>
        </w:tc>
      </w:tr>
      <w:tr w:rsidR="0062476A" w:rsidRPr="00B85C14" w14:paraId="0C147B28" w14:textId="77777777" w:rsidTr="00EE22F6">
        <w:tc>
          <w:tcPr>
            <w:tcW w:w="553" w:type="dxa"/>
            <w:tcBorders>
              <w:top w:val="nil"/>
              <w:left w:val="nil"/>
              <w:bottom w:val="single" w:sz="2" w:space="0" w:color="000000"/>
              <w:right w:val="nil"/>
            </w:tcBorders>
            <w:shd w:val="clear" w:color="auto" w:fill="E6E6E6"/>
          </w:tcPr>
          <w:p w14:paraId="2C4C10FD" w14:textId="77777777" w:rsidR="0062476A" w:rsidRPr="00B85C14" w:rsidRDefault="0062476A" w:rsidP="00EE22F6">
            <w:pPr>
              <w:pStyle w:val="TableColumnHeadingLeft"/>
            </w:pPr>
            <w:r w:rsidRPr="00B85C14">
              <w:t>Age</w:t>
            </w:r>
          </w:p>
        </w:tc>
        <w:tc>
          <w:tcPr>
            <w:tcW w:w="624" w:type="dxa"/>
            <w:tcBorders>
              <w:top w:val="single" w:sz="2" w:space="0" w:color="000000"/>
              <w:left w:val="nil"/>
              <w:bottom w:val="single" w:sz="2" w:space="0" w:color="000000"/>
              <w:right w:val="nil"/>
            </w:tcBorders>
            <w:shd w:val="clear" w:color="auto" w:fill="E6E6E6"/>
          </w:tcPr>
          <w:p w14:paraId="7D34745A" w14:textId="77777777" w:rsidR="0062476A" w:rsidRPr="00B85C14" w:rsidRDefault="0062476A" w:rsidP="00EE22F6">
            <w:pPr>
              <w:pStyle w:val="TableColumnHeadingRight"/>
            </w:pPr>
            <w:r>
              <w:t xml:space="preserve">Males </w:t>
            </w:r>
            <w:r>
              <w:br/>
            </w:r>
            <w:r w:rsidRPr="00B85C14">
              <w:t>%</w:t>
            </w:r>
          </w:p>
        </w:tc>
        <w:tc>
          <w:tcPr>
            <w:tcW w:w="851" w:type="dxa"/>
            <w:tcBorders>
              <w:top w:val="single" w:sz="2" w:space="0" w:color="000000"/>
              <w:left w:val="nil"/>
              <w:bottom w:val="single" w:sz="2" w:space="0" w:color="000000"/>
              <w:right w:val="nil"/>
            </w:tcBorders>
            <w:shd w:val="clear" w:color="auto" w:fill="E6E6E6"/>
          </w:tcPr>
          <w:p w14:paraId="6060949C" w14:textId="77777777" w:rsidR="0062476A" w:rsidRPr="00B85C14" w:rsidRDefault="0062476A" w:rsidP="00EE22F6">
            <w:pPr>
              <w:pStyle w:val="TableColumnHeadingRight"/>
            </w:pPr>
            <w:r>
              <w:t xml:space="preserve">Females </w:t>
            </w:r>
            <w:r>
              <w:br/>
              <w:t>%</w:t>
            </w:r>
          </w:p>
        </w:tc>
        <w:tc>
          <w:tcPr>
            <w:tcW w:w="907" w:type="dxa"/>
            <w:tcBorders>
              <w:top w:val="nil"/>
              <w:left w:val="nil"/>
              <w:bottom w:val="single" w:sz="2" w:space="0" w:color="000000"/>
              <w:right w:val="nil"/>
            </w:tcBorders>
            <w:shd w:val="clear" w:color="auto" w:fill="E6E6E6"/>
          </w:tcPr>
          <w:p w14:paraId="7431FE82" w14:textId="77777777" w:rsidR="0062476A" w:rsidRPr="00B85C14" w:rsidRDefault="0062476A" w:rsidP="00EE22F6">
            <w:pPr>
              <w:pStyle w:val="TableColumnHeadingRight"/>
            </w:pPr>
            <w:r w:rsidRPr="00B85C14">
              <w:t>Average salary</w:t>
            </w:r>
            <w:r>
              <w:t xml:space="preserve"> ($)</w:t>
            </w:r>
          </w:p>
        </w:tc>
        <w:tc>
          <w:tcPr>
            <w:tcW w:w="624" w:type="dxa"/>
            <w:tcBorders>
              <w:top w:val="single" w:sz="2" w:space="0" w:color="000000"/>
              <w:left w:val="nil"/>
              <w:bottom w:val="single" w:sz="2" w:space="0" w:color="000000"/>
              <w:right w:val="nil"/>
            </w:tcBorders>
            <w:shd w:val="clear" w:color="auto" w:fill="E6E6E6"/>
          </w:tcPr>
          <w:p w14:paraId="3CFDB943" w14:textId="77777777" w:rsidR="0062476A" w:rsidRPr="00B85C14" w:rsidRDefault="0062476A" w:rsidP="00EE22F6">
            <w:pPr>
              <w:pStyle w:val="TableColumnHeadingRight"/>
            </w:pPr>
            <w:r>
              <w:t xml:space="preserve">Males </w:t>
            </w:r>
            <w:r>
              <w:br/>
            </w:r>
            <w:r w:rsidRPr="00B85C14">
              <w:t>%</w:t>
            </w:r>
          </w:p>
        </w:tc>
        <w:tc>
          <w:tcPr>
            <w:tcW w:w="851" w:type="dxa"/>
            <w:tcBorders>
              <w:top w:val="single" w:sz="2" w:space="0" w:color="000000"/>
              <w:left w:val="nil"/>
              <w:bottom w:val="single" w:sz="2" w:space="0" w:color="000000"/>
              <w:right w:val="nil"/>
            </w:tcBorders>
            <w:shd w:val="clear" w:color="auto" w:fill="E6E6E6"/>
          </w:tcPr>
          <w:p w14:paraId="6CB918BA" w14:textId="77777777" w:rsidR="0062476A" w:rsidRPr="00B85C14" w:rsidRDefault="0062476A" w:rsidP="00EE22F6">
            <w:pPr>
              <w:pStyle w:val="TableColumnHeadingRight"/>
            </w:pPr>
            <w:r>
              <w:t>Females %</w:t>
            </w:r>
          </w:p>
        </w:tc>
        <w:tc>
          <w:tcPr>
            <w:tcW w:w="907" w:type="dxa"/>
            <w:tcBorders>
              <w:top w:val="nil"/>
              <w:left w:val="nil"/>
              <w:bottom w:val="single" w:sz="2" w:space="0" w:color="000000"/>
              <w:right w:val="nil"/>
            </w:tcBorders>
            <w:shd w:val="clear" w:color="auto" w:fill="E6E6E6"/>
          </w:tcPr>
          <w:p w14:paraId="13F68C29" w14:textId="77777777" w:rsidR="0062476A" w:rsidRPr="00B85C14" w:rsidRDefault="0062476A" w:rsidP="00EE22F6">
            <w:pPr>
              <w:pStyle w:val="TableColumnHeadingRight"/>
            </w:pPr>
            <w:r w:rsidRPr="00B85C14">
              <w:t>Average salar</w:t>
            </w:r>
            <w:r>
              <w:t>y ($)</w:t>
            </w:r>
          </w:p>
        </w:tc>
        <w:tc>
          <w:tcPr>
            <w:tcW w:w="624" w:type="dxa"/>
            <w:tcBorders>
              <w:top w:val="single" w:sz="2" w:space="0" w:color="000000"/>
              <w:left w:val="nil"/>
              <w:bottom w:val="single" w:sz="2" w:space="0" w:color="000000"/>
              <w:right w:val="nil"/>
            </w:tcBorders>
            <w:shd w:val="clear" w:color="auto" w:fill="E6E6E6"/>
          </w:tcPr>
          <w:p w14:paraId="746BCCA5" w14:textId="77777777" w:rsidR="0062476A" w:rsidRPr="00B85C14" w:rsidRDefault="0062476A" w:rsidP="00EE22F6">
            <w:pPr>
              <w:pStyle w:val="TableColumnHeadingRight"/>
            </w:pPr>
            <w:r>
              <w:t xml:space="preserve">Males </w:t>
            </w:r>
            <w:r w:rsidRPr="00B85C14">
              <w:t>%</w:t>
            </w:r>
          </w:p>
        </w:tc>
        <w:tc>
          <w:tcPr>
            <w:tcW w:w="851" w:type="dxa"/>
            <w:tcBorders>
              <w:top w:val="single" w:sz="2" w:space="0" w:color="000000"/>
              <w:left w:val="nil"/>
              <w:bottom w:val="single" w:sz="2" w:space="0" w:color="000000"/>
              <w:right w:val="nil"/>
            </w:tcBorders>
            <w:shd w:val="clear" w:color="auto" w:fill="E6E6E6"/>
          </w:tcPr>
          <w:p w14:paraId="6696C848" w14:textId="77777777" w:rsidR="0062476A" w:rsidRPr="00B85C14" w:rsidRDefault="0062476A" w:rsidP="00EE22F6">
            <w:pPr>
              <w:pStyle w:val="TableColumnHeadingRight"/>
            </w:pPr>
            <w:r>
              <w:t>Females %</w:t>
            </w:r>
          </w:p>
        </w:tc>
        <w:tc>
          <w:tcPr>
            <w:tcW w:w="907" w:type="dxa"/>
            <w:tcBorders>
              <w:top w:val="nil"/>
              <w:left w:val="nil"/>
              <w:bottom w:val="single" w:sz="2" w:space="0" w:color="000000"/>
              <w:right w:val="nil"/>
            </w:tcBorders>
            <w:shd w:val="clear" w:color="auto" w:fill="E6E6E6"/>
          </w:tcPr>
          <w:p w14:paraId="418E530A" w14:textId="77777777" w:rsidR="0062476A" w:rsidRPr="00B85C14" w:rsidRDefault="0062476A" w:rsidP="00EE22F6">
            <w:pPr>
              <w:pStyle w:val="TableColumnHeadingRight"/>
            </w:pPr>
            <w:r w:rsidRPr="00B85C14">
              <w:t>Average salar</w:t>
            </w:r>
            <w:r>
              <w:t>y ($)</w:t>
            </w:r>
          </w:p>
        </w:tc>
      </w:tr>
      <w:tr w:rsidR="0062476A" w:rsidRPr="00B85C14" w14:paraId="44A18250" w14:textId="77777777" w:rsidTr="00EE22F6">
        <w:tc>
          <w:tcPr>
            <w:tcW w:w="553" w:type="dxa"/>
            <w:tcBorders>
              <w:top w:val="single" w:sz="2" w:space="0" w:color="000000"/>
              <w:left w:val="nil"/>
              <w:bottom w:val="nil"/>
              <w:right w:val="nil"/>
            </w:tcBorders>
          </w:tcPr>
          <w:p w14:paraId="08C55CD1" w14:textId="77777777" w:rsidR="0062476A" w:rsidRPr="005A0CE4" w:rsidRDefault="0062476A" w:rsidP="00EE22F6">
            <w:pPr>
              <w:pStyle w:val="TableColumnHeadingLeft"/>
              <w:spacing w:before="36" w:after="36"/>
            </w:pPr>
            <w:r w:rsidRPr="005A0CE4">
              <w:t>45</w:t>
            </w:r>
          </w:p>
        </w:tc>
        <w:tc>
          <w:tcPr>
            <w:tcW w:w="624" w:type="dxa"/>
            <w:tcBorders>
              <w:top w:val="single" w:sz="2" w:space="0" w:color="000000"/>
              <w:left w:val="nil"/>
              <w:bottom w:val="nil"/>
              <w:right w:val="nil"/>
            </w:tcBorders>
          </w:tcPr>
          <w:p w14:paraId="168662A5"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2.4 </w:t>
            </w:r>
          </w:p>
        </w:tc>
        <w:tc>
          <w:tcPr>
            <w:tcW w:w="851" w:type="dxa"/>
            <w:tcBorders>
              <w:top w:val="single" w:sz="2" w:space="0" w:color="000000"/>
              <w:left w:val="nil"/>
              <w:bottom w:val="nil"/>
              <w:right w:val="nil"/>
            </w:tcBorders>
          </w:tcPr>
          <w:p w14:paraId="3C830791"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2.2 </w:t>
            </w:r>
          </w:p>
        </w:tc>
        <w:tc>
          <w:tcPr>
            <w:tcW w:w="907" w:type="dxa"/>
            <w:tcBorders>
              <w:top w:val="single" w:sz="2" w:space="0" w:color="000000"/>
              <w:left w:val="nil"/>
              <w:bottom w:val="nil"/>
              <w:right w:val="nil"/>
            </w:tcBorders>
          </w:tcPr>
          <w:p w14:paraId="09C6254A" w14:textId="77777777" w:rsidR="0062476A" w:rsidRPr="006B5D86" w:rsidRDefault="0062476A" w:rsidP="00EE22F6">
            <w:pPr>
              <w:pStyle w:val="TableTextRight"/>
              <w:spacing w:before="36" w:after="36"/>
              <w:rPr>
                <w:snapToGrid w:val="0"/>
                <w:lang w:val="en-US"/>
              </w:rPr>
            </w:pPr>
            <w:r w:rsidRPr="006B5D86">
              <w:rPr>
                <w:snapToGrid w:val="0"/>
                <w:lang w:val="en-US"/>
              </w:rPr>
              <w:t xml:space="preserve"> 99,999 </w:t>
            </w:r>
          </w:p>
        </w:tc>
        <w:tc>
          <w:tcPr>
            <w:tcW w:w="624" w:type="dxa"/>
            <w:tcBorders>
              <w:top w:val="single" w:sz="2" w:space="0" w:color="000000"/>
              <w:left w:val="nil"/>
              <w:bottom w:val="nil"/>
              <w:right w:val="nil"/>
            </w:tcBorders>
          </w:tcPr>
          <w:p w14:paraId="119132AC" w14:textId="77777777" w:rsidR="0062476A" w:rsidRPr="00190D6C" w:rsidRDefault="0062476A" w:rsidP="00EE22F6">
            <w:pPr>
              <w:pStyle w:val="TableTextRight"/>
              <w:spacing w:before="36" w:after="36"/>
              <w:rPr>
                <w:snapToGrid w:val="0"/>
                <w:lang w:val="en-US"/>
              </w:rPr>
            </w:pPr>
            <w:r>
              <w:rPr>
                <w:snapToGrid w:val="0"/>
                <w:lang w:val="en-US"/>
              </w:rPr>
              <w:t xml:space="preserve"> </w:t>
            </w:r>
            <w:r w:rsidRPr="00190D6C">
              <w:rPr>
                <w:snapToGrid w:val="0"/>
                <w:lang w:val="en-US"/>
              </w:rPr>
              <w:t>-</w:t>
            </w:r>
          </w:p>
        </w:tc>
        <w:tc>
          <w:tcPr>
            <w:tcW w:w="851" w:type="dxa"/>
            <w:tcBorders>
              <w:top w:val="single" w:sz="2" w:space="0" w:color="000000"/>
              <w:left w:val="nil"/>
              <w:bottom w:val="nil"/>
              <w:right w:val="nil"/>
            </w:tcBorders>
          </w:tcPr>
          <w:p w14:paraId="0A519919"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single" w:sz="2" w:space="0" w:color="000000"/>
              <w:left w:val="nil"/>
              <w:bottom w:val="nil"/>
              <w:right w:val="nil"/>
            </w:tcBorders>
          </w:tcPr>
          <w:p w14:paraId="776B18CA" w14:textId="77777777" w:rsidR="0062476A" w:rsidRPr="000E13F8" w:rsidRDefault="0062476A" w:rsidP="00EE22F6">
            <w:pPr>
              <w:pStyle w:val="TableTextRight"/>
              <w:spacing w:before="36" w:after="36"/>
              <w:rPr>
                <w:snapToGrid w:val="0"/>
                <w:lang w:val="en-US"/>
              </w:rPr>
            </w:pPr>
            <w:r>
              <w:rPr>
                <w:snapToGrid w:val="0"/>
                <w:lang w:val="en-US"/>
              </w:rPr>
              <w:t>-</w:t>
            </w:r>
          </w:p>
        </w:tc>
        <w:tc>
          <w:tcPr>
            <w:tcW w:w="624" w:type="dxa"/>
            <w:tcBorders>
              <w:top w:val="single" w:sz="2" w:space="0" w:color="000000"/>
              <w:left w:val="nil"/>
              <w:bottom w:val="nil"/>
              <w:right w:val="nil"/>
            </w:tcBorders>
          </w:tcPr>
          <w:p w14:paraId="62A2ECE0"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single" w:sz="2" w:space="0" w:color="000000"/>
              <w:left w:val="nil"/>
              <w:bottom w:val="nil"/>
              <w:right w:val="nil"/>
            </w:tcBorders>
          </w:tcPr>
          <w:p w14:paraId="1F663202"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single" w:sz="2" w:space="0" w:color="000000"/>
              <w:left w:val="nil"/>
              <w:bottom w:val="nil"/>
              <w:right w:val="nil"/>
            </w:tcBorders>
          </w:tcPr>
          <w:p w14:paraId="2E992808"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1D444B4E" w14:textId="77777777" w:rsidTr="00EE22F6">
        <w:tc>
          <w:tcPr>
            <w:tcW w:w="553" w:type="dxa"/>
            <w:tcBorders>
              <w:top w:val="nil"/>
              <w:left w:val="nil"/>
              <w:bottom w:val="nil"/>
              <w:right w:val="nil"/>
            </w:tcBorders>
          </w:tcPr>
          <w:p w14:paraId="031114E0" w14:textId="77777777" w:rsidR="0062476A" w:rsidRPr="005A0CE4" w:rsidRDefault="0062476A" w:rsidP="00EE22F6">
            <w:pPr>
              <w:pStyle w:val="TableColumnHeadingLeft"/>
              <w:spacing w:before="36" w:after="36"/>
            </w:pPr>
            <w:r w:rsidRPr="005A0CE4">
              <w:t>46</w:t>
            </w:r>
          </w:p>
        </w:tc>
        <w:tc>
          <w:tcPr>
            <w:tcW w:w="624" w:type="dxa"/>
            <w:tcBorders>
              <w:top w:val="nil"/>
              <w:left w:val="nil"/>
              <w:bottom w:val="nil"/>
              <w:right w:val="nil"/>
            </w:tcBorders>
          </w:tcPr>
          <w:p w14:paraId="415A98BC"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tcPr>
          <w:p w14:paraId="4BA24974"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tcPr>
          <w:p w14:paraId="2BE8B9DD"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nil"/>
              <w:right w:val="nil"/>
            </w:tcBorders>
          </w:tcPr>
          <w:p w14:paraId="1A2F1B25"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nil"/>
              <w:right w:val="nil"/>
            </w:tcBorders>
          </w:tcPr>
          <w:p w14:paraId="1C311556"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tcPr>
          <w:p w14:paraId="220C553E"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nil"/>
              <w:right w:val="nil"/>
            </w:tcBorders>
          </w:tcPr>
          <w:p w14:paraId="4E2EEC90"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nil"/>
              <w:right w:val="nil"/>
            </w:tcBorders>
          </w:tcPr>
          <w:p w14:paraId="79361D43"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nil"/>
              <w:right w:val="nil"/>
            </w:tcBorders>
          </w:tcPr>
          <w:p w14:paraId="2C0D8216"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2270A335" w14:textId="77777777" w:rsidTr="00EE22F6">
        <w:tc>
          <w:tcPr>
            <w:tcW w:w="553" w:type="dxa"/>
            <w:tcBorders>
              <w:top w:val="nil"/>
              <w:left w:val="nil"/>
              <w:bottom w:val="nil"/>
              <w:right w:val="nil"/>
            </w:tcBorders>
          </w:tcPr>
          <w:p w14:paraId="6009A37C" w14:textId="77777777" w:rsidR="0062476A" w:rsidRPr="005A0CE4" w:rsidRDefault="0062476A" w:rsidP="00EE22F6">
            <w:pPr>
              <w:pStyle w:val="TableColumnHeadingLeft"/>
              <w:spacing w:before="36" w:after="36"/>
            </w:pPr>
            <w:r w:rsidRPr="005A0CE4">
              <w:t>47</w:t>
            </w:r>
          </w:p>
        </w:tc>
        <w:tc>
          <w:tcPr>
            <w:tcW w:w="624" w:type="dxa"/>
            <w:tcBorders>
              <w:top w:val="nil"/>
              <w:left w:val="nil"/>
              <w:bottom w:val="nil"/>
              <w:right w:val="nil"/>
            </w:tcBorders>
          </w:tcPr>
          <w:p w14:paraId="6CD1B611"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2.4 </w:t>
            </w:r>
          </w:p>
        </w:tc>
        <w:tc>
          <w:tcPr>
            <w:tcW w:w="851" w:type="dxa"/>
            <w:tcBorders>
              <w:top w:val="nil"/>
              <w:left w:val="nil"/>
              <w:bottom w:val="nil"/>
              <w:right w:val="nil"/>
            </w:tcBorders>
          </w:tcPr>
          <w:p w14:paraId="4442AB34"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tcPr>
          <w:p w14:paraId="4CAEBB7D"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nil"/>
              <w:right w:val="nil"/>
            </w:tcBorders>
          </w:tcPr>
          <w:p w14:paraId="665B7CD4"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nil"/>
              <w:right w:val="nil"/>
            </w:tcBorders>
          </w:tcPr>
          <w:p w14:paraId="5ED0C9B9"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tcPr>
          <w:p w14:paraId="0AD7AFF4"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nil"/>
              <w:right w:val="nil"/>
            </w:tcBorders>
          </w:tcPr>
          <w:p w14:paraId="0F85CCC8"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nil"/>
              <w:right w:val="nil"/>
            </w:tcBorders>
          </w:tcPr>
          <w:p w14:paraId="1B0DBD6B"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nil"/>
              <w:right w:val="nil"/>
            </w:tcBorders>
          </w:tcPr>
          <w:p w14:paraId="79288484"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4394767B" w14:textId="77777777" w:rsidTr="00EE22F6">
        <w:tc>
          <w:tcPr>
            <w:tcW w:w="553" w:type="dxa"/>
            <w:tcBorders>
              <w:top w:val="nil"/>
              <w:left w:val="nil"/>
              <w:bottom w:val="nil"/>
              <w:right w:val="nil"/>
            </w:tcBorders>
          </w:tcPr>
          <w:p w14:paraId="5631E744" w14:textId="77777777" w:rsidR="0062476A" w:rsidRPr="005A0CE4" w:rsidRDefault="0062476A" w:rsidP="00EE22F6">
            <w:pPr>
              <w:pStyle w:val="TableColumnHeadingLeft"/>
              <w:spacing w:before="36" w:after="36"/>
            </w:pPr>
            <w:r w:rsidRPr="005A0CE4">
              <w:t>48</w:t>
            </w:r>
          </w:p>
        </w:tc>
        <w:tc>
          <w:tcPr>
            <w:tcW w:w="624" w:type="dxa"/>
            <w:tcBorders>
              <w:top w:val="nil"/>
              <w:left w:val="nil"/>
              <w:bottom w:val="nil"/>
              <w:right w:val="nil"/>
            </w:tcBorders>
          </w:tcPr>
          <w:p w14:paraId="538212B0"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2.1 </w:t>
            </w:r>
          </w:p>
        </w:tc>
        <w:tc>
          <w:tcPr>
            <w:tcW w:w="851" w:type="dxa"/>
            <w:tcBorders>
              <w:top w:val="nil"/>
              <w:left w:val="nil"/>
              <w:bottom w:val="nil"/>
              <w:right w:val="nil"/>
            </w:tcBorders>
          </w:tcPr>
          <w:p w14:paraId="4013D4DC"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nil"/>
              <w:right w:val="nil"/>
            </w:tcBorders>
          </w:tcPr>
          <w:p w14:paraId="53D9DD7A"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nil"/>
              <w:right w:val="nil"/>
            </w:tcBorders>
          </w:tcPr>
          <w:p w14:paraId="68127E30"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nil"/>
              <w:right w:val="nil"/>
            </w:tcBorders>
          </w:tcPr>
          <w:p w14:paraId="287FF4B8"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tcPr>
          <w:p w14:paraId="4FDC054B"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nil"/>
              <w:right w:val="nil"/>
            </w:tcBorders>
          </w:tcPr>
          <w:p w14:paraId="46C3EEE7"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nil"/>
              <w:right w:val="nil"/>
            </w:tcBorders>
          </w:tcPr>
          <w:p w14:paraId="65B0F9E5"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nil"/>
              <w:right w:val="nil"/>
            </w:tcBorders>
          </w:tcPr>
          <w:p w14:paraId="516FA832"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7B6501AC" w14:textId="77777777" w:rsidTr="00EE22F6">
        <w:tc>
          <w:tcPr>
            <w:tcW w:w="553" w:type="dxa"/>
            <w:tcBorders>
              <w:top w:val="nil"/>
              <w:left w:val="nil"/>
              <w:bottom w:val="single" w:sz="2" w:space="0" w:color="000000"/>
              <w:right w:val="nil"/>
            </w:tcBorders>
          </w:tcPr>
          <w:p w14:paraId="3192313D" w14:textId="77777777" w:rsidR="0062476A" w:rsidRPr="005A0CE4" w:rsidRDefault="0062476A" w:rsidP="00EE22F6">
            <w:pPr>
              <w:pStyle w:val="TableColumnHeadingLeft"/>
              <w:spacing w:before="36" w:after="36"/>
            </w:pPr>
            <w:r w:rsidRPr="005A0CE4">
              <w:t>49</w:t>
            </w:r>
          </w:p>
        </w:tc>
        <w:tc>
          <w:tcPr>
            <w:tcW w:w="624" w:type="dxa"/>
            <w:tcBorders>
              <w:top w:val="nil"/>
              <w:left w:val="nil"/>
              <w:bottom w:val="single" w:sz="2" w:space="0" w:color="000000"/>
              <w:right w:val="nil"/>
            </w:tcBorders>
          </w:tcPr>
          <w:p w14:paraId="5077C1DB" w14:textId="77777777" w:rsidR="0062476A" w:rsidRPr="00190D6C" w:rsidRDefault="0062476A" w:rsidP="00EE22F6">
            <w:pPr>
              <w:pStyle w:val="TableTextRight"/>
              <w:spacing w:before="36" w:after="36"/>
              <w:rPr>
                <w:snapToGrid w:val="0"/>
                <w:lang w:val="en-US"/>
              </w:rPr>
            </w:pPr>
            <w:r w:rsidRPr="00190D6C">
              <w:rPr>
                <w:snapToGrid w:val="0"/>
                <w:lang w:val="en-US"/>
              </w:rPr>
              <w:t xml:space="preserve"> 1.8 </w:t>
            </w:r>
          </w:p>
        </w:tc>
        <w:tc>
          <w:tcPr>
            <w:tcW w:w="851" w:type="dxa"/>
            <w:tcBorders>
              <w:top w:val="nil"/>
              <w:left w:val="nil"/>
              <w:bottom w:val="single" w:sz="2" w:space="0" w:color="000000"/>
              <w:right w:val="nil"/>
            </w:tcBorders>
          </w:tcPr>
          <w:p w14:paraId="1D54E074" w14:textId="77777777" w:rsidR="0062476A" w:rsidRPr="00190D6C" w:rsidRDefault="0062476A" w:rsidP="00EE22F6">
            <w:pPr>
              <w:pStyle w:val="TableTextRight"/>
              <w:spacing w:before="36" w:after="36"/>
              <w:rPr>
                <w:snapToGrid w:val="0"/>
                <w:lang w:val="en-US"/>
              </w:rPr>
            </w:pPr>
            <w:r w:rsidRPr="00190D6C">
              <w:rPr>
                <w:snapToGrid w:val="0"/>
                <w:lang w:val="en-US"/>
              </w:rPr>
              <w:t xml:space="preserve"> 2.2 </w:t>
            </w:r>
          </w:p>
        </w:tc>
        <w:tc>
          <w:tcPr>
            <w:tcW w:w="907" w:type="dxa"/>
            <w:tcBorders>
              <w:top w:val="nil"/>
              <w:left w:val="nil"/>
              <w:bottom w:val="single" w:sz="2" w:space="0" w:color="000000"/>
              <w:right w:val="nil"/>
            </w:tcBorders>
          </w:tcPr>
          <w:p w14:paraId="5C337936"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single" w:sz="2" w:space="0" w:color="000000"/>
              <w:right w:val="nil"/>
            </w:tcBorders>
          </w:tcPr>
          <w:p w14:paraId="3DBDF9DD"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single" w:sz="2" w:space="0" w:color="000000"/>
              <w:right w:val="nil"/>
            </w:tcBorders>
          </w:tcPr>
          <w:p w14:paraId="3C2766AE"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single" w:sz="2" w:space="0" w:color="000000"/>
              <w:right w:val="nil"/>
            </w:tcBorders>
          </w:tcPr>
          <w:p w14:paraId="4E9B016B"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single" w:sz="2" w:space="0" w:color="000000"/>
              <w:right w:val="nil"/>
            </w:tcBorders>
          </w:tcPr>
          <w:p w14:paraId="2B924867"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single" w:sz="2" w:space="0" w:color="000000"/>
              <w:right w:val="nil"/>
            </w:tcBorders>
          </w:tcPr>
          <w:p w14:paraId="25F06BCA"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single" w:sz="2" w:space="0" w:color="000000"/>
              <w:right w:val="nil"/>
            </w:tcBorders>
          </w:tcPr>
          <w:p w14:paraId="1363EC18"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110E4CA1" w14:textId="77777777" w:rsidTr="00EE22F6">
        <w:tc>
          <w:tcPr>
            <w:tcW w:w="553" w:type="dxa"/>
            <w:tcBorders>
              <w:top w:val="single" w:sz="2" w:space="0" w:color="000000"/>
              <w:left w:val="nil"/>
              <w:bottom w:val="nil"/>
              <w:right w:val="nil"/>
            </w:tcBorders>
            <w:shd w:val="clear" w:color="auto" w:fill="F2F2F2" w:themeFill="background1" w:themeFillShade="F2"/>
          </w:tcPr>
          <w:p w14:paraId="6CFE2316" w14:textId="77777777" w:rsidR="0062476A" w:rsidRPr="005A0CE4" w:rsidRDefault="0062476A" w:rsidP="00EE22F6">
            <w:pPr>
              <w:pStyle w:val="TableColumnHeadingLeft"/>
              <w:spacing w:before="36" w:after="36"/>
            </w:pPr>
            <w:r w:rsidRPr="005A0CE4">
              <w:t>50</w:t>
            </w:r>
          </w:p>
        </w:tc>
        <w:tc>
          <w:tcPr>
            <w:tcW w:w="624" w:type="dxa"/>
            <w:tcBorders>
              <w:top w:val="single" w:sz="2" w:space="0" w:color="000000"/>
              <w:left w:val="nil"/>
              <w:bottom w:val="nil"/>
              <w:right w:val="nil"/>
            </w:tcBorders>
            <w:shd w:val="clear" w:color="auto" w:fill="F2F2F2" w:themeFill="background1" w:themeFillShade="F2"/>
          </w:tcPr>
          <w:p w14:paraId="6C94E9B7" w14:textId="77777777" w:rsidR="0062476A" w:rsidRPr="00190D6C" w:rsidRDefault="0062476A" w:rsidP="00EE22F6">
            <w:pPr>
              <w:pStyle w:val="TableTextRight"/>
              <w:spacing w:before="36" w:after="36"/>
              <w:rPr>
                <w:snapToGrid w:val="0"/>
                <w:lang w:val="en-US"/>
              </w:rPr>
            </w:pPr>
            <w:r w:rsidRPr="00190D6C">
              <w:rPr>
                <w:snapToGrid w:val="0"/>
                <w:lang w:val="en-US"/>
              </w:rPr>
              <w:t xml:space="preserve"> 1.5 </w:t>
            </w:r>
          </w:p>
        </w:tc>
        <w:tc>
          <w:tcPr>
            <w:tcW w:w="851" w:type="dxa"/>
            <w:tcBorders>
              <w:top w:val="single" w:sz="2" w:space="0" w:color="000000"/>
              <w:left w:val="nil"/>
              <w:bottom w:val="nil"/>
              <w:right w:val="nil"/>
            </w:tcBorders>
            <w:shd w:val="clear" w:color="auto" w:fill="F2F2F2" w:themeFill="background1" w:themeFillShade="F2"/>
          </w:tcPr>
          <w:p w14:paraId="27D712E2" w14:textId="77777777" w:rsidR="0062476A" w:rsidRPr="00190D6C" w:rsidRDefault="0062476A" w:rsidP="00EE22F6">
            <w:pPr>
              <w:pStyle w:val="TableTextRight"/>
              <w:spacing w:before="36" w:after="36"/>
              <w:rPr>
                <w:snapToGrid w:val="0"/>
                <w:lang w:val="en-US"/>
              </w:rPr>
            </w:pPr>
            <w:r w:rsidRPr="00190D6C">
              <w:rPr>
                <w:snapToGrid w:val="0"/>
                <w:lang w:val="en-US"/>
              </w:rPr>
              <w:t xml:space="preserve"> 1.2 </w:t>
            </w:r>
          </w:p>
        </w:tc>
        <w:tc>
          <w:tcPr>
            <w:tcW w:w="907" w:type="dxa"/>
            <w:tcBorders>
              <w:top w:val="single" w:sz="2" w:space="0" w:color="000000"/>
              <w:left w:val="nil"/>
              <w:bottom w:val="nil"/>
              <w:right w:val="nil"/>
            </w:tcBorders>
            <w:shd w:val="clear" w:color="auto" w:fill="F2F2F2" w:themeFill="background1" w:themeFillShade="F2"/>
          </w:tcPr>
          <w:p w14:paraId="00FC3642"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single" w:sz="2" w:space="0" w:color="000000"/>
              <w:left w:val="nil"/>
              <w:bottom w:val="nil"/>
              <w:right w:val="nil"/>
            </w:tcBorders>
            <w:shd w:val="clear" w:color="auto" w:fill="F2F2F2" w:themeFill="background1" w:themeFillShade="F2"/>
          </w:tcPr>
          <w:p w14:paraId="66BA2065"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0D79B928"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11C0F925"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single" w:sz="2" w:space="0" w:color="000000"/>
              <w:left w:val="nil"/>
              <w:bottom w:val="nil"/>
              <w:right w:val="nil"/>
            </w:tcBorders>
            <w:shd w:val="clear" w:color="auto" w:fill="F2F2F2" w:themeFill="background1" w:themeFillShade="F2"/>
          </w:tcPr>
          <w:p w14:paraId="3322AA1A"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single" w:sz="2" w:space="0" w:color="000000"/>
              <w:left w:val="nil"/>
              <w:bottom w:val="nil"/>
              <w:right w:val="nil"/>
            </w:tcBorders>
            <w:shd w:val="clear" w:color="auto" w:fill="F2F2F2" w:themeFill="background1" w:themeFillShade="F2"/>
          </w:tcPr>
          <w:p w14:paraId="53E480FC"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single" w:sz="2" w:space="0" w:color="000000"/>
              <w:left w:val="nil"/>
              <w:bottom w:val="nil"/>
              <w:right w:val="nil"/>
            </w:tcBorders>
            <w:shd w:val="clear" w:color="auto" w:fill="F2F2F2" w:themeFill="background1" w:themeFillShade="F2"/>
          </w:tcPr>
          <w:p w14:paraId="00351FB7"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362078D3" w14:textId="77777777" w:rsidTr="00EE22F6">
        <w:tc>
          <w:tcPr>
            <w:tcW w:w="553" w:type="dxa"/>
            <w:tcBorders>
              <w:top w:val="nil"/>
              <w:left w:val="nil"/>
              <w:bottom w:val="nil"/>
              <w:right w:val="nil"/>
            </w:tcBorders>
            <w:shd w:val="clear" w:color="auto" w:fill="F2F2F2" w:themeFill="background1" w:themeFillShade="F2"/>
          </w:tcPr>
          <w:p w14:paraId="6C9E8937" w14:textId="77777777" w:rsidR="0062476A" w:rsidRPr="005A0CE4" w:rsidRDefault="0062476A" w:rsidP="00EE22F6">
            <w:pPr>
              <w:pStyle w:val="TableColumnHeadingLeft"/>
              <w:spacing w:before="36" w:after="36"/>
            </w:pPr>
            <w:r w:rsidRPr="005A0CE4">
              <w:t>51</w:t>
            </w:r>
          </w:p>
        </w:tc>
        <w:tc>
          <w:tcPr>
            <w:tcW w:w="624" w:type="dxa"/>
            <w:tcBorders>
              <w:top w:val="nil"/>
              <w:left w:val="nil"/>
              <w:bottom w:val="nil"/>
              <w:right w:val="nil"/>
            </w:tcBorders>
            <w:shd w:val="clear" w:color="auto" w:fill="F2F2F2" w:themeFill="background1" w:themeFillShade="F2"/>
          </w:tcPr>
          <w:p w14:paraId="1902EB31" w14:textId="77777777" w:rsidR="0062476A" w:rsidRPr="00190D6C" w:rsidRDefault="0062476A" w:rsidP="00EE22F6">
            <w:pPr>
              <w:pStyle w:val="TableTextRight"/>
              <w:spacing w:before="36" w:after="36"/>
              <w:rPr>
                <w:snapToGrid w:val="0"/>
                <w:lang w:val="en-US"/>
              </w:rPr>
            </w:pPr>
            <w:r w:rsidRPr="00190D6C">
              <w:rPr>
                <w:snapToGrid w:val="0"/>
                <w:lang w:val="en-US"/>
              </w:rPr>
              <w:t xml:space="preserve"> 1.2 </w:t>
            </w:r>
          </w:p>
        </w:tc>
        <w:tc>
          <w:tcPr>
            <w:tcW w:w="851" w:type="dxa"/>
            <w:tcBorders>
              <w:top w:val="nil"/>
              <w:left w:val="nil"/>
              <w:bottom w:val="nil"/>
              <w:right w:val="nil"/>
            </w:tcBorders>
            <w:shd w:val="clear" w:color="auto" w:fill="F2F2F2" w:themeFill="background1" w:themeFillShade="F2"/>
          </w:tcPr>
          <w:p w14:paraId="2005652F"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0A078043"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nil"/>
              <w:right w:val="nil"/>
            </w:tcBorders>
            <w:shd w:val="clear" w:color="auto" w:fill="F2F2F2" w:themeFill="background1" w:themeFillShade="F2"/>
          </w:tcPr>
          <w:p w14:paraId="5CD0490E"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3D8F7933"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44296E92"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0483B71A"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4C140EAD"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3883DF76"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B85C14" w14:paraId="0B911790" w14:textId="77777777" w:rsidTr="00EE22F6">
        <w:tc>
          <w:tcPr>
            <w:tcW w:w="553" w:type="dxa"/>
            <w:tcBorders>
              <w:top w:val="nil"/>
              <w:left w:val="nil"/>
              <w:bottom w:val="nil"/>
              <w:right w:val="nil"/>
            </w:tcBorders>
            <w:shd w:val="clear" w:color="auto" w:fill="F2F2F2" w:themeFill="background1" w:themeFillShade="F2"/>
          </w:tcPr>
          <w:p w14:paraId="16C81105" w14:textId="77777777" w:rsidR="0062476A" w:rsidRPr="005A0CE4" w:rsidRDefault="0062476A" w:rsidP="00EE22F6">
            <w:pPr>
              <w:pStyle w:val="TableColumnHeadingLeft"/>
              <w:spacing w:before="36" w:after="36"/>
            </w:pPr>
            <w:r w:rsidRPr="005A0CE4">
              <w:t>52</w:t>
            </w:r>
          </w:p>
        </w:tc>
        <w:tc>
          <w:tcPr>
            <w:tcW w:w="624" w:type="dxa"/>
            <w:tcBorders>
              <w:top w:val="nil"/>
              <w:left w:val="nil"/>
              <w:bottom w:val="nil"/>
              <w:right w:val="nil"/>
            </w:tcBorders>
            <w:shd w:val="clear" w:color="auto" w:fill="F2F2F2" w:themeFill="background1" w:themeFillShade="F2"/>
          </w:tcPr>
          <w:p w14:paraId="1441A28B" w14:textId="77777777" w:rsidR="0062476A" w:rsidRPr="00190D6C" w:rsidRDefault="0062476A" w:rsidP="00EE22F6">
            <w:pPr>
              <w:pStyle w:val="TableTextRight"/>
              <w:spacing w:before="36" w:after="36"/>
              <w:rPr>
                <w:snapToGrid w:val="0"/>
                <w:lang w:val="en-US"/>
              </w:rPr>
            </w:pPr>
            <w:r w:rsidRPr="00190D6C">
              <w:rPr>
                <w:snapToGrid w:val="0"/>
                <w:lang w:val="en-US"/>
              </w:rPr>
              <w:t xml:space="preserve"> 0.9 </w:t>
            </w:r>
          </w:p>
        </w:tc>
        <w:tc>
          <w:tcPr>
            <w:tcW w:w="851" w:type="dxa"/>
            <w:tcBorders>
              <w:top w:val="nil"/>
              <w:left w:val="nil"/>
              <w:bottom w:val="nil"/>
              <w:right w:val="nil"/>
            </w:tcBorders>
            <w:shd w:val="clear" w:color="auto" w:fill="F2F2F2" w:themeFill="background1" w:themeFillShade="F2"/>
          </w:tcPr>
          <w:p w14:paraId="35056B0A"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2BE82F7B"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nil"/>
              <w:right w:val="nil"/>
            </w:tcBorders>
            <w:shd w:val="clear" w:color="auto" w:fill="F2F2F2" w:themeFill="background1" w:themeFillShade="F2"/>
          </w:tcPr>
          <w:p w14:paraId="05725B27"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0F1F9600"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49CA45A2"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nil"/>
              <w:right w:val="nil"/>
            </w:tcBorders>
            <w:shd w:val="clear" w:color="auto" w:fill="F2F2F2" w:themeFill="background1" w:themeFillShade="F2"/>
          </w:tcPr>
          <w:p w14:paraId="6FDE2433"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nil"/>
              <w:right w:val="nil"/>
            </w:tcBorders>
            <w:shd w:val="clear" w:color="auto" w:fill="F2F2F2" w:themeFill="background1" w:themeFillShade="F2"/>
          </w:tcPr>
          <w:p w14:paraId="381FBC41"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nil"/>
              <w:right w:val="nil"/>
            </w:tcBorders>
            <w:shd w:val="clear" w:color="auto" w:fill="F2F2F2" w:themeFill="background1" w:themeFillShade="F2"/>
          </w:tcPr>
          <w:p w14:paraId="3485C987"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r w:rsidR="0062476A" w:rsidRPr="00642AA9" w14:paraId="1DF2E477" w14:textId="77777777" w:rsidTr="00EE22F6">
        <w:tc>
          <w:tcPr>
            <w:tcW w:w="553" w:type="dxa"/>
            <w:tcBorders>
              <w:top w:val="nil"/>
              <w:left w:val="nil"/>
              <w:bottom w:val="single" w:sz="2" w:space="0" w:color="000000"/>
              <w:right w:val="nil"/>
            </w:tcBorders>
            <w:shd w:val="clear" w:color="auto" w:fill="F2F2F2" w:themeFill="background1" w:themeFillShade="F2"/>
          </w:tcPr>
          <w:p w14:paraId="5841A8C8" w14:textId="77777777" w:rsidR="0062476A" w:rsidRPr="00C829B7" w:rsidRDefault="0062476A" w:rsidP="00EE22F6">
            <w:pPr>
              <w:pStyle w:val="TableColumnHeadingLeft"/>
              <w:spacing w:before="36" w:after="36"/>
            </w:pPr>
            <w:r w:rsidRPr="00C829B7">
              <w:t>53</w:t>
            </w:r>
          </w:p>
        </w:tc>
        <w:tc>
          <w:tcPr>
            <w:tcW w:w="624" w:type="dxa"/>
            <w:tcBorders>
              <w:top w:val="nil"/>
              <w:left w:val="nil"/>
              <w:bottom w:val="single" w:sz="2" w:space="0" w:color="000000"/>
              <w:right w:val="nil"/>
            </w:tcBorders>
            <w:shd w:val="clear" w:color="auto" w:fill="F2F2F2" w:themeFill="background1" w:themeFillShade="F2"/>
          </w:tcPr>
          <w:p w14:paraId="69F4E6B5" w14:textId="77777777" w:rsidR="0062476A" w:rsidRPr="00190D6C" w:rsidRDefault="0062476A" w:rsidP="00EE22F6">
            <w:pPr>
              <w:pStyle w:val="TableTextRight"/>
              <w:spacing w:before="36" w:after="36"/>
              <w:rPr>
                <w:snapToGrid w:val="0"/>
                <w:lang w:val="en-US"/>
              </w:rPr>
            </w:pPr>
            <w:r w:rsidRPr="00190D6C">
              <w:rPr>
                <w:snapToGrid w:val="0"/>
                <w:lang w:val="en-US"/>
              </w:rPr>
              <w:t xml:space="preserve"> 0.6 </w:t>
            </w:r>
          </w:p>
        </w:tc>
        <w:tc>
          <w:tcPr>
            <w:tcW w:w="851" w:type="dxa"/>
            <w:tcBorders>
              <w:top w:val="nil"/>
              <w:left w:val="nil"/>
              <w:bottom w:val="single" w:sz="2" w:space="0" w:color="000000"/>
              <w:right w:val="nil"/>
            </w:tcBorders>
            <w:shd w:val="clear" w:color="auto" w:fill="F2F2F2" w:themeFill="background1" w:themeFillShade="F2"/>
          </w:tcPr>
          <w:p w14:paraId="734396BA"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02FA49C5" w14:textId="77777777" w:rsidR="0062476A" w:rsidRPr="000E13F8" w:rsidRDefault="0062476A" w:rsidP="00EE22F6">
            <w:pPr>
              <w:pStyle w:val="TableTextRight"/>
              <w:spacing w:before="36" w:after="36"/>
              <w:rPr>
                <w:snapToGrid w:val="0"/>
                <w:lang w:val="en-US"/>
              </w:rPr>
            </w:pPr>
            <w:r w:rsidRPr="000E13F8">
              <w:rPr>
                <w:snapToGrid w:val="0"/>
                <w:lang w:val="en-US"/>
              </w:rPr>
              <w:t xml:space="preserve"> 99,999 </w:t>
            </w:r>
          </w:p>
        </w:tc>
        <w:tc>
          <w:tcPr>
            <w:tcW w:w="624" w:type="dxa"/>
            <w:tcBorders>
              <w:top w:val="nil"/>
              <w:left w:val="nil"/>
              <w:bottom w:val="single" w:sz="2" w:space="0" w:color="000000"/>
              <w:right w:val="nil"/>
            </w:tcBorders>
            <w:shd w:val="clear" w:color="auto" w:fill="F2F2F2" w:themeFill="background1" w:themeFillShade="F2"/>
          </w:tcPr>
          <w:p w14:paraId="56ECC921"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54ECEA87" w14:textId="77777777" w:rsidR="0062476A" w:rsidRPr="00190D6C" w:rsidRDefault="0062476A" w:rsidP="00EE22F6">
            <w:pPr>
              <w:pStyle w:val="TableTextRight"/>
              <w:spacing w:before="36" w:after="36"/>
              <w:rPr>
                <w:snapToGrid w:val="0"/>
                <w:lang w:val="en-US"/>
              </w:rPr>
            </w:pPr>
            <w:r w:rsidRPr="00190D6C">
              <w:rPr>
                <w:snapToGrid w:val="0"/>
                <w:lang w:val="en-US"/>
              </w:rPr>
              <w:t xml:space="preserve"> -</w:t>
            </w:r>
            <w:r>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1FEE3155"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624" w:type="dxa"/>
            <w:tcBorders>
              <w:top w:val="nil"/>
              <w:left w:val="nil"/>
              <w:bottom w:val="single" w:sz="2" w:space="0" w:color="000000"/>
              <w:right w:val="nil"/>
            </w:tcBorders>
            <w:shd w:val="clear" w:color="auto" w:fill="F2F2F2" w:themeFill="background1" w:themeFillShade="F2"/>
          </w:tcPr>
          <w:p w14:paraId="0FE76020"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851" w:type="dxa"/>
            <w:tcBorders>
              <w:top w:val="nil"/>
              <w:left w:val="nil"/>
              <w:bottom w:val="single" w:sz="2" w:space="0" w:color="000000"/>
              <w:right w:val="nil"/>
            </w:tcBorders>
            <w:shd w:val="clear" w:color="auto" w:fill="F2F2F2" w:themeFill="background1" w:themeFillShade="F2"/>
          </w:tcPr>
          <w:p w14:paraId="3A5F61B9" w14:textId="77777777" w:rsidR="0062476A" w:rsidRPr="000E13F8" w:rsidRDefault="0062476A" w:rsidP="00EE22F6">
            <w:pPr>
              <w:pStyle w:val="TableTextRight"/>
              <w:spacing w:before="36" w:after="36"/>
              <w:rPr>
                <w:snapToGrid w:val="0"/>
                <w:lang w:val="en-US"/>
              </w:rPr>
            </w:pPr>
            <w:r w:rsidRPr="000E13F8">
              <w:rPr>
                <w:snapToGrid w:val="0"/>
                <w:lang w:val="en-US"/>
              </w:rPr>
              <w:t xml:space="preserve"> -</w:t>
            </w:r>
            <w:r>
              <w:rPr>
                <w:snapToGrid w:val="0"/>
                <w:lang w:val="en-US"/>
              </w:rPr>
              <w:t xml:space="preserve"> </w:t>
            </w:r>
          </w:p>
        </w:tc>
        <w:tc>
          <w:tcPr>
            <w:tcW w:w="907" w:type="dxa"/>
            <w:tcBorders>
              <w:top w:val="nil"/>
              <w:left w:val="nil"/>
              <w:bottom w:val="single" w:sz="2" w:space="0" w:color="000000"/>
              <w:right w:val="nil"/>
            </w:tcBorders>
            <w:shd w:val="clear" w:color="auto" w:fill="F2F2F2" w:themeFill="background1" w:themeFillShade="F2"/>
          </w:tcPr>
          <w:p w14:paraId="7834D596" w14:textId="77777777" w:rsidR="0062476A" w:rsidRPr="00642AA9" w:rsidRDefault="0062476A" w:rsidP="00EE22F6">
            <w:pPr>
              <w:pStyle w:val="TableTextRight"/>
              <w:spacing w:before="36" w:after="36"/>
              <w:rPr>
                <w:snapToGrid w:val="0"/>
                <w:lang w:val="en-US"/>
              </w:rPr>
            </w:pPr>
            <w:r w:rsidRPr="00462F5D">
              <w:rPr>
                <w:snapToGrid w:val="0"/>
                <w:lang w:val="en-US"/>
              </w:rPr>
              <w:t xml:space="preserve"> - </w:t>
            </w:r>
          </w:p>
        </w:tc>
      </w:tr>
    </w:tbl>
    <w:p w14:paraId="04C6CD1B" w14:textId="77777777" w:rsidR="0062476A" w:rsidRPr="00064A44" w:rsidRDefault="0062476A" w:rsidP="00064A44">
      <w:pPr>
        <w:pStyle w:val="SingleParagraph"/>
      </w:pPr>
    </w:p>
    <w:p w14:paraId="53B0C558" w14:textId="601376E4" w:rsidR="00052A87" w:rsidRPr="00C157F7" w:rsidRDefault="00052A87" w:rsidP="00EB2452">
      <w:pPr>
        <w:pStyle w:val="Heading3nonumbering"/>
        <w:spacing w:before="120"/>
      </w:pPr>
      <w:r w:rsidRPr="00C157F7">
        <w:t xml:space="preserve">Promotional </w:t>
      </w:r>
      <w:r>
        <w:t>s</w:t>
      </w:r>
      <w:r w:rsidRPr="00C157F7">
        <w:t xml:space="preserve">alary </w:t>
      </w:r>
      <w:r>
        <w:t>i</w:t>
      </w:r>
      <w:r w:rsidRPr="00C157F7">
        <w:t>ncreases</w:t>
      </w:r>
    </w:p>
    <w:p w14:paraId="3F8FAC57" w14:textId="77777777" w:rsidR="00052A87" w:rsidRDefault="003F00FE" w:rsidP="003B7C74">
      <w:pPr>
        <w:spacing w:after="180"/>
        <w:rPr>
          <w:rFonts w:cs="Arial"/>
        </w:rPr>
      </w:pPr>
      <w:r>
        <w:rPr>
          <w:rFonts w:cs="Arial"/>
        </w:rPr>
        <w:t>MSBS o</w:t>
      </w:r>
      <w:r w:rsidR="00052A87" w:rsidRPr="00C157F7">
        <w:rPr>
          <w:rFonts w:cs="Arial"/>
        </w:rPr>
        <w:t xml:space="preserve">fficer and cadet promotional salaries are related to both period of service and entry age. </w:t>
      </w:r>
      <w:r w:rsidR="00C1754B">
        <w:rPr>
          <w:rFonts w:cs="Arial"/>
        </w:rPr>
        <w:t>DFRDB officer salaries and</w:t>
      </w:r>
      <w:r>
        <w:rPr>
          <w:rFonts w:cs="Arial"/>
        </w:rPr>
        <w:t xml:space="preserve"> o</w:t>
      </w:r>
      <w:r w:rsidR="00052A87" w:rsidRPr="00C157F7">
        <w:rPr>
          <w:rFonts w:cs="Arial"/>
        </w:rPr>
        <w:t xml:space="preserve">ther rank </w:t>
      </w:r>
      <w:r w:rsidR="00C1754B">
        <w:rPr>
          <w:rFonts w:cs="Arial"/>
        </w:rPr>
        <w:t>salaries for both schemes</w:t>
      </w:r>
      <w:r>
        <w:rPr>
          <w:rFonts w:cs="Arial"/>
        </w:rPr>
        <w:t xml:space="preserve"> </w:t>
      </w:r>
      <w:r w:rsidR="00052A87" w:rsidRPr="00C157F7">
        <w:rPr>
          <w:rFonts w:cs="Arial"/>
        </w:rPr>
        <w:t>salaries are only related to period of service. Since the officer and cadet promotional salary scales are two</w:t>
      </w:r>
      <w:r w:rsidR="00052A87">
        <w:rPr>
          <w:rFonts w:cs="Arial"/>
        </w:rPr>
        <w:noBreakHyphen/>
      </w:r>
      <w:r w:rsidR="00052A87" w:rsidRPr="00C157F7">
        <w:rPr>
          <w:rFonts w:cs="Arial"/>
        </w:rPr>
        <w:t>dimensional, they cannot all be tabulated below. A cross</w:t>
      </w:r>
      <w:r w:rsidR="00052A87">
        <w:rPr>
          <w:rFonts w:cs="Arial"/>
        </w:rPr>
        <w:noBreakHyphen/>
      </w:r>
      <w:r w:rsidR="00052A87" w:rsidRPr="00C157F7">
        <w:rPr>
          <w:rFonts w:cs="Arial"/>
        </w:rPr>
        <w:t xml:space="preserve">section of the salary scales is presented </w:t>
      </w:r>
      <w:r w:rsidR="00D443D2">
        <w:rPr>
          <w:rFonts w:cs="Arial"/>
        </w:rPr>
        <w:t xml:space="preserve">below </w:t>
      </w:r>
      <w:r w:rsidR="00052A87" w:rsidRPr="00C157F7">
        <w:rPr>
          <w:rFonts w:cs="Arial"/>
        </w:rPr>
        <w:t xml:space="preserve">for a selection of entry ages. </w:t>
      </w:r>
    </w:p>
    <w:p w14:paraId="05D36A9D" w14:textId="77777777" w:rsidR="00052A87" w:rsidRDefault="00052A87" w:rsidP="00D1063F">
      <w:pPr>
        <w:pStyle w:val="TableMainHeading-Appendix"/>
      </w:pPr>
      <w:r>
        <w:t xml:space="preserve">Salary progression — male and female MSBS officers </w:t>
      </w:r>
    </w:p>
    <w:tbl>
      <w:tblPr>
        <w:tblW w:w="0" w:type="auto"/>
        <w:tblInd w:w="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731"/>
        <w:gridCol w:w="728"/>
        <w:gridCol w:w="728"/>
        <w:gridCol w:w="284"/>
        <w:gridCol w:w="729"/>
        <w:gridCol w:w="728"/>
        <w:gridCol w:w="728"/>
        <w:gridCol w:w="284"/>
        <w:gridCol w:w="797"/>
        <w:gridCol w:w="284"/>
        <w:gridCol w:w="798"/>
      </w:tblGrid>
      <w:tr w:rsidR="002D2737" w:rsidRPr="00B85C14" w14:paraId="7753A22C" w14:textId="77777777" w:rsidTr="0062476A">
        <w:tc>
          <w:tcPr>
            <w:tcW w:w="879" w:type="dxa"/>
            <w:tcBorders>
              <w:top w:val="single" w:sz="4" w:space="0" w:color="auto"/>
              <w:left w:val="nil"/>
              <w:bottom w:val="nil"/>
              <w:right w:val="nil"/>
            </w:tcBorders>
            <w:shd w:val="clear" w:color="auto" w:fill="E6E6E6"/>
          </w:tcPr>
          <w:p w14:paraId="1AADB6D2" w14:textId="77777777" w:rsidR="002D2737" w:rsidRDefault="002D2737" w:rsidP="00C1754B">
            <w:pPr>
              <w:pStyle w:val="TableColumnHeadingLeft"/>
            </w:pPr>
          </w:p>
        </w:tc>
        <w:tc>
          <w:tcPr>
            <w:tcW w:w="2187" w:type="dxa"/>
            <w:gridSpan w:val="3"/>
            <w:tcBorders>
              <w:top w:val="single" w:sz="4" w:space="0" w:color="auto"/>
              <w:left w:val="nil"/>
              <w:bottom w:val="single" w:sz="4" w:space="0" w:color="auto"/>
              <w:right w:val="nil"/>
            </w:tcBorders>
            <w:shd w:val="clear" w:color="auto" w:fill="E6E6E6"/>
          </w:tcPr>
          <w:p w14:paraId="154B4918" w14:textId="3394851B" w:rsidR="002D2737" w:rsidRDefault="002D2737" w:rsidP="003B7C74">
            <w:pPr>
              <w:pStyle w:val="TableColumnHeadingRight"/>
              <w:jc w:val="center"/>
            </w:pPr>
            <w:r>
              <w:t>MSBS Officers</w:t>
            </w:r>
          </w:p>
        </w:tc>
        <w:tc>
          <w:tcPr>
            <w:tcW w:w="284" w:type="dxa"/>
            <w:vMerge w:val="restart"/>
            <w:tcBorders>
              <w:top w:val="single" w:sz="4" w:space="0" w:color="auto"/>
              <w:left w:val="nil"/>
              <w:right w:val="nil"/>
            </w:tcBorders>
            <w:shd w:val="clear" w:color="auto" w:fill="E6E6E6"/>
          </w:tcPr>
          <w:p w14:paraId="043FD70B" w14:textId="77777777" w:rsidR="002D2737" w:rsidRDefault="002D2737" w:rsidP="00C1754B">
            <w:pPr>
              <w:pStyle w:val="TableColumnHeadingRight"/>
            </w:pPr>
          </w:p>
        </w:tc>
        <w:tc>
          <w:tcPr>
            <w:tcW w:w="2185" w:type="dxa"/>
            <w:gridSpan w:val="3"/>
            <w:tcBorders>
              <w:top w:val="single" w:sz="4" w:space="0" w:color="auto"/>
              <w:left w:val="nil"/>
              <w:bottom w:val="single" w:sz="4" w:space="0" w:color="auto"/>
              <w:right w:val="nil"/>
            </w:tcBorders>
            <w:shd w:val="clear" w:color="auto" w:fill="E6E6E6"/>
          </w:tcPr>
          <w:p w14:paraId="202972C0" w14:textId="760CD93C" w:rsidR="002D2737" w:rsidRDefault="002D2737" w:rsidP="003B7C74">
            <w:pPr>
              <w:pStyle w:val="TableColumnHeadingRight"/>
              <w:jc w:val="center"/>
            </w:pPr>
            <w:r>
              <w:t>MSBS Cadets</w:t>
            </w:r>
          </w:p>
        </w:tc>
        <w:tc>
          <w:tcPr>
            <w:tcW w:w="284" w:type="dxa"/>
            <w:vMerge w:val="restart"/>
            <w:tcBorders>
              <w:top w:val="single" w:sz="4" w:space="0" w:color="auto"/>
              <w:left w:val="nil"/>
              <w:right w:val="nil"/>
            </w:tcBorders>
            <w:shd w:val="clear" w:color="auto" w:fill="E6E6E6"/>
          </w:tcPr>
          <w:p w14:paraId="7123FA9A" w14:textId="77777777" w:rsidR="002D2737" w:rsidRDefault="002D2737" w:rsidP="00C1754B">
            <w:pPr>
              <w:pStyle w:val="TableColumnHeadingRight"/>
            </w:pPr>
          </w:p>
        </w:tc>
        <w:tc>
          <w:tcPr>
            <w:tcW w:w="797" w:type="dxa"/>
            <w:vMerge w:val="restart"/>
            <w:tcBorders>
              <w:top w:val="single" w:sz="4" w:space="0" w:color="auto"/>
              <w:left w:val="nil"/>
              <w:right w:val="nil"/>
            </w:tcBorders>
            <w:shd w:val="clear" w:color="auto" w:fill="E6E6E6"/>
            <w:vAlign w:val="center"/>
          </w:tcPr>
          <w:p w14:paraId="0C51D165" w14:textId="77777777" w:rsidR="002D2737" w:rsidRPr="00B85C14" w:rsidRDefault="002D2737" w:rsidP="00D443D2">
            <w:pPr>
              <w:pStyle w:val="TableColumnHeadingRight"/>
            </w:pPr>
            <w:r>
              <w:t>DFRDB Officers</w:t>
            </w:r>
          </w:p>
        </w:tc>
        <w:tc>
          <w:tcPr>
            <w:tcW w:w="284" w:type="dxa"/>
            <w:vMerge w:val="restart"/>
            <w:tcBorders>
              <w:top w:val="single" w:sz="4" w:space="0" w:color="auto"/>
              <w:left w:val="nil"/>
              <w:right w:val="nil"/>
            </w:tcBorders>
            <w:shd w:val="clear" w:color="auto" w:fill="E6E6E6"/>
            <w:vAlign w:val="center"/>
          </w:tcPr>
          <w:p w14:paraId="39DAD54D" w14:textId="77777777" w:rsidR="002D2737" w:rsidRPr="00B85C14" w:rsidRDefault="002D2737" w:rsidP="00D443D2">
            <w:pPr>
              <w:pStyle w:val="TableColumnHeadingRight"/>
            </w:pPr>
          </w:p>
        </w:tc>
        <w:tc>
          <w:tcPr>
            <w:tcW w:w="798" w:type="dxa"/>
            <w:vMerge w:val="restart"/>
            <w:tcBorders>
              <w:top w:val="single" w:sz="4" w:space="0" w:color="auto"/>
              <w:left w:val="nil"/>
              <w:right w:val="nil"/>
            </w:tcBorders>
            <w:shd w:val="clear" w:color="auto" w:fill="E6E6E6"/>
            <w:vAlign w:val="center"/>
          </w:tcPr>
          <w:p w14:paraId="1B35BB00" w14:textId="77777777" w:rsidR="002D2737" w:rsidRPr="00B85C14" w:rsidRDefault="002D2737" w:rsidP="00D443D2">
            <w:pPr>
              <w:pStyle w:val="TableColumnHeadingRight"/>
            </w:pPr>
            <w:r>
              <w:t>Other Ranks</w:t>
            </w:r>
          </w:p>
        </w:tc>
      </w:tr>
      <w:tr w:rsidR="0062476A" w:rsidRPr="00B85C14" w14:paraId="63BBFFB4" w14:textId="77777777" w:rsidTr="0062476A">
        <w:tc>
          <w:tcPr>
            <w:tcW w:w="879" w:type="dxa"/>
            <w:tcBorders>
              <w:top w:val="nil"/>
              <w:left w:val="nil"/>
              <w:bottom w:val="single" w:sz="2" w:space="0" w:color="000000"/>
              <w:right w:val="nil"/>
            </w:tcBorders>
            <w:shd w:val="clear" w:color="auto" w:fill="E6E6E6"/>
          </w:tcPr>
          <w:p w14:paraId="5E817482" w14:textId="77777777" w:rsidR="002D2737" w:rsidRPr="00B85C14" w:rsidRDefault="002D2737" w:rsidP="00C1754B">
            <w:pPr>
              <w:pStyle w:val="TableColumnHeadingLeft"/>
            </w:pPr>
            <w:r>
              <w:t>Duration</w:t>
            </w:r>
          </w:p>
        </w:tc>
        <w:tc>
          <w:tcPr>
            <w:tcW w:w="731" w:type="dxa"/>
            <w:tcBorders>
              <w:top w:val="single" w:sz="4" w:space="0" w:color="auto"/>
              <w:left w:val="nil"/>
              <w:bottom w:val="single" w:sz="2" w:space="0" w:color="000000"/>
              <w:right w:val="nil"/>
            </w:tcBorders>
            <w:shd w:val="clear" w:color="auto" w:fill="E6E6E6"/>
          </w:tcPr>
          <w:p w14:paraId="275F891A" w14:textId="22CCC65D" w:rsidR="002D2737" w:rsidRPr="00B85C14" w:rsidRDefault="002D2737" w:rsidP="003B7C74">
            <w:pPr>
              <w:pStyle w:val="TableColumnHeadingRight"/>
            </w:pPr>
            <w:r>
              <w:t>Entry Age 20</w:t>
            </w:r>
          </w:p>
        </w:tc>
        <w:tc>
          <w:tcPr>
            <w:tcW w:w="728" w:type="dxa"/>
            <w:tcBorders>
              <w:top w:val="single" w:sz="4" w:space="0" w:color="auto"/>
              <w:left w:val="nil"/>
              <w:bottom w:val="single" w:sz="2" w:space="0" w:color="000000"/>
              <w:right w:val="nil"/>
            </w:tcBorders>
            <w:shd w:val="clear" w:color="auto" w:fill="E6E6E6"/>
          </w:tcPr>
          <w:p w14:paraId="171B772D" w14:textId="201D4708" w:rsidR="002D2737" w:rsidRPr="00B85C14" w:rsidRDefault="002D2737" w:rsidP="003B7C74">
            <w:pPr>
              <w:pStyle w:val="TableColumnHeadingRight"/>
            </w:pPr>
            <w:r>
              <w:t>Entry Age 20</w:t>
            </w:r>
          </w:p>
        </w:tc>
        <w:tc>
          <w:tcPr>
            <w:tcW w:w="728" w:type="dxa"/>
            <w:tcBorders>
              <w:top w:val="single" w:sz="4" w:space="0" w:color="auto"/>
              <w:left w:val="nil"/>
              <w:bottom w:val="single" w:sz="2" w:space="0" w:color="000000"/>
              <w:right w:val="nil"/>
            </w:tcBorders>
            <w:shd w:val="clear" w:color="auto" w:fill="E6E6E6"/>
          </w:tcPr>
          <w:p w14:paraId="13B7ACD4" w14:textId="77777777" w:rsidR="002D2737" w:rsidRPr="00B85C14" w:rsidRDefault="002D2737" w:rsidP="00C1754B">
            <w:pPr>
              <w:pStyle w:val="TableColumnHeadingRight"/>
            </w:pPr>
            <w:r>
              <w:t>Entry Age 27</w:t>
            </w:r>
          </w:p>
        </w:tc>
        <w:tc>
          <w:tcPr>
            <w:tcW w:w="284" w:type="dxa"/>
            <w:vMerge/>
            <w:tcBorders>
              <w:left w:val="nil"/>
              <w:bottom w:val="single" w:sz="2" w:space="0" w:color="000000"/>
              <w:right w:val="nil"/>
            </w:tcBorders>
            <w:shd w:val="clear" w:color="auto" w:fill="E6E6E6"/>
          </w:tcPr>
          <w:p w14:paraId="086DEC54" w14:textId="77777777" w:rsidR="002D2737" w:rsidRPr="00B85C14" w:rsidRDefault="002D2737" w:rsidP="00C1754B">
            <w:pPr>
              <w:pStyle w:val="TableColumnHeadingRight"/>
            </w:pPr>
          </w:p>
        </w:tc>
        <w:tc>
          <w:tcPr>
            <w:tcW w:w="729" w:type="dxa"/>
            <w:tcBorders>
              <w:top w:val="single" w:sz="4" w:space="0" w:color="auto"/>
              <w:left w:val="nil"/>
              <w:bottom w:val="single" w:sz="2" w:space="0" w:color="000000"/>
              <w:right w:val="nil"/>
            </w:tcBorders>
            <w:shd w:val="clear" w:color="auto" w:fill="E6E6E6"/>
          </w:tcPr>
          <w:p w14:paraId="7C10058A" w14:textId="1AF6B12C" w:rsidR="002D2737" w:rsidRPr="00B85C14" w:rsidRDefault="002D2737" w:rsidP="003B7C74">
            <w:pPr>
              <w:pStyle w:val="TableColumnHeadingRight"/>
            </w:pPr>
            <w:r>
              <w:t>Entry Age 18</w:t>
            </w:r>
          </w:p>
        </w:tc>
        <w:tc>
          <w:tcPr>
            <w:tcW w:w="728" w:type="dxa"/>
            <w:tcBorders>
              <w:top w:val="single" w:sz="4" w:space="0" w:color="auto"/>
              <w:left w:val="nil"/>
              <w:bottom w:val="single" w:sz="2" w:space="0" w:color="000000"/>
              <w:right w:val="nil"/>
            </w:tcBorders>
            <w:shd w:val="clear" w:color="auto" w:fill="E6E6E6"/>
          </w:tcPr>
          <w:p w14:paraId="0DB173BA" w14:textId="7B9846EC" w:rsidR="002D2737" w:rsidRPr="00B85C14" w:rsidRDefault="002D2737" w:rsidP="0098181D">
            <w:pPr>
              <w:pStyle w:val="TableColumnHeadingRight"/>
            </w:pPr>
            <w:r>
              <w:t>Entry Age 21</w:t>
            </w:r>
          </w:p>
        </w:tc>
        <w:tc>
          <w:tcPr>
            <w:tcW w:w="728" w:type="dxa"/>
            <w:tcBorders>
              <w:top w:val="single" w:sz="4" w:space="0" w:color="auto"/>
              <w:left w:val="nil"/>
              <w:bottom w:val="single" w:sz="2" w:space="0" w:color="000000"/>
              <w:right w:val="nil"/>
            </w:tcBorders>
            <w:shd w:val="clear" w:color="auto" w:fill="E6E6E6"/>
          </w:tcPr>
          <w:p w14:paraId="6BB14BF5" w14:textId="77777777" w:rsidR="002D2737" w:rsidRPr="00B85C14" w:rsidRDefault="002D2737" w:rsidP="0098181D">
            <w:pPr>
              <w:pStyle w:val="TableColumnHeadingRight"/>
            </w:pPr>
            <w:r>
              <w:t>Entry Age 25</w:t>
            </w:r>
          </w:p>
        </w:tc>
        <w:tc>
          <w:tcPr>
            <w:tcW w:w="284" w:type="dxa"/>
            <w:vMerge/>
            <w:tcBorders>
              <w:left w:val="nil"/>
              <w:bottom w:val="single" w:sz="2" w:space="0" w:color="000000"/>
              <w:right w:val="nil"/>
            </w:tcBorders>
            <w:shd w:val="clear" w:color="auto" w:fill="E6E6E6"/>
          </w:tcPr>
          <w:p w14:paraId="0BBBE859" w14:textId="77777777" w:rsidR="002D2737" w:rsidRPr="00B85C14" w:rsidRDefault="002D2737" w:rsidP="00C1754B">
            <w:pPr>
              <w:pStyle w:val="TableColumnHeadingRight"/>
            </w:pPr>
          </w:p>
        </w:tc>
        <w:tc>
          <w:tcPr>
            <w:tcW w:w="797" w:type="dxa"/>
            <w:vMerge/>
            <w:tcBorders>
              <w:left w:val="nil"/>
              <w:bottom w:val="single" w:sz="2" w:space="0" w:color="000000"/>
              <w:right w:val="nil"/>
            </w:tcBorders>
            <w:shd w:val="clear" w:color="auto" w:fill="E6E6E6"/>
          </w:tcPr>
          <w:p w14:paraId="42CD58DA" w14:textId="77777777" w:rsidR="002D2737" w:rsidRPr="00B85C14" w:rsidRDefault="002D2737" w:rsidP="00C1754B">
            <w:pPr>
              <w:pStyle w:val="TableColumnHeadingRight"/>
            </w:pPr>
          </w:p>
        </w:tc>
        <w:tc>
          <w:tcPr>
            <w:tcW w:w="284" w:type="dxa"/>
            <w:vMerge/>
            <w:tcBorders>
              <w:left w:val="nil"/>
              <w:bottom w:val="single" w:sz="2" w:space="0" w:color="000000"/>
              <w:right w:val="nil"/>
            </w:tcBorders>
            <w:shd w:val="clear" w:color="auto" w:fill="E6E6E6"/>
          </w:tcPr>
          <w:p w14:paraId="5AD677B7" w14:textId="77777777" w:rsidR="002D2737" w:rsidRPr="00B85C14" w:rsidRDefault="002D2737" w:rsidP="00C1754B">
            <w:pPr>
              <w:pStyle w:val="TableColumnHeadingRight"/>
            </w:pPr>
          </w:p>
        </w:tc>
        <w:tc>
          <w:tcPr>
            <w:tcW w:w="798" w:type="dxa"/>
            <w:vMerge/>
            <w:tcBorders>
              <w:left w:val="nil"/>
              <w:bottom w:val="single" w:sz="2" w:space="0" w:color="000000"/>
              <w:right w:val="nil"/>
            </w:tcBorders>
            <w:shd w:val="clear" w:color="auto" w:fill="E6E6E6"/>
          </w:tcPr>
          <w:p w14:paraId="70BB7D1F" w14:textId="77777777" w:rsidR="002D2737" w:rsidRPr="00B85C14" w:rsidRDefault="002D2737" w:rsidP="00C1754B">
            <w:pPr>
              <w:pStyle w:val="TableColumnHeadingRight"/>
            </w:pPr>
          </w:p>
        </w:tc>
      </w:tr>
      <w:tr w:rsidR="0062476A" w:rsidRPr="0045232E" w14:paraId="38032CAC" w14:textId="77777777" w:rsidTr="0062476A">
        <w:tc>
          <w:tcPr>
            <w:tcW w:w="879" w:type="dxa"/>
            <w:tcBorders>
              <w:top w:val="single" w:sz="2" w:space="0" w:color="000000"/>
              <w:left w:val="nil"/>
              <w:bottom w:val="nil"/>
              <w:right w:val="nil"/>
            </w:tcBorders>
            <w:vAlign w:val="bottom"/>
          </w:tcPr>
          <w:p w14:paraId="3E4D7661" w14:textId="77777777" w:rsidR="00A97D77" w:rsidRPr="00D443D2" w:rsidRDefault="00A97D77" w:rsidP="003B7C74">
            <w:pPr>
              <w:pStyle w:val="TableColumnHeadingLeft"/>
              <w:spacing w:before="30" w:after="30"/>
            </w:pPr>
            <w:r w:rsidRPr="00D443D2">
              <w:t>0</w:t>
            </w:r>
          </w:p>
        </w:tc>
        <w:tc>
          <w:tcPr>
            <w:tcW w:w="731" w:type="dxa"/>
            <w:tcBorders>
              <w:top w:val="single" w:sz="2" w:space="0" w:color="000000"/>
              <w:left w:val="nil"/>
              <w:bottom w:val="nil"/>
              <w:right w:val="nil"/>
            </w:tcBorders>
            <w:vAlign w:val="bottom"/>
          </w:tcPr>
          <w:p w14:paraId="3CC346D9"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728" w:type="dxa"/>
            <w:tcBorders>
              <w:top w:val="single" w:sz="2" w:space="0" w:color="000000"/>
              <w:left w:val="nil"/>
              <w:bottom w:val="nil"/>
              <w:right w:val="nil"/>
            </w:tcBorders>
            <w:vAlign w:val="bottom"/>
          </w:tcPr>
          <w:p w14:paraId="2A81C3FB"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728" w:type="dxa"/>
            <w:tcBorders>
              <w:top w:val="single" w:sz="2" w:space="0" w:color="000000"/>
              <w:left w:val="nil"/>
              <w:bottom w:val="nil"/>
              <w:right w:val="nil"/>
            </w:tcBorders>
            <w:vAlign w:val="bottom"/>
          </w:tcPr>
          <w:p w14:paraId="4F484328"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284" w:type="dxa"/>
            <w:tcBorders>
              <w:top w:val="single" w:sz="2" w:space="0" w:color="000000"/>
              <w:left w:val="nil"/>
              <w:bottom w:val="nil"/>
              <w:right w:val="nil"/>
            </w:tcBorders>
            <w:vAlign w:val="bottom"/>
          </w:tcPr>
          <w:p w14:paraId="2245409B" w14:textId="77777777" w:rsidR="00A97D77" w:rsidRPr="00B85C14" w:rsidRDefault="00A97D77" w:rsidP="003B7C74">
            <w:pPr>
              <w:pStyle w:val="TableTextRight"/>
              <w:spacing w:before="30" w:after="30"/>
              <w:rPr>
                <w:snapToGrid w:val="0"/>
                <w:lang w:val="en-US"/>
              </w:rPr>
            </w:pPr>
          </w:p>
        </w:tc>
        <w:tc>
          <w:tcPr>
            <w:tcW w:w="729" w:type="dxa"/>
            <w:tcBorders>
              <w:top w:val="single" w:sz="2" w:space="0" w:color="000000"/>
              <w:left w:val="nil"/>
              <w:bottom w:val="nil"/>
              <w:right w:val="nil"/>
            </w:tcBorders>
            <w:vAlign w:val="bottom"/>
          </w:tcPr>
          <w:p w14:paraId="55CC4370"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728" w:type="dxa"/>
            <w:tcBorders>
              <w:top w:val="single" w:sz="2" w:space="0" w:color="000000"/>
              <w:left w:val="nil"/>
              <w:bottom w:val="nil"/>
              <w:right w:val="nil"/>
            </w:tcBorders>
            <w:vAlign w:val="bottom"/>
          </w:tcPr>
          <w:p w14:paraId="18440452"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728" w:type="dxa"/>
            <w:tcBorders>
              <w:top w:val="single" w:sz="2" w:space="0" w:color="000000"/>
              <w:left w:val="nil"/>
              <w:bottom w:val="nil"/>
              <w:right w:val="nil"/>
            </w:tcBorders>
            <w:vAlign w:val="bottom"/>
          </w:tcPr>
          <w:p w14:paraId="04666F19" w14:textId="77777777" w:rsidR="00A97D77" w:rsidRPr="00A97D77" w:rsidRDefault="00A97D77" w:rsidP="003B7C74">
            <w:pPr>
              <w:pStyle w:val="TableTextRight"/>
              <w:spacing w:before="30" w:after="30"/>
              <w:rPr>
                <w:snapToGrid w:val="0"/>
                <w:lang w:val="en-US"/>
              </w:rPr>
            </w:pPr>
            <w:r w:rsidRPr="00A97D77">
              <w:rPr>
                <w:snapToGrid w:val="0"/>
                <w:lang w:val="en-US"/>
              </w:rPr>
              <w:t>1.000</w:t>
            </w:r>
          </w:p>
        </w:tc>
        <w:tc>
          <w:tcPr>
            <w:tcW w:w="284" w:type="dxa"/>
            <w:tcBorders>
              <w:top w:val="single" w:sz="2" w:space="0" w:color="000000"/>
              <w:left w:val="nil"/>
              <w:bottom w:val="nil"/>
              <w:right w:val="nil"/>
            </w:tcBorders>
            <w:vAlign w:val="bottom"/>
          </w:tcPr>
          <w:p w14:paraId="68C0B320" w14:textId="77777777" w:rsidR="00A97D77" w:rsidRPr="00FF3826" w:rsidRDefault="00A97D77" w:rsidP="003B7C74">
            <w:pPr>
              <w:pStyle w:val="TableTextRight"/>
              <w:spacing w:before="30" w:after="30"/>
              <w:rPr>
                <w:snapToGrid w:val="0"/>
                <w:lang w:val="en-US"/>
              </w:rPr>
            </w:pPr>
          </w:p>
        </w:tc>
        <w:tc>
          <w:tcPr>
            <w:tcW w:w="797" w:type="dxa"/>
            <w:tcBorders>
              <w:top w:val="single" w:sz="2" w:space="0" w:color="000000"/>
              <w:left w:val="nil"/>
              <w:bottom w:val="nil"/>
              <w:right w:val="nil"/>
            </w:tcBorders>
            <w:vAlign w:val="bottom"/>
          </w:tcPr>
          <w:p w14:paraId="43A4B06F" w14:textId="77777777" w:rsidR="00A97D77" w:rsidRPr="00D443D2" w:rsidRDefault="00A97D77" w:rsidP="003B7C74">
            <w:pPr>
              <w:pStyle w:val="TableTextRight"/>
              <w:spacing w:before="30" w:after="30"/>
              <w:rPr>
                <w:snapToGrid w:val="0"/>
                <w:lang w:val="en-US"/>
              </w:rPr>
            </w:pPr>
            <w:r w:rsidRPr="00D443D2">
              <w:rPr>
                <w:snapToGrid w:val="0"/>
                <w:lang w:val="en-US"/>
              </w:rPr>
              <w:t>1.000</w:t>
            </w:r>
          </w:p>
        </w:tc>
        <w:tc>
          <w:tcPr>
            <w:tcW w:w="284" w:type="dxa"/>
            <w:tcBorders>
              <w:top w:val="single" w:sz="2" w:space="0" w:color="000000"/>
              <w:left w:val="nil"/>
              <w:bottom w:val="nil"/>
              <w:right w:val="nil"/>
            </w:tcBorders>
            <w:vAlign w:val="bottom"/>
          </w:tcPr>
          <w:p w14:paraId="20117C0D" w14:textId="77777777" w:rsidR="00A97D77"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vAlign w:val="bottom"/>
          </w:tcPr>
          <w:p w14:paraId="59D0BD83" w14:textId="77777777" w:rsidR="00A97D77" w:rsidRPr="0045232E" w:rsidRDefault="00A97D77" w:rsidP="003B7C74">
            <w:pPr>
              <w:pStyle w:val="TableTextRight"/>
              <w:spacing w:before="30" w:after="30"/>
              <w:rPr>
                <w:snapToGrid w:val="0"/>
                <w:lang w:val="en-US"/>
              </w:rPr>
            </w:pPr>
            <w:r w:rsidRPr="0045232E">
              <w:rPr>
                <w:snapToGrid w:val="0"/>
                <w:lang w:val="en-US"/>
              </w:rPr>
              <w:t>1.000</w:t>
            </w:r>
          </w:p>
        </w:tc>
      </w:tr>
      <w:tr w:rsidR="0062476A" w:rsidRPr="0045232E" w14:paraId="011D0243" w14:textId="77777777" w:rsidTr="0062476A">
        <w:tc>
          <w:tcPr>
            <w:tcW w:w="879" w:type="dxa"/>
            <w:tcBorders>
              <w:top w:val="nil"/>
              <w:left w:val="nil"/>
              <w:bottom w:val="nil"/>
              <w:right w:val="nil"/>
            </w:tcBorders>
            <w:vAlign w:val="bottom"/>
          </w:tcPr>
          <w:p w14:paraId="6CD59368" w14:textId="77777777" w:rsidR="00A97D77" w:rsidRPr="00D443D2" w:rsidRDefault="00A97D77" w:rsidP="003B7C74">
            <w:pPr>
              <w:pStyle w:val="TableColumnHeadingLeft"/>
              <w:spacing w:before="30" w:after="30"/>
            </w:pPr>
            <w:r w:rsidRPr="00D443D2">
              <w:t>1</w:t>
            </w:r>
          </w:p>
        </w:tc>
        <w:tc>
          <w:tcPr>
            <w:tcW w:w="731" w:type="dxa"/>
            <w:tcBorders>
              <w:top w:val="nil"/>
              <w:left w:val="nil"/>
              <w:bottom w:val="nil"/>
              <w:right w:val="nil"/>
            </w:tcBorders>
            <w:vAlign w:val="bottom"/>
          </w:tcPr>
          <w:p w14:paraId="5884DD36" w14:textId="77777777" w:rsidR="00A97D77" w:rsidRPr="00A97D77" w:rsidRDefault="00A97D77" w:rsidP="003B7C74">
            <w:pPr>
              <w:pStyle w:val="TableTextRight"/>
              <w:spacing w:before="30" w:after="30"/>
              <w:rPr>
                <w:snapToGrid w:val="0"/>
                <w:lang w:val="en-US"/>
              </w:rPr>
            </w:pPr>
            <w:r w:rsidRPr="00A97D77">
              <w:rPr>
                <w:snapToGrid w:val="0"/>
                <w:lang w:val="en-US"/>
              </w:rPr>
              <w:t>1.082</w:t>
            </w:r>
          </w:p>
        </w:tc>
        <w:tc>
          <w:tcPr>
            <w:tcW w:w="728" w:type="dxa"/>
            <w:tcBorders>
              <w:top w:val="nil"/>
              <w:left w:val="nil"/>
              <w:bottom w:val="nil"/>
              <w:right w:val="nil"/>
            </w:tcBorders>
            <w:vAlign w:val="bottom"/>
          </w:tcPr>
          <w:p w14:paraId="7C275820" w14:textId="77777777" w:rsidR="00A97D77" w:rsidRPr="00A97D77" w:rsidRDefault="00A97D77" w:rsidP="003B7C74">
            <w:pPr>
              <w:pStyle w:val="TableTextRight"/>
              <w:spacing w:before="30" w:after="30"/>
              <w:rPr>
                <w:snapToGrid w:val="0"/>
                <w:lang w:val="en-US"/>
              </w:rPr>
            </w:pPr>
            <w:r w:rsidRPr="00A97D77">
              <w:rPr>
                <w:snapToGrid w:val="0"/>
                <w:lang w:val="en-US"/>
              </w:rPr>
              <w:t>1.071</w:t>
            </w:r>
          </w:p>
        </w:tc>
        <w:tc>
          <w:tcPr>
            <w:tcW w:w="728" w:type="dxa"/>
            <w:tcBorders>
              <w:top w:val="nil"/>
              <w:left w:val="nil"/>
              <w:bottom w:val="nil"/>
              <w:right w:val="nil"/>
            </w:tcBorders>
            <w:vAlign w:val="bottom"/>
          </w:tcPr>
          <w:p w14:paraId="0C6CB8F7" w14:textId="77777777" w:rsidR="00A97D77" w:rsidRPr="00A97D77" w:rsidRDefault="00A97D77" w:rsidP="003B7C74">
            <w:pPr>
              <w:pStyle w:val="TableTextRight"/>
              <w:spacing w:before="30" w:after="30"/>
              <w:rPr>
                <w:snapToGrid w:val="0"/>
                <w:lang w:val="en-US"/>
              </w:rPr>
            </w:pPr>
            <w:r w:rsidRPr="00A97D77">
              <w:rPr>
                <w:snapToGrid w:val="0"/>
                <w:lang w:val="en-US"/>
              </w:rPr>
              <w:t>1.048</w:t>
            </w:r>
          </w:p>
        </w:tc>
        <w:tc>
          <w:tcPr>
            <w:tcW w:w="284" w:type="dxa"/>
            <w:tcBorders>
              <w:top w:val="nil"/>
              <w:left w:val="nil"/>
              <w:bottom w:val="nil"/>
              <w:right w:val="nil"/>
            </w:tcBorders>
            <w:vAlign w:val="bottom"/>
          </w:tcPr>
          <w:p w14:paraId="4200A071"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2D17D82F" w14:textId="77777777" w:rsidR="00A97D77" w:rsidRPr="00A97D77" w:rsidRDefault="00A97D77" w:rsidP="003B7C74">
            <w:pPr>
              <w:pStyle w:val="TableTextRight"/>
              <w:spacing w:before="30" w:after="30"/>
              <w:rPr>
                <w:snapToGrid w:val="0"/>
                <w:lang w:val="en-US"/>
              </w:rPr>
            </w:pPr>
            <w:r w:rsidRPr="00A97D77">
              <w:rPr>
                <w:snapToGrid w:val="0"/>
                <w:lang w:val="en-US"/>
              </w:rPr>
              <w:t>1.125</w:t>
            </w:r>
          </w:p>
        </w:tc>
        <w:tc>
          <w:tcPr>
            <w:tcW w:w="728" w:type="dxa"/>
            <w:tcBorders>
              <w:top w:val="nil"/>
              <w:left w:val="nil"/>
              <w:bottom w:val="nil"/>
              <w:right w:val="nil"/>
            </w:tcBorders>
            <w:vAlign w:val="bottom"/>
          </w:tcPr>
          <w:p w14:paraId="06CD4158" w14:textId="77777777" w:rsidR="00A97D77" w:rsidRPr="00A97D77" w:rsidRDefault="00A97D77" w:rsidP="003B7C74">
            <w:pPr>
              <w:pStyle w:val="TableTextRight"/>
              <w:spacing w:before="30" w:after="30"/>
              <w:rPr>
                <w:snapToGrid w:val="0"/>
                <w:lang w:val="en-US"/>
              </w:rPr>
            </w:pPr>
            <w:r w:rsidRPr="00A97D77">
              <w:rPr>
                <w:snapToGrid w:val="0"/>
                <w:lang w:val="en-US"/>
              </w:rPr>
              <w:t>1.060</w:t>
            </w:r>
          </w:p>
        </w:tc>
        <w:tc>
          <w:tcPr>
            <w:tcW w:w="728" w:type="dxa"/>
            <w:tcBorders>
              <w:top w:val="nil"/>
              <w:left w:val="nil"/>
              <w:bottom w:val="nil"/>
              <w:right w:val="nil"/>
            </w:tcBorders>
            <w:vAlign w:val="bottom"/>
          </w:tcPr>
          <w:p w14:paraId="0B507E46" w14:textId="77777777" w:rsidR="00A97D77" w:rsidRPr="00A97D77" w:rsidRDefault="00A97D77" w:rsidP="003B7C74">
            <w:pPr>
              <w:pStyle w:val="TableTextRight"/>
              <w:spacing w:before="30" w:after="30"/>
              <w:rPr>
                <w:snapToGrid w:val="0"/>
                <w:lang w:val="en-US"/>
              </w:rPr>
            </w:pPr>
            <w:r w:rsidRPr="00A97D77">
              <w:rPr>
                <w:snapToGrid w:val="0"/>
                <w:lang w:val="en-US"/>
              </w:rPr>
              <w:t>1.040</w:t>
            </w:r>
          </w:p>
        </w:tc>
        <w:tc>
          <w:tcPr>
            <w:tcW w:w="284" w:type="dxa"/>
            <w:tcBorders>
              <w:top w:val="nil"/>
              <w:left w:val="nil"/>
              <w:bottom w:val="nil"/>
              <w:right w:val="nil"/>
            </w:tcBorders>
            <w:vAlign w:val="bottom"/>
          </w:tcPr>
          <w:p w14:paraId="2A090AD7"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37F1918E" w14:textId="77777777" w:rsidR="00A97D77" w:rsidRPr="00D443D2" w:rsidRDefault="00A97D77" w:rsidP="003B7C74">
            <w:pPr>
              <w:pStyle w:val="TableTextRight"/>
              <w:spacing w:before="30" w:after="30"/>
              <w:rPr>
                <w:snapToGrid w:val="0"/>
                <w:lang w:val="en-US"/>
              </w:rPr>
            </w:pPr>
            <w:r w:rsidRPr="00D443D2">
              <w:rPr>
                <w:snapToGrid w:val="0"/>
                <w:lang w:val="en-US"/>
              </w:rPr>
              <w:t>1.065</w:t>
            </w:r>
          </w:p>
        </w:tc>
        <w:tc>
          <w:tcPr>
            <w:tcW w:w="284" w:type="dxa"/>
            <w:tcBorders>
              <w:top w:val="nil"/>
              <w:left w:val="nil"/>
              <w:bottom w:val="nil"/>
              <w:right w:val="nil"/>
            </w:tcBorders>
            <w:vAlign w:val="bottom"/>
          </w:tcPr>
          <w:p w14:paraId="4969B7F2"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77C2A410" w14:textId="77777777" w:rsidR="00A97D77" w:rsidRPr="0045232E" w:rsidRDefault="00A97D77" w:rsidP="003B7C74">
            <w:pPr>
              <w:pStyle w:val="TableTextRight"/>
              <w:spacing w:before="30" w:after="30"/>
              <w:rPr>
                <w:snapToGrid w:val="0"/>
                <w:lang w:val="en-US"/>
              </w:rPr>
            </w:pPr>
            <w:r w:rsidRPr="0045232E">
              <w:rPr>
                <w:snapToGrid w:val="0"/>
                <w:lang w:val="en-US"/>
              </w:rPr>
              <w:t>1.100</w:t>
            </w:r>
          </w:p>
        </w:tc>
      </w:tr>
      <w:tr w:rsidR="0062476A" w:rsidRPr="0045232E" w14:paraId="3D6252B3" w14:textId="77777777" w:rsidTr="0062476A">
        <w:tc>
          <w:tcPr>
            <w:tcW w:w="879" w:type="dxa"/>
            <w:tcBorders>
              <w:top w:val="nil"/>
              <w:left w:val="nil"/>
              <w:bottom w:val="nil"/>
              <w:right w:val="nil"/>
            </w:tcBorders>
            <w:vAlign w:val="bottom"/>
          </w:tcPr>
          <w:p w14:paraId="50EC6EF9" w14:textId="77777777" w:rsidR="00A97D77" w:rsidRPr="00D443D2" w:rsidRDefault="00A97D77" w:rsidP="003B7C74">
            <w:pPr>
              <w:pStyle w:val="TableColumnHeadingLeft"/>
              <w:spacing w:before="30" w:after="30"/>
            </w:pPr>
            <w:r w:rsidRPr="00D443D2">
              <w:t>2</w:t>
            </w:r>
          </w:p>
        </w:tc>
        <w:tc>
          <w:tcPr>
            <w:tcW w:w="731" w:type="dxa"/>
            <w:tcBorders>
              <w:top w:val="nil"/>
              <w:left w:val="nil"/>
              <w:bottom w:val="nil"/>
              <w:right w:val="nil"/>
            </w:tcBorders>
            <w:vAlign w:val="bottom"/>
          </w:tcPr>
          <w:p w14:paraId="196A2DDD" w14:textId="77777777" w:rsidR="00A97D77" w:rsidRPr="00A97D77" w:rsidRDefault="00A97D77" w:rsidP="003B7C74">
            <w:pPr>
              <w:pStyle w:val="TableTextRight"/>
              <w:spacing w:before="30" w:after="30"/>
              <w:rPr>
                <w:snapToGrid w:val="0"/>
                <w:lang w:val="en-US"/>
              </w:rPr>
            </w:pPr>
            <w:r w:rsidRPr="00A97D77">
              <w:rPr>
                <w:snapToGrid w:val="0"/>
                <w:lang w:val="en-US"/>
              </w:rPr>
              <w:t>1.161</w:t>
            </w:r>
          </w:p>
        </w:tc>
        <w:tc>
          <w:tcPr>
            <w:tcW w:w="728" w:type="dxa"/>
            <w:tcBorders>
              <w:top w:val="nil"/>
              <w:left w:val="nil"/>
              <w:bottom w:val="nil"/>
              <w:right w:val="nil"/>
            </w:tcBorders>
            <w:vAlign w:val="bottom"/>
          </w:tcPr>
          <w:p w14:paraId="196E2957" w14:textId="77777777" w:rsidR="00A97D77" w:rsidRPr="00A97D77" w:rsidRDefault="00A97D77" w:rsidP="003B7C74">
            <w:pPr>
              <w:pStyle w:val="TableTextRight"/>
              <w:spacing w:before="30" w:after="30"/>
              <w:rPr>
                <w:snapToGrid w:val="0"/>
                <w:lang w:val="en-US"/>
              </w:rPr>
            </w:pPr>
            <w:r w:rsidRPr="00A97D77">
              <w:rPr>
                <w:snapToGrid w:val="0"/>
                <w:lang w:val="en-US"/>
              </w:rPr>
              <w:t>1.139</w:t>
            </w:r>
          </w:p>
        </w:tc>
        <w:tc>
          <w:tcPr>
            <w:tcW w:w="728" w:type="dxa"/>
            <w:tcBorders>
              <w:top w:val="nil"/>
              <w:left w:val="nil"/>
              <w:bottom w:val="nil"/>
              <w:right w:val="nil"/>
            </w:tcBorders>
            <w:vAlign w:val="bottom"/>
          </w:tcPr>
          <w:p w14:paraId="3234AEF8" w14:textId="77777777" w:rsidR="00A97D77" w:rsidRPr="00A97D77" w:rsidRDefault="00A97D77" w:rsidP="003B7C74">
            <w:pPr>
              <w:pStyle w:val="TableTextRight"/>
              <w:spacing w:before="30" w:after="30"/>
              <w:rPr>
                <w:snapToGrid w:val="0"/>
                <w:lang w:val="en-US"/>
              </w:rPr>
            </w:pPr>
            <w:r w:rsidRPr="00A97D77">
              <w:rPr>
                <w:snapToGrid w:val="0"/>
                <w:lang w:val="en-US"/>
              </w:rPr>
              <w:t>1.094</w:t>
            </w:r>
          </w:p>
        </w:tc>
        <w:tc>
          <w:tcPr>
            <w:tcW w:w="284" w:type="dxa"/>
            <w:tcBorders>
              <w:top w:val="nil"/>
              <w:left w:val="nil"/>
              <w:bottom w:val="nil"/>
              <w:right w:val="nil"/>
            </w:tcBorders>
            <w:vAlign w:val="bottom"/>
          </w:tcPr>
          <w:p w14:paraId="2A293B0F"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0ACB758F" w14:textId="77777777" w:rsidR="00A97D77" w:rsidRPr="00A97D77" w:rsidRDefault="00A97D77" w:rsidP="003B7C74">
            <w:pPr>
              <w:pStyle w:val="TableTextRight"/>
              <w:spacing w:before="30" w:after="30"/>
              <w:rPr>
                <w:snapToGrid w:val="0"/>
                <w:lang w:val="en-US"/>
              </w:rPr>
            </w:pPr>
            <w:r w:rsidRPr="00A97D77">
              <w:rPr>
                <w:snapToGrid w:val="0"/>
                <w:lang w:val="en-US"/>
              </w:rPr>
              <w:t>1.246</w:t>
            </w:r>
          </w:p>
        </w:tc>
        <w:tc>
          <w:tcPr>
            <w:tcW w:w="728" w:type="dxa"/>
            <w:tcBorders>
              <w:top w:val="nil"/>
              <w:left w:val="nil"/>
              <w:bottom w:val="nil"/>
              <w:right w:val="nil"/>
            </w:tcBorders>
            <w:vAlign w:val="bottom"/>
          </w:tcPr>
          <w:p w14:paraId="3A69B0E3" w14:textId="77777777" w:rsidR="00A97D77" w:rsidRPr="00A97D77" w:rsidRDefault="00A97D77" w:rsidP="003B7C74">
            <w:pPr>
              <w:pStyle w:val="TableTextRight"/>
              <w:spacing w:before="30" w:after="30"/>
              <w:rPr>
                <w:snapToGrid w:val="0"/>
                <w:lang w:val="en-US"/>
              </w:rPr>
            </w:pPr>
            <w:r w:rsidRPr="00A97D77">
              <w:rPr>
                <w:snapToGrid w:val="0"/>
                <w:lang w:val="en-US"/>
              </w:rPr>
              <w:t>1.119</w:t>
            </w:r>
          </w:p>
        </w:tc>
        <w:tc>
          <w:tcPr>
            <w:tcW w:w="728" w:type="dxa"/>
            <w:tcBorders>
              <w:top w:val="nil"/>
              <w:left w:val="nil"/>
              <w:bottom w:val="nil"/>
              <w:right w:val="nil"/>
            </w:tcBorders>
            <w:vAlign w:val="bottom"/>
          </w:tcPr>
          <w:p w14:paraId="03B3C850" w14:textId="77777777" w:rsidR="00A97D77" w:rsidRPr="00A97D77" w:rsidRDefault="00A97D77" w:rsidP="003B7C74">
            <w:pPr>
              <w:pStyle w:val="TableTextRight"/>
              <w:spacing w:before="30" w:after="30"/>
              <w:rPr>
                <w:snapToGrid w:val="0"/>
                <w:lang w:val="en-US"/>
              </w:rPr>
            </w:pPr>
            <w:r w:rsidRPr="00A97D77">
              <w:rPr>
                <w:snapToGrid w:val="0"/>
                <w:lang w:val="en-US"/>
              </w:rPr>
              <w:t>1.082</w:t>
            </w:r>
          </w:p>
        </w:tc>
        <w:tc>
          <w:tcPr>
            <w:tcW w:w="284" w:type="dxa"/>
            <w:tcBorders>
              <w:top w:val="nil"/>
              <w:left w:val="nil"/>
              <w:bottom w:val="nil"/>
              <w:right w:val="nil"/>
            </w:tcBorders>
            <w:vAlign w:val="bottom"/>
          </w:tcPr>
          <w:p w14:paraId="2318625B"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798206DC" w14:textId="77777777" w:rsidR="00A97D77" w:rsidRPr="00D443D2" w:rsidRDefault="00A97D77" w:rsidP="003B7C74">
            <w:pPr>
              <w:pStyle w:val="TableTextRight"/>
              <w:spacing w:before="30" w:after="30"/>
              <w:rPr>
                <w:snapToGrid w:val="0"/>
                <w:lang w:val="en-US"/>
              </w:rPr>
            </w:pPr>
            <w:r w:rsidRPr="00D443D2">
              <w:rPr>
                <w:snapToGrid w:val="0"/>
                <w:lang w:val="en-US"/>
              </w:rPr>
              <w:t>1.130</w:t>
            </w:r>
          </w:p>
        </w:tc>
        <w:tc>
          <w:tcPr>
            <w:tcW w:w="284" w:type="dxa"/>
            <w:tcBorders>
              <w:top w:val="nil"/>
              <w:left w:val="nil"/>
              <w:bottom w:val="nil"/>
              <w:right w:val="nil"/>
            </w:tcBorders>
            <w:vAlign w:val="bottom"/>
          </w:tcPr>
          <w:p w14:paraId="0C4E22E8"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2C9DD0DC" w14:textId="77777777" w:rsidR="00A97D77" w:rsidRPr="0045232E" w:rsidRDefault="00A97D77" w:rsidP="003B7C74">
            <w:pPr>
              <w:pStyle w:val="TableTextRight"/>
              <w:spacing w:before="30" w:after="30"/>
              <w:rPr>
                <w:snapToGrid w:val="0"/>
                <w:lang w:val="en-US"/>
              </w:rPr>
            </w:pPr>
            <w:r w:rsidRPr="0045232E">
              <w:rPr>
                <w:snapToGrid w:val="0"/>
                <w:lang w:val="en-US"/>
              </w:rPr>
              <w:t>1.194</w:t>
            </w:r>
          </w:p>
        </w:tc>
      </w:tr>
      <w:tr w:rsidR="0062476A" w:rsidRPr="0045232E" w14:paraId="771E3983" w14:textId="77777777" w:rsidTr="0062476A">
        <w:tc>
          <w:tcPr>
            <w:tcW w:w="879" w:type="dxa"/>
            <w:tcBorders>
              <w:top w:val="nil"/>
              <w:left w:val="nil"/>
              <w:bottom w:val="nil"/>
              <w:right w:val="nil"/>
            </w:tcBorders>
            <w:vAlign w:val="bottom"/>
          </w:tcPr>
          <w:p w14:paraId="000B8183" w14:textId="77777777" w:rsidR="00A97D77" w:rsidRPr="00D443D2" w:rsidRDefault="00A97D77" w:rsidP="003B7C74">
            <w:pPr>
              <w:pStyle w:val="TableColumnHeadingLeft"/>
              <w:spacing w:before="30" w:after="30"/>
            </w:pPr>
            <w:r w:rsidRPr="00D443D2">
              <w:t>3</w:t>
            </w:r>
          </w:p>
        </w:tc>
        <w:tc>
          <w:tcPr>
            <w:tcW w:w="731" w:type="dxa"/>
            <w:tcBorders>
              <w:top w:val="nil"/>
              <w:left w:val="nil"/>
              <w:bottom w:val="nil"/>
              <w:right w:val="nil"/>
            </w:tcBorders>
            <w:vAlign w:val="bottom"/>
          </w:tcPr>
          <w:p w14:paraId="547421F5" w14:textId="77777777" w:rsidR="00A97D77" w:rsidRPr="00A97D77" w:rsidRDefault="00A97D77" w:rsidP="003B7C74">
            <w:pPr>
              <w:pStyle w:val="TableTextRight"/>
              <w:spacing w:before="30" w:after="30"/>
              <w:rPr>
                <w:snapToGrid w:val="0"/>
                <w:lang w:val="en-US"/>
              </w:rPr>
            </w:pPr>
            <w:r w:rsidRPr="00A97D77">
              <w:rPr>
                <w:snapToGrid w:val="0"/>
                <w:lang w:val="en-US"/>
              </w:rPr>
              <w:t>1.236</w:t>
            </w:r>
          </w:p>
        </w:tc>
        <w:tc>
          <w:tcPr>
            <w:tcW w:w="728" w:type="dxa"/>
            <w:tcBorders>
              <w:top w:val="nil"/>
              <w:left w:val="nil"/>
              <w:bottom w:val="nil"/>
              <w:right w:val="nil"/>
            </w:tcBorders>
            <w:vAlign w:val="bottom"/>
          </w:tcPr>
          <w:p w14:paraId="064783A8" w14:textId="77777777" w:rsidR="00A97D77" w:rsidRPr="00A97D77" w:rsidRDefault="00A97D77" w:rsidP="003B7C74">
            <w:pPr>
              <w:pStyle w:val="TableTextRight"/>
              <w:spacing w:before="30" w:after="30"/>
              <w:rPr>
                <w:snapToGrid w:val="0"/>
                <w:lang w:val="en-US"/>
              </w:rPr>
            </w:pPr>
            <w:r w:rsidRPr="00A97D77">
              <w:rPr>
                <w:snapToGrid w:val="0"/>
                <w:lang w:val="en-US"/>
              </w:rPr>
              <w:t>1.205</w:t>
            </w:r>
          </w:p>
        </w:tc>
        <w:tc>
          <w:tcPr>
            <w:tcW w:w="728" w:type="dxa"/>
            <w:tcBorders>
              <w:top w:val="nil"/>
              <w:left w:val="nil"/>
              <w:bottom w:val="nil"/>
              <w:right w:val="nil"/>
            </w:tcBorders>
            <w:vAlign w:val="bottom"/>
          </w:tcPr>
          <w:p w14:paraId="0092885F" w14:textId="77777777" w:rsidR="00A97D77" w:rsidRPr="00A97D77" w:rsidRDefault="00A97D77" w:rsidP="003B7C74">
            <w:pPr>
              <w:pStyle w:val="TableTextRight"/>
              <w:spacing w:before="30" w:after="30"/>
              <w:rPr>
                <w:snapToGrid w:val="0"/>
                <w:lang w:val="en-US"/>
              </w:rPr>
            </w:pPr>
            <w:r w:rsidRPr="00A97D77">
              <w:rPr>
                <w:snapToGrid w:val="0"/>
                <w:lang w:val="en-US"/>
              </w:rPr>
              <w:t>1.140</w:t>
            </w:r>
          </w:p>
        </w:tc>
        <w:tc>
          <w:tcPr>
            <w:tcW w:w="284" w:type="dxa"/>
            <w:tcBorders>
              <w:top w:val="nil"/>
              <w:left w:val="nil"/>
              <w:bottom w:val="nil"/>
              <w:right w:val="nil"/>
            </w:tcBorders>
            <w:vAlign w:val="bottom"/>
          </w:tcPr>
          <w:p w14:paraId="10864ACE"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0AF06D59" w14:textId="77777777" w:rsidR="00A97D77" w:rsidRPr="00A97D77" w:rsidRDefault="00A97D77" w:rsidP="003B7C74">
            <w:pPr>
              <w:pStyle w:val="TableTextRight"/>
              <w:spacing w:before="30" w:after="30"/>
              <w:rPr>
                <w:snapToGrid w:val="0"/>
                <w:lang w:val="en-US"/>
              </w:rPr>
            </w:pPr>
            <w:r w:rsidRPr="00A97D77">
              <w:rPr>
                <w:snapToGrid w:val="0"/>
                <w:lang w:val="en-US"/>
              </w:rPr>
              <w:t>1.403</w:t>
            </w:r>
          </w:p>
        </w:tc>
        <w:tc>
          <w:tcPr>
            <w:tcW w:w="728" w:type="dxa"/>
            <w:tcBorders>
              <w:top w:val="nil"/>
              <w:left w:val="nil"/>
              <w:bottom w:val="nil"/>
              <w:right w:val="nil"/>
            </w:tcBorders>
            <w:vAlign w:val="bottom"/>
          </w:tcPr>
          <w:p w14:paraId="449FAA43" w14:textId="77777777" w:rsidR="00A97D77" w:rsidRPr="00A97D77" w:rsidRDefault="00A97D77" w:rsidP="003B7C74">
            <w:pPr>
              <w:pStyle w:val="TableTextRight"/>
              <w:spacing w:before="30" w:after="30"/>
              <w:rPr>
                <w:snapToGrid w:val="0"/>
                <w:lang w:val="en-US"/>
              </w:rPr>
            </w:pPr>
            <w:r w:rsidRPr="00A97D77">
              <w:rPr>
                <w:snapToGrid w:val="0"/>
                <w:lang w:val="en-US"/>
              </w:rPr>
              <w:t>1.262</w:t>
            </w:r>
          </w:p>
        </w:tc>
        <w:tc>
          <w:tcPr>
            <w:tcW w:w="728" w:type="dxa"/>
            <w:tcBorders>
              <w:top w:val="nil"/>
              <w:left w:val="nil"/>
              <w:bottom w:val="nil"/>
              <w:right w:val="nil"/>
            </w:tcBorders>
            <w:vAlign w:val="bottom"/>
          </w:tcPr>
          <w:p w14:paraId="3C53B401" w14:textId="77777777" w:rsidR="00A97D77" w:rsidRPr="00A97D77" w:rsidRDefault="00A97D77" w:rsidP="003B7C74">
            <w:pPr>
              <w:pStyle w:val="TableTextRight"/>
              <w:spacing w:before="30" w:after="30"/>
              <w:rPr>
                <w:snapToGrid w:val="0"/>
                <w:lang w:val="en-US"/>
              </w:rPr>
            </w:pPr>
            <w:r w:rsidRPr="00A97D77">
              <w:rPr>
                <w:snapToGrid w:val="0"/>
                <w:lang w:val="en-US"/>
              </w:rPr>
              <w:t>1.245</w:t>
            </w:r>
          </w:p>
        </w:tc>
        <w:tc>
          <w:tcPr>
            <w:tcW w:w="284" w:type="dxa"/>
            <w:tcBorders>
              <w:top w:val="nil"/>
              <w:left w:val="nil"/>
              <w:bottom w:val="nil"/>
              <w:right w:val="nil"/>
            </w:tcBorders>
            <w:vAlign w:val="bottom"/>
          </w:tcPr>
          <w:p w14:paraId="722D5C8F"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5144BDC1" w14:textId="77777777" w:rsidR="00A97D77" w:rsidRPr="00D443D2" w:rsidRDefault="00A97D77" w:rsidP="003B7C74">
            <w:pPr>
              <w:pStyle w:val="TableTextRight"/>
              <w:spacing w:before="30" w:after="30"/>
              <w:rPr>
                <w:snapToGrid w:val="0"/>
                <w:lang w:val="en-US"/>
              </w:rPr>
            </w:pPr>
            <w:r w:rsidRPr="00D443D2">
              <w:rPr>
                <w:snapToGrid w:val="0"/>
                <w:lang w:val="en-US"/>
              </w:rPr>
              <w:t>1.194</w:t>
            </w:r>
          </w:p>
        </w:tc>
        <w:tc>
          <w:tcPr>
            <w:tcW w:w="284" w:type="dxa"/>
            <w:tcBorders>
              <w:top w:val="nil"/>
              <w:left w:val="nil"/>
              <w:bottom w:val="nil"/>
              <w:right w:val="nil"/>
            </w:tcBorders>
            <w:vAlign w:val="bottom"/>
          </w:tcPr>
          <w:p w14:paraId="55306CDA"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3DCCDBEF" w14:textId="77777777" w:rsidR="00A97D77" w:rsidRPr="0045232E" w:rsidRDefault="00A97D77" w:rsidP="003B7C74">
            <w:pPr>
              <w:pStyle w:val="TableTextRight"/>
              <w:spacing w:before="30" w:after="30"/>
              <w:rPr>
                <w:snapToGrid w:val="0"/>
                <w:lang w:val="en-US"/>
              </w:rPr>
            </w:pPr>
            <w:r w:rsidRPr="0045232E">
              <w:rPr>
                <w:snapToGrid w:val="0"/>
                <w:lang w:val="en-US"/>
              </w:rPr>
              <w:t>1.242</w:t>
            </w:r>
          </w:p>
        </w:tc>
      </w:tr>
      <w:tr w:rsidR="0062476A" w:rsidRPr="0045232E" w14:paraId="5072A27A" w14:textId="77777777" w:rsidTr="0062476A">
        <w:tc>
          <w:tcPr>
            <w:tcW w:w="879" w:type="dxa"/>
            <w:tcBorders>
              <w:top w:val="nil"/>
              <w:left w:val="nil"/>
              <w:bottom w:val="single" w:sz="2" w:space="0" w:color="000000"/>
              <w:right w:val="nil"/>
            </w:tcBorders>
            <w:vAlign w:val="bottom"/>
          </w:tcPr>
          <w:p w14:paraId="5D9140B0" w14:textId="77777777" w:rsidR="00A97D77" w:rsidRPr="00D443D2" w:rsidRDefault="00A97D77" w:rsidP="003B7C74">
            <w:pPr>
              <w:pStyle w:val="TableColumnHeadingLeft"/>
              <w:spacing w:before="30" w:after="30"/>
            </w:pPr>
            <w:r w:rsidRPr="00D443D2">
              <w:t>4</w:t>
            </w:r>
          </w:p>
        </w:tc>
        <w:tc>
          <w:tcPr>
            <w:tcW w:w="731" w:type="dxa"/>
            <w:tcBorders>
              <w:top w:val="nil"/>
              <w:left w:val="nil"/>
              <w:bottom w:val="single" w:sz="2" w:space="0" w:color="000000"/>
              <w:right w:val="nil"/>
            </w:tcBorders>
            <w:vAlign w:val="bottom"/>
          </w:tcPr>
          <w:p w14:paraId="286B8192" w14:textId="77777777" w:rsidR="00A97D77" w:rsidRPr="00A97D77" w:rsidRDefault="00A97D77" w:rsidP="003B7C74">
            <w:pPr>
              <w:pStyle w:val="TableTextRight"/>
              <w:spacing w:before="30" w:after="30"/>
              <w:rPr>
                <w:snapToGrid w:val="0"/>
                <w:lang w:val="en-US"/>
              </w:rPr>
            </w:pPr>
            <w:r w:rsidRPr="00A97D77">
              <w:rPr>
                <w:snapToGrid w:val="0"/>
                <w:lang w:val="en-US"/>
              </w:rPr>
              <w:t>1.308</w:t>
            </w:r>
          </w:p>
        </w:tc>
        <w:tc>
          <w:tcPr>
            <w:tcW w:w="728" w:type="dxa"/>
            <w:tcBorders>
              <w:top w:val="nil"/>
              <w:left w:val="nil"/>
              <w:bottom w:val="single" w:sz="2" w:space="0" w:color="000000"/>
              <w:right w:val="nil"/>
            </w:tcBorders>
            <w:vAlign w:val="bottom"/>
          </w:tcPr>
          <w:p w14:paraId="3F568B84" w14:textId="77777777" w:rsidR="00A97D77" w:rsidRPr="00A97D77" w:rsidRDefault="00A97D77" w:rsidP="003B7C74">
            <w:pPr>
              <w:pStyle w:val="TableTextRight"/>
              <w:spacing w:before="30" w:after="30"/>
              <w:rPr>
                <w:snapToGrid w:val="0"/>
                <w:lang w:val="en-US"/>
              </w:rPr>
            </w:pPr>
            <w:r w:rsidRPr="00A97D77">
              <w:rPr>
                <w:snapToGrid w:val="0"/>
                <w:lang w:val="en-US"/>
              </w:rPr>
              <w:t>1.268</w:t>
            </w:r>
          </w:p>
        </w:tc>
        <w:tc>
          <w:tcPr>
            <w:tcW w:w="728" w:type="dxa"/>
            <w:tcBorders>
              <w:top w:val="nil"/>
              <w:left w:val="nil"/>
              <w:bottom w:val="single" w:sz="2" w:space="0" w:color="000000"/>
              <w:right w:val="nil"/>
            </w:tcBorders>
            <w:vAlign w:val="bottom"/>
          </w:tcPr>
          <w:p w14:paraId="763319BF" w14:textId="77777777" w:rsidR="00A97D77" w:rsidRPr="00A97D77" w:rsidRDefault="00A97D77" w:rsidP="003B7C74">
            <w:pPr>
              <w:pStyle w:val="TableTextRight"/>
              <w:spacing w:before="30" w:after="30"/>
              <w:rPr>
                <w:snapToGrid w:val="0"/>
                <w:lang w:val="en-US"/>
              </w:rPr>
            </w:pPr>
            <w:r w:rsidRPr="00A97D77">
              <w:rPr>
                <w:snapToGrid w:val="0"/>
                <w:lang w:val="en-US"/>
              </w:rPr>
              <w:t>1.184</w:t>
            </w:r>
          </w:p>
        </w:tc>
        <w:tc>
          <w:tcPr>
            <w:tcW w:w="284" w:type="dxa"/>
            <w:tcBorders>
              <w:top w:val="nil"/>
              <w:left w:val="nil"/>
              <w:bottom w:val="single" w:sz="2" w:space="0" w:color="000000"/>
              <w:right w:val="nil"/>
            </w:tcBorders>
            <w:vAlign w:val="bottom"/>
          </w:tcPr>
          <w:p w14:paraId="216FA994"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single" w:sz="2" w:space="0" w:color="000000"/>
              <w:right w:val="nil"/>
            </w:tcBorders>
            <w:vAlign w:val="bottom"/>
          </w:tcPr>
          <w:p w14:paraId="53C9498A" w14:textId="77777777" w:rsidR="00A97D77" w:rsidRPr="00A97D77" w:rsidRDefault="00A97D77" w:rsidP="003B7C74">
            <w:pPr>
              <w:pStyle w:val="TableTextRight"/>
              <w:spacing w:before="30" w:after="30"/>
              <w:rPr>
                <w:snapToGrid w:val="0"/>
                <w:lang w:val="en-US"/>
              </w:rPr>
            </w:pPr>
            <w:r w:rsidRPr="00A97D77">
              <w:rPr>
                <w:snapToGrid w:val="0"/>
                <w:lang w:val="en-US"/>
              </w:rPr>
              <w:t>1.521</w:t>
            </w:r>
          </w:p>
        </w:tc>
        <w:tc>
          <w:tcPr>
            <w:tcW w:w="728" w:type="dxa"/>
            <w:tcBorders>
              <w:top w:val="nil"/>
              <w:left w:val="nil"/>
              <w:bottom w:val="single" w:sz="2" w:space="0" w:color="000000"/>
              <w:right w:val="nil"/>
            </w:tcBorders>
            <w:vAlign w:val="bottom"/>
          </w:tcPr>
          <w:p w14:paraId="6C170481" w14:textId="77777777" w:rsidR="00A97D77" w:rsidRPr="00A97D77" w:rsidRDefault="00A97D77" w:rsidP="003B7C74">
            <w:pPr>
              <w:pStyle w:val="TableTextRight"/>
              <w:spacing w:before="30" w:after="30"/>
              <w:rPr>
                <w:snapToGrid w:val="0"/>
                <w:lang w:val="en-US"/>
              </w:rPr>
            </w:pPr>
            <w:r w:rsidRPr="00A97D77">
              <w:rPr>
                <w:snapToGrid w:val="0"/>
                <w:lang w:val="en-US"/>
              </w:rPr>
              <w:t>1.404</w:t>
            </w:r>
          </w:p>
        </w:tc>
        <w:tc>
          <w:tcPr>
            <w:tcW w:w="728" w:type="dxa"/>
            <w:tcBorders>
              <w:top w:val="nil"/>
              <w:left w:val="nil"/>
              <w:bottom w:val="single" w:sz="2" w:space="0" w:color="000000"/>
              <w:right w:val="nil"/>
            </w:tcBorders>
            <w:vAlign w:val="bottom"/>
          </w:tcPr>
          <w:p w14:paraId="4A14ACBE" w14:textId="77777777" w:rsidR="00A97D77" w:rsidRPr="00A97D77" w:rsidRDefault="00A97D77" w:rsidP="003B7C74">
            <w:pPr>
              <w:pStyle w:val="TableTextRight"/>
              <w:spacing w:before="30" w:after="30"/>
              <w:rPr>
                <w:snapToGrid w:val="0"/>
                <w:lang w:val="en-US"/>
              </w:rPr>
            </w:pPr>
            <w:r w:rsidRPr="00A97D77">
              <w:rPr>
                <w:snapToGrid w:val="0"/>
                <w:lang w:val="en-US"/>
              </w:rPr>
              <w:t>1.406</w:t>
            </w:r>
          </w:p>
        </w:tc>
        <w:tc>
          <w:tcPr>
            <w:tcW w:w="284" w:type="dxa"/>
            <w:tcBorders>
              <w:top w:val="nil"/>
              <w:left w:val="nil"/>
              <w:bottom w:val="single" w:sz="2" w:space="0" w:color="000000"/>
              <w:right w:val="nil"/>
            </w:tcBorders>
            <w:vAlign w:val="bottom"/>
          </w:tcPr>
          <w:p w14:paraId="1633D3D0"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single" w:sz="2" w:space="0" w:color="000000"/>
              <w:right w:val="nil"/>
            </w:tcBorders>
            <w:vAlign w:val="bottom"/>
          </w:tcPr>
          <w:p w14:paraId="5D517D6C" w14:textId="77777777" w:rsidR="00A97D77" w:rsidRPr="00D443D2" w:rsidRDefault="00A97D77" w:rsidP="003B7C74">
            <w:pPr>
              <w:pStyle w:val="TableTextRight"/>
              <w:spacing w:before="30" w:after="30"/>
              <w:rPr>
                <w:snapToGrid w:val="0"/>
                <w:lang w:val="en-US"/>
              </w:rPr>
            </w:pPr>
            <w:r w:rsidRPr="00D443D2">
              <w:rPr>
                <w:snapToGrid w:val="0"/>
                <w:lang w:val="en-US"/>
              </w:rPr>
              <w:t>1.259</w:t>
            </w:r>
          </w:p>
        </w:tc>
        <w:tc>
          <w:tcPr>
            <w:tcW w:w="284" w:type="dxa"/>
            <w:tcBorders>
              <w:top w:val="nil"/>
              <w:left w:val="nil"/>
              <w:bottom w:val="single" w:sz="2" w:space="0" w:color="000000"/>
              <w:right w:val="nil"/>
            </w:tcBorders>
            <w:vAlign w:val="bottom"/>
          </w:tcPr>
          <w:p w14:paraId="1A456E2E"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vAlign w:val="bottom"/>
          </w:tcPr>
          <w:p w14:paraId="74A09B4C" w14:textId="77777777" w:rsidR="00A97D77" w:rsidRPr="0045232E" w:rsidRDefault="00A97D77" w:rsidP="003B7C74">
            <w:pPr>
              <w:pStyle w:val="TableTextRight"/>
              <w:spacing w:before="30" w:after="30"/>
              <w:rPr>
                <w:snapToGrid w:val="0"/>
                <w:lang w:val="en-US"/>
              </w:rPr>
            </w:pPr>
            <w:r w:rsidRPr="0045232E">
              <w:rPr>
                <w:snapToGrid w:val="0"/>
                <w:lang w:val="en-US"/>
              </w:rPr>
              <w:t>1.284</w:t>
            </w:r>
          </w:p>
        </w:tc>
      </w:tr>
      <w:tr w:rsidR="0062476A" w:rsidRPr="0045232E" w14:paraId="2DEE3C6D" w14:textId="77777777" w:rsidTr="0062476A">
        <w:tc>
          <w:tcPr>
            <w:tcW w:w="879" w:type="dxa"/>
            <w:tcBorders>
              <w:top w:val="single" w:sz="2" w:space="0" w:color="000000"/>
              <w:left w:val="nil"/>
              <w:bottom w:val="nil"/>
              <w:right w:val="nil"/>
            </w:tcBorders>
            <w:shd w:val="clear" w:color="auto" w:fill="F2F2F2" w:themeFill="background1" w:themeFillShade="F2"/>
            <w:vAlign w:val="bottom"/>
          </w:tcPr>
          <w:p w14:paraId="58D00380" w14:textId="77777777" w:rsidR="00A97D77" w:rsidRPr="00D443D2" w:rsidRDefault="00A97D77" w:rsidP="003B7C74">
            <w:pPr>
              <w:pStyle w:val="TableColumnHeadingLeft"/>
              <w:spacing w:before="30" w:after="30"/>
            </w:pPr>
            <w:r w:rsidRPr="00D443D2">
              <w:t>5</w:t>
            </w:r>
          </w:p>
        </w:tc>
        <w:tc>
          <w:tcPr>
            <w:tcW w:w="731" w:type="dxa"/>
            <w:tcBorders>
              <w:top w:val="single" w:sz="2" w:space="0" w:color="000000"/>
              <w:left w:val="nil"/>
              <w:bottom w:val="nil"/>
              <w:right w:val="nil"/>
            </w:tcBorders>
            <w:shd w:val="clear" w:color="auto" w:fill="F2F2F2" w:themeFill="background1" w:themeFillShade="F2"/>
            <w:vAlign w:val="bottom"/>
          </w:tcPr>
          <w:p w14:paraId="3F2335E5" w14:textId="77777777" w:rsidR="00A97D77" w:rsidRPr="00A97D77" w:rsidRDefault="00A97D77" w:rsidP="003B7C74">
            <w:pPr>
              <w:pStyle w:val="TableTextRight"/>
              <w:spacing w:before="30" w:after="30"/>
              <w:rPr>
                <w:snapToGrid w:val="0"/>
                <w:lang w:val="en-US"/>
              </w:rPr>
            </w:pPr>
            <w:r w:rsidRPr="00A97D77">
              <w:rPr>
                <w:snapToGrid w:val="0"/>
                <w:lang w:val="en-US"/>
              </w:rPr>
              <w:t>1.376</w:t>
            </w:r>
          </w:p>
        </w:tc>
        <w:tc>
          <w:tcPr>
            <w:tcW w:w="728" w:type="dxa"/>
            <w:tcBorders>
              <w:top w:val="single" w:sz="2" w:space="0" w:color="000000"/>
              <w:left w:val="nil"/>
              <w:bottom w:val="nil"/>
              <w:right w:val="nil"/>
            </w:tcBorders>
            <w:shd w:val="clear" w:color="auto" w:fill="F2F2F2" w:themeFill="background1" w:themeFillShade="F2"/>
            <w:vAlign w:val="bottom"/>
          </w:tcPr>
          <w:p w14:paraId="44D7575A" w14:textId="77777777" w:rsidR="00A97D77" w:rsidRPr="00A97D77" w:rsidRDefault="00A97D77" w:rsidP="003B7C74">
            <w:pPr>
              <w:pStyle w:val="TableTextRight"/>
              <w:spacing w:before="30" w:after="30"/>
              <w:rPr>
                <w:snapToGrid w:val="0"/>
                <w:lang w:val="en-US"/>
              </w:rPr>
            </w:pPr>
            <w:r w:rsidRPr="00A97D77">
              <w:rPr>
                <w:snapToGrid w:val="0"/>
                <w:lang w:val="en-US"/>
              </w:rPr>
              <w:t>1.328</w:t>
            </w:r>
          </w:p>
        </w:tc>
        <w:tc>
          <w:tcPr>
            <w:tcW w:w="728" w:type="dxa"/>
            <w:tcBorders>
              <w:top w:val="single" w:sz="2" w:space="0" w:color="000000"/>
              <w:left w:val="nil"/>
              <w:bottom w:val="nil"/>
              <w:right w:val="nil"/>
            </w:tcBorders>
            <w:shd w:val="clear" w:color="auto" w:fill="F2F2F2" w:themeFill="background1" w:themeFillShade="F2"/>
            <w:vAlign w:val="bottom"/>
          </w:tcPr>
          <w:p w14:paraId="143EE446" w14:textId="77777777" w:rsidR="00A97D77" w:rsidRPr="00A97D77" w:rsidRDefault="00A97D77" w:rsidP="003B7C74">
            <w:pPr>
              <w:pStyle w:val="TableTextRight"/>
              <w:spacing w:before="30" w:after="30"/>
              <w:rPr>
                <w:snapToGrid w:val="0"/>
                <w:lang w:val="en-US"/>
              </w:rPr>
            </w:pPr>
            <w:r w:rsidRPr="00A97D77">
              <w:rPr>
                <w:snapToGrid w:val="0"/>
                <w:lang w:val="en-US"/>
              </w:rPr>
              <w:t>1.227</w:t>
            </w:r>
          </w:p>
        </w:tc>
        <w:tc>
          <w:tcPr>
            <w:tcW w:w="284" w:type="dxa"/>
            <w:tcBorders>
              <w:top w:val="single" w:sz="2" w:space="0" w:color="000000"/>
              <w:left w:val="nil"/>
              <w:bottom w:val="nil"/>
              <w:right w:val="nil"/>
            </w:tcBorders>
            <w:shd w:val="clear" w:color="auto" w:fill="F2F2F2" w:themeFill="background1" w:themeFillShade="F2"/>
            <w:vAlign w:val="bottom"/>
          </w:tcPr>
          <w:p w14:paraId="4BC81D55" w14:textId="77777777" w:rsidR="00A97D77" w:rsidRPr="00190D6C" w:rsidRDefault="00A97D77" w:rsidP="003B7C74">
            <w:pPr>
              <w:pStyle w:val="TableTextRight"/>
              <w:spacing w:before="30" w:after="30"/>
              <w:rPr>
                <w:snapToGrid w:val="0"/>
                <w:lang w:val="en-US"/>
              </w:rPr>
            </w:pPr>
          </w:p>
        </w:tc>
        <w:tc>
          <w:tcPr>
            <w:tcW w:w="729" w:type="dxa"/>
            <w:tcBorders>
              <w:top w:val="single" w:sz="2" w:space="0" w:color="000000"/>
              <w:left w:val="nil"/>
              <w:bottom w:val="nil"/>
              <w:right w:val="nil"/>
            </w:tcBorders>
            <w:shd w:val="clear" w:color="auto" w:fill="F2F2F2" w:themeFill="background1" w:themeFillShade="F2"/>
            <w:vAlign w:val="bottom"/>
          </w:tcPr>
          <w:p w14:paraId="571A1FCB" w14:textId="77777777" w:rsidR="00A97D77" w:rsidRPr="00A97D77" w:rsidRDefault="00A97D77" w:rsidP="003B7C74">
            <w:pPr>
              <w:pStyle w:val="TableTextRight"/>
              <w:spacing w:before="30" w:after="30"/>
              <w:rPr>
                <w:snapToGrid w:val="0"/>
                <w:lang w:val="en-US"/>
              </w:rPr>
            </w:pPr>
            <w:r w:rsidRPr="00A97D77">
              <w:rPr>
                <w:snapToGrid w:val="0"/>
                <w:lang w:val="en-US"/>
              </w:rPr>
              <w:t>1.642</w:t>
            </w:r>
          </w:p>
        </w:tc>
        <w:tc>
          <w:tcPr>
            <w:tcW w:w="728" w:type="dxa"/>
            <w:tcBorders>
              <w:top w:val="single" w:sz="2" w:space="0" w:color="000000"/>
              <w:left w:val="nil"/>
              <w:bottom w:val="nil"/>
              <w:right w:val="nil"/>
            </w:tcBorders>
            <w:shd w:val="clear" w:color="auto" w:fill="F2F2F2" w:themeFill="background1" w:themeFillShade="F2"/>
            <w:vAlign w:val="bottom"/>
          </w:tcPr>
          <w:p w14:paraId="20428763" w14:textId="77777777" w:rsidR="00A97D77" w:rsidRPr="00A97D77" w:rsidRDefault="00A97D77" w:rsidP="003B7C74">
            <w:pPr>
              <w:pStyle w:val="TableTextRight"/>
              <w:spacing w:before="30" w:after="30"/>
              <w:rPr>
                <w:snapToGrid w:val="0"/>
                <w:lang w:val="en-US"/>
              </w:rPr>
            </w:pPr>
            <w:r w:rsidRPr="00A97D77">
              <w:rPr>
                <w:snapToGrid w:val="0"/>
                <w:lang w:val="en-US"/>
              </w:rPr>
              <w:t>1.526</w:t>
            </w:r>
          </w:p>
        </w:tc>
        <w:tc>
          <w:tcPr>
            <w:tcW w:w="728" w:type="dxa"/>
            <w:tcBorders>
              <w:top w:val="single" w:sz="2" w:space="0" w:color="000000"/>
              <w:left w:val="nil"/>
              <w:bottom w:val="nil"/>
              <w:right w:val="nil"/>
            </w:tcBorders>
            <w:shd w:val="clear" w:color="auto" w:fill="F2F2F2" w:themeFill="background1" w:themeFillShade="F2"/>
            <w:vAlign w:val="bottom"/>
          </w:tcPr>
          <w:p w14:paraId="3350B63C" w14:textId="77777777" w:rsidR="00A97D77" w:rsidRPr="00A97D77" w:rsidRDefault="00A97D77" w:rsidP="003B7C74">
            <w:pPr>
              <w:pStyle w:val="TableTextRight"/>
              <w:spacing w:before="30" w:after="30"/>
              <w:rPr>
                <w:snapToGrid w:val="0"/>
                <w:lang w:val="en-US"/>
              </w:rPr>
            </w:pPr>
            <w:r w:rsidRPr="00A97D77">
              <w:rPr>
                <w:snapToGrid w:val="0"/>
                <w:lang w:val="en-US"/>
              </w:rPr>
              <w:t>1.526</w:t>
            </w:r>
          </w:p>
        </w:tc>
        <w:tc>
          <w:tcPr>
            <w:tcW w:w="284" w:type="dxa"/>
            <w:tcBorders>
              <w:top w:val="single" w:sz="2" w:space="0" w:color="000000"/>
              <w:left w:val="nil"/>
              <w:bottom w:val="nil"/>
              <w:right w:val="nil"/>
            </w:tcBorders>
            <w:shd w:val="clear" w:color="auto" w:fill="F2F2F2" w:themeFill="background1" w:themeFillShade="F2"/>
            <w:vAlign w:val="bottom"/>
          </w:tcPr>
          <w:p w14:paraId="3A6BEA66" w14:textId="77777777" w:rsidR="00A97D77" w:rsidRPr="000E13F8" w:rsidRDefault="00A97D77" w:rsidP="003B7C74">
            <w:pPr>
              <w:pStyle w:val="TableTextRight"/>
              <w:spacing w:before="30" w:after="30"/>
              <w:rPr>
                <w:snapToGrid w:val="0"/>
                <w:lang w:val="en-US"/>
              </w:rPr>
            </w:pPr>
          </w:p>
        </w:tc>
        <w:tc>
          <w:tcPr>
            <w:tcW w:w="797" w:type="dxa"/>
            <w:tcBorders>
              <w:top w:val="single" w:sz="2" w:space="0" w:color="000000"/>
              <w:left w:val="nil"/>
              <w:bottom w:val="nil"/>
              <w:right w:val="nil"/>
            </w:tcBorders>
            <w:shd w:val="clear" w:color="auto" w:fill="F2F2F2" w:themeFill="background1" w:themeFillShade="F2"/>
            <w:vAlign w:val="bottom"/>
          </w:tcPr>
          <w:p w14:paraId="590C1349" w14:textId="77777777" w:rsidR="00A97D77" w:rsidRPr="00D443D2" w:rsidRDefault="00A97D77" w:rsidP="003B7C74">
            <w:pPr>
              <w:pStyle w:val="TableTextRight"/>
              <w:spacing w:before="30" w:after="30"/>
              <w:rPr>
                <w:snapToGrid w:val="0"/>
                <w:lang w:val="en-US"/>
              </w:rPr>
            </w:pPr>
            <w:r w:rsidRPr="00D443D2">
              <w:rPr>
                <w:snapToGrid w:val="0"/>
                <w:lang w:val="en-US"/>
              </w:rPr>
              <w:t>1.309</w:t>
            </w:r>
          </w:p>
        </w:tc>
        <w:tc>
          <w:tcPr>
            <w:tcW w:w="284" w:type="dxa"/>
            <w:tcBorders>
              <w:top w:val="single" w:sz="2" w:space="0" w:color="000000"/>
              <w:left w:val="nil"/>
              <w:bottom w:val="nil"/>
              <w:right w:val="nil"/>
            </w:tcBorders>
            <w:shd w:val="clear" w:color="auto" w:fill="F2F2F2" w:themeFill="background1" w:themeFillShade="F2"/>
            <w:vAlign w:val="bottom"/>
          </w:tcPr>
          <w:p w14:paraId="3F4CB541"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shd w:val="clear" w:color="auto" w:fill="F2F2F2" w:themeFill="background1" w:themeFillShade="F2"/>
            <w:vAlign w:val="bottom"/>
          </w:tcPr>
          <w:p w14:paraId="7CD2615E" w14:textId="77777777" w:rsidR="00A97D77" w:rsidRPr="0045232E" w:rsidRDefault="00A97D77" w:rsidP="003B7C74">
            <w:pPr>
              <w:pStyle w:val="TableTextRight"/>
              <w:spacing w:before="30" w:after="30"/>
              <w:rPr>
                <w:snapToGrid w:val="0"/>
                <w:lang w:val="en-US"/>
              </w:rPr>
            </w:pPr>
            <w:r w:rsidRPr="0045232E">
              <w:rPr>
                <w:snapToGrid w:val="0"/>
                <w:lang w:val="en-US"/>
              </w:rPr>
              <w:t>1.321</w:t>
            </w:r>
          </w:p>
        </w:tc>
      </w:tr>
      <w:tr w:rsidR="0062476A" w:rsidRPr="0045232E" w14:paraId="5BC0A354" w14:textId="77777777" w:rsidTr="0062476A">
        <w:tc>
          <w:tcPr>
            <w:tcW w:w="879" w:type="dxa"/>
            <w:tcBorders>
              <w:top w:val="nil"/>
              <w:left w:val="nil"/>
              <w:bottom w:val="nil"/>
              <w:right w:val="nil"/>
            </w:tcBorders>
            <w:shd w:val="clear" w:color="auto" w:fill="F2F2F2" w:themeFill="background1" w:themeFillShade="F2"/>
            <w:vAlign w:val="bottom"/>
          </w:tcPr>
          <w:p w14:paraId="2790DD05" w14:textId="77777777" w:rsidR="00A97D77" w:rsidRPr="00D443D2" w:rsidRDefault="00A97D77" w:rsidP="003B7C74">
            <w:pPr>
              <w:pStyle w:val="TableColumnHeadingLeft"/>
              <w:spacing w:before="30" w:after="30"/>
            </w:pPr>
            <w:r w:rsidRPr="00D443D2">
              <w:t>6</w:t>
            </w:r>
          </w:p>
        </w:tc>
        <w:tc>
          <w:tcPr>
            <w:tcW w:w="731" w:type="dxa"/>
            <w:tcBorders>
              <w:top w:val="nil"/>
              <w:left w:val="nil"/>
              <w:bottom w:val="nil"/>
              <w:right w:val="nil"/>
            </w:tcBorders>
            <w:shd w:val="clear" w:color="auto" w:fill="F2F2F2" w:themeFill="background1" w:themeFillShade="F2"/>
            <w:vAlign w:val="bottom"/>
          </w:tcPr>
          <w:p w14:paraId="7B7BBDDD" w14:textId="77777777" w:rsidR="00A97D77" w:rsidRPr="00A97D77" w:rsidRDefault="00A97D77" w:rsidP="003B7C74">
            <w:pPr>
              <w:pStyle w:val="TableTextRight"/>
              <w:spacing w:before="30" w:after="30"/>
              <w:rPr>
                <w:snapToGrid w:val="0"/>
                <w:lang w:val="en-US"/>
              </w:rPr>
            </w:pPr>
            <w:r w:rsidRPr="00A97D77">
              <w:rPr>
                <w:snapToGrid w:val="0"/>
                <w:lang w:val="en-US"/>
              </w:rPr>
              <w:t>1.441</w:t>
            </w:r>
          </w:p>
        </w:tc>
        <w:tc>
          <w:tcPr>
            <w:tcW w:w="728" w:type="dxa"/>
            <w:tcBorders>
              <w:top w:val="nil"/>
              <w:left w:val="nil"/>
              <w:bottom w:val="nil"/>
              <w:right w:val="nil"/>
            </w:tcBorders>
            <w:shd w:val="clear" w:color="auto" w:fill="F2F2F2" w:themeFill="background1" w:themeFillShade="F2"/>
            <w:vAlign w:val="bottom"/>
          </w:tcPr>
          <w:p w14:paraId="552FB833" w14:textId="77777777" w:rsidR="00A97D77" w:rsidRPr="00A97D77" w:rsidRDefault="00A97D77" w:rsidP="003B7C74">
            <w:pPr>
              <w:pStyle w:val="TableTextRight"/>
              <w:spacing w:before="30" w:after="30"/>
              <w:rPr>
                <w:snapToGrid w:val="0"/>
                <w:lang w:val="en-US"/>
              </w:rPr>
            </w:pPr>
            <w:r w:rsidRPr="00A97D77">
              <w:rPr>
                <w:snapToGrid w:val="0"/>
                <w:lang w:val="en-US"/>
              </w:rPr>
              <w:t>1.386</w:t>
            </w:r>
          </w:p>
        </w:tc>
        <w:tc>
          <w:tcPr>
            <w:tcW w:w="728" w:type="dxa"/>
            <w:tcBorders>
              <w:top w:val="nil"/>
              <w:left w:val="nil"/>
              <w:bottom w:val="nil"/>
              <w:right w:val="nil"/>
            </w:tcBorders>
            <w:shd w:val="clear" w:color="auto" w:fill="F2F2F2" w:themeFill="background1" w:themeFillShade="F2"/>
            <w:vAlign w:val="bottom"/>
          </w:tcPr>
          <w:p w14:paraId="22BA728B" w14:textId="77777777" w:rsidR="00A97D77" w:rsidRPr="00A97D77" w:rsidRDefault="00A97D77" w:rsidP="003B7C74">
            <w:pPr>
              <w:pStyle w:val="TableTextRight"/>
              <w:spacing w:before="30" w:after="30"/>
              <w:rPr>
                <w:snapToGrid w:val="0"/>
                <w:lang w:val="en-US"/>
              </w:rPr>
            </w:pPr>
            <w:r w:rsidRPr="00A97D77">
              <w:rPr>
                <w:snapToGrid w:val="0"/>
                <w:lang w:val="en-US"/>
              </w:rPr>
              <w:t>1.269</w:t>
            </w:r>
          </w:p>
        </w:tc>
        <w:tc>
          <w:tcPr>
            <w:tcW w:w="284" w:type="dxa"/>
            <w:tcBorders>
              <w:top w:val="nil"/>
              <w:left w:val="nil"/>
              <w:bottom w:val="nil"/>
              <w:right w:val="nil"/>
            </w:tcBorders>
            <w:shd w:val="clear" w:color="auto" w:fill="F2F2F2" w:themeFill="background1" w:themeFillShade="F2"/>
            <w:vAlign w:val="bottom"/>
          </w:tcPr>
          <w:p w14:paraId="65C8F531"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shd w:val="clear" w:color="auto" w:fill="F2F2F2" w:themeFill="background1" w:themeFillShade="F2"/>
            <w:vAlign w:val="bottom"/>
          </w:tcPr>
          <w:p w14:paraId="69734991" w14:textId="77777777" w:rsidR="00A97D77" w:rsidRPr="00A97D77" w:rsidRDefault="00A97D77" w:rsidP="003B7C74">
            <w:pPr>
              <w:pStyle w:val="TableTextRight"/>
              <w:spacing w:before="30" w:after="30"/>
              <w:rPr>
                <w:snapToGrid w:val="0"/>
                <w:lang w:val="en-US"/>
              </w:rPr>
            </w:pPr>
            <w:r w:rsidRPr="00A97D77">
              <w:rPr>
                <w:snapToGrid w:val="0"/>
                <w:lang w:val="en-US"/>
              </w:rPr>
              <w:t>1.755</w:t>
            </w:r>
          </w:p>
        </w:tc>
        <w:tc>
          <w:tcPr>
            <w:tcW w:w="728" w:type="dxa"/>
            <w:tcBorders>
              <w:top w:val="nil"/>
              <w:left w:val="nil"/>
              <w:bottom w:val="nil"/>
              <w:right w:val="nil"/>
            </w:tcBorders>
            <w:shd w:val="clear" w:color="auto" w:fill="F2F2F2" w:themeFill="background1" w:themeFillShade="F2"/>
            <w:vAlign w:val="bottom"/>
          </w:tcPr>
          <w:p w14:paraId="06DA27AE" w14:textId="77777777" w:rsidR="00A97D77" w:rsidRPr="00A97D77" w:rsidRDefault="00A97D77" w:rsidP="003B7C74">
            <w:pPr>
              <w:pStyle w:val="TableTextRight"/>
              <w:spacing w:before="30" w:after="30"/>
              <w:rPr>
                <w:snapToGrid w:val="0"/>
                <w:lang w:val="en-US"/>
              </w:rPr>
            </w:pPr>
            <w:r w:rsidRPr="00A97D77">
              <w:rPr>
                <w:snapToGrid w:val="0"/>
                <w:lang w:val="en-US"/>
              </w:rPr>
              <w:t>1.632</w:t>
            </w:r>
          </w:p>
        </w:tc>
        <w:tc>
          <w:tcPr>
            <w:tcW w:w="728" w:type="dxa"/>
            <w:tcBorders>
              <w:top w:val="nil"/>
              <w:left w:val="nil"/>
              <w:bottom w:val="nil"/>
              <w:right w:val="nil"/>
            </w:tcBorders>
            <w:shd w:val="clear" w:color="auto" w:fill="F2F2F2" w:themeFill="background1" w:themeFillShade="F2"/>
            <w:vAlign w:val="bottom"/>
          </w:tcPr>
          <w:p w14:paraId="7A30F62E" w14:textId="77777777" w:rsidR="00A97D77" w:rsidRPr="00A97D77" w:rsidRDefault="00A97D77" w:rsidP="003B7C74">
            <w:pPr>
              <w:pStyle w:val="TableTextRight"/>
              <w:spacing w:before="30" w:after="30"/>
              <w:rPr>
                <w:snapToGrid w:val="0"/>
                <w:lang w:val="en-US"/>
              </w:rPr>
            </w:pPr>
            <w:r w:rsidRPr="00A97D77">
              <w:rPr>
                <w:snapToGrid w:val="0"/>
                <w:lang w:val="en-US"/>
              </w:rPr>
              <w:t>1.616</w:t>
            </w:r>
          </w:p>
        </w:tc>
        <w:tc>
          <w:tcPr>
            <w:tcW w:w="284" w:type="dxa"/>
            <w:tcBorders>
              <w:top w:val="nil"/>
              <w:left w:val="nil"/>
              <w:bottom w:val="nil"/>
              <w:right w:val="nil"/>
            </w:tcBorders>
            <w:shd w:val="clear" w:color="auto" w:fill="F2F2F2" w:themeFill="background1" w:themeFillShade="F2"/>
            <w:vAlign w:val="bottom"/>
          </w:tcPr>
          <w:p w14:paraId="436136DA"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shd w:val="clear" w:color="auto" w:fill="F2F2F2" w:themeFill="background1" w:themeFillShade="F2"/>
            <w:vAlign w:val="bottom"/>
          </w:tcPr>
          <w:p w14:paraId="03821181" w14:textId="77777777" w:rsidR="00A97D77" w:rsidRPr="00D443D2" w:rsidRDefault="00A97D77" w:rsidP="003B7C74">
            <w:pPr>
              <w:pStyle w:val="TableTextRight"/>
              <w:spacing w:before="30" w:after="30"/>
              <w:rPr>
                <w:snapToGrid w:val="0"/>
                <w:lang w:val="en-US"/>
              </w:rPr>
            </w:pPr>
            <w:r w:rsidRPr="00D443D2">
              <w:rPr>
                <w:snapToGrid w:val="0"/>
                <w:lang w:val="en-US"/>
              </w:rPr>
              <w:t>1.337</w:t>
            </w:r>
          </w:p>
        </w:tc>
        <w:tc>
          <w:tcPr>
            <w:tcW w:w="284" w:type="dxa"/>
            <w:tcBorders>
              <w:top w:val="nil"/>
              <w:left w:val="nil"/>
              <w:bottom w:val="nil"/>
              <w:right w:val="nil"/>
            </w:tcBorders>
            <w:shd w:val="clear" w:color="auto" w:fill="F2F2F2" w:themeFill="background1" w:themeFillShade="F2"/>
            <w:vAlign w:val="bottom"/>
          </w:tcPr>
          <w:p w14:paraId="2FE64034"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2F39E987" w14:textId="77777777" w:rsidR="00A97D77" w:rsidRPr="0045232E" w:rsidRDefault="00A97D77" w:rsidP="003B7C74">
            <w:pPr>
              <w:pStyle w:val="TableTextRight"/>
              <w:spacing w:before="30" w:after="30"/>
              <w:rPr>
                <w:snapToGrid w:val="0"/>
                <w:lang w:val="en-US"/>
              </w:rPr>
            </w:pPr>
            <w:r w:rsidRPr="0045232E">
              <w:rPr>
                <w:snapToGrid w:val="0"/>
                <w:lang w:val="en-US"/>
              </w:rPr>
              <w:t>1.357</w:t>
            </w:r>
          </w:p>
        </w:tc>
      </w:tr>
      <w:tr w:rsidR="0062476A" w:rsidRPr="0045232E" w14:paraId="79CF8DC8" w14:textId="77777777" w:rsidTr="0062476A">
        <w:tc>
          <w:tcPr>
            <w:tcW w:w="879" w:type="dxa"/>
            <w:tcBorders>
              <w:top w:val="nil"/>
              <w:left w:val="nil"/>
              <w:bottom w:val="nil"/>
              <w:right w:val="nil"/>
            </w:tcBorders>
            <w:shd w:val="clear" w:color="auto" w:fill="F2F2F2" w:themeFill="background1" w:themeFillShade="F2"/>
            <w:vAlign w:val="bottom"/>
          </w:tcPr>
          <w:p w14:paraId="0846ABB4" w14:textId="77777777" w:rsidR="00A97D77" w:rsidRPr="00D443D2" w:rsidRDefault="00A97D77" w:rsidP="003B7C74">
            <w:pPr>
              <w:pStyle w:val="TableColumnHeadingLeft"/>
              <w:spacing w:before="30" w:after="30"/>
            </w:pPr>
            <w:r w:rsidRPr="00D443D2">
              <w:t>7</w:t>
            </w:r>
          </w:p>
        </w:tc>
        <w:tc>
          <w:tcPr>
            <w:tcW w:w="731" w:type="dxa"/>
            <w:tcBorders>
              <w:top w:val="nil"/>
              <w:left w:val="nil"/>
              <w:bottom w:val="nil"/>
              <w:right w:val="nil"/>
            </w:tcBorders>
            <w:shd w:val="clear" w:color="auto" w:fill="F2F2F2" w:themeFill="background1" w:themeFillShade="F2"/>
            <w:vAlign w:val="bottom"/>
          </w:tcPr>
          <w:p w14:paraId="1A35D83B" w14:textId="77777777" w:rsidR="00A97D77" w:rsidRPr="00A97D77" w:rsidRDefault="00A97D77" w:rsidP="003B7C74">
            <w:pPr>
              <w:pStyle w:val="TableTextRight"/>
              <w:spacing w:before="30" w:after="30"/>
              <w:rPr>
                <w:snapToGrid w:val="0"/>
                <w:lang w:val="en-US"/>
              </w:rPr>
            </w:pPr>
            <w:r w:rsidRPr="00A97D77">
              <w:rPr>
                <w:snapToGrid w:val="0"/>
                <w:lang w:val="en-US"/>
              </w:rPr>
              <w:t>1.502</w:t>
            </w:r>
          </w:p>
        </w:tc>
        <w:tc>
          <w:tcPr>
            <w:tcW w:w="728" w:type="dxa"/>
            <w:tcBorders>
              <w:top w:val="nil"/>
              <w:left w:val="nil"/>
              <w:bottom w:val="nil"/>
              <w:right w:val="nil"/>
            </w:tcBorders>
            <w:shd w:val="clear" w:color="auto" w:fill="F2F2F2" w:themeFill="background1" w:themeFillShade="F2"/>
            <w:vAlign w:val="bottom"/>
          </w:tcPr>
          <w:p w14:paraId="1EB51FFC" w14:textId="77777777" w:rsidR="00A97D77" w:rsidRPr="00A97D77" w:rsidRDefault="00A97D77" w:rsidP="003B7C74">
            <w:pPr>
              <w:pStyle w:val="TableTextRight"/>
              <w:spacing w:before="30" w:after="30"/>
              <w:rPr>
                <w:snapToGrid w:val="0"/>
                <w:lang w:val="en-US"/>
              </w:rPr>
            </w:pPr>
            <w:r w:rsidRPr="00A97D77">
              <w:rPr>
                <w:snapToGrid w:val="0"/>
                <w:lang w:val="en-US"/>
              </w:rPr>
              <w:t>1.441</w:t>
            </w:r>
          </w:p>
        </w:tc>
        <w:tc>
          <w:tcPr>
            <w:tcW w:w="728" w:type="dxa"/>
            <w:tcBorders>
              <w:top w:val="nil"/>
              <w:left w:val="nil"/>
              <w:bottom w:val="nil"/>
              <w:right w:val="nil"/>
            </w:tcBorders>
            <w:shd w:val="clear" w:color="auto" w:fill="F2F2F2" w:themeFill="background1" w:themeFillShade="F2"/>
            <w:vAlign w:val="bottom"/>
          </w:tcPr>
          <w:p w14:paraId="2598C424" w14:textId="77777777" w:rsidR="00A97D77" w:rsidRPr="00A97D77" w:rsidRDefault="00A97D77" w:rsidP="003B7C74">
            <w:pPr>
              <w:pStyle w:val="TableTextRight"/>
              <w:spacing w:before="30" w:after="30"/>
              <w:rPr>
                <w:snapToGrid w:val="0"/>
                <w:lang w:val="en-US"/>
              </w:rPr>
            </w:pPr>
            <w:r w:rsidRPr="00A97D77">
              <w:rPr>
                <w:snapToGrid w:val="0"/>
                <w:lang w:val="en-US"/>
              </w:rPr>
              <w:t>1.310</w:t>
            </w:r>
          </w:p>
        </w:tc>
        <w:tc>
          <w:tcPr>
            <w:tcW w:w="284" w:type="dxa"/>
            <w:tcBorders>
              <w:top w:val="nil"/>
              <w:left w:val="nil"/>
              <w:bottom w:val="nil"/>
              <w:right w:val="nil"/>
            </w:tcBorders>
            <w:shd w:val="clear" w:color="auto" w:fill="F2F2F2" w:themeFill="background1" w:themeFillShade="F2"/>
            <w:vAlign w:val="bottom"/>
          </w:tcPr>
          <w:p w14:paraId="70A95864"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shd w:val="clear" w:color="auto" w:fill="F2F2F2" w:themeFill="background1" w:themeFillShade="F2"/>
            <w:vAlign w:val="bottom"/>
          </w:tcPr>
          <w:p w14:paraId="2BB0E0D3" w14:textId="77777777" w:rsidR="00A97D77" w:rsidRPr="00A97D77" w:rsidRDefault="00A97D77" w:rsidP="003B7C74">
            <w:pPr>
              <w:pStyle w:val="TableTextRight"/>
              <w:spacing w:before="30" w:after="30"/>
              <w:rPr>
                <w:snapToGrid w:val="0"/>
                <w:lang w:val="en-US"/>
              </w:rPr>
            </w:pPr>
            <w:r w:rsidRPr="00A97D77">
              <w:rPr>
                <w:snapToGrid w:val="0"/>
                <w:lang w:val="en-US"/>
              </w:rPr>
              <w:t>1.867</w:t>
            </w:r>
          </w:p>
        </w:tc>
        <w:tc>
          <w:tcPr>
            <w:tcW w:w="728" w:type="dxa"/>
            <w:tcBorders>
              <w:top w:val="nil"/>
              <w:left w:val="nil"/>
              <w:bottom w:val="nil"/>
              <w:right w:val="nil"/>
            </w:tcBorders>
            <w:shd w:val="clear" w:color="auto" w:fill="F2F2F2" w:themeFill="background1" w:themeFillShade="F2"/>
            <w:vAlign w:val="bottom"/>
          </w:tcPr>
          <w:p w14:paraId="3BADD917" w14:textId="77777777" w:rsidR="00A97D77" w:rsidRPr="00A97D77" w:rsidRDefault="00A97D77" w:rsidP="003B7C74">
            <w:pPr>
              <w:pStyle w:val="TableTextRight"/>
              <w:spacing w:before="30" w:after="30"/>
              <w:rPr>
                <w:snapToGrid w:val="0"/>
                <w:lang w:val="en-US"/>
              </w:rPr>
            </w:pPr>
            <w:r w:rsidRPr="00A97D77">
              <w:rPr>
                <w:snapToGrid w:val="0"/>
                <w:lang w:val="en-US"/>
              </w:rPr>
              <w:t>1.735</w:t>
            </w:r>
          </w:p>
        </w:tc>
        <w:tc>
          <w:tcPr>
            <w:tcW w:w="728" w:type="dxa"/>
            <w:tcBorders>
              <w:top w:val="nil"/>
              <w:left w:val="nil"/>
              <w:bottom w:val="nil"/>
              <w:right w:val="nil"/>
            </w:tcBorders>
            <w:shd w:val="clear" w:color="auto" w:fill="F2F2F2" w:themeFill="background1" w:themeFillShade="F2"/>
            <w:vAlign w:val="bottom"/>
          </w:tcPr>
          <w:p w14:paraId="176E2A6A" w14:textId="77777777" w:rsidR="00A97D77" w:rsidRPr="00A97D77" w:rsidRDefault="00A97D77" w:rsidP="003B7C74">
            <w:pPr>
              <w:pStyle w:val="TableTextRight"/>
              <w:spacing w:before="30" w:after="30"/>
              <w:rPr>
                <w:snapToGrid w:val="0"/>
                <w:lang w:val="en-US"/>
              </w:rPr>
            </w:pPr>
            <w:r w:rsidRPr="00A97D77">
              <w:rPr>
                <w:snapToGrid w:val="0"/>
                <w:lang w:val="en-US"/>
              </w:rPr>
              <w:t>1.702</w:t>
            </w:r>
          </w:p>
        </w:tc>
        <w:tc>
          <w:tcPr>
            <w:tcW w:w="284" w:type="dxa"/>
            <w:tcBorders>
              <w:top w:val="nil"/>
              <w:left w:val="nil"/>
              <w:bottom w:val="nil"/>
              <w:right w:val="nil"/>
            </w:tcBorders>
            <w:shd w:val="clear" w:color="auto" w:fill="F2F2F2" w:themeFill="background1" w:themeFillShade="F2"/>
            <w:vAlign w:val="bottom"/>
          </w:tcPr>
          <w:p w14:paraId="785DDCED"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shd w:val="clear" w:color="auto" w:fill="F2F2F2" w:themeFill="background1" w:themeFillShade="F2"/>
            <w:vAlign w:val="bottom"/>
          </w:tcPr>
          <w:p w14:paraId="43F167AF" w14:textId="77777777" w:rsidR="00A97D77" w:rsidRPr="00D443D2" w:rsidRDefault="00A97D77" w:rsidP="003B7C74">
            <w:pPr>
              <w:pStyle w:val="TableTextRight"/>
              <w:spacing w:before="30" w:after="30"/>
              <w:rPr>
                <w:snapToGrid w:val="0"/>
                <w:lang w:val="en-US"/>
              </w:rPr>
            </w:pPr>
            <w:r w:rsidRPr="00D443D2">
              <w:rPr>
                <w:snapToGrid w:val="0"/>
                <w:lang w:val="en-US"/>
              </w:rPr>
              <w:t>1.365</w:t>
            </w:r>
          </w:p>
        </w:tc>
        <w:tc>
          <w:tcPr>
            <w:tcW w:w="284" w:type="dxa"/>
            <w:tcBorders>
              <w:top w:val="nil"/>
              <w:left w:val="nil"/>
              <w:bottom w:val="nil"/>
              <w:right w:val="nil"/>
            </w:tcBorders>
            <w:shd w:val="clear" w:color="auto" w:fill="F2F2F2" w:themeFill="background1" w:themeFillShade="F2"/>
            <w:vAlign w:val="bottom"/>
          </w:tcPr>
          <w:p w14:paraId="1F237A85"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2F2000E8" w14:textId="77777777" w:rsidR="00A97D77" w:rsidRPr="0045232E" w:rsidRDefault="00A97D77" w:rsidP="003B7C74">
            <w:pPr>
              <w:pStyle w:val="TableTextRight"/>
              <w:spacing w:before="30" w:after="30"/>
              <w:rPr>
                <w:snapToGrid w:val="0"/>
                <w:lang w:val="en-US"/>
              </w:rPr>
            </w:pPr>
            <w:r w:rsidRPr="0045232E">
              <w:rPr>
                <w:snapToGrid w:val="0"/>
                <w:lang w:val="en-US"/>
              </w:rPr>
              <w:t>1.390</w:t>
            </w:r>
          </w:p>
        </w:tc>
      </w:tr>
      <w:tr w:rsidR="0062476A" w:rsidRPr="0045232E" w14:paraId="5EF65D8A" w14:textId="77777777" w:rsidTr="0062476A">
        <w:tc>
          <w:tcPr>
            <w:tcW w:w="879" w:type="dxa"/>
            <w:tcBorders>
              <w:top w:val="nil"/>
              <w:left w:val="nil"/>
              <w:bottom w:val="nil"/>
              <w:right w:val="nil"/>
            </w:tcBorders>
            <w:shd w:val="clear" w:color="auto" w:fill="F2F2F2" w:themeFill="background1" w:themeFillShade="F2"/>
            <w:vAlign w:val="bottom"/>
          </w:tcPr>
          <w:p w14:paraId="2A7F3921" w14:textId="77777777" w:rsidR="00A97D77" w:rsidRPr="00D443D2" w:rsidRDefault="00A97D77" w:rsidP="003B7C74">
            <w:pPr>
              <w:pStyle w:val="TableColumnHeadingLeft"/>
              <w:spacing w:before="30" w:after="30"/>
            </w:pPr>
            <w:r w:rsidRPr="00D443D2">
              <w:t>8</w:t>
            </w:r>
          </w:p>
        </w:tc>
        <w:tc>
          <w:tcPr>
            <w:tcW w:w="731" w:type="dxa"/>
            <w:tcBorders>
              <w:top w:val="nil"/>
              <w:left w:val="nil"/>
              <w:bottom w:val="nil"/>
              <w:right w:val="nil"/>
            </w:tcBorders>
            <w:shd w:val="clear" w:color="auto" w:fill="F2F2F2" w:themeFill="background1" w:themeFillShade="F2"/>
            <w:vAlign w:val="bottom"/>
          </w:tcPr>
          <w:p w14:paraId="6DBF6A0C" w14:textId="77777777" w:rsidR="00A97D77" w:rsidRPr="00A97D77" w:rsidRDefault="00A97D77" w:rsidP="003B7C74">
            <w:pPr>
              <w:pStyle w:val="TableTextRight"/>
              <w:spacing w:before="30" w:after="30"/>
              <w:rPr>
                <w:snapToGrid w:val="0"/>
                <w:lang w:val="en-US"/>
              </w:rPr>
            </w:pPr>
            <w:r w:rsidRPr="00A97D77">
              <w:rPr>
                <w:snapToGrid w:val="0"/>
                <w:lang w:val="en-US"/>
              </w:rPr>
              <w:t>1.560</w:t>
            </w:r>
          </w:p>
        </w:tc>
        <w:tc>
          <w:tcPr>
            <w:tcW w:w="728" w:type="dxa"/>
            <w:tcBorders>
              <w:top w:val="nil"/>
              <w:left w:val="nil"/>
              <w:bottom w:val="nil"/>
              <w:right w:val="nil"/>
            </w:tcBorders>
            <w:shd w:val="clear" w:color="auto" w:fill="F2F2F2" w:themeFill="background1" w:themeFillShade="F2"/>
            <w:vAlign w:val="bottom"/>
          </w:tcPr>
          <w:p w14:paraId="63543E00" w14:textId="77777777" w:rsidR="00A97D77" w:rsidRPr="00A97D77" w:rsidRDefault="00A97D77" w:rsidP="003B7C74">
            <w:pPr>
              <w:pStyle w:val="TableTextRight"/>
              <w:spacing w:before="30" w:after="30"/>
              <w:rPr>
                <w:snapToGrid w:val="0"/>
                <w:lang w:val="en-US"/>
              </w:rPr>
            </w:pPr>
            <w:r w:rsidRPr="00A97D77">
              <w:rPr>
                <w:snapToGrid w:val="0"/>
                <w:lang w:val="en-US"/>
              </w:rPr>
              <w:t>1.494</w:t>
            </w:r>
          </w:p>
        </w:tc>
        <w:tc>
          <w:tcPr>
            <w:tcW w:w="728" w:type="dxa"/>
            <w:tcBorders>
              <w:top w:val="nil"/>
              <w:left w:val="nil"/>
              <w:bottom w:val="nil"/>
              <w:right w:val="nil"/>
            </w:tcBorders>
            <w:shd w:val="clear" w:color="auto" w:fill="F2F2F2" w:themeFill="background1" w:themeFillShade="F2"/>
            <w:vAlign w:val="bottom"/>
          </w:tcPr>
          <w:p w14:paraId="31DB7891" w14:textId="77777777" w:rsidR="00A97D77" w:rsidRPr="00A97D77" w:rsidRDefault="00A97D77" w:rsidP="003B7C74">
            <w:pPr>
              <w:pStyle w:val="TableTextRight"/>
              <w:spacing w:before="30" w:after="30"/>
              <w:rPr>
                <w:snapToGrid w:val="0"/>
                <w:lang w:val="en-US"/>
              </w:rPr>
            </w:pPr>
            <w:r w:rsidRPr="00A97D77">
              <w:rPr>
                <w:snapToGrid w:val="0"/>
                <w:lang w:val="en-US"/>
              </w:rPr>
              <w:t>1.350</w:t>
            </w:r>
          </w:p>
        </w:tc>
        <w:tc>
          <w:tcPr>
            <w:tcW w:w="284" w:type="dxa"/>
            <w:tcBorders>
              <w:top w:val="nil"/>
              <w:left w:val="nil"/>
              <w:bottom w:val="nil"/>
              <w:right w:val="nil"/>
            </w:tcBorders>
            <w:shd w:val="clear" w:color="auto" w:fill="F2F2F2" w:themeFill="background1" w:themeFillShade="F2"/>
            <w:vAlign w:val="bottom"/>
          </w:tcPr>
          <w:p w14:paraId="4BAD2219"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shd w:val="clear" w:color="auto" w:fill="F2F2F2" w:themeFill="background1" w:themeFillShade="F2"/>
            <w:vAlign w:val="bottom"/>
          </w:tcPr>
          <w:p w14:paraId="4C02079A" w14:textId="77777777" w:rsidR="00A97D77" w:rsidRPr="00A97D77" w:rsidRDefault="00A97D77" w:rsidP="003B7C74">
            <w:pPr>
              <w:pStyle w:val="TableTextRight"/>
              <w:spacing w:before="30" w:after="30"/>
              <w:rPr>
                <w:snapToGrid w:val="0"/>
                <w:lang w:val="en-US"/>
              </w:rPr>
            </w:pPr>
            <w:r w:rsidRPr="00A97D77">
              <w:rPr>
                <w:snapToGrid w:val="0"/>
                <w:lang w:val="en-US"/>
              </w:rPr>
              <w:t>1.974</w:t>
            </w:r>
          </w:p>
        </w:tc>
        <w:tc>
          <w:tcPr>
            <w:tcW w:w="728" w:type="dxa"/>
            <w:tcBorders>
              <w:top w:val="nil"/>
              <w:left w:val="nil"/>
              <w:bottom w:val="nil"/>
              <w:right w:val="nil"/>
            </w:tcBorders>
            <w:shd w:val="clear" w:color="auto" w:fill="F2F2F2" w:themeFill="background1" w:themeFillShade="F2"/>
            <w:vAlign w:val="bottom"/>
          </w:tcPr>
          <w:p w14:paraId="04EA75B7" w14:textId="77777777" w:rsidR="00A97D77" w:rsidRPr="00A97D77" w:rsidRDefault="00A97D77" w:rsidP="003B7C74">
            <w:pPr>
              <w:pStyle w:val="TableTextRight"/>
              <w:spacing w:before="30" w:after="30"/>
              <w:rPr>
                <w:snapToGrid w:val="0"/>
                <w:lang w:val="en-US"/>
              </w:rPr>
            </w:pPr>
            <w:r w:rsidRPr="00A97D77">
              <w:rPr>
                <w:snapToGrid w:val="0"/>
                <w:lang w:val="en-US"/>
              </w:rPr>
              <w:t>1.832</w:t>
            </w:r>
          </w:p>
        </w:tc>
        <w:tc>
          <w:tcPr>
            <w:tcW w:w="728" w:type="dxa"/>
            <w:tcBorders>
              <w:top w:val="nil"/>
              <w:left w:val="nil"/>
              <w:bottom w:val="nil"/>
              <w:right w:val="nil"/>
            </w:tcBorders>
            <w:shd w:val="clear" w:color="auto" w:fill="F2F2F2" w:themeFill="background1" w:themeFillShade="F2"/>
            <w:vAlign w:val="bottom"/>
          </w:tcPr>
          <w:p w14:paraId="31B2ADFF" w14:textId="77777777" w:rsidR="00A97D77" w:rsidRPr="00A97D77" w:rsidRDefault="00A97D77" w:rsidP="003B7C74">
            <w:pPr>
              <w:pStyle w:val="TableTextRight"/>
              <w:spacing w:before="30" w:after="30"/>
              <w:rPr>
                <w:snapToGrid w:val="0"/>
                <w:lang w:val="en-US"/>
              </w:rPr>
            </w:pPr>
            <w:r w:rsidRPr="00A97D77">
              <w:rPr>
                <w:snapToGrid w:val="0"/>
                <w:lang w:val="en-US"/>
              </w:rPr>
              <w:t>1.782</w:t>
            </w:r>
          </w:p>
        </w:tc>
        <w:tc>
          <w:tcPr>
            <w:tcW w:w="284" w:type="dxa"/>
            <w:tcBorders>
              <w:top w:val="nil"/>
              <w:left w:val="nil"/>
              <w:bottom w:val="nil"/>
              <w:right w:val="nil"/>
            </w:tcBorders>
            <w:shd w:val="clear" w:color="auto" w:fill="F2F2F2" w:themeFill="background1" w:themeFillShade="F2"/>
            <w:vAlign w:val="bottom"/>
          </w:tcPr>
          <w:p w14:paraId="2EC9D22D"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shd w:val="clear" w:color="auto" w:fill="F2F2F2" w:themeFill="background1" w:themeFillShade="F2"/>
            <w:vAlign w:val="bottom"/>
          </w:tcPr>
          <w:p w14:paraId="0F90C737" w14:textId="77777777" w:rsidR="00A97D77" w:rsidRPr="00D443D2" w:rsidRDefault="00A97D77" w:rsidP="003B7C74">
            <w:pPr>
              <w:pStyle w:val="TableTextRight"/>
              <w:spacing w:before="30" w:after="30"/>
              <w:rPr>
                <w:snapToGrid w:val="0"/>
                <w:lang w:val="en-US"/>
              </w:rPr>
            </w:pPr>
            <w:r w:rsidRPr="00D443D2">
              <w:rPr>
                <w:snapToGrid w:val="0"/>
                <w:lang w:val="en-US"/>
              </w:rPr>
              <w:t>1.392</w:t>
            </w:r>
          </w:p>
        </w:tc>
        <w:tc>
          <w:tcPr>
            <w:tcW w:w="284" w:type="dxa"/>
            <w:tcBorders>
              <w:top w:val="nil"/>
              <w:left w:val="nil"/>
              <w:bottom w:val="nil"/>
              <w:right w:val="nil"/>
            </w:tcBorders>
            <w:shd w:val="clear" w:color="auto" w:fill="F2F2F2" w:themeFill="background1" w:themeFillShade="F2"/>
            <w:vAlign w:val="bottom"/>
          </w:tcPr>
          <w:p w14:paraId="40374BAB"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245EABED" w14:textId="77777777" w:rsidR="00A97D77" w:rsidRPr="0045232E" w:rsidRDefault="00A97D77" w:rsidP="003B7C74">
            <w:pPr>
              <w:pStyle w:val="TableTextRight"/>
              <w:spacing w:before="30" w:after="30"/>
              <w:rPr>
                <w:snapToGrid w:val="0"/>
                <w:lang w:val="en-US"/>
              </w:rPr>
            </w:pPr>
            <w:r w:rsidRPr="0045232E">
              <w:rPr>
                <w:snapToGrid w:val="0"/>
                <w:lang w:val="en-US"/>
              </w:rPr>
              <w:t>1.421</w:t>
            </w:r>
          </w:p>
        </w:tc>
      </w:tr>
      <w:tr w:rsidR="0062476A" w:rsidRPr="0045232E" w14:paraId="366E5E50" w14:textId="77777777" w:rsidTr="0062476A">
        <w:tc>
          <w:tcPr>
            <w:tcW w:w="879" w:type="dxa"/>
            <w:tcBorders>
              <w:top w:val="nil"/>
              <w:left w:val="nil"/>
              <w:bottom w:val="single" w:sz="2" w:space="0" w:color="000000"/>
              <w:right w:val="nil"/>
            </w:tcBorders>
            <w:shd w:val="clear" w:color="auto" w:fill="F2F2F2" w:themeFill="background1" w:themeFillShade="F2"/>
            <w:vAlign w:val="bottom"/>
          </w:tcPr>
          <w:p w14:paraId="2C6F6B0C" w14:textId="77777777" w:rsidR="00A97D77" w:rsidRPr="00D443D2" w:rsidRDefault="00A97D77" w:rsidP="003B7C74">
            <w:pPr>
              <w:pStyle w:val="TableColumnHeadingLeft"/>
              <w:spacing w:before="30" w:after="30"/>
            </w:pPr>
            <w:r w:rsidRPr="00D443D2">
              <w:t>9</w:t>
            </w:r>
          </w:p>
        </w:tc>
        <w:tc>
          <w:tcPr>
            <w:tcW w:w="731" w:type="dxa"/>
            <w:tcBorders>
              <w:top w:val="nil"/>
              <w:left w:val="nil"/>
              <w:bottom w:val="single" w:sz="2" w:space="0" w:color="000000"/>
              <w:right w:val="nil"/>
            </w:tcBorders>
            <w:shd w:val="clear" w:color="auto" w:fill="F2F2F2" w:themeFill="background1" w:themeFillShade="F2"/>
            <w:vAlign w:val="bottom"/>
          </w:tcPr>
          <w:p w14:paraId="496A8520" w14:textId="77777777" w:rsidR="00A97D77" w:rsidRPr="00A97D77" w:rsidRDefault="00A97D77" w:rsidP="003B7C74">
            <w:pPr>
              <w:pStyle w:val="TableTextRight"/>
              <w:spacing w:before="30" w:after="30"/>
              <w:rPr>
                <w:snapToGrid w:val="0"/>
                <w:lang w:val="en-US"/>
              </w:rPr>
            </w:pPr>
            <w:r w:rsidRPr="00A97D77">
              <w:rPr>
                <w:snapToGrid w:val="0"/>
                <w:lang w:val="en-US"/>
              </w:rPr>
              <w:t>1.614</w:t>
            </w:r>
          </w:p>
        </w:tc>
        <w:tc>
          <w:tcPr>
            <w:tcW w:w="728" w:type="dxa"/>
            <w:tcBorders>
              <w:top w:val="nil"/>
              <w:left w:val="nil"/>
              <w:bottom w:val="single" w:sz="2" w:space="0" w:color="000000"/>
              <w:right w:val="nil"/>
            </w:tcBorders>
            <w:shd w:val="clear" w:color="auto" w:fill="F2F2F2" w:themeFill="background1" w:themeFillShade="F2"/>
            <w:vAlign w:val="bottom"/>
          </w:tcPr>
          <w:p w14:paraId="1681E755" w14:textId="77777777" w:rsidR="00A97D77" w:rsidRPr="00A97D77" w:rsidRDefault="00A97D77" w:rsidP="003B7C74">
            <w:pPr>
              <w:pStyle w:val="TableTextRight"/>
              <w:spacing w:before="30" w:after="30"/>
              <w:rPr>
                <w:snapToGrid w:val="0"/>
                <w:lang w:val="en-US"/>
              </w:rPr>
            </w:pPr>
            <w:r w:rsidRPr="00A97D77">
              <w:rPr>
                <w:snapToGrid w:val="0"/>
                <w:lang w:val="en-US"/>
              </w:rPr>
              <w:t>1.544</w:t>
            </w:r>
          </w:p>
        </w:tc>
        <w:tc>
          <w:tcPr>
            <w:tcW w:w="728" w:type="dxa"/>
            <w:tcBorders>
              <w:top w:val="nil"/>
              <w:left w:val="nil"/>
              <w:bottom w:val="single" w:sz="2" w:space="0" w:color="000000"/>
              <w:right w:val="nil"/>
            </w:tcBorders>
            <w:shd w:val="clear" w:color="auto" w:fill="F2F2F2" w:themeFill="background1" w:themeFillShade="F2"/>
            <w:vAlign w:val="bottom"/>
          </w:tcPr>
          <w:p w14:paraId="10945F08" w14:textId="77777777" w:rsidR="00A97D77" w:rsidRPr="00A97D77" w:rsidRDefault="00A97D77" w:rsidP="003B7C74">
            <w:pPr>
              <w:pStyle w:val="TableTextRight"/>
              <w:spacing w:before="30" w:after="30"/>
              <w:rPr>
                <w:snapToGrid w:val="0"/>
                <w:lang w:val="en-US"/>
              </w:rPr>
            </w:pPr>
            <w:r w:rsidRPr="00A97D77">
              <w:rPr>
                <w:snapToGrid w:val="0"/>
                <w:lang w:val="en-US"/>
              </w:rPr>
              <w:t>1.389</w:t>
            </w:r>
          </w:p>
        </w:tc>
        <w:tc>
          <w:tcPr>
            <w:tcW w:w="284" w:type="dxa"/>
            <w:tcBorders>
              <w:top w:val="nil"/>
              <w:left w:val="nil"/>
              <w:bottom w:val="single" w:sz="2" w:space="0" w:color="000000"/>
              <w:right w:val="nil"/>
            </w:tcBorders>
            <w:shd w:val="clear" w:color="auto" w:fill="F2F2F2" w:themeFill="background1" w:themeFillShade="F2"/>
            <w:vAlign w:val="bottom"/>
          </w:tcPr>
          <w:p w14:paraId="270E5D65"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single" w:sz="2" w:space="0" w:color="000000"/>
              <w:right w:val="nil"/>
            </w:tcBorders>
            <w:shd w:val="clear" w:color="auto" w:fill="F2F2F2" w:themeFill="background1" w:themeFillShade="F2"/>
            <w:vAlign w:val="bottom"/>
          </w:tcPr>
          <w:p w14:paraId="6D21BAF7" w14:textId="77777777" w:rsidR="00A97D77" w:rsidRPr="00A97D77" w:rsidRDefault="00A97D77" w:rsidP="003B7C74">
            <w:pPr>
              <w:pStyle w:val="TableTextRight"/>
              <w:spacing w:before="30" w:after="30"/>
              <w:rPr>
                <w:snapToGrid w:val="0"/>
                <w:lang w:val="en-US"/>
              </w:rPr>
            </w:pPr>
            <w:r w:rsidRPr="00A97D77">
              <w:rPr>
                <w:snapToGrid w:val="0"/>
                <w:lang w:val="en-US"/>
              </w:rPr>
              <w:t>2.077</w:t>
            </w:r>
          </w:p>
        </w:tc>
        <w:tc>
          <w:tcPr>
            <w:tcW w:w="728" w:type="dxa"/>
            <w:tcBorders>
              <w:top w:val="nil"/>
              <w:left w:val="nil"/>
              <w:bottom w:val="single" w:sz="2" w:space="0" w:color="000000"/>
              <w:right w:val="nil"/>
            </w:tcBorders>
            <w:shd w:val="clear" w:color="auto" w:fill="F2F2F2" w:themeFill="background1" w:themeFillShade="F2"/>
            <w:vAlign w:val="bottom"/>
          </w:tcPr>
          <w:p w14:paraId="420E7650" w14:textId="77777777" w:rsidR="00A97D77" w:rsidRPr="00A97D77" w:rsidRDefault="00A97D77" w:rsidP="003B7C74">
            <w:pPr>
              <w:pStyle w:val="TableTextRight"/>
              <w:spacing w:before="30" w:after="30"/>
              <w:rPr>
                <w:snapToGrid w:val="0"/>
                <w:lang w:val="en-US"/>
              </w:rPr>
            </w:pPr>
            <w:r w:rsidRPr="00A97D77">
              <w:rPr>
                <w:snapToGrid w:val="0"/>
                <w:lang w:val="en-US"/>
              </w:rPr>
              <w:t>1.927</w:t>
            </w:r>
          </w:p>
        </w:tc>
        <w:tc>
          <w:tcPr>
            <w:tcW w:w="728" w:type="dxa"/>
            <w:tcBorders>
              <w:top w:val="nil"/>
              <w:left w:val="nil"/>
              <w:bottom w:val="single" w:sz="2" w:space="0" w:color="000000"/>
              <w:right w:val="nil"/>
            </w:tcBorders>
            <w:shd w:val="clear" w:color="auto" w:fill="F2F2F2" w:themeFill="background1" w:themeFillShade="F2"/>
            <w:vAlign w:val="bottom"/>
          </w:tcPr>
          <w:p w14:paraId="3FDDBA26" w14:textId="77777777" w:rsidR="00A97D77" w:rsidRPr="00A97D77" w:rsidRDefault="00A97D77" w:rsidP="003B7C74">
            <w:pPr>
              <w:pStyle w:val="TableTextRight"/>
              <w:spacing w:before="30" w:after="30"/>
              <w:rPr>
                <w:snapToGrid w:val="0"/>
                <w:lang w:val="en-US"/>
              </w:rPr>
            </w:pPr>
            <w:r w:rsidRPr="00A97D77">
              <w:rPr>
                <w:snapToGrid w:val="0"/>
                <w:lang w:val="en-US"/>
              </w:rPr>
              <w:t>1.861</w:t>
            </w:r>
          </w:p>
        </w:tc>
        <w:tc>
          <w:tcPr>
            <w:tcW w:w="284" w:type="dxa"/>
            <w:tcBorders>
              <w:top w:val="nil"/>
              <w:left w:val="nil"/>
              <w:bottom w:val="single" w:sz="2" w:space="0" w:color="000000"/>
              <w:right w:val="nil"/>
            </w:tcBorders>
            <w:shd w:val="clear" w:color="auto" w:fill="F2F2F2" w:themeFill="background1" w:themeFillShade="F2"/>
            <w:vAlign w:val="bottom"/>
          </w:tcPr>
          <w:p w14:paraId="383B0A8A"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single" w:sz="2" w:space="0" w:color="000000"/>
              <w:right w:val="nil"/>
            </w:tcBorders>
            <w:shd w:val="clear" w:color="auto" w:fill="F2F2F2" w:themeFill="background1" w:themeFillShade="F2"/>
            <w:vAlign w:val="bottom"/>
          </w:tcPr>
          <w:p w14:paraId="4C101597" w14:textId="77777777" w:rsidR="00A97D77" w:rsidRPr="00D443D2" w:rsidRDefault="00A97D77" w:rsidP="003B7C74">
            <w:pPr>
              <w:pStyle w:val="TableTextRight"/>
              <w:spacing w:before="30" w:after="30"/>
              <w:rPr>
                <w:snapToGrid w:val="0"/>
                <w:lang w:val="en-US"/>
              </w:rPr>
            </w:pPr>
            <w:r w:rsidRPr="00D443D2">
              <w:rPr>
                <w:snapToGrid w:val="0"/>
                <w:lang w:val="en-US"/>
              </w:rPr>
              <w:t>1.420</w:t>
            </w:r>
          </w:p>
        </w:tc>
        <w:tc>
          <w:tcPr>
            <w:tcW w:w="284" w:type="dxa"/>
            <w:tcBorders>
              <w:top w:val="nil"/>
              <w:left w:val="nil"/>
              <w:bottom w:val="single" w:sz="2" w:space="0" w:color="000000"/>
              <w:right w:val="nil"/>
            </w:tcBorders>
            <w:shd w:val="clear" w:color="auto" w:fill="F2F2F2" w:themeFill="background1" w:themeFillShade="F2"/>
            <w:vAlign w:val="bottom"/>
          </w:tcPr>
          <w:p w14:paraId="20192A4F"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shd w:val="clear" w:color="auto" w:fill="F2F2F2" w:themeFill="background1" w:themeFillShade="F2"/>
            <w:vAlign w:val="bottom"/>
          </w:tcPr>
          <w:p w14:paraId="0078D41F" w14:textId="77777777" w:rsidR="00A97D77" w:rsidRPr="0045232E" w:rsidRDefault="00A97D77" w:rsidP="003B7C74">
            <w:pPr>
              <w:pStyle w:val="TableTextRight"/>
              <w:spacing w:before="30" w:after="30"/>
              <w:rPr>
                <w:snapToGrid w:val="0"/>
                <w:lang w:val="en-US"/>
              </w:rPr>
            </w:pPr>
            <w:r w:rsidRPr="0045232E">
              <w:rPr>
                <w:snapToGrid w:val="0"/>
                <w:lang w:val="en-US"/>
              </w:rPr>
              <w:t>1.451</w:t>
            </w:r>
          </w:p>
        </w:tc>
      </w:tr>
      <w:tr w:rsidR="0062476A" w:rsidRPr="0045232E" w14:paraId="724ECFE6" w14:textId="77777777" w:rsidTr="0062476A">
        <w:tc>
          <w:tcPr>
            <w:tcW w:w="879" w:type="dxa"/>
            <w:tcBorders>
              <w:top w:val="single" w:sz="2" w:space="0" w:color="000000"/>
              <w:left w:val="nil"/>
              <w:bottom w:val="nil"/>
              <w:right w:val="nil"/>
            </w:tcBorders>
            <w:vAlign w:val="bottom"/>
          </w:tcPr>
          <w:p w14:paraId="4324ED9E" w14:textId="77777777" w:rsidR="00A97D77" w:rsidRPr="00D443D2" w:rsidRDefault="00A97D77" w:rsidP="003B7C74">
            <w:pPr>
              <w:pStyle w:val="TableColumnHeadingLeft"/>
              <w:spacing w:before="30" w:after="30"/>
            </w:pPr>
            <w:r w:rsidRPr="00D443D2">
              <w:t>10</w:t>
            </w:r>
          </w:p>
        </w:tc>
        <w:tc>
          <w:tcPr>
            <w:tcW w:w="731" w:type="dxa"/>
            <w:tcBorders>
              <w:top w:val="single" w:sz="2" w:space="0" w:color="000000"/>
              <w:left w:val="nil"/>
              <w:bottom w:val="nil"/>
              <w:right w:val="nil"/>
            </w:tcBorders>
            <w:vAlign w:val="bottom"/>
          </w:tcPr>
          <w:p w14:paraId="7ABCA16F" w14:textId="77777777" w:rsidR="00A97D77" w:rsidRPr="00A97D77" w:rsidRDefault="00A97D77" w:rsidP="003B7C74">
            <w:pPr>
              <w:pStyle w:val="TableTextRight"/>
              <w:spacing w:before="30" w:after="30"/>
              <w:rPr>
                <w:snapToGrid w:val="0"/>
                <w:lang w:val="en-US"/>
              </w:rPr>
            </w:pPr>
            <w:r w:rsidRPr="00A97D77">
              <w:rPr>
                <w:snapToGrid w:val="0"/>
                <w:lang w:val="en-US"/>
              </w:rPr>
              <w:t>1.665</w:t>
            </w:r>
          </w:p>
        </w:tc>
        <w:tc>
          <w:tcPr>
            <w:tcW w:w="728" w:type="dxa"/>
            <w:tcBorders>
              <w:top w:val="single" w:sz="2" w:space="0" w:color="000000"/>
              <w:left w:val="nil"/>
              <w:bottom w:val="nil"/>
              <w:right w:val="nil"/>
            </w:tcBorders>
            <w:vAlign w:val="bottom"/>
          </w:tcPr>
          <w:p w14:paraId="318A13C4" w14:textId="77777777" w:rsidR="00A97D77" w:rsidRPr="00A97D77" w:rsidRDefault="00A97D77" w:rsidP="003B7C74">
            <w:pPr>
              <w:pStyle w:val="TableTextRight"/>
              <w:spacing w:before="30" w:after="30"/>
              <w:rPr>
                <w:snapToGrid w:val="0"/>
                <w:lang w:val="en-US"/>
              </w:rPr>
            </w:pPr>
            <w:r w:rsidRPr="00A97D77">
              <w:rPr>
                <w:snapToGrid w:val="0"/>
                <w:lang w:val="en-US"/>
              </w:rPr>
              <w:t>1.591</w:t>
            </w:r>
          </w:p>
        </w:tc>
        <w:tc>
          <w:tcPr>
            <w:tcW w:w="728" w:type="dxa"/>
            <w:tcBorders>
              <w:top w:val="single" w:sz="2" w:space="0" w:color="000000"/>
              <w:left w:val="nil"/>
              <w:bottom w:val="nil"/>
              <w:right w:val="nil"/>
            </w:tcBorders>
            <w:vAlign w:val="bottom"/>
          </w:tcPr>
          <w:p w14:paraId="19250406" w14:textId="77777777" w:rsidR="00A97D77" w:rsidRPr="00A97D77" w:rsidRDefault="00A97D77" w:rsidP="003B7C74">
            <w:pPr>
              <w:pStyle w:val="TableTextRight"/>
              <w:spacing w:before="30" w:after="30"/>
              <w:rPr>
                <w:snapToGrid w:val="0"/>
                <w:lang w:val="en-US"/>
              </w:rPr>
            </w:pPr>
            <w:r w:rsidRPr="00A97D77">
              <w:rPr>
                <w:snapToGrid w:val="0"/>
                <w:lang w:val="en-US"/>
              </w:rPr>
              <w:t>1.426</w:t>
            </w:r>
          </w:p>
        </w:tc>
        <w:tc>
          <w:tcPr>
            <w:tcW w:w="284" w:type="dxa"/>
            <w:tcBorders>
              <w:top w:val="single" w:sz="2" w:space="0" w:color="000000"/>
              <w:left w:val="nil"/>
              <w:bottom w:val="nil"/>
              <w:right w:val="nil"/>
            </w:tcBorders>
            <w:vAlign w:val="bottom"/>
          </w:tcPr>
          <w:p w14:paraId="3C180809" w14:textId="77777777" w:rsidR="00A97D77" w:rsidRPr="00190D6C" w:rsidRDefault="00A97D77" w:rsidP="003B7C74">
            <w:pPr>
              <w:pStyle w:val="TableTextRight"/>
              <w:spacing w:before="30" w:after="30"/>
              <w:rPr>
                <w:snapToGrid w:val="0"/>
                <w:lang w:val="en-US"/>
              </w:rPr>
            </w:pPr>
          </w:p>
        </w:tc>
        <w:tc>
          <w:tcPr>
            <w:tcW w:w="729" w:type="dxa"/>
            <w:tcBorders>
              <w:top w:val="single" w:sz="2" w:space="0" w:color="000000"/>
              <w:left w:val="nil"/>
              <w:bottom w:val="nil"/>
              <w:right w:val="nil"/>
            </w:tcBorders>
            <w:vAlign w:val="bottom"/>
          </w:tcPr>
          <w:p w14:paraId="00F92168" w14:textId="77777777" w:rsidR="00A97D77" w:rsidRPr="00A97D77" w:rsidRDefault="00A97D77" w:rsidP="003B7C74">
            <w:pPr>
              <w:pStyle w:val="TableTextRight"/>
              <w:spacing w:before="30" w:after="30"/>
              <w:rPr>
                <w:snapToGrid w:val="0"/>
                <w:lang w:val="en-US"/>
              </w:rPr>
            </w:pPr>
            <w:r w:rsidRPr="00A97D77">
              <w:rPr>
                <w:snapToGrid w:val="0"/>
                <w:lang w:val="en-US"/>
              </w:rPr>
              <w:t>2.176</w:t>
            </w:r>
          </w:p>
        </w:tc>
        <w:tc>
          <w:tcPr>
            <w:tcW w:w="728" w:type="dxa"/>
            <w:tcBorders>
              <w:top w:val="single" w:sz="2" w:space="0" w:color="000000"/>
              <w:left w:val="nil"/>
              <w:bottom w:val="nil"/>
              <w:right w:val="nil"/>
            </w:tcBorders>
            <w:vAlign w:val="bottom"/>
          </w:tcPr>
          <w:p w14:paraId="708347FA" w14:textId="77777777" w:rsidR="00A97D77" w:rsidRPr="00A97D77" w:rsidRDefault="00A97D77" w:rsidP="003B7C74">
            <w:pPr>
              <w:pStyle w:val="TableTextRight"/>
              <w:spacing w:before="30" w:after="30"/>
              <w:rPr>
                <w:snapToGrid w:val="0"/>
                <w:lang w:val="en-US"/>
              </w:rPr>
            </w:pPr>
            <w:r w:rsidRPr="00A97D77">
              <w:rPr>
                <w:snapToGrid w:val="0"/>
                <w:lang w:val="en-US"/>
              </w:rPr>
              <w:t>2.017</w:t>
            </w:r>
          </w:p>
        </w:tc>
        <w:tc>
          <w:tcPr>
            <w:tcW w:w="728" w:type="dxa"/>
            <w:tcBorders>
              <w:top w:val="single" w:sz="2" w:space="0" w:color="000000"/>
              <w:left w:val="nil"/>
              <w:bottom w:val="nil"/>
              <w:right w:val="nil"/>
            </w:tcBorders>
            <w:vAlign w:val="bottom"/>
          </w:tcPr>
          <w:p w14:paraId="776D40AC" w14:textId="77777777" w:rsidR="00A97D77" w:rsidRPr="00A97D77" w:rsidRDefault="00A97D77" w:rsidP="003B7C74">
            <w:pPr>
              <w:pStyle w:val="TableTextRight"/>
              <w:spacing w:before="30" w:after="30"/>
              <w:rPr>
                <w:snapToGrid w:val="0"/>
                <w:lang w:val="en-US"/>
              </w:rPr>
            </w:pPr>
            <w:r w:rsidRPr="00A97D77">
              <w:rPr>
                <w:snapToGrid w:val="0"/>
                <w:lang w:val="en-US"/>
              </w:rPr>
              <w:t>1.935</w:t>
            </w:r>
          </w:p>
        </w:tc>
        <w:tc>
          <w:tcPr>
            <w:tcW w:w="284" w:type="dxa"/>
            <w:tcBorders>
              <w:top w:val="single" w:sz="2" w:space="0" w:color="000000"/>
              <w:left w:val="nil"/>
              <w:bottom w:val="nil"/>
              <w:right w:val="nil"/>
            </w:tcBorders>
            <w:vAlign w:val="bottom"/>
          </w:tcPr>
          <w:p w14:paraId="3556FFA5" w14:textId="77777777" w:rsidR="00A97D77" w:rsidRPr="000E13F8" w:rsidRDefault="00A97D77" w:rsidP="003B7C74">
            <w:pPr>
              <w:pStyle w:val="TableTextRight"/>
              <w:spacing w:before="30" w:after="30"/>
              <w:rPr>
                <w:snapToGrid w:val="0"/>
                <w:lang w:val="en-US"/>
              </w:rPr>
            </w:pPr>
          </w:p>
        </w:tc>
        <w:tc>
          <w:tcPr>
            <w:tcW w:w="797" w:type="dxa"/>
            <w:tcBorders>
              <w:top w:val="single" w:sz="2" w:space="0" w:color="000000"/>
              <w:left w:val="nil"/>
              <w:bottom w:val="nil"/>
              <w:right w:val="nil"/>
            </w:tcBorders>
            <w:vAlign w:val="bottom"/>
          </w:tcPr>
          <w:p w14:paraId="659A2BD7" w14:textId="77777777" w:rsidR="00A97D77" w:rsidRPr="00D443D2" w:rsidRDefault="00A97D77" w:rsidP="003B7C74">
            <w:pPr>
              <w:pStyle w:val="TableTextRight"/>
              <w:spacing w:before="30" w:after="30"/>
              <w:rPr>
                <w:snapToGrid w:val="0"/>
                <w:lang w:val="en-US"/>
              </w:rPr>
            </w:pPr>
            <w:r w:rsidRPr="00D443D2">
              <w:rPr>
                <w:snapToGrid w:val="0"/>
                <w:lang w:val="en-US"/>
              </w:rPr>
              <w:t>1.447</w:t>
            </w:r>
          </w:p>
        </w:tc>
        <w:tc>
          <w:tcPr>
            <w:tcW w:w="284" w:type="dxa"/>
            <w:tcBorders>
              <w:top w:val="single" w:sz="2" w:space="0" w:color="000000"/>
              <w:left w:val="nil"/>
              <w:bottom w:val="nil"/>
              <w:right w:val="nil"/>
            </w:tcBorders>
            <w:vAlign w:val="bottom"/>
          </w:tcPr>
          <w:p w14:paraId="6690BB35"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vAlign w:val="bottom"/>
          </w:tcPr>
          <w:p w14:paraId="596AD3DE" w14:textId="77777777" w:rsidR="00A97D77" w:rsidRPr="0045232E" w:rsidRDefault="00A97D77" w:rsidP="003B7C74">
            <w:pPr>
              <w:pStyle w:val="TableTextRight"/>
              <w:spacing w:before="30" w:after="30"/>
              <w:rPr>
                <w:snapToGrid w:val="0"/>
                <w:lang w:val="en-US"/>
              </w:rPr>
            </w:pPr>
            <w:r w:rsidRPr="0045232E">
              <w:rPr>
                <w:snapToGrid w:val="0"/>
                <w:lang w:val="en-US"/>
              </w:rPr>
              <w:t>1.480</w:t>
            </w:r>
          </w:p>
        </w:tc>
      </w:tr>
      <w:tr w:rsidR="0062476A" w:rsidRPr="00B85C14" w14:paraId="27546AC2" w14:textId="77777777" w:rsidTr="0062476A">
        <w:tc>
          <w:tcPr>
            <w:tcW w:w="879" w:type="dxa"/>
            <w:tcBorders>
              <w:top w:val="nil"/>
              <w:left w:val="nil"/>
              <w:bottom w:val="nil"/>
              <w:right w:val="nil"/>
            </w:tcBorders>
            <w:vAlign w:val="bottom"/>
          </w:tcPr>
          <w:p w14:paraId="548AAC1B" w14:textId="77777777" w:rsidR="00A97D77" w:rsidRPr="00D443D2" w:rsidRDefault="00A97D77" w:rsidP="003B7C74">
            <w:pPr>
              <w:pStyle w:val="TableColumnHeadingLeft"/>
              <w:spacing w:before="30" w:after="30"/>
            </w:pPr>
            <w:r w:rsidRPr="00D443D2">
              <w:t>11</w:t>
            </w:r>
          </w:p>
        </w:tc>
        <w:tc>
          <w:tcPr>
            <w:tcW w:w="731" w:type="dxa"/>
            <w:tcBorders>
              <w:top w:val="nil"/>
              <w:left w:val="nil"/>
              <w:bottom w:val="nil"/>
              <w:right w:val="nil"/>
            </w:tcBorders>
            <w:vAlign w:val="bottom"/>
          </w:tcPr>
          <w:p w14:paraId="66F963E5" w14:textId="77777777" w:rsidR="00A97D77" w:rsidRPr="00A97D77" w:rsidRDefault="00A97D77" w:rsidP="003B7C74">
            <w:pPr>
              <w:pStyle w:val="TableTextRight"/>
              <w:spacing w:before="30" w:after="30"/>
              <w:rPr>
                <w:snapToGrid w:val="0"/>
                <w:lang w:val="en-US"/>
              </w:rPr>
            </w:pPr>
            <w:r w:rsidRPr="00A97D77">
              <w:rPr>
                <w:snapToGrid w:val="0"/>
                <w:lang w:val="en-US"/>
              </w:rPr>
              <w:t>1.712</w:t>
            </w:r>
          </w:p>
        </w:tc>
        <w:tc>
          <w:tcPr>
            <w:tcW w:w="728" w:type="dxa"/>
            <w:tcBorders>
              <w:top w:val="nil"/>
              <w:left w:val="nil"/>
              <w:bottom w:val="nil"/>
              <w:right w:val="nil"/>
            </w:tcBorders>
            <w:vAlign w:val="bottom"/>
          </w:tcPr>
          <w:p w14:paraId="087A2B1A" w14:textId="77777777" w:rsidR="00A97D77" w:rsidRPr="00A97D77" w:rsidRDefault="00A97D77" w:rsidP="003B7C74">
            <w:pPr>
              <w:pStyle w:val="TableTextRight"/>
              <w:spacing w:before="30" w:after="30"/>
              <w:rPr>
                <w:snapToGrid w:val="0"/>
                <w:lang w:val="en-US"/>
              </w:rPr>
            </w:pPr>
            <w:r w:rsidRPr="00A97D77">
              <w:rPr>
                <w:snapToGrid w:val="0"/>
                <w:lang w:val="en-US"/>
              </w:rPr>
              <w:t>1.636</w:t>
            </w:r>
          </w:p>
        </w:tc>
        <w:tc>
          <w:tcPr>
            <w:tcW w:w="728" w:type="dxa"/>
            <w:tcBorders>
              <w:top w:val="nil"/>
              <w:left w:val="nil"/>
              <w:bottom w:val="nil"/>
              <w:right w:val="nil"/>
            </w:tcBorders>
            <w:vAlign w:val="bottom"/>
          </w:tcPr>
          <w:p w14:paraId="51D42EEE" w14:textId="77777777" w:rsidR="00A97D77" w:rsidRPr="00A97D77" w:rsidRDefault="00A97D77" w:rsidP="003B7C74">
            <w:pPr>
              <w:pStyle w:val="TableTextRight"/>
              <w:spacing w:before="30" w:after="30"/>
              <w:rPr>
                <w:snapToGrid w:val="0"/>
                <w:lang w:val="en-US"/>
              </w:rPr>
            </w:pPr>
            <w:r w:rsidRPr="00A97D77">
              <w:rPr>
                <w:snapToGrid w:val="0"/>
                <w:lang w:val="en-US"/>
              </w:rPr>
              <w:t>1.462</w:t>
            </w:r>
          </w:p>
        </w:tc>
        <w:tc>
          <w:tcPr>
            <w:tcW w:w="284" w:type="dxa"/>
            <w:tcBorders>
              <w:top w:val="nil"/>
              <w:left w:val="nil"/>
              <w:bottom w:val="nil"/>
              <w:right w:val="nil"/>
            </w:tcBorders>
            <w:vAlign w:val="bottom"/>
          </w:tcPr>
          <w:p w14:paraId="541939ED"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66D00E4A" w14:textId="77777777" w:rsidR="00A97D77" w:rsidRPr="00A97D77" w:rsidRDefault="00A97D77" w:rsidP="003B7C74">
            <w:pPr>
              <w:pStyle w:val="TableTextRight"/>
              <w:spacing w:before="30" w:after="30"/>
              <w:rPr>
                <w:snapToGrid w:val="0"/>
                <w:lang w:val="en-US"/>
              </w:rPr>
            </w:pPr>
            <w:r w:rsidRPr="00A97D77">
              <w:rPr>
                <w:snapToGrid w:val="0"/>
                <w:lang w:val="en-US"/>
              </w:rPr>
              <w:t>2.267</w:t>
            </w:r>
          </w:p>
        </w:tc>
        <w:tc>
          <w:tcPr>
            <w:tcW w:w="728" w:type="dxa"/>
            <w:tcBorders>
              <w:top w:val="nil"/>
              <w:left w:val="nil"/>
              <w:bottom w:val="nil"/>
              <w:right w:val="nil"/>
            </w:tcBorders>
            <w:vAlign w:val="bottom"/>
          </w:tcPr>
          <w:p w14:paraId="56C11AE0" w14:textId="77777777" w:rsidR="00A97D77" w:rsidRPr="00A97D77" w:rsidRDefault="00A97D77" w:rsidP="003B7C74">
            <w:pPr>
              <w:pStyle w:val="TableTextRight"/>
              <w:spacing w:before="30" w:after="30"/>
              <w:rPr>
                <w:snapToGrid w:val="0"/>
                <w:lang w:val="en-US"/>
              </w:rPr>
            </w:pPr>
            <w:r w:rsidRPr="00A97D77">
              <w:rPr>
                <w:snapToGrid w:val="0"/>
                <w:lang w:val="en-US"/>
              </w:rPr>
              <w:t>2.100</w:t>
            </w:r>
          </w:p>
        </w:tc>
        <w:tc>
          <w:tcPr>
            <w:tcW w:w="728" w:type="dxa"/>
            <w:tcBorders>
              <w:top w:val="nil"/>
              <w:left w:val="nil"/>
              <w:bottom w:val="nil"/>
              <w:right w:val="nil"/>
            </w:tcBorders>
            <w:vAlign w:val="bottom"/>
          </w:tcPr>
          <w:p w14:paraId="4930F617" w14:textId="77777777" w:rsidR="00A97D77" w:rsidRPr="00A97D77" w:rsidRDefault="00A97D77" w:rsidP="003B7C74">
            <w:pPr>
              <w:pStyle w:val="TableTextRight"/>
              <w:spacing w:before="30" w:after="30"/>
              <w:rPr>
                <w:snapToGrid w:val="0"/>
                <w:lang w:val="en-US"/>
              </w:rPr>
            </w:pPr>
            <w:r w:rsidRPr="00A97D77">
              <w:rPr>
                <w:snapToGrid w:val="0"/>
                <w:lang w:val="en-US"/>
              </w:rPr>
              <w:t>2.004</w:t>
            </w:r>
          </w:p>
        </w:tc>
        <w:tc>
          <w:tcPr>
            <w:tcW w:w="284" w:type="dxa"/>
            <w:tcBorders>
              <w:top w:val="nil"/>
              <w:left w:val="nil"/>
              <w:bottom w:val="nil"/>
              <w:right w:val="nil"/>
            </w:tcBorders>
            <w:vAlign w:val="bottom"/>
          </w:tcPr>
          <w:p w14:paraId="765DADB7"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02DE2BC3" w14:textId="77777777" w:rsidR="00A97D77" w:rsidRPr="00D443D2" w:rsidRDefault="00A97D77" w:rsidP="003B7C74">
            <w:pPr>
              <w:pStyle w:val="TableTextRight"/>
              <w:spacing w:before="30" w:after="30"/>
              <w:rPr>
                <w:snapToGrid w:val="0"/>
                <w:lang w:val="en-US"/>
              </w:rPr>
            </w:pPr>
            <w:r w:rsidRPr="00D443D2">
              <w:rPr>
                <w:snapToGrid w:val="0"/>
                <w:lang w:val="en-US"/>
              </w:rPr>
              <w:t>1.474</w:t>
            </w:r>
          </w:p>
        </w:tc>
        <w:tc>
          <w:tcPr>
            <w:tcW w:w="284" w:type="dxa"/>
            <w:tcBorders>
              <w:top w:val="nil"/>
              <w:left w:val="nil"/>
              <w:bottom w:val="nil"/>
              <w:right w:val="nil"/>
            </w:tcBorders>
            <w:vAlign w:val="bottom"/>
          </w:tcPr>
          <w:p w14:paraId="20418912"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0D3437FC" w14:textId="77777777" w:rsidR="00A97D77" w:rsidRPr="0045232E" w:rsidRDefault="00A97D77" w:rsidP="003B7C74">
            <w:pPr>
              <w:pStyle w:val="TableTextRight"/>
              <w:spacing w:before="30" w:after="30"/>
              <w:rPr>
                <w:snapToGrid w:val="0"/>
                <w:lang w:val="en-US"/>
              </w:rPr>
            </w:pPr>
            <w:r w:rsidRPr="0045232E">
              <w:rPr>
                <w:snapToGrid w:val="0"/>
                <w:lang w:val="en-US"/>
              </w:rPr>
              <w:t>1.507</w:t>
            </w:r>
          </w:p>
        </w:tc>
      </w:tr>
      <w:tr w:rsidR="0062476A" w:rsidRPr="00B85C14" w14:paraId="012032B0" w14:textId="77777777" w:rsidTr="0062476A">
        <w:tc>
          <w:tcPr>
            <w:tcW w:w="879" w:type="dxa"/>
            <w:tcBorders>
              <w:top w:val="nil"/>
              <w:left w:val="nil"/>
              <w:bottom w:val="nil"/>
              <w:right w:val="nil"/>
            </w:tcBorders>
            <w:vAlign w:val="bottom"/>
          </w:tcPr>
          <w:p w14:paraId="6C904E65" w14:textId="77777777" w:rsidR="00A97D77" w:rsidRPr="00D443D2" w:rsidRDefault="00A97D77" w:rsidP="003B7C74">
            <w:pPr>
              <w:pStyle w:val="TableColumnHeadingLeft"/>
              <w:spacing w:before="30" w:after="30"/>
            </w:pPr>
            <w:r w:rsidRPr="00D443D2">
              <w:t>12</w:t>
            </w:r>
          </w:p>
        </w:tc>
        <w:tc>
          <w:tcPr>
            <w:tcW w:w="731" w:type="dxa"/>
            <w:tcBorders>
              <w:top w:val="nil"/>
              <w:left w:val="nil"/>
              <w:bottom w:val="nil"/>
              <w:right w:val="nil"/>
            </w:tcBorders>
            <w:vAlign w:val="bottom"/>
          </w:tcPr>
          <w:p w14:paraId="771C6230" w14:textId="77777777" w:rsidR="00A97D77" w:rsidRPr="00A97D77" w:rsidRDefault="00A97D77" w:rsidP="003B7C74">
            <w:pPr>
              <w:pStyle w:val="TableTextRight"/>
              <w:spacing w:before="30" w:after="30"/>
              <w:rPr>
                <w:snapToGrid w:val="0"/>
                <w:lang w:val="en-US"/>
              </w:rPr>
            </w:pPr>
            <w:r w:rsidRPr="00A97D77">
              <w:rPr>
                <w:snapToGrid w:val="0"/>
                <w:lang w:val="en-US"/>
              </w:rPr>
              <w:t>1.756</w:t>
            </w:r>
          </w:p>
        </w:tc>
        <w:tc>
          <w:tcPr>
            <w:tcW w:w="728" w:type="dxa"/>
            <w:tcBorders>
              <w:top w:val="nil"/>
              <w:left w:val="nil"/>
              <w:bottom w:val="nil"/>
              <w:right w:val="nil"/>
            </w:tcBorders>
            <w:vAlign w:val="bottom"/>
          </w:tcPr>
          <w:p w14:paraId="16EFC20D" w14:textId="77777777" w:rsidR="00A97D77" w:rsidRPr="00A97D77" w:rsidRDefault="00A97D77" w:rsidP="003B7C74">
            <w:pPr>
              <w:pStyle w:val="TableTextRight"/>
              <w:spacing w:before="30" w:after="30"/>
              <w:rPr>
                <w:snapToGrid w:val="0"/>
                <w:lang w:val="en-US"/>
              </w:rPr>
            </w:pPr>
            <w:r w:rsidRPr="00A97D77">
              <w:rPr>
                <w:snapToGrid w:val="0"/>
                <w:lang w:val="en-US"/>
              </w:rPr>
              <w:t>1.678</w:t>
            </w:r>
          </w:p>
        </w:tc>
        <w:tc>
          <w:tcPr>
            <w:tcW w:w="728" w:type="dxa"/>
            <w:tcBorders>
              <w:top w:val="nil"/>
              <w:left w:val="nil"/>
              <w:bottom w:val="nil"/>
              <w:right w:val="nil"/>
            </w:tcBorders>
            <w:vAlign w:val="bottom"/>
          </w:tcPr>
          <w:p w14:paraId="06F434E2" w14:textId="77777777" w:rsidR="00A97D77" w:rsidRPr="00A97D77" w:rsidRDefault="00A97D77" w:rsidP="003B7C74">
            <w:pPr>
              <w:pStyle w:val="TableTextRight"/>
              <w:spacing w:before="30" w:after="30"/>
              <w:rPr>
                <w:snapToGrid w:val="0"/>
                <w:lang w:val="en-US"/>
              </w:rPr>
            </w:pPr>
            <w:r w:rsidRPr="00A97D77">
              <w:rPr>
                <w:snapToGrid w:val="0"/>
                <w:lang w:val="en-US"/>
              </w:rPr>
              <w:t>1.498</w:t>
            </w:r>
          </w:p>
        </w:tc>
        <w:tc>
          <w:tcPr>
            <w:tcW w:w="284" w:type="dxa"/>
            <w:tcBorders>
              <w:top w:val="nil"/>
              <w:left w:val="nil"/>
              <w:bottom w:val="nil"/>
              <w:right w:val="nil"/>
            </w:tcBorders>
            <w:vAlign w:val="bottom"/>
          </w:tcPr>
          <w:p w14:paraId="619D7281"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703EA5BD" w14:textId="77777777" w:rsidR="00A97D77" w:rsidRPr="00A97D77" w:rsidRDefault="00A97D77" w:rsidP="003B7C74">
            <w:pPr>
              <w:pStyle w:val="TableTextRight"/>
              <w:spacing w:before="30" w:after="30"/>
              <w:rPr>
                <w:snapToGrid w:val="0"/>
                <w:lang w:val="en-US"/>
              </w:rPr>
            </w:pPr>
            <w:r w:rsidRPr="00A97D77">
              <w:rPr>
                <w:snapToGrid w:val="0"/>
                <w:lang w:val="en-US"/>
              </w:rPr>
              <w:t>2.354</w:t>
            </w:r>
          </w:p>
        </w:tc>
        <w:tc>
          <w:tcPr>
            <w:tcW w:w="728" w:type="dxa"/>
            <w:tcBorders>
              <w:top w:val="nil"/>
              <w:left w:val="nil"/>
              <w:bottom w:val="nil"/>
              <w:right w:val="nil"/>
            </w:tcBorders>
            <w:vAlign w:val="bottom"/>
          </w:tcPr>
          <w:p w14:paraId="2E692C90" w14:textId="77777777" w:rsidR="00A97D77" w:rsidRPr="00A97D77" w:rsidRDefault="00A97D77" w:rsidP="003B7C74">
            <w:pPr>
              <w:pStyle w:val="TableTextRight"/>
              <w:spacing w:before="30" w:after="30"/>
              <w:rPr>
                <w:snapToGrid w:val="0"/>
                <w:lang w:val="en-US"/>
              </w:rPr>
            </w:pPr>
            <w:r w:rsidRPr="00A97D77">
              <w:rPr>
                <w:snapToGrid w:val="0"/>
                <w:lang w:val="en-US"/>
              </w:rPr>
              <w:t>2.178</w:t>
            </w:r>
          </w:p>
        </w:tc>
        <w:tc>
          <w:tcPr>
            <w:tcW w:w="728" w:type="dxa"/>
            <w:tcBorders>
              <w:top w:val="nil"/>
              <w:left w:val="nil"/>
              <w:bottom w:val="nil"/>
              <w:right w:val="nil"/>
            </w:tcBorders>
            <w:vAlign w:val="bottom"/>
          </w:tcPr>
          <w:p w14:paraId="13DF4F2E" w14:textId="77777777" w:rsidR="00A97D77" w:rsidRPr="00A97D77" w:rsidRDefault="00A97D77" w:rsidP="003B7C74">
            <w:pPr>
              <w:pStyle w:val="TableTextRight"/>
              <w:spacing w:before="30" w:after="30"/>
              <w:rPr>
                <w:snapToGrid w:val="0"/>
                <w:lang w:val="en-US"/>
              </w:rPr>
            </w:pPr>
            <w:r w:rsidRPr="00A97D77">
              <w:rPr>
                <w:snapToGrid w:val="0"/>
                <w:lang w:val="en-US"/>
              </w:rPr>
              <w:t>2.071</w:t>
            </w:r>
          </w:p>
        </w:tc>
        <w:tc>
          <w:tcPr>
            <w:tcW w:w="284" w:type="dxa"/>
            <w:tcBorders>
              <w:top w:val="nil"/>
              <w:left w:val="nil"/>
              <w:bottom w:val="nil"/>
              <w:right w:val="nil"/>
            </w:tcBorders>
            <w:vAlign w:val="bottom"/>
          </w:tcPr>
          <w:p w14:paraId="78ED5A65"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44B1C7DB" w14:textId="77777777" w:rsidR="00A97D77" w:rsidRPr="00D443D2" w:rsidRDefault="00A97D77" w:rsidP="003B7C74">
            <w:pPr>
              <w:pStyle w:val="TableTextRight"/>
              <w:spacing w:before="30" w:after="30"/>
              <w:rPr>
                <w:snapToGrid w:val="0"/>
                <w:lang w:val="en-US"/>
              </w:rPr>
            </w:pPr>
            <w:r w:rsidRPr="00D443D2">
              <w:rPr>
                <w:snapToGrid w:val="0"/>
                <w:lang w:val="en-US"/>
              </w:rPr>
              <w:t>1.502</w:t>
            </w:r>
          </w:p>
        </w:tc>
        <w:tc>
          <w:tcPr>
            <w:tcW w:w="284" w:type="dxa"/>
            <w:tcBorders>
              <w:top w:val="nil"/>
              <w:left w:val="nil"/>
              <w:bottom w:val="nil"/>
              <w:right w:val="nil"/>
            </w:tcBorders>
            <w:vAlign w:val="bottom"/>
          </w:tcPr>
          <w:p w14:paraId="734CFD70"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6BA3AC91" w14:textId="77777777" w:rsidR="00A97D77" w:rsidRPr="0045232E" w:rsidRDefault="00A97D77" w:rsidP="003B7C74">
            <w:pPr>
              <w:pStyle w:val="TableTextRight"/>
              <w:spacing w:before="30" w:after="30"/>
              <w:rPr>
                <w:snapToGrid w:val="0"/>
                <w:lang w:val="en-US"/>
              </w:rPr>
            </w:pPr>
            <w:r w:rsidRPr="0045232E">
              <w:rPr>
                <w:snapToGrid w:val="0"/>
                <w:lang w:val="en-US"/>
              </w:rPr>
              <w:t>1.533</w:t>
            </w:r>
          </w:p>
        </w:tc>
      </w:tr>
      <w:tr w:rsidR="0062476A" w:rsidRPr="00B85C14" w14:paraId="281A479C" w14:textId="77777777" w:rsidTr="0062476A">
        <w:tc>
          <w:tcPr>
            <w:tcW w:w="879" w:type="dxa"/>
            <w:tcBorders>
              <w:top w:val="nil"/>
              <w:left w:val="nil"/>
              <w:bottom w:val="nil"/>
              <w:right w:val="nil"/>
            </w:tcBorders>
            <w:vAlign w:val="bottom"/>
          </w:tcPr>
          <w:p w14:paraId="4B452EBA" w14:textId="77777777" w:rsidR="00A97D77" w:rsidRPr="00D443D2" w:rsidRDefault="00A97D77" w:rsidP="003B7C74">
            <w:pPr>
              <w:pStyle w:val="TableColumnHeadingLeft"/>
              <w:spacing w:before="30" w:after="30"/>
            </w:pPr>
            <w:r w:rsidRPr="00D443D2">
              <w:t>13</w:t>
            </w:r>
          </w:p>
        </w:tc>
        <w:tc>
          <w:tcPr>
            <w:tcW w:w="731" w:type="dxa"/>
            <w:tcBorders>
              <w:top w:val="nil"/>
              <w:left w:val="nil"/>
              <w:bottom w:val="nil"/>
              <w:right w:val="nil"/>
            </w:tcBorders>
            <w:vAlign w:val="bottom"/>
          </w:tcPr>
          <w:p w14:paraId="381E7688" w14:textId="77777777" w:rsidR="00A97D77" w:rsidRPr="00A97D77" w:rsidRDefault="00A97D77" w:rsidP="003B7C74">
            <w:pPr>
              <w:pStyle w:val="TableTextRight"/>
              <w:spacing w:before="30" w:after="30"/>
              <w:rPr>
                <w:snapToGrid w:val="0"/>
                <w:lang w:val="en-US"/>
              </w:rPr>
            </w:pPr>
            <w:r w:rsidRPr="00A97D77">
              <w:rPr>
                <w:snapToGrid w:val="0"/>
                <w:lang w:val="en-US"/>
              </w:rPr>
              <w:t>1.796</w:t>
            </w:r>
          </w:p>
        </w:tc>
        <w:tc>
          <w:tcPr>
            <w:tcW w:w="728" w:type="dxa"/>
            <w:tcBorders>
              <w:top w:val="nil"/>
              <w:left w:val="nil"/>
              <w:bottom w:val="nil"/>
              <w:right w:val="nil"/>
            </w:tcBorders>
            <w:vAlign w:val="bottom"/>
          </w:tcPr>
          <w:p w14:paraId="03B60000" w14:textId="77777777" w:rsidR="00A97D77" w:rsidRPr="00A97D77" w:rsidRDefault="00A97D77" w:rsidP="003B7C74">
            <w:pPr>
              <w:pStyle w:val="TableTextRight"/>
              <w:spacing w:before="30" w:after="30"/>
              <w:rPr>
                <w:snapToGrid w:val="0"/>
                <w:lang w:val="en-US"/>
              </w:rPr>
            </w:pPr>
            <w:r w:rsidRPr="00A97D77">
              <w:rPr>
                <w:snapToGrid w:val="0"/>
                <w:lang w:val="en-US"/>
              </w:rPr>
              <w:t>1.718</w:t>
            </w:r>
          </w:p>
        </w:tc>
        <w:tc>
          <w:tcPr>
            <w:tcW w:w="728" w:type="dxa"/>
            <w:tcBorders>
              <w:top w:val="nil"/>
              <w:left w:val="nil"/>
              <w:bottom w:val="nil"/>
              <w:right w:val="nil"/>
            </w:tcBorders>
            <w:vAlign w:val="bottom"/>
          </w:tcPr>
          <w:p w14:paraId="782AA323" w14:textId="77777777" w:rsidR="00A97D77" w:rsidRPr="00A97D77" w:rsidRDefault="00A97D77" w:rsidP="003B7C74">
            <w:pPr>
              <w:pStyle w:val="TableTextRight"/>
              <w:spacing w:before="30" w:after="30"/>
              <w:rPr>
                <w:snapToGrid w:val="0"/>
                <w:lang w:val="en-US"/>
              </w:rPr>
            </w:pPr>
            <w:r w:rsidRPr="00A97D77">
              <w:rPr>
                <w:snapToGrid w:val="0"/>
                <w:lang w:val="en-US"/>
              </w:rPr>
              <w:t>1.532</w:t>
            </w:r>
          </w:p>
        </w:tc>
        <w:tc>
          <w:tcPr>
            <w:tcW w:w="284" w:type="dxa"/>
            <w:tcBorders>
              <w:top w:val="nil"/>
              <w:left w:val="nil"/>
              <w:bottom w:val="nil"/>
              <w:right w:val="nil"/>
            </w:tcBorders>
            <w:vAlign w:val="bottom"/>
          </w:tcPr>
          <w:p w14:paraId="16C17D30"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nil"/>
              <w:right w:val="nil"/>
            </w:tcBorders>
            <w:vAlign w:val="bottom"/>
          </w:tcPr>
          <w:p w14:paraId="17EC5D80" w14:textId="77777777" w:rsidR="00A97D77" w:rsidRPr="00A97D77" w:rsidRDefault="00A97D77" w:rsidP="003B7C74">
            <w:pPr>
              <w:pStyle w:val="TableTextRight"/>
              <w:spacing w:before="30" w:after="30"/>
              <w:rPr>
                <w:snapToGrid w:val="0"/>
                <w:lang w:val="en-US"/>
              </w:rPr>
            </w:pPr>
            <w:r w:rsidRPr="00A97D77">
              <w:rPr>
                <w:snapToGrid w:val="0"/>
                <w:lang w:val="en-US"/>
              </w:rPr>
              <w:t>2.435</w:t>
            </w:r>
          </w:p>
        </w:tc>
        <w:tc>
          <w:tcPr>
            <w:tcW w:w="728" w:type="dxa"/>
            <w:tcBorders>
              <w:top w:val="nil"/>
              <w:left w:val="nil"/>
              <w:bottom w:val="nil"/>
              <w:right w:val="nil"/>
            </w:tcBorders>
            <w:vAlign w:val="bottom"/>
          </w:tcPr>
          <w:p w14:paraId="61CBC0C7" w14:textId="77777777" w:rsidR="00A97D77" w:rsidRPr="00A97D77" w:rsidRDefault="00A97D77" w:rsidP="003B7C74">
            <w:pPr>
              <w:pStyle w:val="TableTextRight"/>
              <w:spacing w:before="30" w:after="30"/>
              <w:rPr>
                <w:snapToGrid w:val="0"/>
                <w:lang w:val="en-US"/>
              </w:rPr>
            </w:pPr>
            <w:r w:rsidRPr="00A97D77">
              <w:rPr>
                <w:snapToGrid w:val="0"/>
                <w:lang w:val="en-US"/>
              </w:rPr>
              <w:t>2.252</w:t>
            </w:r>
          </w:p>
        </w:tc>
        <w:tc>
          <w:tcPr>
            <w:tcW w:w="728" w:type="dxa"/>
            <w:tcBorders>
              <w:top w:val="nil"/>
              <w:left w:val="nil"/>
              <w:bottom w:val="nil"/>
              <w:right w:val="nil"/>
            </w:tcBorders>
            <w:vAlign w:val="bottom"/>
          </w:tcPr>
          <w:p w14:paraId="60AF84DB" w14:textId="77777777" w:rsidR="00A97D77" w:rsidRPr="00A97D77" w:rsidRDefault="00A97D77" w:rsidP="003B7C74">
            <w:pPr>
              <w:pStyle w:val="TableTextRight"/>
              <w:spacing w:before="30" w:after="30"/>
              <w:rPr>
                <w:snapToGrid w:val="0"/>
                <w:lang w:val="en-US"/>
              </w:rPr>
            </w:pPr>
            <w:r w:rsidRPr="00A97D77">
              <w:rPr>
                <w:snapToGrid w:val="0"/>
                <w:lang w:val="en-US"/>
              </w:rPr>
              <w:t>2.135</w:t>
            </w:r>
          </w:p>
        </w:tc>
        <w:tc>
          <w:tcPr>
            <w:tcW w:w="284" w:type="dxa"/>
            <w:tcBorders>
              <w:top w:val="nil"/>
              <w:left w:val="nil"/>
              <w:bottom w:val="nil"/>
              <w:right w:val="nil"/>
            </w:tcBorders>
            <w:vAlign w:val="bottom"/>
          </w:tcPr>
          <w:p w14:paraId="4888BB58"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nil"/>
              <w:right w:val="nil"/>
            </w:tcBorders>
            <w:vAlign w:val="bottom"/>
          </w:tcPr>
          <w:p w14:paraId="40880D7D" w14:textId="77777777" w:rsidR="00A97D77" w:rsidRPr="00D443D2" w:rsidRDefault="00A97D77" w:rsidP="003B7C74">
            <w:pPr>
              <w:pStyle w:val="TableTextRight"/>
              <w:spacing w:before="30" w:after="30"/>
              <w:rPr>
                <w:snapToGrid w:val="0"/>
                <w:lang w:val="en-US"/>
              </w:rPr>
            </w:pPr>
            <w:r w:rsidRPr="00D443D2">
              <w:rPr>
                <w:snapToGrid w:val="0"/>
                <w:lang w:val="en-US"/>
              </w:rPr>
              <w:t>1.529</w:t>
            </w:r>
          </w:p>
        </w:tc>
        <w:tc>
          <w:tcPr>
            <w:tcW w:w="284" w:type="dxa"/>
            <w:tcBorders>
              <w:top w:val="nil"/>
              <w:left w:val="nil"/>
              <w:bottom w:val="nil"/>
              <w:right w:val="nil"/>
            </w:tcBorders>
            <w:vAlign w:val="bottom"/>
          </w:tcPr>
          <w:p w14:paraId="3E7A4B2D"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74A2E439" w14:textId="77777777" w:rsidR="00A97D77" w:rsidRPr="0045232E" w:rsidRDefault="00A97D77" w:rsidP="003B7C74">
            <w:pPr>
              <w:pStyle w:val="TableTextRight"/>
              <w:spacing w:before="30" w:after="30"/>
              <w:rPr>
                <w:snapToGrid w:val="0"/>
                <w:lang w:val="en-US"/>
              </w:rPr>
            </w:pPr>
            <w:r w:rsidRPr="0045232E">
              <w:rPr>
                <w:snapToGrid w:val="0"/>
                <w:lang w:val="en-US"/>
              </w:rPr>
              <w:t>1.559</w:t>
            </w:r>
          </w:p>
        </w:tc>
      </w:tr>
      <w:tr w:rsidR="0062476A" w:rsidRPr="00B85C14" w14:paraId="66EDF519" w14:textId="77777777" w:rsidTr="0062476A">
        <w:tc>
          <w:tcPr>
            <w:tcW w:w="879" w:type="dxa"/>
            <w:tcBorders>
              <w:top w:val="nil"/>
              <w:left w:val="nil"/>
              <w:bottom w:val="single" w:sz="2" w:space="0" w:color="000000"/>
              <w:right w:val="nil"/>
            </w:tcBorders>
            <w:vAlign w:val="bottom"/>
          </w:tcPr>
          <w:p w14:paraId="1339EA8A" w14:textId="77777777" w:rsidR="00A97D77" w:rsidRPr="00D443D2" w:rsidRDefault="00A97D77" w:rsidP="003B7C74">
            <w:pPr>
              <w:pStyle w:val="TableColumnHeadingLeft"/>
              <w:spacing w:before="30" w:after="30"/>
            </w:pPr>
            <w:r w:rsidRPr="00D443D2">
              <w:t>14</w:t>
            </w:r>
          </w:p>
        </w:tc>
        <w:tc>
          <w:tcPr>
            <w:tcW w:w="731" w:type="dxa"/>
            <w:tcBorders>
              <w:top w:val="nil"/>
              <w:left w:val="nil"/>
              <w:bottom w:val="single" w:sz="2" w:space="0" w:color="000000"/>
              <w:right w:val="nil"/>
            </w:tcBorders>
            <w:vAlign w:val="bottom"/>
          </w:tcPr>
          <w:p w14:paraId="2FE772D2" w14:textId="77777777" w:rsidR="00A97D77" w:rsidRPr="00A97D77" w:rsidRDefault="00A97D77" w:rsidP="003B7C74">
            <w:pPr>
              <w:pStyle w:val="TableTextRight"/>
              <w:spacing w:before="30" w:after="30"/>
              <w:rPr>
                <w:snapToGrid w:val="0"/>
                <w:lang w:val="en-US"/>
              </w:rPr>
            </w:pPr>
            <w:r w:rsidRPr="00A97D77">
              <w:rPr>
                <w:snapToGrid w:val="0"/>
                <w:lang w:val="en-US"/>
              </w:rPr>
              <w:t>1.833</w:t>
            </w:r>
          </w:p>
        </w:tc>
        <w:tc>
          <w:tcPr>
            <w:tcW w:w="728" w:type="dxa"/>
            <w:tcBorders>
              <w:top w:val="nil"/>
              <w:left w:val="nil"/>
              <w:bottom w:val="single" w:sz="2" w:space="0" w:color="000000"/>
              <w:right w:val="nil"/>
            </w:tcBorders>
            <w:vAlign w:val="bottom"/>
          </w:tcPr>
          <w:p w14:paraId="5D2CAF17" w14:textId="77777777" w:rsidR="00A97D77" w:rsidRPr="00A97D77" w:rsidRDefault="00A97D77" w:rsidP="003B7C74">
            <w:pPr>
              <w:pStyle w:val="TableTextRight"/>
              <w:spacing w:before="30" w:after="30"/>
              <w:rPr>
                <w:snapToGrid w:val="0"/>
                <w:lang w:val="en-US"/>
              </w:rPr>
            </w:pPr>
            <w:r w:rsidRPr="00A97D77">
              <w:rPr>
                <w:snapToGrid w:val="0"/>
                <w:lang w:val="en-US"/>
              </w:rPr>
              <w:t>1.755</w:t>
            </w:r>
          </w:p>
        </w:tc>
        <w:tc>
          <w:tcPr>
            <w:tcW w:w="728" w:type="dxa"/>
            <w:tcBorders>
              <w:top w:val="nil"/>
              <w:left w:val="nil"/>
              <w:bottom w:val="single" w:sz="2" w:space="0" w:color="000000"/>
              <w:right w:val="nil"/>
            </w:tcBorders>
            <w:vAlign w:val="bottom"/>
          </w:tcPr>
          <w:p w14:paraId="1645E62A" w14:textId="77777777" w:rsidR="00A97D77" w:rsidRPr="00A97D77" w:rsidRDefault="00A97D77" w:rsidP="003B7C74">
            <w:pPr>
              <w:pStyle w:val="TableTextRight"/>
              <w:spacing w:before="30" w:after="30"/>
              <w:rPr>
                <w:snapToGrid w:val="0"/>
                <w:lang w:val="en-US"/>
              </w:rPr>
            </w:pPr>
            <w:r w:rsidRPr="00A97D77">
              <w:rPr>
                <w:snapToGrid w:val="0"/>
                <w:lang w:val="en-US"/>
              </w:rPr>
              <w:t>1.565</w:t>
            </w:r>
          </w:p>
        </w:tc>
        <w:tc>
          <w:tcPr>
            <w:tcW w:w="284" w:type="dxa"/>
            <w:tcBorders>
              <w:top w:val="nil"/>
              <w:left w:val="nil"/>
              <w:bottom w:val="single" w:sz="2" w:space="0" w:color="000000"/>
              <w:right w:val="nil"/>
            </w:tcBorders>
            <w:vAlign w:val="bottom"/>
          </w:tcPr>
          <w:p w14:paraId="129BA6D0" w14:textId="77777777" w:rsidR="00A97D77" w:rsidRPr="00190D6C" w:rsidRDefault="00A97D77" w:rsidP="003B7C74">
            <w:pPr>
              <w:pStyle w:val="TableTextRight"/>
              <w:spacing w:before="30" w:after="30"/>
              <w:rPr>
                <w:snapToGrid w:val="0"/>
                <w:lang w:val="en-US"/>
              </w:rPr>
            </w:pPr>
          </w:p>
        </w:tc>
        <w:tc>
          <w:tcPr>
            <w:tcW w:w="729" w:type="dxa"/>
            <w:tcBorders>
              <w:top w:val="nil"/>
              <w:left w:val="nil"/>
              <w:bottom w:val="single" w:sz="2" w:space="0" w:color="000000"/>
              <w:right w:val="nil"/>
            </w:tcBorders>
            <w:vAlign w:val="bottom"/>
          </w:tcPr>
          <w:p w14:paraId="785B2CF6" w14:textId="77777777" w:rsidR="00A97D77" w:rsidRPr="00A97D77" w:rsidRDefault="00A97D77" w:rsidP="003B7C74">
            <w:pPr>
              <w:pStyle w:val="TableTextRight"/>
              <w:spacing w:before="30" w:after="30"/>
              <w:rPr>
                <w:snapToGrid w:val="0"/>
                <w:lang w:val="en-US"/>
              </w:rPr>
            </w:pPr>
            <w:r w:rsidRPr="00A97D77">
              <w:rPr>
                <w:snapToGrid w:val="0"/>
                <w:lang w:val="en-US"/>
              </w:rPr>
              <w:t>2.510</w:t>
            </w:r>
          </w:p>
        </w:tc>
        <w:tc>
          <w:tcPr>
            <w:tcW w:w="728" w:type="dxa"/>
            <w:tcBorders>
              <w:top w:val="nil"/>
              <w:left w:val="nil"/>
              <w:bottom w:val="single" w:sz="2" w:space="0" w:color="000000"/>
              <w:right w:val="nil"/>
            </w:tcBorders>
            <w:vAlign w:val="bottom"/>
          </w:tcPr>
          <w:p w14:paraId="5CD8CA6F" w14:textId="77777777" w:rsidR="00A97D77" w:rsidRPr="00A97D77" w:rsidRDefault="00A97D77" w:rsidP="003B7C74">
            <w:pPr>
              <w:pStyle w:val="TableTextRight"/>
              <w:spacing w:before="30" w:after="30"/>
              <w:rPr>
                <w:snapToGrid w:val="0"/>
                <w:lang w:val="en-US"/>
              </w:rPr>
            </w:pPr>
            <w:r w:rsidRPr="00A97D77">
              <w:rPr>
                <w:snapToGrid w:val="0"/>
                <w:lang w:val="en-US"/>
              </w:rPr>
              <w:t>2.322</w:t>
            </w:r>
          </w:p>
        </w:tc>
        <w:tc>
          <w:tcPr>
            <w:tcW w:w="728" w:type="dxa"/>
            <w:tcBorders>
              <w:top w:val="nil"/>
              <w:left w:val="nil"/>
              <w:bottom w:val="single" w:sz="2" w:space="0" w:color="000000"/>
              <w:right w:val="nil"/>
            </w:tcBorders>
            <w:vAlign w:val="bottom"/>
          </w:tcPr>
          <w:p w14:paraId="03DAE1EA" w14:textId="77777777" w:rsidR="00A97D77" w:rsidRPr="00A97D77" w:rsidRDefault="00A97D77" w:rsidP="003B7C74">
            <w:pPr>
              <w:pStyle w:val="TableTextRight"/>
              <w:spacing w:before="30" w:after="30"/>
              <w:rPr>
                <w:snapToGrid w:val="0"/>
                <w:lang w:val="en-US"/>
              </w:rPr>
            </w:pPr>
            <w:r w:rsidRPr="00A97D77">
              <w:rPr>
                <w:snapToGrid w:val="0"/>
                <w:lang w:val="en-US"/>
              </w:rPr>
              <w:t>2.196</w:t>
            </w:r>
          </w:p>
        </w:tc>
        <w:tc>
          <w:tcPr>
            <w:tcW w:w="284" w:type="dxa"/>
            <w:tcBorders>
              <w:top w:val="nil"/>
              <w:left w:val="nil"/>
              <w:bottom w:val="single" w:sz="2" w:space="0" w:color="000000"/>
              <w:right w:val="nil"/>
            </w:tcBorders>
            <w:vAlign w:val="bottom"/>
          </w:tcPr>
          <w:p w14:paraId="7F197C76" w14:textId="77777777" w:rsidR="00A97D77" w:rsidRPr="000E13F8" w:rsidRDefault="00A97D77" w:rsidP="003B7C74">
            <w:pPr>
              <w:pStyle w:val="TableTextRight"/>
              <w:spacing w:before="30" w:after="30"/>
              <w:rPr>
                <w:snapToGrid w:val="0"/>
                <w:lang w:val="en-US"/>
              </w:rPr>
            </w:pPr>
          </w:p>
        </w:tc>
        <w:tc>
          <w:tcPr>
            <w:tcW w:w="797" w:type="dxa"/>
            <w:tcBorders>
              <w:top w:val="nil"/>
              <w:left w:val="nil"/>
              <w:bottom w:val="single" w:sz="2" w:space="0" w:color="000000"/>
              <w:right w:val="nil"/>
            </w:tcBorders>
            <w:vAlign w:val="bottom"/>
          </w:tcPr>
          <w:p w14:paraId="0FC8AC63" w14:textId="77777777" w:rsidR="00A97D77" w:rsidRPr="00D443D2" w:rsidRDefault="00A97D77" w:rsidP="003B7C74">
            <w:pPr>
              <w:pStyle w:val="TableTextRight"/>
              <w:spacing w:before="30" w:after="30"/>
              <w:rPr>
                <w:snapToGrid w:val="0"/>
                <w:lang w:val="en-US"/>
              </w:rPr>
            </w:pPr>
            <w:r w:rsidRPr="00D443D2">
              <w:rPr>
                <w:snapToGrid w:val="0"/>
                <w:lang w:val="en-US"/>
              </w:rPr>
              <w:t>1.557</w:t>
            </w:r>
          </w:p>
        </w:tc>
        <w:tc>
          <w:tcPr>
            <w:tcW w:w="284" w:type="dxa"/>
            <w:tcBorders>
              <w:top w:val="nil"/>
              <w:left w:val="nil"/>
              <w:bottom w:val="single" w:sz="2" w:space="0" w:color="000000"/>
              <w:right w:val="nil"/>
            </w:tcBorders>
            <w:vAlign w:val="bottom"/>
          </w:tcPr>
          <w:p w14:paraId="208A0CA3"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vAlign w:val="bottom"/>
          </w:tcPr>
          <w:p w14:paraId="6B13854E" w14:textId="77777777" w:rsidR="00A97D77" w:rsidRPr="0045232E" w:rsidRDefault="00A97D77" w:rsidP="003B7C74">
            <w:pPr>
              <w:pStyle w:val="TableTextRight"/>
              <w:spacing w:before="30" w:after="30"/>
              <w:rPr>
                <w:snapToGrid w:val="0"/>
                <w:lang w:val="en-US"/>
              </w:rPr>
            </w:pPr>
            <w:r w:rsidRPr="0045232E">
              <w:rPr>
                <w:snapToGrid w:val="0"/>
                <w:lang w:val="en-US"/>
              </w:rPr>
              <w:t>1.583</w:t>
            </w:r>
          </w:p>
        </w:tc>
      </w:tr>
    </w:tbl>
    <w:p w14:paraId="451CFD16" w14:textId="588E8B39" w:rsidR="0062476A" w:rsidRDefault="0062476A">
      <w:pPr>
        <w:rPr>
          <w:b/>
        </w:rPr>
      </w:pPr>
      <w:r>
        <w:rPr>
          <w:b/>
        </w:rPr>
        <w:br w:type="page"/>
      </w:r>
    </w:p>
    <w:p w14:paraId="5A25006F" w14:textId="28C3C49E" w:rsidR="0062476A" w:rsidRDefault="0062476A" w:rsidP="0062476A">
      <w:pPr>
        <w:pStyle w:val="TableMainHeading-Appendix"/>
      </w:pPr>
      <w:r>
        <w:lastRenderedPageBreak/>
        <w:t>Salary progression — male and female MSBS officers (continued)</w:t>
      </w:r>
    </w:p>
    <w:tbl>
      <w:tblPr>
        <w:tblW w:w="7699" w:type="dxa"/>
        <w:tblInd w:w="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731"/>
        <w:gridCol w:w="728"/>
        <w:gridCol w:w="728"/>
        <w:gridCol w:w="294"/>
        <w:gridCol w:w="714"/>
        <w:gridCol w:w="728"/>
        <w:gridCol w:w="728"/>
        <w:gridCol w:w="293"/>
        <w:gridCol w:w="784"/>
        <w:gridCol w:w="294"/>
        <w:gridCol w:w="798"/>
      </w:tblGrid>
      <w:tr w:rsidR="0062476A" w:rsidRPr="00B85C14" w14:paraId="0AE1A7D2" w14:textId="77777777" w:rsidTr="0062476A">
        <w:tc>
          <w:tcPr>
            <w:tcW w:w="879" w:type="dxa"/>
            <w:tcBorders>
              <w:top w:val="single" w:sz="4" w:space="0" w:color="auto"/>
              <w:left w:val="nil"/>
              <w:bottom w:val="nil"/>
              <w:right w:val="nil"/>
            </w:tcBorders>
            <w:shd w:val="clear" w:color="auto" w:fill="E6E6E6"/>
          </w:tcPr>
          <w:p w14:paraId="729ABBA5" w14:textId="77777777" w:rsidR="0062476A" w:rsidRDefault="0062476A" w:rsidP="00EE22F6">
            <w:pPr>
              <w:pStyle w:val="TableColumnHeadingLeft"/>
            </w:pPr>
          </w:p>
        </w:tc>
        <w:tc>
          <w:tcPr>
            <w:tcW w:w="2187" w:type="dxa"/>
            <w:gridSpan w:val="3"/>
            <w:tcBorders>
              <w:top w:val="single" w:sz="4" w:space="0" w:color="auto"/>
              <w:left w:val="nil"/>
              <w:bottom w:val="single" w:sz="4" w:space="0" w:color="auto"/>
              <w:right w:val="nil"/>
            </w:tcBorders>
            <w:shd w:val="clear" w:color="auto" w:fill="E6E6E6"/>
          </w:tcPr>
          <w:p w14:paraId="351D8B8C" w14:textId="77777777" w:rsidR="0062476A" w:rsidRDefault="0062476A" w:rsidP="00EE22F6">
            <w:pPr>
              <w:pStyle w:val="TableColumnHeadingRight"/>
              <w:jc w:val="center"/>
            </w:pPr>
            <w:r>
              <w:t>MSBS Officers</w:t>
            </w:r>
          </w:p>
        </w:tc>
        <w:tc>
          <w:tcPr>
            <w:tcW w:w="294" w:type="dxa"/>
            <w:vMerge w:val="restart"/>
            <w:tcBorders>
              <w:top w:val="single" w:sz="4" w:space="0" w:color="auto"/>
              <w:left w:val="nil"/>
              <w:right w:val="nil"/>
            </w:tcBorders>
            <w:shd w:val="clear" w:color="auto" w:fill="E6E6E6"/>
          </w:tcPr>
          <w:p w14:paraId="497F5532" w14:textId="77777777" w:rsidR="0062476A" w:rsidRDefault="0062476A" w:rsidP="00EE22F6">
            <w:pPr>
              <w:pStyle w:val="TableColumnHeadingRight"/>
            </w:pPr>
          </w:p>
        </w:tc>
        <w:tc>
          <w:tcPr>
            <w:tcW w:w="2170" w:type="dxa"/>
            <w:gridSpan w:val="3"/>
            <w:tcBorders>
              <w:top w:val="single" w:sz="4" w:space="0" w:color="auto"/>
              <w:left w:val="nil"/>
              <w:bottom w:val="single" w:sz="4" w:space="0" w:color="auto"/>
              <w:right w:val="nil"/>
            </w:tcBorders>
            <w:shd w:val="clear" w:color="auto" w:fill="E6E6E6"/>
          </w:tcPr>
          <w:p w14:paraId="34F4491D" w14:textId="77777777" w:rsidR="0062476A" w:rsidRDefault="0062476A" w:rsidP="00EE22F6">
            <w:pPr>
              <w:pStyle w:val="TableColumnHeadingRight"/>
              <w:jc w:val="center"/>
            </w:pPr>
            <w:r>
              <w:t>MSBS Cadets</w:t>
            </w:r>
          </w:p>
        </w:tc>
        <w:tc>
          <w:tcPr>
            <w:tcW w:w="293" w:type="dxa"/>
            <w:vMerge w:val="restart"/>
            <w:tcBorders>
              <w:top w:val="single" w:sz="4" w:space="0" w:color="auto"/>
              <w:left w:val="nil"/>
              <w:right w:val="nil"/>
            </w:tcBorders>
            <w:shd w:val="clear" w:color="auto" w:fill="E6E6E6"/>
          </w:tcPr>
          <w:p w14:paraId="1AA5B13C" w14:textId="77777777" w:rsidR="0062476A" w:rsidRDefault="0062476A" w:rsidP="00EE22F6">
            <w:pPr>
              <w:pStyle w:val="TableColumnHeadingRight"/>
            </w:pPr>
          </w:p>
        </w:tc>
        <w:tc>
          <w:tcPr>
            <w:tcW w:w="784" w:type="dxa"/>
            <w:vMerge w:val="restart"/>
            <w:tcBorders>
              <w:top w:val="single" w:sz="4" w:space="0" w:color="auto"/>
              <w:left w:val="nil"/>
              <w:right w:val="nil"/>
            </w:tcBorders>
            <w:shd w:val="clear" w:color="auto" w:fill="E6E6E6"/>
            <w:vAlign w:val="center"/>
          </w:tcPr>
          <w:p w14:paraId="618CFA26" w14:textId="77777777" w:rsidR="0062476A" w:rsidRPr="00B85C14" w:rsidRDefault="0062476A" w:rsidP="00EE22F6">
            <w:pPr>
              <w:pStyle w:val="TableColumnHeadingRight"/>
            </w:pPr>
            <w:r>
              <w:t>DFRDB Officers</w:t>
            </w:r>
          </w:p>
        </w:tc>
        <w:tc>
          <w:tcPr>
            <w:tcW w:w="294" w:type="dxa"/>
            <w:vMerge w:val="restart"/>
            <w:tcBorders>
              <w:top w:val="single" w:sz="4" w:space="0" w:color="auto"/>
              <w:left w:val="nil"/>
              <w:right w:val="nil"/>
            </w:tcBorders>
            <w:shd w:val="clear" w:color="auto" w:fill="E6E6E6"/>
            <w:vAlign w:val="center"/>
          </w:tcPr>
          <w:p w14:paraId="78657C36" w14:textId="77777777" w:rsidR="0062476A" w:rsidRPr="00B85C14" w:rsidRDefault="0062476A" w:rsidP="00EE22F6">
            <w:pPr>
              <w:pStyle w:val="TableColumnHeadingRight"/>
            </w:pPr>
          </w:p>
        </w:tc>
        <w:tc>
          <w:tcPr>
            <w:tcW w:w="798" w:type="dxa"/>
            <w:vMerge w:val="restart"/>
            <w:tcBorders>
              <w:top w:val="single" w:sz="4" w:space="0" w:color="auto"/>
              <w:left w:val="nil"/>
              <w:right w:val="nil"/>
            </w:tcBorders>
            <w:shd w:val="clear" w:color="auto" w:fill="E6E6E6"/>
            <w:vAlign w:val="center"/>
          </w:tcPr>
          <w:p w14:paraId="685B1FD9" w14:textId="77777777" w:rsidR="0062476A" w:rsidRPr="00B85C14" w:rsidRDefault="0062476A" w:rsidP="00EE22F6">
            <w:pPr>
              <w:pStyle w:val="TableColumnHeadingRight"/>
            </w:pPr>
            <w:r>
              <w:t>Other Ranks</w:t>
            </w:r>
          </w:p>
        </w:tc>
      </w:tr>
      <w:tr w:rsidR="0062476A" w:rsidRPr="00B85C14" w14:paraId="49082821" w14:textId="77777777" w:rsidTr="0062476A">
        <w:tc>
          <w:tcPr>
            <w:tcW w:w="879" w:type="dxa"/>
            <w:tcBorders>
              <w:top w:val="nil"/>
              <w:left w:val="nil"/>
              <w:bottom w:val="single" w:sz="2" w:space="0" w:color="000000"/>
              <w:right w:val="nil"/>
            </w:tcBorders>
            <w:shd w:val="clear" w:color="auto" w:fill="E6E6E6"/>
          </w:tcPr>
          <w:p w14:paraId="0DEFCA8E" w14:textId="77777777" w:rsidR="0062476A" w:rsidRPr="00B85C14" w:rsidRDefault="0062476A" w:rsidP="00EE22F6">
            <w:pPr>
              <w:pStyle w:val="TableColumnHeadingLeft"/>
            </w:pPr>
            <w:r>
              <w:t>Duration</w:t>
            </w:r>
          </w:p>
        </w:tc>
        <w:tc>
          <w:tcPr>
            <w:tcW w:w="731" w:type="dxa"/>
            <w:tcBorders>
              <w:top w:val="single" w:sz="4" w:space="0" w:color="auto"/>
              <w:left w:val="nil"/>
              <w:bottom w:val="single" w:sz="2" w:space="0" w:color="000000"/>
              <w:right w:val="nil"/>
            </w:tcBorders>
            <w:shd w:val="clear" w:color="auto" w:fill="E6E6E6"/>
          </w:tcPr>
          <w:p w14:paraId="433A63F5" w14:textId="77777777" w:rsidR="0062476A" w:rsidRPr="00B85C14" w:rsidRDefault="0062476A" w:rsidP="00EE22F6">
            <w:pPr>
              <w:pStyle w:val="TableColumnHeadingRight"/>
            </w:pPr>
            <w:r>
              <w:t>Entry Age 20</w:t>
            </w:r>
          </w:p>
        </w:tc>
        <w:tc>
          <w:tcPr>
            <w:tcW w:w="728" w:type="dxa"/>
            <w:tcBorders>
              <w:top w:val="single" w:sz="4" w:space="0" w:color="auto"/>
              <w:left w:val="nil"/>
              <w:bottom w:val="single" w:sz="2" w:space="0" w:color="000000"/>
              <w:right w:val="nil"/>
            </w:tcBorders>
            <w:shd w:val="clear" w:color="auto" w:fill="E6E6E6"/>
          </w:tcPr>
          <w:p w14:paraId="32197496" w14:textId="77777777" w:rsidR="0062476A" w:rsidRPr="00B85C14" w:rsidRDefault="0062476A" w:rsidP="00EE22F6">
            <w:pPr>
              <w:pStyle w:val="TableColumnHeadingRight"/>
            </w:pPr>
            <w:r>
              <w:t>Entry Age 20</w:t>
            </w:r>
          </w:p>
        </w:tc>
        <w:tc>
          <w:tcPr>
            <w:tcW w:w="728" w:type="dxa"/>
            <w:tcBorders>
              <w:top w:val="single" w:sz="4" w:space="0" w:color="auto"/>
              <w:left w:val="nil"/>
              <w:bottom w:val="single" w:sz="2" w:space="0" w:color="000000"/>
              <w:right w:val="nil"/>
            </w:tcBorders>
            <w:shd w:val="clear" w:color="auto" w:fill="E6E6E6"/>
          </w:tcPr>
          <w:p w14:paraId="159A7C61" w14:textId="77777777" w:rsidR="0062476A" w:rsidRPr="00B85C14" w:rsidRDefault="0062476A" w:rsidP="00EE22F6">
            <w:pPr>
              <w:pStyle w:val="TableColumnHeadingRight"/>
            </w:pPr>
            <w:r>
              <w:t>Entry Age 27</w:t>
            </w:r>
          </w:p>
        </w:tc>
        <w:tc>
          <w:tcPr>
            <w:tcW w:w="294" w:type="dxa"/>
            <w:vMerge/>
            <w:tcBorders>
              <w:left w:val="nil"/>
              <w:bottom w:val="single" w:sz="2" w:space="0" w:color="000000"/>
              <w:right w:val="nil"/>
            </w:tcBorders>
            <w:shd w:val="clear" w:color="auto" w:fill="E6E6E6"/>
          </w:tcPr>
          <w:p w14:paraId="62A25F91" w14:textId="77777777" w:rsidR="0062476A" w:rsidRPr="00B85C14" w:rsidRDefault="0062476A" w:rsidP="00EE22F6">
            <w:pPr>
              <w:pStyle w:val="TableColumnHeadingRight"/>
            </w:pPr>
          </w:p>
        </w:tc>
        <w:tc>
          <w:tcPr>
            <w:tcW w:w="714" w:type="dxa"/>
            <w:tcBorders>
              <w:top w:val="single" w:sz="4" w:space="0" w:color="auto"/>
              <w:left w:val="nil"/>
              <w:bottom w:val="single" w:sz="2" w:space="0" w:color="000000"/>
              <w:right w:val="nil"/>
            </w:tcBorders>
            <w:shd w:val="clear" w:color="auto" w:fill="E6E6E6"/>
          </w:tcPr>
          <w:p w14:paraId="0A391EB6" w14:textId="77777777" w:rsidR="0062476A" w:rsidRPr="00B85C14" w:rsidRDefault="0062476A" w:rsidP="00EE22F6">
            <w:pPr>
              <w:pStyle w:val="TableColumnHeadingRight"/>
            </w:pPr>
            <w:r>
              <w:t>Entry Age 18</w:t>
            </w:r>
          </w:p>
        </w:tc>
        <w:tc>
          <w:tcPr>
            <w:tcW w:w="728" w:type="dxa"/>
            <w:tcBorders>
              <w:top w:val="single" w:sz="4" w:space="0" w:color="auto"/>
              <w:left w:val="nil"/>
              <w:bottom w:val="single" w:sz="2" w:space="0" w:color="000000"/>
              <w:right w:val="nil"/>
            </w:tcBorders>
            <w:shd w:val="clear" w:color="auto" w:fill="E6E6E6"/>
          </w:tcPr>
          <w:p w14:paraId="4C5BE836" w14:textId="77777777" w:rsidR="0062476A" w:rsidRPr="00B85C14" w:rsidRDefault="0062476A" w:rsidP="00EE22F6">
            <w:pPr>
              <w:pStyle w:val="TableColumnHeadingRight"/>
            </w:pPr>
            <w:r>
              <w:t>Entry Age 21</w:t>
            </w:r>
          </w:p>
        </w:tc>
        <w:tc>
          <w:tcPr>
            <w:tcW w:w="728" w:type="dxa"/>
            <w:tcBorders>
              <w:top w:val="single" w:sz="4" w:space="0" w:color="auto"/>
              <w:left w:val="nil"/>
              <w:bottom w:val="single" w:sz="2" w:space="0" w:color="000000"/>
              <w:right w:val="nil"/>
            </w:tcBorders>
            <w:shd w:val="clear" w:color="auto" w:fill="E6E6E6"/>
          </w:tcPr>
          <w:p w14:paraId="7CE82D04" w14:textId="77777777" w:rsidR="0062476A" w:rsidRPr="00B85C14" w:rsidRDefault="0062476A" w:rsidP="00EE22F6">
            <w:pPr>
              <w:pStyle w:val="TableColumnHeadingRight"/>
            </w:pPr>
            <w:r>
              <w:t>Entry Age 25</w:t>
            </w:r>
          </w:p>
        </w:tc>
        <w:tc>
          <w:tcPr>
            <w:tcW w:w="293" w:type="dxa"/>
            <w:vMerge/>
            <w:tcBorders>
              <w:left w:val="nil"/>
              <w:bottom w:val="single" w:sz="2" w:space="0" w:color="000000"/>
              <w:right w:val="nil"/>
            </w:tcBorders>
            <w:shd w:val="clear" w:color="auto" w:fill="E6E6E6"/>
          </w:tcPr>
          <w:p w14:paraId="7213E4A4" w14:textId="77777777" w:rsidR="0062476A" w:rsidRPr="00B85C14" w:rsidRDefault="0062476A" w:rsidP="00EE22F6">
            <w:pPr>
              <w:pStyle w:val="TableColumnHeadingRight"/>
            </w:pPr>
          </w:p>
        </w:tc>
        <w:tc>
          <w:tcPr>
            <w:tcW w:w="784" w:type="dxa"/>
            <w:vMerge/>
            <w:tcBorders>
              <w:left w:val="nil"/>
              <w:bottom w:val="single" w:sz="2" w:space="0" w:color="000000"/>
              <w:right w:val="nil"/>
            </w:tcBorders>
            <w:shd w:val="clear" w:color="auto" w:fill="E6E6E6"/>
          </w:tcPr>
          <w:p w14:paraId="003760E4" w14:textId="77777777" w:rsidR="0062476A" w:rsidRPr="00B85C14" w:rsidRDefault="0062476A" w:rsidP="00EE22F6">
            <w:pPr>
              <w:pStyle w:val="TableColumnHeadingRight"/>
            </w:pPr>
          </w:p>
        </w:tc>
        <w:tc>
          <w:tcPr>
            <w:tcW w:w="294" w:type="dxa"/>
            <w:vMerge/>
            <w:tcBorders>
              <w:left w:val="nil"/>
              <w:bottom w:val="single" w:sz="2" w:space="0" w:color="000000"/>
              <w:right w:val="nil"/>
            </w:tcBorders>
            <w:shd w:val="clear" w:color="auto" w:fill="E6E6E6"/>
          </w:tcPr>
          <w:p w14:paraId="678CC14D" w14:textId="77777777" w:rsidR="0062476A" w:rsidRPr="00B85C14" w:rsidRDefault="0062476A" w:rsidP="00EE22F6">
            <w:pPr>
              <w:pStyle w:val="TableColumnHeadingRight"/>
            </w:pPr>
          </w:p>
        </w:tc>
        <w:tc>
          <w:tcPr>
            <w:tcW w:w="798" w:type="dxa"/>
            <w:vMerge/>
            <w:tcBorders>
              <w:left w:val="nil"/>
              <w:bottom w:val="single" w:sz="2" w:space="0" w:color="000000"/>
              <w:right w:val="nil"/>
            </w:tcBorders>
            <w:shd w:val="clear" w:color="auto" w:fill="E6E6E6"/>
          </w:tcPr>
          <w:p w14:paraId="1DE082D7" w14:textId="77777777" w:rsidR="0062476A" w:rsidRPr="00B85C14" w:rsidRDefault="0062476A" w:rsidP="00EE22F6">
            <w:pPr>
              <w:pStyle w:val="TableColumnHeadingRight"/>
            </w:pPr>
          </w:p>
        </w:tc>
      </w:tr>
      <w:tr w:rsidR="002D2737" w:rsidRPr="00B85C14" w14:paraId="151C7108" w14:textId="77777777" w:rsidTr="0062476A">
        <w:tc>
          <w:tcPr>
            <w:tcW w:w="879" w:type="dxa"/>
            <w:tcBorders>
              <w:top w:val="single" w:sz="2" w:space="0" w:color="000000"/>
              <w:left w:val="nil"/>
              <w:bottom w:val="nil"/>
              <w:right w:val="nil"/>
            </w:tcBorders>
            <w:shd w:val="clear" w:color="auto" w:fill="F2F2F2" w:themeFill="background1" w:themeFillShade="F2"/>
            <w:vAlign w:val="bottom"/>
          </w:tcPr>
          <w:p w14:paraId="51E0B259" w14:textId="6D1E7936" w:rsidR="00A97D77" w:rsidRPr="00D443D2" w:rsidRDefault="00A97D77" w:rsidP="003B7C74">
            <w:pPr>
              <w:pStyle w:val="TableColumnHeadingLeft"/>
              <w:spacing w:before="30" w:after="30"/>
            </w:pPr>
            <w:r w:rsidRPr="00D443D2">
              <w:t>15</w:t>
            </w:r>
          </w:p>
        </w:tc>
        <w:tc>
          <w:tcPr>
            <w:tcW w:w="731" w:type="dxa"/>
            <w:tcBorders>
              <w:top w:val="single" w:sz="2" w:space="0" w:color="000000"/>
              <w:left w:val="nil"/>
              <w:bottom w:val="nil"/>
              <w:right w:val="nil"/>
            </w:tcBorders>
            <w:shd w:val="clear" w:color="auto" w:fill="F2F2F2" w:themeFill="background1" w:themeFillShade="F2"/>
            <w:vAlign w:val="bottom"/>
          </w:tcPr>
          <w:p w14:paraId="3426DA3F" w14:textId="77777777" w:rsidR="00A97D77" w:rsidRPr="00A97D77" w:rsidRDefault="00A97D77" w:rsidP="003B7C74">
            <w:pPr>
              <w:pStyle w:val="TableTextRight"/>
              <w:spacing w:before="30" w:after="30"/>
              <w:rPr>
                <w:snapToGrid w:val="0"/>
                <w:lang w:val="en-US"/>
              </w:rPr>
            </w:pPr>
            <w:r w:rsidRPr="00A97D77">
              <w:rPr>
                <w:snapToGrid w:val="0"/>
                <w:lang w:val="en-US"/>
              </w:rPr>
              <w:t>1.867</w:t>
            </w:r>
          </w:p>
        </w:tc>
        <w:tc>
          <w:tcPr>
            <w:tcW w:w="728" w:type="dxa"/>
            <w:tcBorders>
              <w:top w:val="single" w:sz="2" w:space="0" w:color="000000"/>
              <w:left w:val="nil"/>
              <w:bottom w:val="nil"/>
              <w:right w:val="nil"/>
            </w:tcBorders>
            <w:shd w:val="clear" w:color="auto" w:fill="F2F2F2" w:themeFill="background1" w:themeFillShade="F2"/>
            <w:vAlign w:val="bottom"/>
          </w:tcPr>
          <w:p w14:paraId="518F7B87" w14:textId="77777777" w:rsidR="00A97D77" w:rsidRPr="00A97D77" w:rsidRDefault="00A97D77" w:rsidP="003B7C74">
            <w:pPr>
              <w:pStyle w:val="TableTextRight"/>
              <w:spacing w:before="30" w:after="30"/>
              <w:rPr>
                <w:snapToGrid w:val="0"/>
                <w:lang w:val="en-US"/>
              </w:rPr>
            </w:pPr>
            <w:r w:rsidRPr="00A97D77">
              <w:rPr>
                <w:snapToGrid w:val="0"/>
                <w:lang w:val="en-US"/>
              </w:rPr>
              <w:t>1.789</w:t>
            </w:r>
          </w:p>
        </w:tc>
        <w:tc>
          <w:tcPr>
            <w:tcW w:w="728" w:type="dxa"/>
            <w:tcBorders>
              <w:top w:val="single" w:sz="2" w:space="0" w:color="000000"/>
              <w:left w:val="nil"/>
              <w:bottom w:val="nil"/>
              <w:right w:val="nil"/>
            </w:tcBorders>
            <w:shd w:val="clear" w:color="auto" w:fill="F2F2F2" w:themeFill="background1" w:themeFillShade="F2"/>
            <w:vAlign w:val="bottom"/>
          </w:tcPr>
          <w:p w14:paraId="0882BF51" w14:textId="77777777" w:rsidR="00A97D77" w:rsidRPr="00A97D77" w:rsidRDefault="00A97D77" w:rsidP="003B7C74">
            <w:pPr>
              <w:pStyle w:val="TableTextRight"/>
              <w:spacing w:before="30" w:after="30"/>
              <w:rPr>
                <w:snapToGrid w:val="0"/>
                <w:lang w:val="en-US"/>
              </w:rPr>
            </w:pPr>
            <w:r w:rsidRPr="00A97D77">
              <w:rPr>
                <w:snapToGrid w:val="0"/>
                <w:lang w:val="en-US"/>
              </w:rPr>
              <w:t>1.596</w:t>
            </w:r>
          </w:p>
        </w:tc>
        <w:tc>
          <w:tcPr>
            <w:tcW w:w="294" w:type="dxa"/>
            <w:tcBorders>
              <w:top w:val="single" w:sz="2" w:space="0" w:color="000000"/>
              <w:left w:val="nil"/>
              <w:bottom w:val="nil"/>
              <w:right w:val="nil"/>
            </w:tcBorders>
            <w:shd w:val="clear" w:color="auto" w:fill="F2F2F2" w:themeFill="background1" w:themeFillShade="F2"/>
            <w:vAlign w:val="bottom"/>
          </w:tcPr>
          <w:p w14:paraId="1AF22EAA" w14:textId="77777777" w:rsidR="00A97D77" w:rsidRPr="00190D6C" w:rsidRDefault="00A97D77" w:rsidP="003B7C74">
            <w:pPr>
              <w:pStyle w:val="TableTextRight"/>
              <w:spacing w:before="30" w:after="30"/>
              <w:rPr>
                <w:snapToGrid w:val="0"/>
                <w:lang w:val="en-US"/>
              </w:rPr>
            </w:pPr>
          </w:p>
        </w:tc>
        <w:tc>
          <w:tcPr>
            <w:tcW w:w="714" w:type="dxa"/>
            <w:tcBorders>
              <w:top w:val="single" w:sz="2" w:space="0" w:color="000000"/>
              <w:left w:val="nil"/>
              <w:bottom w:val="nil"/>
              <w:right w:val="nil"/>
            </w:tcBorders>
            <w:shd w:val="clear" w:color="auto" w:fill="F2F2F2" w:themeFill="background1" w:themeFillShade="F2"/>
            <w:vAlign w:val="bottom"/>
          </w:tcPr>
          <w:p w14:paraId="57F4F7FD" w14:textId="77777777" w:rsidR="00A97D77" w:rsidRPr="00A97D77" w:rsidRDefault="00A97D77" w:rsidP="003B7C74">
            <w:pPr>
              <w:pStyle w:val="TableTextRight"/>
              <w:spacing w:before="30" w:after="30"/>
              <w:rPr>
                <w:snapToGrid w:val="0"/>
                <w:lang w:val="en-US"/>
              </w:rPr>
            </w:pPr>
            <w:r w:rsidRPr="00A97D77">
              <w:rPr>
                <w:snapToGrid w:val="0"/>
                <w:lang w:val="en-US"/>
              </w:rPr>
              <w:t>2.581</w:t>
            </w:r>
          </w:p>
        </w:tc>
        <w:tc>
          <w:tcPr>
            <w:tcW w:w="728" w:type="dxa"/>
            <w:tcBorders>
              <w:top w:val="single" w:sz="2" w:space="0" w:color="000000"/>
              <w:left w:val="nil"/>
              <w:bottom w:val="nil"/>
              <w:right w:val="nil"/>
            </w:tcBorders>
            <w:shd w:val="clear" w:color="auto" w:fill="F2F2F2" w:themeFill="background1" w:themeFillShade="F2"/>
            <w:vAlign w:val="bottom"/>
          </w:tcPr>
          <w:p w14:paraId="6BDA82A5" w14:textId="77777777" w:rsidR="00A97D77" w:rsidRPr="00A97D77" w:rsidRDefault="00A97D77" w:rsidP="003B7C74">
            <w:pPr>
              <w:pStyle w:val="TableTextRight"/>
              <w:spacing w:before="30" w:after="30"/>
              <w:rPr>
                <w:snapToGrid w:val="0"/>
                <w:lang w:val="en-US"/>
              </w:rPr>
            </w:pPr>
            <w:r w:rsidRPr="00A97D77">
              <w:rPr>
                <w:snapToGrid w:val="0"/>
                <w:lang w:val="en-US"/>
              </w:rPr>
              <w:t>2.387</w:t>
            </w:r>
          </w:p>
        </w:tc>
        <w:tc>
          <w:tcPr>
            <w:tcW w:w="728" w:type="dxa"/>
            <w:tcBorders>
              <w:top w:val="single" w:sz="2" w:space="0" w:color="000000"/>
              <w:left w:val="nil"/>
              <w:bottom w:val="nil"/>
              <w:right w:val="nil"/>
            </w:tcBorders>
            <w:shd w:val="clear" w:color="auto" w:fill="F2F2F2" w:themeFill="background1" w:themeFillShade="F2"/>
            <w:vAlign w:val="bottom"/>
          </w:tcPr>
          <w:p w14:paraId="38D2D6B3" w14:textId="77777777" w:rsidR="00A97D77" w:rsidRPr="00A97D77" w:rsidRDefault="00A97D77" w:rsidP="003B7C74">
            <w:pPr>
              <w:pStyle w:val="TableTextRight"/>
              <w:spacing w:before="30" w:after="30"/>
              <w:rPr>
                <w:snapToGrid w:val="0"/>
                <w:lang w:val="en-US"/>
              </w:rPr>
            </w:pPr>
            <w:r w:rsidRPr="00A97D77">
              <w:rPr>
                <w:snapToGrid w:val="0"/>
                <w:lang w:val="en-US"/>
              </w:rPr>
              <w:t>2.254</w:t>
            </w:r>
          </w:p>
        </w:tc>
        <w:tc>
          <w:tcPr>
            <w:tcW w:w="293" w:type="dxa"/>
            <w:tcBorders>
              <w:top w:val="single" w:sz="2" w:space="0" w:color="000000"/>
              <w:left w:val="nil"/>
              <w:bottom w:val="nil"/>
              <w:right w:val="nil"/>
            </w:tcBorders>
            <w:shd w:val="clear" w:color="auto" w:fill="F2F2F2" w:themeFill="background1" w:themeFillShade="F2"/>
            <w:vAlign w:val="bottom"/>
          </w:tcPr>
          <w:p w14:paraId="0B8353F1" w14:textId="77777777" w:rsidR="00A97D77" w:rsidRPr="000E13F8" w:rsidRDefault="00A97D77" w:rsidP="003B7C74">
            <w:pPr>
              <w:pStyle w:val="TableTextRight"/>
              <w:spacing w:before="30" w:after="30"/>
              <w:rPr>
                <w:snapToGrid w:val="0"/>
                <w:lang w:val="en-US"/>
              </w:rPr>
            </w:pPr>
          </w:p>
        </w:tc>
        <w:tc>
          <w:tcPr>
            <w:tcW w:w="784" w:type="dxa"/>
            <w:tcBorders>
              <w:top w:val="single" w:sz="2" w:space="0" w:color="000000"/>
              <w:left w:val="nil"/>
              <w:bottom w:val="nil"/>
              <w:right w:val="nil"/>
            </w:tcBorders>
            <w:shd w:val="clear" w:color="auto" w:fill="F2F2F2" w:themeFill="background1" w:themeFillShade="F2"/>
            <w:vAlign w:val="bottom"/>
          </w:tcPr>
          <w:p w14:paraId="4837FFE5" w14:textId="77777777" w:rsidR="00A97D77" w:rsidRPr="00D443D2" w:rsidRDefault="00A97D77" w:rsidP="003B7C74">
            <w:pPr>
              <w:pStyle w:val="TableTextRight"/>
              <w:spacing w:before="30" w:after="30"/>
              <w:rPr>
                <w:snapToGrid w:val="0"/>
                <w:lang w:val="en-US"/>
              </w:rPr>
            </w:pPr>
            <w:r w:rsidRPr="00D443D2">
              <w:rPr>
                <w:snapToGrid w:val="0"/>
                <w:lang w:val="en-US"/>
              </w:rPr>
              <w:t>1.</w:t>
            </w:r>
            <w:r>
              <w:rPr>
                <w:snapToGrid w:val="0"/>
                <w:lang w:val="en-US"/>
              </w:rPr>
              <w:t>622</w:t>
            </w:r>
          </w:p>
        </w:tc>
        <w:tc>
          <w:tcPr>
            <w:tcW w:w="294" w:type="dxa"/>
            <w:tcBorders>
              <w:top w:val="single" w:sz="2" w:space="0" w:color="000000"/>
              <w:left w:val="nil"/>
              <w:bottom w:val="nil"/>
              <w:right w:val="nil"/>
            </w:tcBorders>
            <w:shd w:val="clear" w:color="auto" w:fill="F2F2F2" w:themeFill="background1" w:themeFillShade="F2"/>
            <w:vAlign w:val="bottom"/>
          </w:tcPr>
          <w:p w14:paraId="2760C8A3"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shd w:val="clear" w:color="auto" w:fill="F2F2F2" w:themeFill="background1" w:themeFillShade="F2"/>
            <w:vAlign w:val="bottom"/>
          </w:tcPr>
          <w:p w14:paraId="46FDE3E4" w14:textId="77777777" w:rsidR="00A97D77" w:rsidRPr="0045232E" w:rsidRDefault="00A97D77" w:rsidP="003B7C74">
            <w:pPr>
              <w:pStyle w:val="TableTextRight"/>
              <w:spacing w:before="30" w:after="30"/>
              <w:rPr>
                <w:snapToGrid w:val="0"/>
                <w:lang w:val="en-US"/>
              </w:rPr>
            </w:pPr>
            <w:r w:rsidRPr="0045232E">
              <w:rPr>
                <w:snapToGrid w:val="0"/>
                <w:lang w:val="en-US"/>
              </w:rPr>
              <w:t>1.607</w:t>
            </w:r>
          </w:p>
        </w:tc>
      </w:tr>
      <w:tr w:rsidR="002D2737" w:rsidRPr="00B85C14" w14:paraId="32DAB9B9" w14:textId="77777777" w:rsidTr="0062476A">
        <w:tc>
          <w:tcPr>
            <w:tcW w:w="879" w:type="dxa"/>
            <w:tcBorders>
              <w:top w:val="nil"/>
              <w:left w:val="nil"/>
              <w:bottom w:val="nil"/>
              <w:right w:val="nil"/>
            </w:tcBorders>
            <w:shd w:val="clear" w:color="auto" w:fill="F2F2F2" w:themeFill="background1" w:themeFillShade="F2"/>
            <w:vAlign w:val="bottom"/>
          </w:tcPr>
          <w:p w14:paraId="7F28F327" w14:textId="77777777" w:rsidR="00A97D77" w:rsidRPr="00D443D2" w:rsidRDefault="00A97D77" w:rsidP="003B7C74">
            <w:pPr>
              <w:pStyle w:val="TableColumnHeadingLeft"/>
              <w:spacing w:before="30" w:after="30"/>
            </w:pPr>
            <w:r w:rsidRPr="00D443D2">
              <w:t>16</w:t>
            </w:r>
          </w:p>
        </w:tc>
        <w:tc>
          <w:tcPr>
            <w:tcW w:w="731" w:type="dxa"/>
            <w:tcBorders>
              <w:top w:val="nil"/>
              <w:left w:val="nil"/>
              <w:bottom w:val="nil"/>
              <w:right w:val="nil"/>
            </w:tcBorders>
            <w:shd w:val="clear" w:color="auto" w:fill="F2F2F2" w:themeFill="background1" w:themeFillShade="F2"/>
            <w:vAlign w:val="bottom"/>
          </w:tcPr>
          <w:p w14:paraId="610528A9" w14:textId="77777777" w:rsidR="00A97D77" w:rsidRPr="00A97D77" w:rsidRDefault="00A97D77" w:rsidP="003B7C74">
            <w:pPr>
              <w:pStyle w:val="TableTextRight"/>
              <w:spacing w:before="30" w:after="30"/>
              <w:rPr>
                <w:snapToGrid w:val="0"/>
                <w:lang w:val="en-US"/>
              </w:rPr>
            </w:pPr>
            <w:r w:rsidRPr="00A97D77">
              <w:rPr>
                <w:snapToGrid w:val="0"/>
                <w:lang w:val="en-US"/>
              </w:rPr>
              <w:t>1.897</w:t>
            </w:r>
          </w:p>
        </w:tc>
        <w:tc>
          <w:tcPr>
            <w:tcW w:w="728" w:type="dxa"/>
            <w:tcBorders>
              <w:top w:val="nil"/>
              <w:left w:val="nil"/>
              <w:bottom w:val="nil"/>
              <w:right w:val="nil"/>
            </w:tcBorders>
            <w:shd w:val="clear" w:color="auto" w:fill="F2F2F2" w:themeFill="background1" w:themeFillShade="F2"/>
            <w:vAlign w:val="bottom"/>
          </w:tcPr>
          <w:p w14:paraId="1DF5C139" w14:textId="77777777" w:rsidR="00A97D77" w:rsidRPr="00A97D77" w:rsidRDefault="00A97D77" w:rsidP="003B7C74">
            <w:pPr>
              <w:pStyle w:val="TableTextRight"/>
              <w:spacing w:before="30" w:after="30"/>
              <w:rPr>
                <w:snapToGrid w:val="0"/>
                <w:lang w:val="en-US"/>
              </w:rPr>
            </w:pPr>
            <w:r w:rsidRPr="00A97D77">
              <w:rPr>
                <w:snapToGrid w:val="0"/>
                <w:lang w:val="en-US"/>
              </w:rPr>
              <w:t>1.821</w:t>
            </w:r>
          </w:p>
        </w:tc>
        <w:tc>
          <w:tcPr>
            <w:tcW w:w="728" w:type="dxa"/>
            <w:tcBorders>
              <w:top w:val="nil"/>
              <w:left w:val="nil"/>
              <w:bottom w:val="nil"/>
              <w:right w:val="nil"/>
            </w:tcBorders>
            <w:shd w:val="clear" w:color="auto" w:fill="F2F2F2" w:themeFill="background1" w:themeFillShade="F2"/>
            <w:vAlign w:val="bottom"/>
          </w:tcPr>
          <w:p w14:paraId="78027BC6" w14:textId="77777777" w:rsidR="00A97D77" w:rsidRPr="00A97D77" w:rsidRDefault="00A97D77" w:rsidP="003B7C74">
            <w:pPr>
              <w:pStyle w:val="TableTextRight"/>
              <w:spacing w:before="30" w:after="30"/>
              <w:rPr>
                <w:snapToGrid w:val="0"/>
                <w:lang w:val="en-US"/>
              </w:rPr>
            </w:pPr>
            <w:r w:rsidRPr="00A97D77">
              <w:rPr>
                <w:snapToGrid w:val="0"/>
                <w:lang w:val="en-US"/>
              </w:rPr>
              <w:t>1.627</w:t>
            </w:r>
          </w:p>
        </w:tc>
        <w:tc>
          <w:tcPr>
            <w:tcW w:w="294" w:type="dxa"/>
            <w:tcBorders>
              <w:top w:val="nil"/>
              <w:left w:val="nil"/>
              <w:bottom w:val="nil"/>
              <w:right w:val="nil"/>
            </w:tcBorders>
            <w:shd w:val="clear" w:color="auto" w:fill="F2F2F2" w:themeFill="background1" w:themeFillShade="F2"/>
            <w:vAlign w:val="bottom"/>
          </w:tcPr>
          <w:p w14:paraId="1253537E"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21B6C64B" w14:textId="77777777" w:rsidR="00A97D77" w:rsidRPr="00A97D77" w:rsidRDefault="00A97D77" w:rsidP="003B7C74">
            <w:pPr>
              <w:pStyle w:val="TableTextRight"/>
              <w:spacing w:before="30" w:after="30"/>
              <w:rPr>
                <w:snapToGrid w:val="0"/>
                <w:lang w:val="en-US"/>
              </w:rPr>
            </w:pPr>
            <w:r w:rsidRPr="00A97D77">
              <w:rPr>
                <w:snapToGrid w:val="0"/>
                <w:lang w:val="en-US"/>
              </w:rPr>
              <w:t>2.646</w:t>
            </w:r>
          </w:p>
        </w:tc>
        <w:tc>
          <w:tcPr>
            <w:tcW w:w="728" w:type="dxa"/>
            <w:tcBorders>
              <w:top w:val="nil"/>
              <w:left w:val="nil"/>
              <w:bottom w:val="nil"/>
              <w:right w:val="nil"/>
            </w:tcBorders>
            <w:shd w:val="clear" w:color="auto" w:fill="F2F2F2" w:themeFill="background1" w:themeFillShade="F2"/>
            <w:vAlign w:val="bottom"/>
          </w:tcPr>
          <w:p w14:paraId="7BE1E397" w14:textId="77777777" w:rsidR="00A97D77" w:rsidRPr="00A97D77" w:rsidRDefault="00A97D77" w:rsidP="003B7C74">
            <w:pPr>
              <w:pStyle w:val="TableTextRight"/>
              <w:spacing w:before="30" w:after="30"/>
              <w:rPr>
                <w:snapToGrid w:val="0"/>
                <w:lang w:val="en-US"/>
              </w:rPr>
            </w:pPr>
            <w:r w:rsidRPr="00A97D77">
              <w:rPr>
                <w:snapToGrid w:val="0"/>
                <w:lang w:val="en-US"/>
              </w:rPr>
              <w:t>2.448</w:t>
            </w:r>
          </w:p>
        </w:tc>
        <w:tc>
          <w:tcPr>
            <w:tcW w:w="728" w:type="dxa"/>
            <w:tcBorders>
              <w:top w:val="nil"/>
              <w:left w:val="nil"/>
              <w:bottom w:val="nil"/>
              <w:right w:val="nil"/>
            </w:tcBorders>
            <w:shd w:val="clear" w:color="auto" w:fill="F2F2F2" w:themeFill="background1" w:themeFillShade="F2"/>
            <w:vAlign w:val="bottom"/>
          </w:tcPr>
          <w:p w14:paraId="23E5087A" w14:textId="77777777" w:rsidR="00A97D77" w:rsidRPr="00A97D77" w:rsidRDefault="00A97D77" w:rsidP="003B7C74">
            <w:pPr>
              <w:pStyle w:val="TableTextRight"/>
              <w:spacing w:before="30" w:after="30"/>
              <w:rPr>
                <w:snapToGrid w:val="0"/>
                <w:lang w:val="en-US"/>
              </w:rPr>
            </w:pPr>
            <w:r w:rsidRPr="00A97D77">
              <w:rPr>
                <w:snapToGrid w:val="0"/>
                <w:lang w:val="en-US"/>
              </w:rPr>
              <w:t>2.310</w:t>
            </w:r>
          </w:p>
        </w:tc>
        <w:tc>
          <w:tcPr>
            <w:tcW w:w="293" w:type="dxa"/>
            <w:tcBorders>
              <w:top w:val="nil"/>
              <w:left w:val="nil"/>
              <w:bottom w:val="nil"/>
              <w:right w:val="nil"/>
            </w:tcBorders>
            <w:shd w:val="clear" w:color="auto" w:fill="F2F2F2" w:themeFill="background1" w:themeFillShade="F2"/>
            <w:vAlign w:val="bottom"/>
          </w:tcPr>
          <w:p w14:paraId="2482E419"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4C755A43" w14:textId="77777777" w:rsidR="00A97D77" w:rsidRPr="00D443D2" w:rsidRDefault="00A97D77" w:rsidP="003B7C74">
            <w:pPr>
              <w:pStyle w:val="TableTextRight"/>
              <w:spacing w:before="30" w:after="30"/>
              <w:rPr>
                <w:snapToGrid w:val="0"/>
                <w:lang w:val="en-US"/>
              </w:rPr>
            </w:pPr>
            <w:r w:rsidRPr="00D443D2">
              <w:rPr>
                <w:snapToGrid w:val="0"/>
                <w:lang w:val="en-US"/>
              </w:rPr>
              <w:t>1.6</w:t>
            </w:r>
            <w:r>
              <w:rPr>
                <w:snapToGrid w:val="0"/>
                <w:lang w:val="en-US"/>
              </w:rPr>
              <w:t>89</w:t>
            </w:r>
          </w:p>
        </w:tc>
        <w:tc>
          <w:tcPr>
            <w:tcW w:w="294" w:type="dxa"/>
            <w:tcBorders>
              <w:top w:val="nil"/>
              <w:left w:val="nil"/>
              <w:bottom w:val="nil"/>
              <w:right w:val="nil"/>
            </w:tcBorders>
            <w:shd w:val="clear" w:color="auto" w:fill="F2F2F2" w:themeFill="background1" w:themeFillShade="F2"/>
            <w:vAlign w:val="bottom"/>
          </w:tcPr>
          <w:p w14:paraId="4D14AB9C"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2D084F66" w14:textId="77777777" w:rsidR="00A97D77" w:rsidRPr="0045232E" w:rsidRDefault="00A97D77" w:rsidP="003B7C74">
            <w:pPr>
              <w:pStyle w:val="TableTextRight"/>
              <w:spacing w:before="30" w:after="30"/>
              <w:rPr>
                <w:snapToGrid w:val="0"/>
                <w:lang w:val="en-US"/>
              </w:rPr>
            </w:pPr>
            <w:r w:rsidRPr="0045232E">
              <w:rPr>
                <w:snapToGrid w:val="0"/>
                <w:lang w:val="en-US"/>
              </w:rPr>
              <w:t>1.629</w:t>
            </w:r>
          </w:p>
        </w:tc>
      </w:tr>
      <w:tr w:rsidR="002D2737" w:rsidRPr="00B85C14" w14:paraId="3D2A9EF3" w14:textId="77777777" w:rsidTr="0062476A">
        <w:tc>
          <w:tcPr>
            <w:tcW w:w="879" w:type="dxa"/>
            <w:tcBorders>
              <w:top w:val="nil"/>
              <w:left w:val="nil"/>
              <w:bottom w:val="nil"/>
              <w:right w:val="nil"/>
            </w:tcBorders>
            <w:shd w:val="clear" w:color="auto" w:fill="F2F2F2" w:themeFill="background1" w:themeFillShade="F2"/>
            <w:vAlign w:val="bottom"/>
          </w:tcPr>
          <w:p w14:paraId="0C13B47E" w14:textId="77777777" w:rsidR="00A97D77" w:rsidRPr="00D443D2" w:rsidRDefault="00A97D77" w:rsidP="003B7C74">
            <w:pPr>
              <w:pStyle w:val="TableColumnHeadingLeft"/>
              <w:spacing w:before="30" w:after="30"/>
            </w:pPr>
            <w:r w:rsidRPr="00D443D2">
              <w:t>17</w:t>
            </w:r>
          </w:p>
        </w:tc>
        <w:tc>
          <w:tcPr>
            <w:tcW w:w="731" w:type="dxa"/>
            <w:tcBorders>
              <w:top w:val="nil"/>
              <w:left w:val="nil"/>
              <w:bottom w:val="nil"/>
              <w:right w:val="nil"/>
            </w:tcBorders>
            <w:shd w:val="clear" w:color="auto" w:fill="F2F2F2" w:themeFill="background1" w:themeFillShade="F2"/>
            <w:vAlign w:val="bottom"/>
          </w:tcPr>
          <w:p w14:paraId="6B0007C8" w14:textId="77777777" w:rsidR="00A97D77" w:rsidRPr="00A97D77" w:rsidRDefault="00A97D77" w:rsidP="003B7C74">
            <w:pPr>
              <w:pStyle w:val="TableTextRight"/>
              <w:spacing w:before="30" w:after="30"/>
              <w:rPr>
                <w:snapToGrid w:val="0"/>
                <w:lang w:val="en-US"/>
              </w:rPr>
            </w:pPr>
            <w:r w:rsidRPr="00A97D77">
              <w:rPr>
                <w:snapToGrid w:val="0"/>
                <w:lang w:val="en-US"/>
              </w:rPr>
              <w:t>1.923</w:t>
            </w:r>
          </w:p>
        </w:tc>
        <w:tc>
          <w:tcPr>
            <w:tcW w:w="728" w:type="dxa"/>
            <w:tcBorders>
              <w:top w:val="nil"/>
              <w:left w:val="nil"/>
              <w:bottom w:val="nil"/>
              <w:right w:val="nil"/>
            </w:tcBorders>
            <w:shd w:val="clear" w:color="auto" w:fill="F2F2F2" w:themeFill="background1" w:themeFillShade="F2"/>
            <w:vAlign w:val="bottom"/>
          </w:tcPr>
          <w:p w14:paraId="7B3784D4" w14:textId="77777777" w:rsidR="00A97D77" w:rsidRPr="00A97D77" w:rsidRDefault="00A97D77" w:rsidP="003B7C74">
            <w:pPr>
              <w:pStyle w:val="TableTextRight"/>
              <w:spacing w:before="30" w:after="30"/>
              <w:rPr>
                <w:snapToGrid w:val="0"/>
                <w:lang w:val="en-US"/>
              </w:rPr>
            </w:pPr>
            <w:r w:rsidRPr="00A97D77">
              <w:rPr>
                <w:snapToGrid w:val="0"/>
                <w:lang w:val="en-US"/>
              </w:rPr>
              <w:t>1.851</w:t>
            </w:r>
          </w:p>
        </w:tc>
        <w:tc>
          <w:tcPr>
            <w:tcW w:w="728" w:type="dxa"/>
            <w:tcBorders>
              <w:top w:val="nil"/>
              <w:left w:val="nil"/>
              <w:bottom w:val="nil"/>
              <w:right w:val="nil"/>
            </w:tcBorders>
            <w:shd w:val="clear" w:color="auto" w:fill="F2F2F2" w:themeFill="background1" w:themeFillShade="F2"/>
            <w:vAlign w:val="bottom"/>
          </w:tcPr>
          <w:p w14:paraId="1BEFBEEA" w14:textId="77777777" w:rsidR="00A97D77" w:rsidRPr="00A97D77" w:rsidRDefault="00A97D77" w:rsidP="003B7C74">
            <w:pPr>
              <w:pStyle w:val="TableTextRight"/>
              <w:spacing w:before="30" w:after="30"/>
              <w:rPr>
                <w:snapToGrid w:val="0"/>
                <w:lang w:val="en-US"/>
              </w:rPr>
            </w:pPr>
            <w:r w:rsidRPr="00A97D77">
              <w:rPr>
                <w:snapToGrid w:val="0"/>
                <w:lang w:val="en-US"/>
              </w:rPr>
              <w:t>1.656</w:t>
            </w:r>
          </w:p>
        </w:tc>
        <w:tc>
          <w:tcPr>
            <w:tcW w:w="294" w:type="dxa"/>
            <w:tcBorders>
              <w:top w:val="nil"/>
              <w:left w:val="nil"/>
              <w:bottom w:val="nil"/>
              <w:right w:val="nil"/>
            </w:tcBorders>
            <w:shd w:val="clear" w:color="auto" w:fill="F2F2F2" w:themeFill="background1" w:themeFillShade="F2"/>
            <w:vAlign w:val="bottom"/>
          </w:tcPr>
          <w:p w14:paraId="577BE143"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467DA167" w14:textId="77777777" w:rsidR="00A97D77" w:rsidRPr="00A97D77" w:rsidRDefault="00A97D77" w:rsidP="003B7C74">
            <w:pPr>
              <w:pStyle w:val="TableTextRight"/>
              <w:spacing w:before="30" w:after="30"/>
              <w:rPr>
                <w:snapToGrid w:val="0"/>
                <w:lang w:val="en-US"/>
              </w:rPr>
            </w:pPr>
            <w:r w:rsidRPr="00A97D77">
              <w:rPr>
                <w:snapToGrid w:val="0"/>
                <w:lang w:val="en-US"/>
              </w:rPr>
              <w:t>2.707</w:t>
            </w:r>
          </w:p>
        </w:tc>
        <w:tc>
          <w:tcPr>
            <w:tcW w:w="728" w:type="dxa"/>
            <w:tcBorders>
              <w:top w:val="nil"/>
              <w:left w:val="nil"/>
              <w:bottom w:val="nil"/>
              <w:right w:val="nil"/>
            </w:tcBorders>
            <w:shd w:val="clear" w:color="auto" w:fill="F2F2F2" w:themeFill="background1" w:themeFillShade="F2"/>
            <w:vAlign w:val="bottom"/>
          </w:tcPr>
          <w:p w14:paraId="5CA5D2FE" w14:textId="77777777" w:rsidR="00A97D77" w:rsidRPr="00A97D77" w:rsidRDefault="00A97D77" w:rsidP="003B7C74">
            <w:pPr>
              <w:pStyle w:val="TableTextRight"/>
              <w:spacing w:before="30" w:after="30"/>
              <w:rPr>
                <w:snapToGrid w:val="0"/>
                <w:lang w:val="en-US"/>
              </w:rPr>
            </w:pPr>
            <w:r w:rsidRPr="00A97D77">
              <w:rPr>
                <w:snapToGrid w:val="0"/>
                <w:lang w:val="en-US"/>
              </w:rPr>
              <w:t>2.504</w:t>
            </w:r>
          </w:p>
        </w:tc>
        <w:tc>
          <w:tcPr>
            <w:tcW w:w="728" w:type="dxa"/>
            <w:tcBorders>
              <w:top w:val="nil"/>
              <w:left w:val="nil"/>
              <w:bottom w:val="nil"/>
              <w:right w:val="nil"/>
            </w:tcBorders>
            <w:shd w:val="clear" w:color="auto" w:fill="F2F2F2" w:themeFill="background1" w:themeFillShade="F2"/>
            <w:vAlign w:val="bottom"/>
          </w:tcPr>
          <w:p w14:paraId="609C4DA9" w14:textId="77777777" w:rsidR="00A97D77" w:rsidRPr="00A97D77" w:rsidRDefault="00A97D77" w:rsidP="003B7C74">
            <w:pPr>
              <w:pStyle w:val="TableTextRight"/>
              <w:spacing w:before="30" w:after="30"/>
              <w:rPr>
                <w:snapToGrid w:val="0"/>
                <w:lang w:val="en-US"/>
              </w:rPr>
            </w:pPr>
            <w:r w:rsidRPr="00A97D77">
              <w:rPr>
                <w:snapToGrid w:val="0"/>
                <w:lang w:val="en-US"/>
              </w:rPr>
              <w:t>2.363</w:t>
            </w:r>
          </w:p>
        </w:tc>
        <w:tc>
          <w:tcPr>
            <w:tcW w:w="293" w:type="dxa"/>
            <w:tcBorders>
              <w:top w:val="nil"/>
              <w:left w:val="nil"/>
              <w:bottom w:val="nil"/>
              <w:right w:val="nil"/>
            </w:tcBorders>
            <w:shd w:val="clear" w:color="auto" w:fill="F2F2F2" w:themeFill="background1" w:themeFillShade="F2"/>
            <w:vAlign w:val="bottom"/>
          </w:tcPr>
          <w:p w14:paraId="675C421B"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5960ED5C" w14:textId="77777777" w:rsidR="00A97D77" w:rsidRPr="00D443D2" w:rsidRDefault="00A97D77" w:rsidP="003B7C74">
            <w:pPr>
              <w:pStyle w:val="TableTextRight"/>
              <w:spacing w:before="30" w:after="30"/>
              <w:rPr>
                <w:snapToGrid w:val="0"/>
                <w:lang w:val="en-US"/>
              </w:rPr>
            </w:pPr>
            <w:r w:rsidRPr="00D443D2">
              <w:rPr>
                <w:snapToGrid w:val="0"/>
                <w:lang w:val="en-US"/>
              </w:rPr>
              <w:t>1.</w:t>
            </w:r>
            <w:r>
              <w:rPr>
                <w:snapToGrid w:val="0"/>
                <w:lang w:val="en-US"/>
              </w:rPr>
              <w:t>755</w:t>
            </w:r>
          </w:p>
        </w:tc>
        <w:tc>
          <w:tcPr>
            <w:tcW w:w="294" w:type="dxa"/>
            <w:tcBorders>
              <w:top w:val="nil"/>
              <w:left w:val="nil"/>
              <w:bottom w:val="nil"/>
              <w:right w:val="nil"/>
            </w:tcBorders>
            <w:shd w:val="clear" w:color="auto" w:fill="F2F2F2" w:themeFill="background1" w:themeFillShade="F2"/>
            <w:vAlign w:val="bottom"/>
          </w:tcPr>
          <w:p w14:paraId="767EBD4F"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77316633" w14:textId="77777777" w:rsidR="00A97D77" w:rsidRPr="0045232E" w:rsidRDefault="00A97D77" w:rsidP="003B7C74">
            <w:pPr>
              <w:pStyle w:val="TableTextRight"/>
              <w:spacing w:before="30" w:after="30"/>
              <w:rPr>
                <w:snapToGrid w:val="0"/>
                <w:lang w:val="en-US"/>
              </w:rPr>
            </w:pPr>
            <w:r w:rsidRPr="0045232E">
              <w:rPr>
                <w:snapToGrid w:val="0"/>
                <w:lang w:val="en-US"/>
              </w:rPr>
              <w:t>1.651</w:t>
            </w:r>
          </w:p>
        </w:tc>
      </w:tr>
      <w:tr w:rsidR="002D2737" w:rsidRPr="00B85C14" w14:paraId="13E8BCFA" w14:textId="77777777" w:rsidTr="0062476A">
        <w:tc>
          <w:tcPr>
            <w:tcW w:w="879" w:type="dxa"/>
            <w:tcBorders>
              <w:top w:val="nil"/>
              <w:left w:val="nil"/>
              <w:bottom w:val="nil"/>
              <w:right w:val="nil"/>
            </w:tcBorders>
            <w:shd w:val="clear" w:color="auto" w:fill="F2F2F2" w:themeFill="background1" w:themeFillShade="F2"/>
            <w:vAlign w:val="bottom"/>
          </w:tcPr>
          <w:p w14:paraId="2720A3D3" w14:textId="77777777" w:rsidR="00A97D77" w:rsidRPr="00D443D2" w:rsidRDefault="00A97D77" w:rsidP="003B7C74">
            <w:pPr>
              <w:pStyle w:val="TableColumnHeadingLeft"/>
              <w:spacing w:before="30" w:after="30"/>
            </w:pPr>
            <w:r w:rsidRPr="00D443D2">
              <w:t>18</w:t>
            </w:r>
          </w:p>
        </w:tc>
        <w:tc>
          <w:tcPr>
            <w:tcW w:w="731" w:type="dxa"/>
            <w:tcBorders>
              <w:top w:val="nil"/>
              <w:left w:val="nil"/>
              <w:bottom w:val="nil"/>
              <w:right w:val="nil"/>
            </w:tcBorders>
            <w:shd w:val="clear" w:color="auto" w:fill="F2F2F2" w:themeFill="background1" w:themeFillShade="F2"/>
            <w:vAlign w:val="bottom"/>
          </w:tcPr>
          <w:p w14:paraId="2A399D6F" w14:textId="77777777" w:rsidR="00A97D77" w:rsidRPr="00A97D77" w:rsidRDefault="00A97D77" w:rsidP="003B7C74">
            <w:pPr>
              <w:pStyle w:val="TableTextRight"/>
              <w:spacing w:before="30" w:after="30"/>
              <w:rPr>
                <w:snapToGrid w:val="0"/>
                <w:lang w:val="en-US"/>
              </w:rPr>
            </w:pPr>
            <w:r w:rsidRPr="00A97D77">
              <w:rPr>
                <w:snapToGrid w:val="0"/>
                <w:lang w:val="en-US"/>
              </w:rPr>
              <w:t>1.946</w:t>
            </w:r>
          </w:p>
        </w:tc>
        <w:tc>
          <w:tcPr>
            <w:tcW w:w="728" w:type="dxa"/>
            <w:tcBorders>
              <w:top w:val="nil"/>
              <w:left w:val="nil"/>
              <w:bottom w:val="nil"/>
              <w:right w:val="nil"/>
            </w:tcBorders>
            <w:shd w:val="clear" w:color="auto" w:fill="F2F2F2" w:themeFill="background1" w:themeFillShade="F2"/>
            <w:vAlign w:val="bottom"/>
          </w:tcPr>
          <w:p w14:paraId="7F59859C" w14:textId="77777777" w:rsidR="00A97D77" w:rsidRPr="00A97D77" w:rsidRDefault="00A97D77" w:rsidP="003B7C74">
            <w:pPr>
              <w:pStyle w:val="TableTextRight"/>
              <w:spacing w:before="30" w:after="30"/>
              <w:rPr>
                <w:snapToGrid w:val="0"/>
                <w:lang w:val="en-US"/>
              </w:rPr>
            </w:pPr>
            <w:r w:rsidRPr="00A97D77">
              <w:rPr>
                <w:snapToGrid w:val="0"/>
                <w:lang w:val="en-US"/>
              </w:rPr>
              <w:t>1.877</w:t>
            </w:r>
          </w:p>
        </w:tc>
        <w:tc>
          <w:tcPr>
            <w:tcW w:w="728" w:type="dxa"/>
            <w:tcBorders>
              <w:top w:val="nil"/>
              <w:left w:val="nil"/>
              <w:bottom w:val="nil"/>
              <w:right w:val="nil"/>
            </w:tcBorders>
            <w:shd w:val="clear" w:color="auto" w:fill="F2F2F2" w:themeFill="background1" w:themeFillShade="F2"/>
            <w:vAlign w:val="bottom"/>
          </w:tcPr>
          <w:p w14:paraId="2867AD28" w14:textId="77777777" w:rsidR="00A97D77" w:rsidRPr="00A97D77" w:rsidRDefault="00A97D77" w:rsidP="003B7C74">
            <w:pPr>
              <w:pStyle w:val="TableTextRight"/>
              <w:spacing w:before="30" w:after="30"/>
              <w:rPr>
                <w:snapToGrid w:val="0"/>
                <w:lang w:val="en-US"/>
              </w:rPr>
            </w:pPr>
            <w:r w:rsidRPr="00A97D77">
              <w:rPr>
                <w:snapToGrid w:val="0"/>
                <w:lang w:val="en-US"/>
              </w:rPr>
              <w:t>1.685</w:t>
            </w:r>
          </w:p>
        </w:tc>
        <w:tc>
          <w:tcPr>
            <w:tcW w:w="294" w:type="dxa"/>
            <w:tcBorders>
              <w:top w:val="nil"/>
              <w:left w:val="nil"/>
              <w:bottom w:val="nil"/>
              <w:right w:val="nil"/>
            </w:tcBorders>
            <w:shd w:val="clear" w:color="auto" w:fill="F2F2F2" w:themeFill="background1" w:themeFillShade="F2"/>
            <w:vAlign w:val="bottom"/>
          </w:tcPr>
          <w:p w14:paraId="2C6A9832"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105D86A4" w14:textId="77777777" w:rsidR="00A97D77" w:rsidRPr="00A97D77" w:rsidRDefault="00A97D77" w:rsidP="003B7C74">
            <w:pPr>
              <w:pStyle w:val="TableTextRight"/>
              <w:spacing w:before="30" w:after="30"/>
              <w:rPr>
                <w:snapToGrid w:val="0"/>
                <w:lang w:val="en-US"/>
              </w:rPr>
            </w:pPr>
            <w:r w:rsidRPr="00A97D77">
              <w:rPr>
                <w:snapToGrid w:val="0"/>
                <w:lang w:val="en-US"/>
              </w:rPr>
              <w:t>2.762</w:t>
            </w:r>
          </w:p>
        </w:tc>
        <w:tc>
          <w:tcPr>
            <w:tcW w:w="728" w:type="dxa"/>
            <w:tcBorders>
              <w:top w:val="nil"/>
              <w:left w:val="nil"/>
              <w:bottom w:val="nil"/>
              <w:right w:val="nil"/>
            </w:tcBorders>
            <w:shd w:val="clear" w:color="auto" w:fill="F2F2F2" w:themeFill="background1" w:themeFillShade="F2"/>
            <w:vAlign w:val="bottom"/>
          </w:tcPr>
          <w:p w14:paraId="6F02F833" w14:textId="77777777" w:rsidR="00A97D77" w:rsidRPr="00A97D77" w:rsidRDefault="00A97D77" w:rsidP="003B7C74">
            <w:pPr>
              <w:pStyle w:val="TableTextRight"/>
              <w:spacing w:before="30" w:after="30"/>
              <w:rPr>
                <w:snapToGrid w:val="0"/>
                <w:lang w:val="en-US"/>
              </w:rPr>
            </w:pPr>
            <w:r w:rsidRPr="00A97D77">
              <w:rPr>
                <w:snapToGrid w:val="0"/>
                <w:lang w:val="en-US"/>
              </w:rPr>
              <w:t>2.555</w:t>
            </w:r>
          </w:p>
        </w:tc>
        <w:tc>
          <w:tcPr>
            <w:tcW w:w="728" w:type="dxa"/>
            <w:tcBorders>
              <w:top w:val="nil"/>
              <w:left w:val="nil"/>
              <w:bottom w:val="nil"/>
              <w:right w:val="nil"/>
            </w:tcBorders>
            <w:shd w:val="clear" w:color="auto" w:fill="F2F2F2" w:themeFill="background1" w:themeFillShade="F2"/>
            <w:vAlign w:val="bottom"/>
          </w:tcPr>
          <w:p w14:paraId="5FF8A653" w14:textId="77777777" w:rsidR="00A97D77" w:rsidRPr="00A97D77" w:rsidRDefault="00A97D77" w:rsidP="003B7C74">
            <w:pPr>
              <w:pStyle w:val="TableTextRight"/>
              <w:spacing w:before="30" w:after="30"/>
              <w:rPr>
                <w:snapToGrid w:val="0"/>
                <w:lang w:val="en-US"/>
              </w:rPr>
            </w:pPr>
            <w:r w:rsidRPr="00A97D77">
              <w:rPr>
                <w:snapToGrid w:val="0"/>
                <w:lang w:val="en-US"/>
              </w:rPr>
              <w:t>2.413</w:t>
            </w:r>
          </w:p>
        </w:tc>
        <w:tc>
          <w:tcPr>
            <w:tcW w:w="293" w:type="dxa"/>
            <w:tcBorders>
              <w:top w:val="nil"/>
              <w:left w:val="nil"/>
              <w:bottom w:val="nil"/>
              <w:right w:val="nil"/>
            </w:tcBorders>
            <w:shd w:val="clear" w:color="auto" w:fill="F2F2F2" w:themeFill="background1" w:themeFillShade="F2"/>
            <w:vAlign w:val="bottom"/>
          </w:tcPr>
          <w:p w14:paraId="6111AA46"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7DBE1D63" w14:textId="77777777" w:rsidR="00A97D77" w:rsidRPr="00D443D2" w:rsidRDefault="00A97D77" w:rsidP="003B7C74">
            <w:pPr>
              <w:pStyle w:val="TableTextRight"/>
              <w:spacing w:before="30" w:after="30"/>
              <w:rPr>
                <w:snapToGrid w:val="0"/>
                <w:lang w:val="en-US"/>
              </w:rPr>
            </w:pPr>
            <w:r w:rsidRPr="00D443D2">
              <w:rPr>
                <w:snapToGrid w:val="0"/>
                <w:lang w:val="en-US"/>
              </w:rPr>
              <w:t>1.</w:t>
            </w:r>
            <w:r>
              <w:rPr>
                <w:snapToGrid w:val="0"/>
                <w:lang w:val="en-US"/>
              </w:rPr>
              <w:t>820</w:t>
            </w:r>
          </w:p>
        </w:tc>
        <w:tc>
          <w:tcPr>
            <w:tcW w:w="294" w:type="dxa"/>
            <w:tcBorders>
              <w:top w:val="nil"/>
              <w:left w:val="nil"/>
              <w:bottom w:val="nil"/>
              <w:right w:val="nil"/>
            </w:tcBorders>
            <w:shd w:val="clear" w:color="auto" w:fill="F2F2F2" w:themeFill="background1" w:themeFillShade="F2"/>
            <w:vAlign w:val="bottom"/>
          </w:tcPr>
          <w:p w14:paraId="017A56A1"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4D5A151C" w14:textId="77777777" w:rsidR="00A97D77" w:rsidRPr="0045232E" w:rsidRDefault="00A97D77" w:rsidP="003B7C74">
            <w:pPr>
              <w:pStyle w:val="TableTextRight"/>
              <w:spacing w:before="30" w:after="30"/>
              <w:rPr>
                <w:snapToGrid w:val="0"/>
                <w:lang w:val="en-US"/>
              </w:rPr>
            </w:pPr>
            <w:r w:rsidRPr="0045232E">
              <w:rPr>
                <w:snapToGrid w:val="0"/>
                <w:lang w:val="en-US"/>
              </w:rPr>
              <w:t>1.672</w:t>
            </w:r>
          </w:p>
        </w:tc>
      </w:tr>
      <w:tr w:rsidR="002D2737" w:rsidRPr="00B85C14" w14:paraId="5B5AD5BB" w14:textId="77777777" w:rsidTr="0062476A">
        <w:tc>
          <w:tcPr>
            <w:tcW w:w="879" w:type="dxa"/>
            <w:tcBorders>
              <w:top w:val="nil"/>
              <w:left w:val="nil"/>
              <w:bottom w:val="single" w:sz="2" w:space="0" w:color="000000"/>
              <w:right w:val="nil"/>
            </w:tcBorders>
            <w:shd w:val="clear" w:color="auto" w:fill="F2F2F2" w:themeFill="background1" w:themeFillShade="F2"/>
            <w:vAlign w:val="bottom"/>
          </w:tcPr>
          <w:p w14:paraId="62A66DAD" w14:textId="77777777" w:rsidR="00A97D77" w:rsidRPr="00D443D2" w:rsidRDefault="00A97D77" w:rsidP="003B7C74">
            <w:pPr>
              <w:pStyle w:val="TableColumnHeadingLeft"/>
              <w:spacing w:before="30" w:after="30"/>
            </w:pPr>
            <w:r w:rsidRPr="00D443D2">
              <w:t>19</w:t>
            </w:r>
          </w:p>
        </w:tc>
        <w:tc>
          <w:tcPr>
            <w:tcW w:w="731" w:type="dxa"/>
            <w:tcBorders>
              <w:top w:val="nil"/>
              <w:left w:val="nil"/>
              <w:bottom w:val="single" w:sz="2" w:space="0" w:color="000000"/>
              <w:right w:val="nil"/>
            </w:tcBorders>
            <w:shd w:val="clear" w:color="auto" w:fill="F2F2F2" w:themeFill="background1" w:themeFillShade="F2"/>
            <w:vAlign w:val="bottom"/>
          </w:tcPr>
          <w:p w14:paraId="25CA8228" w14:textId="77777777" w:rsidR="00A97D77" w:rsidRPr="00A97D77" w:rsidRDefault="00A97D77" w:rsidP="003B7C74">
            <w:pPr>
              <w:pStyle w:val="TableTextRight"/>
              <w:spacing w:before="30" w:after="30"/>
              <w:rPr>
                <w:snapToGrid w:val="0"/>
                <w:lang w:val="en-US"/>
              </w:rPr>
            </w:pPr>
            <w:r w:rsidRPr="00A97D77">
              <w:rPr>
                <w:snapToGrid w:val="0"/>
                <w:lang w:val="en-US"/>
              </w:rPr>
              <w:t>1.966</w:t>
            </w:r>
          </w:p>
        </w:tc>
        <w:tc>
          <w:tcPr>
            <w:tcW w:w="728" w:type="dxa"/>
            <w:tcBorders>
              <w:top w:val="nil"/>
              <w:left w:val="nil"/>
              <w:bottom w:val="single" w:sz="2" w:space="0" w:color="000000"/>
              <w:right w:val="nil"/>
            </w:tcBorders>
            <w:shd w:val="clear" w:color="auto" w:fill="F2F2F2" w:themeFill="background1" w:themeFillShade="F2"/>
            <w:vAlign w:val="bottom"/>
          </w:tcPr>
          <w:p w14:paraId="64EFF91E" w14:textId="77777777" w:rsidR="00A97D77" w:rsidRPr="00A97D77" w:rsidRDefault="00A97D77" w:rsidP="003B7C74">
            <w:pPr>
              <w:pStyle w:val="TableTextRight"/>
              <w:spacing w:before="30" w:after="30"/>
              <w:rPr>
                <w:snapToGrid w:val="0"/>
                <w:lang w:val="en-US"/>
              </w:rPr>
            </w:pPr>
            <w:r w:rsidRPr="00A97D77">
              <w:rPr>
                <w:snapToGrid w:val="0"/>
                <w:lang w:val="en-US"/>
              </w:rPr>
              <w:t>1.901</w:t>
            </w:r>
          </w:p>
        </w:tc>
        <w:tc>
          <w:tcPr>
            <w:tcW w:w="728" w:type="dxa"/>
            <w:tcBorders>
              <w:top w:val="nil"/>
              <w:left w:val="nil"/>
              <w:bottom w:val="single" w:sz="2" w:space="0" w:color="000000"/>
              <w:right w:val="nil"/>
            </w:tcBorders>
            <w:shd w:val="clear" w:color="auto" w:fill="F2F2F2" w:themeFill="background1" w:themeFillShade="F2"/>
            <w:vAlign w:val="bottom"/>
          </w:tcPr>
          <w:p w14:paraId="6534E3C4" w14:textId="77777777" w:rsidR="00A97D77" w:rsidRPr="00A97D77" w:rsidRDefault="00A97D77" w:rsidP="003B7C74">
            <w:pPr>
              <w:pStyle w:val="TableTextRight"/>
              <w:spacing w:before="30" w:after="30"/>
              <w:rPr>
                <w:snapToGrid w:val="0"/>
                <w:lang w:val="en-US"/>
              </w:rPr>
            </w:pPr>
            <w:r w:rsidRPr="00A97D77">
              <w:rPr>
                <w:snapToGrid w:val="0"/>
                <w:lang w:val="en-US"/>
              </w:rPr>
              <w:t>1.712</w:t>
            </w:r>
          </w:p>
        </w:tc>
        <w:tc>
          <w:tcPr>
            <w:tcW w:w="294" w:type="dxa"/>
            <w:tcBorders>
              <w:top w:val="nil"/>
              <w:left w:val="nil"/>
              <w:bottom w:val="single" w:sz="2" w:space="0" w:color="000000"/>
              <w:right w:val="nil"/>
            </w:tcBorders>
            <w:shd w:val="clear" w:color="auto" w:fill="F2F2F2" w:themeFill="background1" w:themeFillShade="F2"/>
            <w:vAlign w:val="bottom"/>
          </w:tcPr>
          <w:p w14:paraId="3912B750"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single" w:sz="2" w:space="0" w:color="000000"/>
              <w:right w:val="nil"/>
            </w:tcBorders>
            <w:shd w:val="clear" w:color="auto" w:fill="F2F2F2" w:themeFill="background1" w:themeFillShade="F2"/>
            <w:vAlign w:val="bottom"/>
          </w:tcPr>
          <w:p w14:paraId="1E0F3B20" w14:textId="77777777" w:rsidR="00A97D77" w:rsidRPr="00A97D77" w:rsidRDefault="00A97D77" w:rsidP="003B7C74">
            <w:pPr>
              <w:pStyle w:val="TableTextRight"/>
              <w:spacing w:before="30" w:after="30"/>
              <w:rPr>
                <w:snapToGrid w:val="0"/>
                <w:lang w:val="en-US"/>
              </w:rPr>
            </w:pPr>
            <w:r w:rsidRPr="00A97D77">
              <w:rPr>
                <w:snapToGrid w:val="0"/>
                <w:lang w:val="en-US"/>
              </w:rPr>
              <w:t>2.811</w:t>
            </w:r>
          </w:p>
        </w:tc>
        <w:tc>
          <w:tcPr>
            <w:tcW w:w="728" w:type="dxa"/>
            <w:tcBorders>
              <w:top w:val="nil"/>
              <w:left w:val="nil"/>
              <w:bottom w:val="single" w:sz="2" w:space="0" w:color="000000"/>
              <w:right w:val="nil"/>
            </w:tcBorders>
            <w:shd w:val="clear" w:color="auto" w:fill="F2F2F2" w:themeFill="background1" w:themeFillShade="F2"/>
            <w:vAlign w:val="bottom"/>
          </w:tcPr>
          <w:p w14:paraId="495C03E8" w14:textId="77777777" w:rsidR="00A97D77" w:rsidRPr="00A97D77" w:rsidRDefault="00A97D77" w:rsidP="003B7C74">
            <w:pPr>
              <w:pStyle w:val="TableTextRight"/>
              <w:spacing w:before="30" w:after="30"/>
              <w:rPr>
                <w:snapToGrid w:val="0"/>
                <w:lang w:val="en-US"/>
              </w:rPr>
            </w:pPr>
            <w:r w:rsidRPr="00A97D77">
              <w:rPr>
                <w:snapToGrid w:val="0"/>
                <w:lang w:val="en-US"/>
              </w:rPr>
              <w:t>2.603</w:t>
            </w:r>
          </w:p>
        </w:tc>
        <w:tc>
          <w:tcPr>
            <w:tcW w:w="728" w:type="dxa"/>
            <w:tcBorders>
              <w:top w:val="nil"/>
              <w:left w:val="nil"/>
              <w:bottom w:val="single" w:sz="2" w:space="0" w:color="000000"/>
              <w:right w:val="nil"/>
            </w:tcBorders>
            <w:shd w:val="clear" w:color="auto" w:fill="F2F2F2" w:themeFill="background1" w:themeFillShade="F2"/>
            <w:vAlign w:val="bottom"/>
          </w:tcPr>
          <w:p w14:paraId="6A0EA77B" w14:textId="77777777" w:rsidR="00A97D77" w:rsidRPr="00A97D77" w:rsidRDefault="00A97D77" w:rsidP="003B7C74">
            <w:pPr>
              <w:pStyle w:val="TableTextRight"/>
              <w:spacing w:before="30" w:after="30"/>
              <w:rPr>
                <w:snapToGrid w:val="0"/>
                <w:lang w:val="en-US"/>
              </w:rPr>
            </w:pPr>
            <w:r w:rsidRPr="00A97D77">
              <w:rPr>
                <w:snapToGrid w:val="0"/>
                <w:lang w:val="en-US"/>
              </w:rPr>
              <w:t>2.461</w:t>
            </w:r>
          </w:p>
        </w:tc>
        <w:tc>
          <w:tcPr>
            <w:tcW w:w="293" w:type="dxa"/>
            <w:tcBorders>
              <w:top w:val="nil"/>
              <w:left w:val="nil"/>
              <w:bottom w:val="single" w:sz="2" w:space="0" w:color="000000"/>
              <w:right w:val="nil"/>
            </w:tcBorders>
            <w:shd w:val="clear" w:color="auto" w:fill="F2F2F2" w:themeFill="background1" w:themeFillShade="F2"/>
            <w:vAlign w:val="bottom"/>
          </w:tcPr>
          <w:p w14:paraId="4F3C0F78"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single" w:sz="2" w:space="0" w:color="000000"/>
              <w:right w:val="nil"/>
            </w:tcBorders>
            <w:shd w:val="clear" w:color="auto" w:fill="F2F2F2" w:themeFill="background1" w:themeFillShade="F2"/>
            <w:vAlign w:val="bottom"/>
          </w:tcPr>
          <w:p w14:paraId="4E2A5D1D" w14:textId="77777777" w:rsidR="00A97D77" w:rsidRPr="00D443D2" w:rsidRDefault="00A97D77" w:rsidP="003B7C74">
            <w:pPr>
              <w:pStyle w:val="TableTextRight"/>
              <w:spacing w:before="30" w:after="30"/>
              <w:rPr>
                <w:snapToGrid w:val="0"/>
                <w:lang w:val="en-US"/>
              </w:rPr>
            </w:pPr>
            <w:r w:rsidRPr="00D443D2">
              <w:rPr>
                <w:snapToGrid w:val="0"/>
                <w:lang w:val="en-US"/>
              </w:rPr>
              <w:t>1.</w:t>
            </w:r>
            <w:r>
              <w:rPr>
                <w:snapToGrid w:val="0"/>
                <w:lang w:val="en-US"/>
              </w:rPr>
              <w:t>883</w:t>
            </w:r>
          </w:p>
        </w:tc>
        <w:tc>
          <w:tcPr>
            <w:tcW w:w="294" w:type="dxa"/>
            <w:tcBorders>
              <w:top w:val="nil"/>
              <w:left w:val="nil"/>
              <w:bottom w:val="single" w:sz="2" w:space="0" w:color="000000"/>
              <w:right w:val="nil"/>
            </w:tcBorders>
            <w:shd w:val="clear" w:color="auto" w:fill="F2F2F2" w:themeFill="background1" w:themeFillShade="F2"/>
            <w:vAlign w:val="bottom"/>
          </w:tcPr>
          <w:p w14:paraId="4A42F84D"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shd w:val="clear" w:color="auto" w:fill="F2F2F2" w:themeFill="background1" w:themeFillShade="F2"/>
            <w:vAlign w:val="bottom"/>
          </w:tcPr>
          <w:p w14:paraId="063C88DA" w14:textId="77777777" w:rsidR="00A97D77" w:rsidRPr="0045232E" w:rsidRDefault="00A97D77" w:rsidP="003B7C74">
            <w:pPr>
              <w:pStyle w:val="TableTextRight"/>
              <w:spacing w:before="30" w:after="30"/>
              <w:rPr>
                <w:snapToGrid w:val="0"/>
                <w:lang w:val="en-US"/>
              </w:rPr>
            </w:pPr>
            <w:r w:rsidRPr="0045232E">
              <w:rPr>
                <w:snapToGrid w:val="0"/>
                <w:lang w:val="en-US"/>
              </w:rPr>
              <w:t>1.693</w:t>
            </w:r>
          </w:p>
        </w:tc>
      </w:tr>
      <w:tr w:rsidR="002D2737" w:rsidRPr="00B85C14" w14:paraId="3D781E2F" w14:textId="77777777" w:rsidTr="0062476A">
        <w:tc>
          <w:tcPr>
            <w:tcW w:w="879" w:type="dxa"/>
            <w:tcBorders>
              <w:top w:val="single" w:sz="2" w:space="0" w:color="000000"/>
              <w:left w:val="nil"/>
              <w:bottom w:val="nil"/>
              <w:right w:val="nil"/>
            </w:tcBorders>
            <w:vAlign w:val="bottom"/>
          </w:tcPr>
          <w:p w14:paraId="46C64C29" w14:textId="77777777" w:rsidR="00A97D77" w:rsidRPr="00D443D2" w:rsidRDefault="00A97D77" w:rsidP="003B7C74">
            <w:pPr>
              <w:pStyle w:val="TableColumnHeadingLeft"/>
              <w:spacing w:before="30" w:after="30"/>
            </w:pPr>
            <w:r w:rsidRPr="00D443D2">
              <w:t>20</w:t>
            </w:r>
          </w:p>
        </w:tc>
        <w:tc>
          <w:tcPr>
            <w:tcW w:w="731" w:type="dxa"/>
            <w:tcBorders>
              <w:top w:val="single" w:sz="2" w:space="0" w:color="000000"/>
              <w:left w:val="nil"/>
              <w:bottom w:val="nil"/>
              <w:right w:val="nil"/>
            </w:tcBorders>
            <w:vAlign w:val="bottom"/>
          </w:tcPr>
          <w:p w14:paraId="4064A9F2" w14:textId="77777777" w:rsidR="00A97D77" w:rsidRPr="00A97D77" w:rsidRDefault="00A97D77" w:rsidP="003B7C74">
            <w:pPr>
              <w:pStyle w:val="TableTextRight"/>
              <w:spacing w:before="30" w:after="30"/>
              <w:rPr>
                <w:snapToGrid w:val="0"/>
                <w:lang w:val="en-US"/>
              </w:rPr>
            </w:pPr>
            <w:r w:rsidRPr="00A97D77">
              <w:rPr>
                <w:snapToGrid w:val="0"/>
                <w:lang w:val="en-US"/>
              </w:rPr>
              <w:t>1.982</w:t>
            </w:r>
          </w:p>
        </w:tc>
        <w:tc>
          <w:tcPr>
            <w:tcW w:w="728" w:type="dxa"/>
            <w:tcBorders>
              <w:top w:val="single" w:sz="2" w:space="0" w:color="000000"/>
              <w:left w:val="nil"/>
              <w:bottom w:val="nil"/>
              <w:right w:val="nil"/>
            </w:tcBorders>
            <w:vAlign w:val="bottom"/>
          </w:tcPr>
          <w:p w14:paraId="70D875B7" w14:textId="77777777" w:rsidR="00A97D77" w:rsidRPr="00A97D77" w:rsidRDefault="00A97D77" w:rsidP="003B7C74">
            <w:pPr>
              <w:pStyle w:val="TableTextRight"/>
              <w:spacing w:before="30" w:after="30"/>
              <w:rPr>
                <w:snapToGrid w:val="0"/>
                <w:lang w:val="en-US"/>
              </w:rPr>
            </w:pPr>
            <w:r w:rsidRPr="00A97D77">
              <w:rPr>
                <w:snapToGrid w:val="0"/>
                <w:lang w:val="en-US"/>
              </w:rPr>
              <w:t>1.923</w:t>
            </w:r>
          </w:p>
        </w:tc>
        <w:tc>
          <w:tcPr>
            <w:tcW w:w="728" w:type="dxa"/>
            <w:tcBorders>
              <w:top w:val="single" w:sz="2" w:space="0" w:color="000000"/>
              <w:left w:val="nil"/>
              <w:bottom w:val="nil"/>
              <w:right w:val="nil"/>
            </w:tcBorders>
            <w:vAlign w:val="bottom"/>
          </w:tcPr>
          <w:p w14:paraId="3B28CE4A" w14:textId="77777777" w:rsidR="00A97D77" w:rsidRPr="00A97D77" w:rsidRDefault="00A97D77" w:rsidP="003B7C74">
            <w:pPr>
              <w:pStyle w:val="TableTextRight"/>
              <w:spacing w:before="30" w:after="30"/>
              <w:rPr>
                <w:snapToGrid w:val="0"/>
                <w:lang w:val="en-US"/>
              </w:rPr>
            </w:pPr>
            <w:r w:rsidRPr="00A97D77">
              <w:rPr>
                <w:snapToGrid w:val="0"/>
                <w:lang w:val="en-US"/>
              </w:rPr>
              <w:t>1.738</w:t>
            </w:r>
          </w:p>
        </w:tc>
        <w:tc>
          <w:tcPr>
            <w:tcW w:w="294" w:type="dxa"/>
            <w:tcBorders>
              <w:top w:val="single" w:sz="2" w:space="0" w:color="000000"/>
              <w:left w:val="nil"/>
              <w:bottom w:val="nil"/>
              <w:right w:val="nil"/>
            </w:tcBorders>
            <w:vAlign w:val="bottom"/>
          </w:tcPr>
          <w:p w14:paraId="277EBA6F" w14:textId="77777777" w:rsidR="00A97D77" w:rsidRPr="00190D6C" w:rsidRDefault="00A97D77" w:rsidP="003B7C74">
            <w:pPr>
              <w:pStyle w:val="TableTextRight"/>
              <w:spacing w:before="30" w:after="30"/>
              <w:rPr>
                <w:snapToGrid w:val="0"/>
                <w:lang w:val="en-US"/>
              </w:rPr>
            </w:pPr>
          </w:p>
        </w:tc>
        <w:tc>
          <w:tcPr>
            <w:tcW w:w="714" w:type="dxa"/>
            <w:tcBorders>
              <w:top w:val="single" w:sz="2" w:space="0" w:color="000000"/>
              <w:left w:val="nil"/>
              <w:bottom w:val="nil"/>
              <w:right w:val="nil"/>
            </w:tcBorders>
            <w:vAlign w:val="bottom"/>
          </w:tcPr>
          <w:p w14:paraId="43C30E17" w14:textId="77777777" w:rsidR="00A97D77" w:rsidRPr="00A97D77" w:rsidRDefault="00A97D77" w:rsidP="003B7C74">
            <w:pPr>
              <w:pStyle w:val="TableTextRight"/>
              <w:spacing w:before="30" w:after="30"/>
              <w:rPr>
                <w:snapToGrid w:val="0"/>
                <w:lang w:val="en-US"/>
              </w:rPr>
            </w:pPr>
            <w:r w:rsidRPr="00A97D77">
              <w:rPr>
                <w:snapToGrid w:val="0"/>
                <w:lang w:val="en-US"/>
              </w:rPr>
              <w:t>2.856</w:t>
            </w:r>
          </w:p>
        </w:tc>
        <w:tc>
          <w:tcPr>
            <w:tcW w:w="728" w:type="dxa"/>
            <w:tcBorders>
              <w:top w:val="single" w:sz="2" w:space="0" w:color="000000"/>
              <w:left w:val="nil"/>
              <w:bottom w:val="nil"/>
              <w:right w:val="nil"/>
            </w:tcBorders>
            <w:vAlign w:val="bottom"/>
          </w:tcPr>
          <w:p w14:paraId="2D00530F" w14:textId="77777777" w:rsidR="00A97D77" w:rsidRPr="00A97D77" w:rsidRDefault="00A97D77" w:rsidP="003B7C74">
            <w:pPr>
              <w:pStyle w:val="TableTextRight"/>
              <w:spacing w:before="30" w:after="30"/>
              <w:rPr>
                <w:snapToGrid w:val="0"/>
                <w:lang w:val="en-US"/>
              </w:rPr>
            </w:pPr>
            <w:r w:rsidRPr="00A97D77">
              <w:rPr>
                <w:snapToGrid w:val="0"/>
                <w:lang w:val="en-US"/>
              </w:rPr>
              <w:t>2.645</w:t>
            </w:r>
          </w:p>
        </w:tc>
        <w:tc>
          <w:tcPr>
            <w:tcW w:w="728" w:type="dxa"/>
            <w:tcBorders>
              <w:top w:val="single" w:sz="2" w:space="0" w:color="000000"/>
              <w:left w:val="nil"/>
              <w:bottom w:val="nil"/>
              <w:right w:val="nil"/>
            </w:tcBorders>
            <w:vAlign w:val="bottom"/>
          </w:tcPr>
          <w:p w14:paraId="007F43F7" w14:textId="77777777" w:rsidR="00A97D77" w:rsidRPr="00A97D77" w:rsidRDefault="00A97D77" w:rsidP="003B7C74">
            <w:pPr>
              <w:pStyle w:val="TableTextRight"/>
              <w:spacing w:before="30" w:after="30"/>
              <w:rPr>
                <w:snapToGrid w:val="0"/>
                <w:lang w:val="en-US"/>
              </w:rPr>
            </w:pPr>
            <w:r w:rsidRPr="00A97D77">
              <w:rPr>
                <w:snapToGrid w:val="0"/>
                <w:lang w:val="en-US"/>
              </w:rPr>
              <w:t>2.506</w:t>
            </w:r>
          </w:p>
        </w:tc>
        <w:tc>
          <w:tcPr>
            <w:tcW w:w="293" w:type="dxa"/>
            <w:tcBorders>
              <w:top w:val="single" w:sz="2" w:space="0" w:color="000000"/>
              <w:left w:val="nil"/>
              <w:bottom w:val="nil"/>
              <w:right w:val="nil"/>
            </w:tcBorders>
            <w:vAlign w:val="bottom"/>
          </w:tcPr>
          <w:p w14:paraId="2D5F0238" w14:textId="77777777" w:rsidR="00A97D77" w:rsidRPr="000E13F8" w:rsidRDefault="00A97D77" w:rsidP="003B7C74">
            <w:pPr>
              <w:pStyle w:val="TableTextRight"/>
              <w:spacing w:before="30" w:after="30"/>
              <w:rPr>
                <w:snapToGrid w:val="0"/>
                <w:lang w:val="en-US"/>
              </w:rPr>
            </w:pPr>
          </w:p>
        </w:tc>
        <w:tc>
          <w:tcPr>
            <w:tcW w:w="784" w:type="dxa"/>
            <w:tcBorders>
              <w:top w:val="single" w:sz="2" w:space="0" w:color="000000"/>
              <w:left w:val="nil"/>
              <w:bottom w:val="nil"/>
              <w:right w:val="nil"/>
            </w:tcBorders>
            <w:vAlign w:val="bottom"/>
          </w:tcPr>
          <w:p w14:paraId="30E4ED9F" w14:textId="77777777" w:rsidR="00A97D77" w:rsidRPr="00D443D2" w:rsidRDefault="00A97D77" w:rsidP="003B7C74">
            <w:pPr>
              <w:pStyle w:val="TableTextRight"/>
              <w:spacing w:before="30" w:after="30"/>
              <w:rPr>
                <w:snapToGrid w:val="0"/>
                <w:lang w:val="en-US"/>
              </w:rPr>
            </w:pPr>
            <w:r w:rsidRPr="00D443D2">
              <w:rPr>
                <w:snapToGrid w:val="0"/>
                <w:lang w:val="en-US"/>
              </w:rPr>
              <w:t>1.</w:t>
            </w:r>
            <w:r>
              <w:rPr>
                <w:snapToGrid w:val="0"/>
                <w:lang w:val="en-US"/>
              </w:rPr>
              <w:t>946</w:t>
            </w:r>
          </w:p>
        </w:tc>
        <w:tc>
          <w:tcPr>
            <w:tcW w:w="294" w:type="dxa"/>
            <w:tcBorders>
              <w:top w:val="single" w:sz="2" w:space="0" w:color="000000"/>
              <w:left w:val="nil"/>
              <w:bottom w:val="nil"/>
              <w:right w:val="nil"/>
            </w:tcBorders>
            <w:vAlign w:val="bottom"/>
          </w:tcPr>
          <w:p w14:paraId="597CB27B"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vAlign w:val="bottom"/>
          </w:tcPr>
          <w:p w14:paraId="1FD80658" w14:textId="77777777" w:rsidR="00A97D77" w:rsidRPr="0045232E" w:rsidRDefault="00A97D77" w:rsidP="003B7C74">
            <w:pPr>
              <w:pStyle w:val="TableTextRight"/>
              <w:spacing w:before="30" w:after="30"/>
              <w:rPr>
                <w:snapToGrid w:val="0"/>
                <w:lang w:val="en-US"/>
              </w:rPr>
            </w:pPr>
            <w:r w:rsidRPr="0045232E">
              <w:rPr>
                <w:snapToGrid w:val="0"/>
                <w:lang w:val="en-US"/>
              </w:rPr>
              <w:t>1.712</w:t>
            </w:r>
          </w:p>
        </w:tc>
      </w:tr>
      <w:tr w:rsidR="002D2737" w:rsidRPr="00B85C14" w14:paraId="47D4B97C" w14:textId="77777777" w:rsidTr="0062476A">
        <w:tc>
          <w:tcPr>
            <w:tcW w:w="879" w:type="dxa"/>
            <w:tcBorders>
              <w:top w:val="nil"/>
              <w:left w:val="nil"/>
              <w:bottom w:val="nil"/>
              <w:right w:val="nil"/>
            </w:tcBorders>
            <w:vAlign w:val="bottom"/>
          </w:tcPr>
          <w:p w14:paraId="442ABE1A" w14:textId="77777777" w:rsidR="00A97D77" w:rsidRPr="00D443D2" w:rsidRDefault="00A97D77" w:rsidP="003B7C74">
            <w:pPr>
              <w:pStyle w:val="TableColumnHeadingLeft"/>
              <w:spacing w:before="30" w:after="30"/>
            </w:pPr>
            <w:r w:rsidRPr="00D443D2">
              <w:t>21</w:t>
            </w:r>
          </w:p>
        </w:tc>
        <w:tc>
          <w:tcPr>
            <w:tcW w:w="731" w:type="dxa"/>
            <w:tcBorders>
              <w:top w:val="nil"/>
              <w:left w:val="nil"/>
              <w:bottom w:val="nil"/>
              <w:right w:val="nil"/>
            </w:tcBorders>
            <w:vAlign w:val="bottom"/>
          </w:tcPr>
          <w:p w14:paraId="36CBBACC" w14:textId="77777777" w:rsidR="00A97D77" w:rsidRPr="00A97D77" w:rsidRDefault="00A97D77" w:rsidP="003B7C74">
            <w:pPr>
              <w:pStyle w:val="TableTextRight"/>
              <w:spacing w:before="30" w:after="30"/>
              <w:rPr>
                <w:snapToGrid w:val="0"/>
                <w:lang w:val="en-US"/>
              </w:rPr>
            </w:pPr>
            <w:r w:rsidRPr="00A97D77">
              <w:rPr>
                <w:snapToGrid w:val="0"/>
                <w:lang w:val="en-US"/>
              </w:rPr>
              <w:t>1.995</w:t>
            </w:r>
          </w:p>
        </w:tc>
        <w:tc>
          <w:tcPr>
            <w:tcW w:w="728" w:type="dxa"/>
            <w:tcBorders>
              <w:top w:val="nil"/>
              <w:left w:val="nil"/>
              <w:bottom w:val="nil"/>
              <w:right w:val="nil"/>
            </w:tcBorders>
            <w:vAlign w:val="bottom"/>
          </w:tcPr>
          <w:p w14:paraId="40C9E54C" w14:textId="77777777" w:rsidR="00A97D77" w:rsidRPr="00A97D77" w:rsidRDefault="00A97D77" w:rsidP="003B7C74">
            <w:pPr>
              <w:pStyle w:val="TableTextRight"/>
              <w:spacing w:before="30" w:after="30"/>
              <w:rPr>
                <w:snapToGrid w:val="0"/>
                <w:lang w:val="en-US"/>
              </w:rPr>
            </w:pPr>
            <w:r w:rsidRPr="00A97D77">
              <w:rPr>
                <w:snapToGrid w:val="0"/>
                <w:lang w:val="en-US"/>
              </w:rPr>
              <w:t>1.942</w:t>
            </w:r>
          </w:p>
        </w:tc>
        <w:tc>
          <w:tcPr>
            <w:tcW w:w="728" w:type="dxa"/>
            <w:tcBorders>
              <w:top w:val="nil"/>
              <w:left w:val="nil"/>
              <w:bottom w:val="nil"/>
              <w:right w:val="nil"/>
            </w:tcBorders>
            <w:vAlign w:val="bottom"/>
          </w:tcPr>
          <w:p w14:paraId="1C6E6F80" w14:textId="77777777" w:rsidR="00A97D77" w:rsidRPr="00A97D77" w:rsidRDefault="00A97D77" w:rsidP="003B7C74">
            <w:pPr>
              <w:pStyle w:val="TableTextRight"/>
              <w:spacing w:before="30" w:after="30"/>
              <w:rPr>
                <w:snapToGrid w:val="0"/>
                <w:lang w:val="en-US"/>
              </w:rPr>
            </w:pPr>
            <w:r w:rsidRPr="00A97D77">
              <w:rPr>
                <w:snapToGrid w:val="0"/>
                <w:lang w:val="en-US"/>
              </w:rPr>
              <w:t>1.763</w:t>
            </w:r>
          </w:p>
        </w:tc>
        <w:tc>
          <w:tcPr>
            <w:tcW w:w="294" w:type="dxa"/>
            <w:tcBorders>
              <w:top w:val="nil"/>
              <w:left w:val="nil"/>
              <w:bottom w:val="nil"/>
              <w:right w:val="nil"/>
            </w:tcBorders>
            <w:vAlign w:val="bottom"/>
          </w:tcPr>
          <w:p w14:paraId="53B841A3"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5EBAF6A2" w14:textId="77777777" w:rsidR="00A97D77" w:rsidRPr="00A97D77" w:rsidRDefault="00A97D77" w:rsidP="003B7C74">
            <w:pPr>
              <w:pStyle w:val="TableTextRight"/>
              <w:spacing w:before="30" w:after="30"/>
              <w:rPr>
                <w:snapToGrid w:val="0"/>
                <w:lang w:val="en-US"/>
              </w:rPr>
            </w:pPr>
            <w:r w:rsidRPr="00A97D77">
              <w:rPr>
                <w:snapToGrid w:val="0"/>
                <w:lang w:val="en-US"/>
              </w:rPr>
              <w:t>2.895</w:t>
            </w:r>
          </w:p>
        </w:tc>
        <w:tc>
          <w:tcPr>
            <w:tcW w:w="728" w:type="dxa"/>
            <w:tcBorders>
              <w:top w:val="nil"/>
              <w:left w:val="nil"/>
              <w:bottom w:val="nil"/>
              <w:right w:val="nil"/>
            </w:tcBorders>
            <w:vAlign w:val="bottom"/>
          </w:tcPr>
          <w:p w14:paraId="45949EAF" w14:textId="77777777" w:rsidR="00A97D77" w:rsidRPr="00A97D77" w:rsidRDefault="00A97D77" w:rsidP="003B7C74">
            <w:pPr>
              <w:pStyle w:val="TableTextRight"/>
              <w:spacing w:before="30" w:after="30"/>
              <w:rPr>
                <w:snapToGrid w:val="0"/>
                <w:lang w:val="en-US"/>
              </w:rPr>
            </w:pPr>
            <w:r w:rsidRPr="00A97D77">
              <w:rPr>
                <w:snapToGrid w:val="0"/>
                <w:lang w:val="en-US"/>
              </w:rPr>
              <w:t>2.683</w:t>
            </w:r>
          </w:p>
        </w:tc>
        <w:tc>
          <w:tcPr>
            <w:tcW w:w="728" w:type="dxa"/>
            <w:tcBorders>
              <w:top w:val="nil"/>
              <w:left w:val="nil"/>
              <w:bottom w:val="nil"/>
              <w:right w:val="nil"/>
            </w:tcBorders>
            <w:vAlign w:val="bottom"/>
          </w:tcPr>
          <w:p w14:paraId="719886BF" w14:textId="77777777" w:rsidR="00A97D77" w:rsidRPr="00A97D77" w:rsidRDefault="00A97D77" w:rsidP="003B7C74">
            <w:pPr>
              <w:pStyle w:val="TableTextRight"/>
              <w:spacing w:before="30" w:after="30"/>
              <w:rPr>
                <w:snapToGrid w:val="0"/>
                <w:lang w:val="en-US"/>
              </w:rPr>
            </w:pPr>
            <w:r w:rsidRPr="00A97D77">
              <w:rPr>
                <w:snapToGrid w:val="0"/>
                <w:lang w:val="en-US"/>
              </w:rPr>
              <w:t>2.548</w:t>
            </w:r>
          </w:p>
        </w:tc>
        <w:tc>
          <w:tcPr>
            <w:tcW w:w="293" w:type="dxa"/>
            <w:tcBorders>
              <w:top w:val="nil"/>
              <w:left w:val="nil"/>
              <w:bottom w:val="nil"/>
              <w:right w:val="nil"/>
            </w:tcBorders>
            <w:vAlign w:val="bottom"/>
          </w:tcPr>
          <w:p w14:paraId="0376522A"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6D3AC3A3" w14:textId="77777777" w:rsidR="00A97D77" w:rsidRPr="00D443D2" w:rsidRDefault="00A97D77" w:rsidP="003B7C74">
            <w:pPr>
              <w:pStyle w:val="TableTextRight"/>
              <w:spacing w:before="30" w:after="30"/>
              <w:rPr>
                <w:snapToGrid w:val="0"/>
                <w:lang w:val="en-US"/>
              </w:rPr>
            </w:pPr>
            <w:r>
              <w:rPr>
                <w:snapToGrid w:val="0"/>
                <w:lang w:val="en-US"/>
              </w:rPr>
              <w:t>2</w:t>
            </w:r>
            <w:r w:rsidRPr="00D443D2">
              <w:rPr>
                <w:snapToGrid w:val="0"/>
                <w:lang w:val="en-US"/>
              </w:rPr>
              <w:t>.</w:t>
            </w:r>
            <w:r>
              <w:rPr>
                <w:snapToGrid w:val="0"/>
                <w:lang w:val="en-US"/>
              </w:rPr>
              <w:t>004</w:t>
            </w:r>
          </w:p>
        </w:tc>
        <w:tc>
          <w:tcPr>
            <w:tcW w:w="294" w:type="dxa"/>
            <w:tcBorders>
              <w:top w:val="nil"/>
              <w:left w:val="nil"/>
              <w:bottom w:val="nil"/>
              <w:right w:val="nil"/>
            </w:tcBorders>
            <w:vAlign w:val="bottom"/>
          </w:tcPr>
          <w:p w14:paraId="02702EC4"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24BED3EC" w14:textId="77777777" w:rsidR="00A97D77" w:rsidRPr="0045232E" w:rsidRDefault="00A97D77" w:rsidP="003B7C74">
            <w:pPr>
              <w:pStyle w:val="TableTextRight"/>
              <w:spacing w:before="30" w:after="30"/>
              <w:rPr>
                <w:snapToGrid w:val="0"/>
                <w:lang w:val="en-US"/>
              </w:rPr>
            </w:pPr>
            <w:r w:rsidRPr="0045232E">
              <w:rPr>
                <w:snapToGrid w:val="0"/>
                <w:lang w:val="en-US"/>
              </w:rPr>
              <w:t>1.731</w:t>
            </w:r>
          </w:p>
        </w:tc>
      </w:tr>
      <w:tr w:rsidR="002D2737" w:rsidRPr="00B85C14" w14:paraId="1155D2F7" w14:textId="77777777" w:rsidTr="0062476A">
        <w:tc>
          <w:tcPr>
            <w:tcW w:w="879" w:type="dxa"/>
            <w:tcBorders>
              <w:top w:val="nil"/>
              <w:left w:val="nil"/>
              <w:bottom w:val="nil"/>
              <w:right w:val="nil"/>
            </w:tcBorders>
            <w:vAlign w:val="bottom"/>
          </w:tcPr>
          <w:p w14:paraId="46DCB618" w14:textId="77777777" w:rsidR="00A97D77" w:rsidRPr="00D443D2" w:rsidRDefault="00A97D77" w:rsidP="003B7C74">
            <w:pPr>
              <w:pStyle w:val="TableColumnHeadingLeft"/>
              <w:spacing w:before="30" w:after="30"/>
            </w:pPr>
            <w:r w:rsidRPr="00D443D2">
              <w:t>22</w:t>
            </w:r>
          </w:p>
        </w:tc>
        <w:tc>
          <w:tcPr>
            <w:tcW w:w="731" w:type="dxa"/>
            <w:tcBorders>
              <w:top w:val="nil"/>
              <w:left w:val="nil"/>
              <w:bottom w:val="nil"/>
              <w:right w:val="nil"/>
            </w:tcBorders>
            <w:vAlign w:val="bottom"/>
          </w:tcPr>
          <w:p w14:paraId="1C428DB7" w14:textId="77777777" w:rsidR="00A97D77" w:rsidRPr="00A97D77" w:rsidRDefault="00A97D77" w:rsidP="003B7C74">
            <w:pPr>
              <w:pStyle w:val="TableTextRight"/>
              <w:spacing w:before="30" w:after="30"/>
              <w:rPr>
                <w:snapToGrid w:val="0"/>
                <w:lang w:val="en-US"/>
              </w:rPr>
            </w:pPr>
            <w:r w:rsidRPr="00A97D77">
              <w:rPr>
                <w:snapToGrid w:val="0"/>
                <w:lang w:val="en-US"/>
              </w:rPr>
              <w:t>2.005</w:t>
            </w:r>
          </w:p>
        </w:tc>
        <w:tc>
          <w:tcPr>
            <w:tcW w:w="728" w:type="dxa"/>
            <w:tcBorders>
              <w:top w:val="nil"/>
              <w:left w:val="nil"/>
              <w:bottom w:val="nil"/>
              <w:right w:val="nil"/>
            </w:tcBorders>
            <w:vAlign w:val="bottom"/>
          </w:tcPr>
          <w:p w14:paraId="40435489" w14:textId="77777777" w:rsidR="00A97D77" w:rsidRPr="00A97D77" w:rsidRDefault="00A97D77" w:rsidP="003B7C74">
            <w:pPr>
              <w:pStyle w:val="TableTextRight"/>
              <w:spacing w:before="30" w:after="30"/>
              <w:rPr>
                <w:snapToGrid w:val="0"/>
                <w:lang w:val="en-US"/>
              </w:rPr>
            </w:pPr>
            <w:r w:rsidRPr="00A97D77">
              <w:rPr>
                <w:snapToGrid w:val="0"/>
                <w:lang w:val="en-US"/>
              </w:rPr>
              <w:t>1.958</w:t>
            </w:r>
          </w:p>
        </w:tc>
        <w:tc>
          <w:tcPr>
            <w:tcW w:w="728" w:type="dxa"/>
            <w:tcBorders>
              <w:top w:val="nil"/>
              <w:left w:val="nil"/>
              <w:bottom w:val="nil"/>
              <w:right w:val="nil"/>
            </w:tcBorders>
            <w:vAlign w:val="bottom"/>
          </w:tcPr>
          <w:p w14:paraId="720EE84E" w14:textId="77777777" w:rsidR="00A97D77" w:rsidRPr="00A97D77" w:rsidRDefault="00A97D77" w:rsidP="003B7C74">
            <w:pPr>
              <w:pStyle w:val="TableTextRight"/>
              <w:spacing w:before="30" w:after="30"/>
              <w:rPr>
                <w:snapToGrid w:val="0"/>
                <w:lang w:val="en-US"/>
              </w:rPr>
            </w:pPr>
            <w:r w:rsidRPr="00A97D77">
              <w:rPr>
                <w:snapToGrid w:val="0"/>
                <w:lang w:val="en-US"/>
              </w:rPr>
              <w:t>1.787</w:t>
            </w:r>
          </w:p>
        </w:tc>
        <w:tc>
          <w:tcPr>
            <w:tcW w:w="294" w:type="dxa"/>
            <w:tcBorders>
              <w:top w:val="nil"/>
              <w:left w:val="nil"/>
              <w:bottom w:val="nil"/>
              <w:right w:val="nil"/>
            </w:tcBorders>
            <w:vAlign w:val="bottom"/>
          </w:tcPr>
          <w:p w14:paraId="40F2DEB0"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4055E46C" w14:textId="77777777" w:rsidR="00A97D77" w:rsidRPr="00A97D77" w:rsidRDefault="00A97D77" w:rsidP="003B7C74">
            <w:pPr>
              <w:pStyle w:val="TableTextRight"/>
              <w:spacing w:before="30" w:after="30"/>
              <w:rPr>
                <w:snapToGrid w:val="0"/>
                <w:lang w:val="en-US"/>
              </w:rPr>
            </w:pPr>
            <w:r w:rsidRPr="00A97D77">
              <w:rPr>
                <w:snapToGrid w:val="0"/>
                <w:lang w:val="en-US"/>
              </w:rPr>
              <w:t>2.929</w:t>
            </w:r>
          </w:p>
        </w:tc>
        <w:tc>
          <w:tcPr>
            <w:tcW w:w="728" w:type="dxa"/>
            <w:tcBorders>
              <w:top w:val="nil"/>
              <w:left w:val="nil"/>
              <w:bottom w:val="nil"/>
              <w:right w:val="nil"/>
            </w:tcBorders>
            <w:vAlign w:val="bottom"/>
          </w:tcPr>
          <w:p w14:paraId="3A28DEF3" w14:textId="77777777" w:rsidR="00A97D77" w:rsidRPr="00A97D77" w:rsidRDefault="00A97D77" w:rsidP="003B7C74">
            <w:pPr>
              <w:pStyle w:val="TableTextRight"/>
              <w:spacing w:before="30" w:after="30"/>
              <w:rPr>
                <w:snapToGrid w:val="0"/>
                <w:lang w:val="en-US"/>
              </w:rPr>
            </w:pPr>
            <w:r w:rsidRPr="00A97D77">
              <w:rPr>
                <w:snapToGrid w:val="0"/>
                <w:lang w:val="en-US"/>
              </w:rPr>
              <w:t>2.717</w:t>
            </w:r>
          </w:p>
        </w:tc>
        <w:tc>
          <w:tcPr>
            <w:tcW w:w="728" w:type="dxa"/>
            <w:tcBorders>
              <w:top w:val="nil"/>
              <w:left w:val="nil"/>
              <w:bottom w:val="nil"/>
              <w:right w:val="nil"/>
            </w:tcBorders>
            <w:vAlign w:val="bottom"/>
          </w:tcPr>
          <w:p w14:paraId="4CFDD057" w14:textId="77777777" w:rsidR="00A97D77" w:rsidRPr="00A97D77" w:rsidRDefault="00A97D77" w:rsidP="003B7C74">
            <w:pPr>
              <w:pStyle w:val="TableTextRight"/>
              <w:spacing w:before="30" w:after="30"/>
              <w:rPr>
                <w:snapToGrid w:val="0"/>
                <w:lang w:val="en-US"/>
              </w:rPr>
            </w:pPr>
            <w:r w:rsidRPr="00A97D77">
              <w:rPr>
                <w:snapToGrid w:val="0"/>
                <w:lang w:val="en-US"/>
              </w:rPr>
              <w:t>2.588</w:t>
            </w:r>
          </w:p>
        </w:tc>
        <w:tc>
          <w:tcPr>
            <w:tcW w:w="293" w:type="dxa"/>
            <w:tcBorders>
              <w:top w:val="nil"/>
              <w:left w:val="nil"/>
              <w:bottom w:val="nil"/>
              <w:right w:val="nil"/>
            </w:tcBorders>
            <w:vAlign w:val="bottom"/>
          </w:tcPr>
          <w:p w14:paraId="402E7F0F"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52CD3A0A" w14:textId="77777777" w:rsidR="00A97D77" w:rsidRPr="00D443D2" w:rsidRDefault="00A97D77" w:rsidP="003B7C74">
            <w:pPr>
              <w:pStyle w:val="TableTextRight"/>
              <w:spacing w:before="30" w:after="30"/>
              <w:rPr>
                <w:snapToGrid w:val="0"/>
                <w:lang w:val="en-US"/>
              </w:rPr>
            </w:pPr>
            <w:r>
              <w:rPr>
                <w:snapToGrid w:val="0"/>
                <w:lang w:val="en-US"/>
              </w:rPr>
              <w:t>2</w:t>
            </w:r>
            <w:r w:rsidRPr="00D443D2">
              <w:rPr>
                <w:snapToGrid w:val="0"/>
                <w:lang w:val="en-US"/>
              </w:rPr>
              <w:t>.</w:t>
            </w:r>
            <w:r>
              <w:rPr>
                <w:snapToGrid w:val="0"/>
                <w:lang w:val="en-US"/>
              </w:rPr>
              <w:t>058</w:t>
            </w:r>
          </w:p>
        </w:tc>
        <w:tc>
          <w:tcPr>
            <w:tcW w:w="294" w:type="dxa"/>
            <w:tcBorders>
              <w:top w:val="nil"/>
              <w:left w:val="nil"/>
              <w:bottom w:val="nil"/>
              <w:right w:val="nil"/>
            </w:tcBorders>
            <w:vAlign w:val="bottom"/>
          </w:tcPr>
          <w:p w14:paraId="26387870"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5F711C41" w14:textId="77777777" w:rsidR="00A97D77" w:rsidRPr="0045232E" w:rsidRDefault="00A97D77" w:rsidP="003B7C74">
            <w:pPr>
              <w:pStyle w:val="TableTextRight"/>
              <w:spacing w:before="30" w:after="30"/>
              <w:rPr>
                <w:snapToGrid w:val="0"/>
                <w:lang w:val="en-US"/>
              </w:rPr>
            </w:pPr>
            <w:r w:rsidRPr="0045232E">
              <w:rPr>
                <w:snapToGrid w:val="0"/>
                <w:lang w:val="en-US"/>
              </w:rPr>
              <w:t>1.749</w:t>
            </w:r>
          </w:p>
        </w:tc>
      </w:tr>
      <w:tr w:rsidR="002D2737" w:rsidRPr="00B85C14" w14:paraId="6A75C7FC" w14:textId="77777777" w:rsidTr="0062476A">
        <w:tc>
          <w:tcPr>
            <w:tcW w:w="879" w:type="dxa"/>
            <w:tcBorders>
              <w:top w:val="nil"/>
              <w:left w:val="nil"/>
              <w:bottom w:val="nil"/>
              <w:right w:val="nil"/>
            </w:tcBorders>
            <w:vAlign w:val="bottom"/>
          </w:tcPr>
          <w:p w14:paraId="248B100B" w14:textId="77777777" w:rsidR="00A97D77" w:rsidRPr="00D443D2" w:rsidRDefault="00A97D77" w:rsidP="003B7C74">
            <w:pPr>
              <w:pStyle w:val="TableColumnHeadingLeft"/>
              <w:spacing w:before="30" w:after="30"/>
            </w:pPr>
            <w:r w:rsidRPr="00D443D2">
              <w:t>23</w:t>
            </w:r>
          </w:p>
        </w:tc>
        <w:tc>
          <w:tcPr>
            <w:tcW w:w="731" w:type="dxa"/>
            <w:tcBorders>
              <w:top w:val="nil"/>
              <w:left w:val="nil"/>
              <w:bottom w:val="nil"/>
              <w:right w:val="nil"/>
            </w:tcBorders>
            <w:vAlign w:val="bottom"/>
          </w:tcPr>
          <w:p w14:paraId="05F34653" w14:textId="77777777" w:rsidR="00A97D77" w:rsidRPr="00A97D77" w:rsidRDefault="00A97D77" w:rsidP="003B7C74">
            <w:pPr>
              <w:pStyle w:val="TableTextRight"/>
              <w:spacing w:before="30" w:after="30"/>
              <w:rPr>
                <w:snapToGrid w:val="0"/>
                <w:lang w:val="en-US"/>
              </w:rPr>
            </w:pPr>
            <w:r w:rsidRPr="00A97D77">
              <w:rPr>
                <w:snapToGrid w:val="0"/>
                <w:lang w:val="en-US"/>
              </w:rPr>
              <w:t>2.015</w:t>
            </w:r>
          </w:p>
        </w:tc>
        <w:tc>
          <w:tcPr>
            <w:tcW w:w="728" w:type="dxa"/>
            <w:tcBorders>
              <w:top w:val="nil"/>
              <w:left w:val="nil"/>
              <w:bottom w:val="nil"/>
              <w:right w:val="nil"/>
            </w:tcBorders>
            <w:vAlign w:val="bottom"/>
          </w:tcPr>
          <w:p w14:paraId="60DD86D6" w14:textId="77777777" w:rsidR="00A97D77" w:rsidRPr="00A97D77" w:rsidRDefault="00A97D77" w:rsidP="003B7C74">
            <w:pPr>
              <w:pStyle w:val="TableTextRight"/>
              <w:spacing w:before="30" w:after="30"/>
              <w:rPr>
                <w:snapToGrid w:val="0"/>
                <w:lang w:val="en-US"/>
              </w:rPr>
            </w:pPr>
            <w:r w:rsidRPr="00A97D77">
              <w:rPr>
                <w:snapToGrid w:val="0"/>
                <w:lang w:val="en-US"/>
              </w:rPr>
              <w:t>1.972</w:t>
            </w:r>
          </w:p>
        </w:tc>
        <w:tc>
          <w:tcPr>
            <w:tcW w:w="728" w:type="dxa"/>
            <w:tcBorders>
              <w:top w:val="nil"/>
              <w:left w:val="nil"/>
              <w:bottom w:val="nil"/>
              <w:right w:val="nil"/>
            </w:tcBorders>
            <w:vAlign w:val="bottom"/>
          </w:tcPr>
          <w:p w14:paraId="2D8AB1C9" w14:textId="77777777" w:rsidR="00A97D77" w:rsidRPr="00A97D77" w:rsidRDefault="00A97D77" w:rsidP="003B7C74">
            <w:pPr>
              <w:pStyle w:val="TableTextRight"/>
              <w:spacing w:before="30" w:after="30"/>
              <w:rPr>
                <w:snapToGrid w:val="0"/>
                <w:lang w:val="en-US"/>
              </w:rPr>
            </w:pPr>
            <w:r w:rsidRPr="00A97D77">
              <w:rPr>
                <w:snapToGrid w:val="0"/>
                <w:lang w:val="en-US"/>
              </w:rPr>
              <w:t>1.809</w:t>
            </w:r>
          </w:p>
        </w:tc>
        <w:tc>
          <w:tcPr>
            <w:tcW w:w="294" w:type="dxa"/>
            <w:tcBorders>
              <w:top w:val="nil"/>
              <w:left w:val="nil"/>
              <w:bottom w:val="nil"/>
              <w:right w:val="nil"/>
            </w:tcBorders>
            <w:vAlign w:val="bottom"/>
          </w:tcPr>
          <w:p w14:paraId="3CD33107"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0D0CBE8D" w14:textId="77777777" w:rsidR="00A97D77" w:rsidRPr="00A97D77" w:rsidRDefault="00A97D77" w:rsidP="003B7C74">
            <w:pPr>
              <w:pStyle w:val="TableTextRight"/>
              <w:spacing w:before="30" w:after="30"/>
              <w:rPr>
                <w:snapToGrid w:val="0"/>
                <w:lang w:val="en-US"/>
              </w:rPr>
            </w:pPr>
            <w:r w:rsidRPr="00A97D77">
              <w:rPr>
                <w:snapToGrid w:val="0"/>
                <w:lang w:val="en-US"/>
              </w:rPr>
              <w:t>2.958</w:t>
            </w:r>
          </w:p>
        </w:tc>
        <w:tc>
          <w:tcPr>
            <w:tcW w:w="728" w:type="dxa"/>
            <w:tcBorders>
              <w:top w:val="nil"/>
              <w:left w:val="nil"/>
              <w:bottom w:val="nil"/>
              <w:right w:val="nil"/>
            </w:tcBorders>
            <w:vAlign w:val="bottom"/>
          </w:tcPr>
          <w:p w14:paraId="3CF6D501" w14:textId="77777777" w:rsidR="00A97D77" w:rsidRPr="00A97D77" w:rsidRDefault="00A97D77" w:rsidP="003B7C74">
            <w:pPr>
              <w:pStyle w:val="TableTextRight"/>
              <w:spacing w:before="30" w:after="30"/>
              <w:rPr>
                <w:snapToGrid w:val="0"/>
                <w:lang w:val="en-US"/>
              </w:rPr>
            </w:pPr>
            <w:r w:rsidRPr="00A97D77">
              <w:rPr>
                <w:snapToGrid w:val="0"/>
                <w:lang w:val="en-US"/>
              </w:rPr>
              <w:t>2.746</w:t>
            </w:r>
          </w:p>
        </w:tc>
        <w:tc>
          <w:tcPr>
            <w:tcW w:w="728" w:type="dxa"/>
            <w:tcBorders>
              <w:top w:val="nil"/>
              <w:left w:val="nil"/>
              <w:bottom w:val="nil"/>
              <w:right w:val="nil"/>
            </w:tcBorders>
            <w:vAlign w:val="bottom"/>
          </w:tcPr>
          <w:p w14:paraId="64566087" w14:textId="77777777" w:rsidR="00A97D77" w:rsidRPr="00A97D77" w:rsidRDefault="00A97D77" w:rsidP="003B7C74">
            <w:pPr>
              <w:pStyle w:val="TableTextRight"/>
              <w:spacing w:before="30" w:after="30"/>
              <w:rPr>
                <w:snapToGrid w:val="0"/>
                <w:lang w:val="en-US"/>
              </w:rPr>
            </w:pPr>
            <w:r w:rsidRPr="00A97D77">
              <w:rPr>
                <w:snapToGrid w:val="0"/>
                <w:lang w:val="en-US"/>
              </w:rPr>
              <w:t>2.625</w:t>
            </w:r>
          </w:p>
        </w:tc>
        <w:tc>
          <w:tcPr>
            <w:tcW w:w="293" w:type="dxa"/>
            <w:tcBorders>
              <w:top w:val="nil"/>
              <w:left w:val="nil"/>
              <w:bottom w:val="nil"/>
              <w:right w:val="nil"/>
            </w:tcBorders>
            <w:vAlign w:val="bottom"/>
          </w:tcPr>
          <w:p w14:paraId="60C1FABA"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0CBC89B0" w14:textId="77777777" w:rsidR="00A97D77" w:rsidRPr="00D443D2" w:rsidRDefault="00A97D77" w:rsidP="003B7C74">
            <w:pPr>
              <w:pStyle w:val="TableTextRight"/>
              <w:spacing w:before="30" w:after="30"/>
              <w:rPr>
                <w:snapToGrid w:val="0"/>
                <w:lang w:val="en-US"/>
              </w:rPr>
            </w:pPr>
            <w:r>
              <w:rPr>
                <w:snapToGrid w:val="0"/>
                <w:lang w:val="en-US"/>
              </w:rPr>
              <w:t>2</w:t>
            </w:r>
            <w:r w:rsidRPr="00D443D2">
              <w:rPr>
                <w:snapToGrid w:val="0"/>
                <w:lang w:val="en-US"/>
              </w:rPr>
              <w:t>.</w:t>
            </w:r>
            <w:r>
              <w:rPr>
                <w:snapToGrid w:val="0"/>
                <w:lang w:val="en-US"/>
              </w:rPr>
              <w:t>108</w:t>
            </w:r>
          </w:p>
        </w:tc>
        <w:tc>
          <w:tcPr>
            <w:tcW w:w="294" w:type="dxa"/>
            <w:tcBorders>
              <w:top w:val="nil"/>
              <w:left w:val="nil"/>
              <w:bottom w:val="nil"/>
              <w:right w:val="nil"/>
            </w:tcBorders>
            <w:vAlign w:val="bottom"/>
          </w:tcPr>
          <w:p w14:paraId="37FAEFCB"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30CE03D5" w14:textId="77777777" w:rsidR="00A97D77" w:rsidRPr="0045232E" w:rsidRDefault="00A97D77" w:rsidP="003B7C74">
            <w:pPr>
              <w:pStyle w:val="TableTextRight"/>
              <w:spacing w:before="30" w:after="30"/>
              <w:rPr>
                <w:snapToGrid w:val="0"/>
                <w:lang w:val="en-US"/>
              </w:rPr>
            </w:pPr>
            <w:r w:rsidRPr="0045232E">
              <w:rPr>
                <w:snapToGrid w:val="0"/>
                <w:lang w:val="en-US"/>
              </w:rPr>
              <w:t>1.767</w:t>
            </w:r>
          </w:p>
        </w:tc>
      </w:tr>
      <w:tr w:rsidR="002D2737" w:rsidRPr="00B85C14" w14:paraId="0537648C" w14:textId="77777777" w:rsidTr="0062476A">
        <w:tc>
          <w:tcPr>
            <w:tcW w:w="879" w:type="dxa"/>
            <w:tcBorders>
              <w:top w:val="nil"/>
              <w:left w:val="nil"/>
              <w:bottom w:val="single" w:sz="2" w:space="0" w:color="000000"/>
              <w:right w:val="nil"/>
            </w:tcBorders>
            <w:vAlign w:val="bottom"/>
          </w:tcPr>
          <w:p w14:paraId="438604EF" w14:textId="77777777" w:rsidR="00A97D77" w:rsidRPr="00D443D2" w:rsidRDefault="00A97D77" w:rsidP="003B7C74">
            <w:pPr>
              <w:pStyle w:val="TableColumnHeadingLeft"/>
              <w:spacing w:before="30" w:after="30"/>
            </w:pPr>
            <w:r w:rsidRPr="00D443D2">
              <w:t>24</w:t>
            </w:r>
          </w:p>
        </w:tc>
        <w:tc>
          <w:tcPr>
            <w:tcW w:w="731" w:type="dxa"/>
            <w:tcBorders>
              <w:top w:val="nil"/>
              <w:left w:val="nil"/>
              <w:bottom w:val="single" w:sz="2" w:space="0" w:color="000000"/>
              <w:right w:val="nil"/>
            </w:tcBorders>
            <w:vAlign w:val="bottom"/>
          </w:tcPr>
          <w:p w14:paraId="07781E5E" w14:textId="77777777" w:rsidR="00A97D77" w:rsidRPr="00A97D77" w:rsidRDefault="00A97D77" w:rsidP="003B7C74">
            <w:pPr>
              <w:pStyle w:val="TableTextRight"/>
              <w:spacing w:before="30" w:after="30"/>
              <w:rPr>
                <w:snapToGrid w:val="0"/>
                <w:lang w:val="en-US"/>
              </w:rPr>
            </w:pPr>
            <w:r w:rsidRPr="00A97D77">
              <w:rPr>
                <w:snapToGrid w:val="0"/>
                <w:lang w:val="en-US"/>
              </w:rPr>
              <w:t>2.025</w:t>
            </w:r>
          </w:p>
        </w:tc>
        <w:tc>
          <w:tcPr>
            <w:tcW w:w="728" w:type="dxa"/>
            <w:tcBorders>
              <w:top w:val="nil"/>
              <w:left w:val="nil"/>
              <w:bottom w:val="single" w:sz="2" w:space="0" w:color="000000"/>
              <w:right w:val="nil"/>
            </w:tcBorders>
            <w:vAlign w:val="bottom"/>
          </w:tcPr>
          <w:p w14:paraId="2631B1F3" w14:textId="77777777" w:rsidR="00A97D77" w:rsidRPr="00A97D77" w:rsidRDefault="00A97D77" w:rsidP="003B7C74">
            <w:pPr>
              <w:pStyle w:val="TableTextRight"/>
              <w:spacing w:before="30" w:after="30"/>
              <w:rPr>
                <w:snapToGrid w:val="0"/>
                <w:lang w:val="en-US"/>
              </w:rPr>
            </w:pPr>
            <w:r w:rsidRPr="00A97D77">
              <w:rPr>
                <w:snapToGrid w:val="0"/>
                <w:lang w:val="en-US"/>
              </w:rPr>
              <w:t>1.983</w:t>
            </w:r>
          </w:p>
        </w:tc>
        <w:tc>
          <w:tcPr>
            <w:tcW w:w="728" w:type="dxa"/>
            <w:tcBorders>
              <w:top w:val="nil"/>
              <w:left w:val="nil"/>
              <w:bottom w:val="single" w:sz="2" w:space="0" w:color="000000"/>
              <w:right w:val="nil"/>
            </w:tcBorders>
            <w:vAlign w:val="bottom"/>
          </w:tcPr>
          <w:p w14:paraId="5B847AC9" w14:textId="77777777" w:rsidR="00A97D77" w:rsidRPr="00A97D77" w:rsidRDefault="00A97D77" w:rsidP="003B7C74">
            <w:pPr>
              <w:pStyle w:val="TableTextRight"/>
              <w:spacing w:before="30" w:after="30"/>
              <w:rPr>
                <w:snapToGrid w:val="0"/>
                <w:lang w:val="en-US"/>
              </w:rPr>
            </w:pPr>
            <w:r w:rsidRPr="00A97D77">
              <w:rPr>
                <w:snapToGrid w:val="0"/>
                <w:lang w:val="en-US"/>
              </w:rPr>
              <w:t>1.831</w:t>
            </w:r>
          </w:p>
        </w:tc>
        <w:tc>
          <w:tcPr>
            <w:tcW w:w="294" w:type="dxa"/>
            <w:tcBorders>
              <w:top w:val="nil"/>
              <w:left w:val="nil"/>
              <w:bottom w:val="single" w:sz="2" w:space="0" w:color="000000"/>
              <w:right w:val="nil"/>
            </w:tcBorders>
            <w:vAlign w:val="bottom"/>
          </w:tcPr>
          <w:p w14:paraId="0467641D"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single" w:sz="2" w:space="0" w:color="000000"/>
              <w:right w:val="nil"/>
            </w:tcBorders>
            <w:vAlign w:val="bottom"/>
          </w:tcPr>
          <w:p w14:paraId="0D786004" w14:textId="77777777" w:rsidR="00A97D77" w:rsidRPr="00A97D77" w:rsidRDefault="00A97D77" w:rsidP="003B7C74">
            <w:pPr>
              <w:pStyle w:val="TableTextRight"/>
              <w:spacing w:before="30" w:after="30"/>
              <w:rPr>
                <w:snapToGrid w:val="0"/>
                <w:lang w:val="en-US"/>
              </w:rPr>
            </w:pPr>
            <w:r w:rsidRPr="00A97D77">
              <w:rPr>
                <w:snapToGrid w:val="0"/>
                <w:lang w:val="en-US"/>
              </w:rPr>
              <w:t>2.981</w:t>
            </w:r>
          </w:p>
        </w:tc>
        <w:tc>
          <w:tcPr>
            <w:tcW w:w="728" w:type="dxa"/>
            <w:tcBorders>
              <w:top w:val="nil"/>
              <w:left w:val="nil"/>
              <w:bottom w:val="single" w:sz="2" w:space="0" w:color="000000"/>
              <w:right w:val="nil"/>
            </w:tcBorders>
            <w:vAlign w:val="bottom"/>
          </w:tcPr>
          <w:p w14:paraId="5E0824C3" w14:textId="77777777" w:rsidR="00A97D77" w:rsidRPr="00A97D77" w:rsidRDefault="00A97D77" w:rsidP="003B7C74">
            <w:pPr>
              <w:pStyle w:val="TableTextRight"/>
              <w:spacing w:before="30" w:after="30"/>
              <w:rPr>
                <w:snapToGrid w:val="0"/>
                <w:lang w:val="en-US"/>
              </w:rPr>
            </w:pPr>
            <w:r w:rsidRPr="00A97D77">
              <w:rPr>
                <w:snapToGrid w:val="0"/>
                <w:lang w:val="en-US"/>
              </w:rPr>
              <w:t>2.771</w:t>
            </w:r>
          </w:p>
        </w:tc>
        <w:tc>
          <w:tcPr>
            <w:tcW w:w="728" w:type="dxa"/>
            <w:tcBorders>
              <w:top w:val="nil"/>
              <w:left w:val="nil"/>
              <w:bottom w:val="single" w:sz="2" w:space="0" w:color="000000"/>
              <w:right w:val="nil"/>
            </w:tcBorders>
            <w:vAlign w:val="bottom"/>
          </w:tcPr>
          <w:p w14:paraId="7977263A" w14:textId="77777777" w:rsidR="00A97D77" w:rsidRPr="00A97D77" w:rsidRDefault="00A97D77" w:rsidP="003B7C74">
            <w:pPr>
              <w:pStyle w:val="TableTextRight"/>
              <w:spacing w:before="30" w:after="30"/>
              <w:rPr>
                <w:snapToGrid w:val="0"/>
                <w:lang w:val="en-US"/>
              </w:rPr>
            </w:pPr>
            <w:r w:rsidRPr="00A97D77">
              <w:rPr>
                <w:snapToGrid w:val="0"/>
                <w:lang w:val="en-US"/>
              </w:rPr>
              <w:t>2.660</w:t>
            </w:r>
          </w:p>
        </w:tc>
        <w:tc>
          <w:tcPr>
            <w:tcW w:w="293" w:type="dxa"/>
            <w:tcBorders>
              <w:top w:val="nil"/>
              <w:left w:val="nil"/>
              <w:bottom w:val="single" w:sz="2" w:space="0" w:color="000000"/>
              <w:right w:val="nil"/>
            </w:tcBorders>
            <w:vAlign w:val="bottom"/>
          </w:tcPr>
          <w:p w14:paraId="6B0273A8"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single" w:sz="2" w:space="0" w:color="000000"/>
              <w:right w:val="nil"/>
            </w:tcBorders>
            <w:vAlign w:val="bottom"/>
          </w:tcPr>
          <w:p w14:paraId="581BE625" w14:textId="77777777" w:rsidR="00A97D77" w:rsidRPr="00D443D2" w:rsidRDefault="00A97D77" w:rsidP="003B7C74">
            <w:pPr>
              <w:pStyle w:val="TableTextRight"/>
              <w:spacing w:before="30" w:after="30"/>
              <w:rPr>
                <w:snapToGrid w:val="0"/>
                <w:lang w:val="en-US"/>
              </w:rPr>
            </w:pPr>
            <w:r>
              <w:rPr>
                <w:snapToGrid w:val="0"/>
                <w:lang w:val="en-US"/>
              </w:rPr>
              <w:t>2</w:t>
            </w:r>
            <w:r w:rsidRPr="00D443D2">
              <w:rPr>
                <w:snapToGrid w:val="0"/>
                <w:lang w:val="en-US"/>
              </w:rPr>
              <w:t>.</w:t>
            </w:r>
            <w:r>
              <w:rPr>
                <w:snapToGrid w:val="0"/>
                <w:lang w:val="en-US"/>
              </w:rPr>
              <w:t>154</w:t>
            </w:r>
          </w:p>
        </w:tc>
        <w:tc>
          <w:tcPr>
            <w:tcW w:w="294" w:type="dxa"/>
            <w:tcBorders>
              <w:top w:val="nil"/>
              <w:left w:val="nil"/>
              <w:bottom w:val="single" w:sz="2" w:space="0" w:color="000000"/>
              <w:right w:val="nil"/>
            </w:tcBorders>
            <w:vAlign w:val="bottom"/>
          </w:tcPr>
          <w:p w14:paraId="41590BDB"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vAlign w:val="bottom"/>
          </w:tcPr>
          <w:p w14:paraId="1028B86A" w14:textId="77777777" w:rsidR="00A97D77" w:rsidRPr="0045232E" w:rsidRDefault="00A97D77" w:rsidP="003B7C74">
            <w:pPr>
              <w:pStyle w:val="TableTextRight"/>
              <w:spacing w:before="30" w:after="30"/>
              <w:rPr>
                <w:snapToGrid w:val="0"/>
                <w:lang w:val="en-US"/>
              </w:rPr>
            </w:pPr>
            <w:r w:rsidRPr="0045232E">
              <w:rPr>
                <w:snapToGrid w:val="0"/>
                <w:lang w:val="en-US"/>
              </w:rPr>
              <w:t>1.784</w:t>
            </w:r>
          </w:p>
        </w:tc>
      </w:tr>
      <w:tr w:rsidR="002D2737" w:rsidRPr="00B85C14" w14:paraId="5874BD19" w14:textId="77777777" w:rsidTr="0062476A">
        <w:tc>
          <w:tcPr>
            <w:tcW w:w="879" w:type="dxa"/>
            <w:tcBorders>
              <w:top w:val="single" w:sz="2" w:space="0" w:color="000000"/>
              <w:left w:val="nil"/>
              <w:bottom w:val="nil"/>
              <w:right w:val="nil"/>
            </w:tcBorders>
            <w:shd w:val="clear" w:color="auto" w:fill="F2F2F2" w:themeFill="background1" w:themeFillShade="F2"/>
            <w:vAlign w:val="bottom"/>
          </w:tcPr>
          <w:p w14:paraId="3918FE84" w14:textId="77777777" w:rsidR="00A97D77" w:rsidRPr="00D443D2" w:rsidRDefault="00A97D77" w:rsidP="003B7C74">
            <w:pPr>
              <w:pStyle w:val="TableColumnHeadingLeft"/>
              <w:spacing w:before="30" w:after="30"/>
            </w:pPr>
            <w:r w:rsidRPr="00D443D2">
              <w:t>25</w:t>
            </w:r>
          </w:p>
        </w:tc>
        <w:tc>
          <w:tcPr>
            <w:tcW w:w="731" w:type="dxa"/>
            <w:tcBorders>
              <w:top w:val="single" w:sz="2" w:space="0" w:color="000000"/>
              <w:left w:val="nil"/>
              <w:bottom w:val="nil"/>
              <w:right w:val="nil"/>
            </w:tcBorders>
            <w:shd w:val="clear" w:color="auto" w:fill="F2F2F2" w:themeFill="background1" w:themeFillShade="F2"/>
            <w:vAlign w:val="bottom"/>
          </w:tcPr>
          <w:p w14:paraId="0EE8D583" w14:textId="77777777" w:rsidR="00A97D77" w:rsidRPr="00A97D77" w:rsidRDefault="00A97D77" w:rsidP="003B7C74">
            <w:pPr>
              <w:pStyle w:val="TableTextRight"/>
              <w:spacing w:before="30" w:after="30"/>
              <w:rPr>
                <w:snapToGrid w:val="0"/>
                <w:lang w:val="en-US"/>
              </w:rPr>
            </w:pPr>
            <w:r w:rsidRPr="00A97D77">
              <w:rPr>
                <w:snapToGrid w:val="0"/>
                <w:lang w:val="en-US"/>
              </w:rPr>
              <w:t>2.035</w:t>
            </w:r>
          </w:p>
        </w:tc>
        <w:tc>
          <w:tcPr>
            <w:tcW w:w="728" w:type="dxa"/>
            <w:tcBorders>
              <w:top w:val="single" w:sz="2" w:space="0" w:color="000000"/>
              <w:left w:val="nil"/>
              <w:bottom w:val="nil"/>
              <w:right w:val="nil"/>
            </w:tcBorders>
            <w:shd w:val="clear" w:color="auto" w:fill="F2F2F2" w:themeFill="background1" w:themeFillShade="F2"/>
            <w:vAlign w:val="bottom"/>
          </w:tcPr>
          <w:p w14:paraId="1553C7FA" w14:textId="77777777" w:rsidR="00A97D77" w:rsidRPr="00A97D77" w:rsidRDefault="00A97D77" w:rsidP="003B7C74">
            <w:pPr>
              <w:pStyle w:val="TableTextRight"/>
              <w:spacing w:before="30" w:after="30"/>
              <w:rPr>
                <w:snapToGrid w:val="0"/>
                <w:lang w:val="en-US"/>
              </w:rPr>
            </w:pPr>
            <w:r w:rsidRPr="00A97D77">
              <w:rPr>
                <w:snapToGrid w:val="0"/>
                <w:lang w:val="en-US"/>
              </w:rPr>
              <w:t>1.993</w:t>
            </w:r>
          </w:p>
        </w:tc>
        <w:tc>
          <w:tcPr>
            <w:tcW w:w="728" w:type="dxa"/>
            <w:tcBorders>
              <w:top w:val="single" w:sz="2" w:space="0" w:color="000000"/>
              <w:left w:val="nil"/>
              <w:bottom w:val="nil"/>
              <w:right w:val="nil"/>
            </w:tcBorders>
            <w:shd w:val="clear" w:color="auto" w:fill="F2F2F2" w:themeFill="background1" w:themeFillShade="F2"/>
            <w:vAlign w:val="bottom"/>
          </w:tcPr>
          <w:p w14:paraId="4A2B7CF0" w14:textId="77777777" w:rsidR="00A97D77" w:rsidRPr="00A97D77" w:rsidRDefault="00A97D77" w:rsidP="003B7C74">
            <w:pPr>
              <w:pStyle w:val="TableTextRight"/>
              <w:spacing w:before="30" w:after="30"/>
              <w:rPr>
                <w:snapToGrid w:val="0"/>
                <w:lang w:val="en-US"/>
              </w:rPr>
            </w:pPr>
            <w:r w:rsidRPr="00A97D77">
              <w:rPr>
                <w:snapToGrid w:val="0"/>
                <w:lang w:val="en-US"/>
              </w:rPr>
              <w:t>1.851</w:t>
            </w:r>
          </w:p>
        </w:tc>
        <w:tc>
          <w:tcPr>
            <w:tcW w:w="294" w:type="dxa"/>
            <w:tcBorders>
              <w:top w:val="single" w:sz="2" w:space="0" w:color="000000"/>
              <w:left w:val="nil"/>
              <w:bottom w:val="nil"/>
              <w:right w:val="nil"/>
            </w:tcBorders>
            <w:shd w:val="clear" w:color="auto" w:fill="F2F2F2" w:themeFill="background1" w:themeFillShade="F2"/>
            <w:vAlign w:val="bottom"/>
          </w:tcPr>
          <w:p w14:paraId="0164E918" w14:textId="77777777" w:rsidR="00A97D77" w:rsidRPr="00190D6C" w:rsidRDefault="00A97D77" w:rsidP="003B7C74">
            <w:pPr>
              <w:pStyle w:val="TableTextRight"/>
              <w:spacing w:before="30" w:after="30"/>
              <w:rPr>
                <w:snapToGrid w:val="0"/>
                <w:lang w:val="en-US"/>
              </w:rPr>
            </w:pPr>
          </w:p>
        </w:tc>
        <w:tc>
          <w:tcPr>
            <w:tcW w:w="714" w:type="dxa"/>
            <w:tcBorders>
              <w:top w:val="single" w:sz="2" w:space="0" w:color="000000"/>
              <w:left w:val="nil"/>
              <w:bottom w:val="nil"/>
              <w:right w:val="nil"/>
            </w:tcBorders>
            <w:shd w:val="clear" w:color="auto" w:fill="F2F2F2" w:themeFill="background1" w:themeFillShade="F2"/>
            <w:vAlign w:val="bottom"/>
          </w:tcPr>
          <w:p w14:paraId="174EF265" w14:textId="77777777" w:rsidR="00A97D77" w:rsidRPr="00A97D77" w:rsidRDefault="00A97D77" w:rsidP="003B7C74">
            <w:pPr>
              <w:pStyle w:val="TableTextRight"/>
              <w:spacing w:before="30" w:after="30"/>
              <w:rPr>
                <w:snapToGrid w:val="0"/>
                <w:lang w:val="en-US"/>
              </w:rPr>
            </w:pPr>
            <w:r w:rsidRPr="00A97D77">
              <w:rPr>
                <w:snapToGrid w:val="0"/>
                <w:lang w:val="en-US"/>
              </w:rPr>
              <w:t>3.000</w:t>
            </w:r>
          </w:p>
        </w:tc>
        <w:tc>
          <w:tcPr>
            <w:tcW w:w="728" w:type="dxa"/>
            <w:tcBorders>
              <w:top w:val="single" w:sz="2" w:space="0" w:color="000000"/>
              <w:left w:val="nil"/>
              <w:bottom w:val="nil"/>
              <w:right w:val="nil"/>
            </w:tcBorders>
            <w:shd w:val="clear" w:color="auto" w:fill="F2F2F2" w:themeFill="background1" w:themeFillShade="F2"/>
            <w:vAlign w:val="bottom"/>
          </w:tcPr>
          <w:p w14:paraId="4AB5DAC4" w14:textId="77777777" w:rsidR="00A97D77" w:rsidRPr="00A97D77" w:rsidRDefault="00A97D77" w:rsidP="003B7C74">
            <w:pPr>
              <w:pStyle w:val="TableTextRight"/>
              <w:spacing w:before="30" w:after="30"/>
              <w:rPr>
                <w:snapToGrid w:val="0"/>
                <w:lang w:val="en-US"/>
              </w:rPr>
            </w:pPr>
            <w:r w:rsidRPr="00A97D77">
              <w:rPr>
                <w:snapToGrid w:val="0"/>
                <w:lang w:val="en-US"/>
              </w:rPr>
              <w:t>2.792</w:t>
            </w:r>
          </w:p>
        </w:tc>
        <w:tc>
          <w:tcPr>
            <w:tcW w:w="728" w:type="dxa"/>
            <w:tcBorders>
              <w:top w:val="single" w:sz="2" w:space="0" w:color="000000"/>
              <w:left w:val="nil"/>
              <w:bottom w:val="nil"/>
              <w:right w:val="nil"/>
            </w:tcBorders>
            <w:shd w:val="clear" w:color="auto" w:fill="F2F2F2" w:themeFill="background1" w:themeFillShade="F2"/>
            <w:vAlign w:val="bottom"/>
          </w:tcPr>
          <w:p w14:paraId="3D9680E2" w14:textId="77777777" w:rsidR="00A97D77" w:rsidRPr="00A97D77" w:rsidRDefault="00A97D77" w:rsidP="003B7C74">
            <w:pPr>
              <w:pStyle w:val="TableTextRight"/>
              <w:spacing w:before="30" w:after="30"/>
              <w:rPr>
                <w:snapToGrid w:val="0"/>
                <w:lang w:val="en-US"/>
              </w:rPr>
            </w:pPr>
            <w:r w:rsidRPr="00A97D77">
              <w:rPr>
                <w:snapToGrid w:val="0"/>
                <w:lang w:val="en-US"/>
              </w:rPr>
              <w:t>2.691</w:t>
            </w:r>
          </w:p>
        </w:tc>
        <w:tc>
          <w:tcPr>
            <w:tcW w:w="293" w:type="dxa"/>
            <w:tcBorders>
              <w:top w:val="single" w:sz="2" w:space="0" w:color="000000"/>
              <w:left w:val="nil"/>
              <w:bottom w:val="nil"/>
              <w:right w:val="nil"/>
            </w:tcBorders>
            <w:shd w:val="clear" w:color="auto" w:fill="F2F2F2" w:themeFill="background1" w:themeFillShade="F2"/>
            <w:vAlign w:val="bottom"/>
          </w:tcPr>
          <w:p w14:paraId="51DB4102" w14:textId="77777777" w:rsidR="00A97D77" w:rsidRPr="000E13F8" w:rsidRDefault="00A97D77" w:rsidP="003B7C74">
            <w:pPr>
              <w:pStyle w:val="TableTextRight"/>
              <w:spacing w:before="30" w:after="30"/>
              <w:rPr>
                <w:snapToGrid w:val="0"/>
                <w:lang w:val="en-US"/>
              </w:rPr>
            </w:pPr>
          </w:p>
        </w:tc>
        <w:tc>
          <w:tcPr>
            <w:tcW w:w="784" w:type="dxa"/>
            <w:tcBorders>
              <w:top w:val="single" w:sz="2" w:space="0" w:color="000000"/>
              <w:left w:val="nil"/>
              <w:bottom w:val="nil"/>
              <w:right w:val="nil"/>
            </w:tcBorders>
            <w:shd w:val="clear" w:color="auto" w:fill="F2F2F2" w:themeFill="background1" w:themeFillShade="F2"/>
            <w:vAlign w:val="bottom"/>
          </w:tcPr>
          <w:p w14:paraId="6359BA93" w14:textId="77777777" w:rsidR="00A97D77" w:rsidRPr="00D443D2" w:rsidRDefault="00A97D77" w:rsidP="003B7C74">
            <w:pPr>
              <w:pStyle w:val="TableTextRight"/>
              <w:spacing w:before="30" w:after="30"/>
              <w:rPr>
                <w:snapToGrid w:val="0"/>
                <w:lang w:val="en-US"/>
              </w:rPr>
            </w:pPr>
            <w:r>
              <w:rPr>
                <w:snapToGrid w:val="0"/>
                <w:lang w:val="en-US"/>
              </w:rPr>
              <w:t>2</w:t>
            </w:r>
            <w:r w:rsidRPr="00D443D2">
              <w:rPr>
                <w:snapToGrid w:val="0"/>
                <w:lang w:val="en-US"/>
              </w:rPr>
              <w:t>.</w:t>
            </w:r>
            <w:r>
              <w:rPr>
                <w:snapToGrid w:val="0"/>
                <w:lang w:val="en-US"/>
              </w:rPr>
              <w:t>197</w:t>
            </w:r>
          </w:p>
        </w:tc>
        <w:tc>
          <w:tcPr>
            <w:tcW w:w="294" w:type="dxa"/>
            <w:tcBorders>
              <w:top w:val="single" w:sz="2" w:space="0" w:color="000000"/>
              <w:left w:val="nil"/>
              <w:bottom w:val="nil"/>
              <w:right w:val="nil"/>
            </w:tcBorders>
            <w:shd w:val="clear" w:color="auto" w:fill="F2F2F2" w:themeFill="background1" w:themeFillShade="F2"/>
            <w:vAlign w:val="bottom"/>
          </w:tcPr>
          <w:p w14:paraId="045772DF"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shd w:val="clear" w:color="auto" w:fill="F2F2F2" w:themeFill="background1" w:themeFillShade="F2"/>
            <w:vAlign w:val="bottom"/>
          </w:tcPr>
          <w:p w14:paraId="29DE83D8" w14:textId="77777777" w:rsidR="00A97D77" w:rsidRPr="0045232E" w:rsidRDefault="00A97D77" w:rsidP="003B7C74">
            <w:pPr>
              <w:pStyle w:val="TableTextRight"/>
              <w:spacing w:before="30" w:after="30"/>
              <w:rPr>
                <w:snapToGrid w:val="0"/>
                <w:lang w:val="en-US"/>
              </w:rPr>
            </w:pPr>
            <w:r w:rsidRPr="0045232E">
              <w:rPr>
                <w:snapToGrid w:val="0"/>
                <w:lang w:val="en-US"/>
              </w:rPr>
              <w:t>1.800</w:t>
            </w:r>
          </w:p>
        </w:tc>
      </w:tr>
      <w:tr w:rsidR="002D2737" w:rsidRPr="00B85C14" w14:paraId="345BAE62" w14:textId="77777777" w:rsidTr="0062476A">
        <w:tc>
          <w:tcPr>
            <w:tcW w:w="879" w:type="dxa"/>
            <w:tcBorders>
              <w:top w:val="nil"/>
              <w:left w:val="nil"/>
              <w:bottom w:val="nil"/>
              <w:right w:val="nil"/>
            </w:tcBorders>
            <w:shd w:val="clear" w:color="auto" w:fill="F2F2F2" w:themeFill="background1" w:themeFillShade="F2"/>
            <w:vAlign w:val="bottom"/>
          </w:tcPr>
          <w:p w14:paraId="11875ACD" w14:textId="77777777" w:rsidR="00A97D77" w:rsidRPr="00D443D2" w:rsidRDefault="00A97D77" w:rsidP="003B7C74">
            <w:pPr>
              <w:pStyle w:val="TableColumnHeadingLeft"/>
              <w:spacing w:before="30" w:after="30"/>
            </w:pPr>
            <w:r w:rsidRPr="00D443D2">
              <w:t>26</w:t>
            </w:r>
          </w:p>
        </w:tc>
        <w:tc>
          <w:tcPr>
            <w:tcW w:w="731" w:type="dxa"/>
            <w:tcBorders>
              <w:top w:val="nil"/>
              <w:left w:val="nil"/>
              <w:bottom w:val="nil"/>
              <w:right w:val="nil"/>
            </w:tcBorders>
            <w:shd w:val="clear" w:color="auto" w:fill="F2F2F2" w:themeFill="background1" w:themeFillShade="F2"/>
            <w:vAlign w:val="bottom"/>
          </w:tcPr>
          <w:p w14:paraId="10B32179" w14:textId="77777777" w:rsidR="00A97D77" w:rsidRPr="00A97D77" w:rsidRDefault="00A97D77" w:rsidP="003B7C74">
            <w:pPr>
              <w:pStyle w:val="TableTextRight"/>
              <w:spacing w:before="30" w:after="30"/>
              <w:rPr>
                <w:snapToGrid w:val="0"/>
                <w:lang w:val="en-US"/>
              </w:rPr>
            </w:pPr>
            <w:r w:rsidRPr="00A97D77">
              <w:rPr>
                <w:snapToGrid w:val="0"/>
                <w:lang w:val="en-US"/>
              </w:rPr>
              <w:t>2.045</w:t>
            </w:r>
          </w:p>
        </w:tc>
        <w:tc>
          <w:tcPr>
            <w:tcW w:w="728" w:type="dxa"/>
            <w:tcBorders>
              <w:top w:val="nil"/>
              <w:left w:val="nil"/>
              <w:bottom w:val="nil"/>
              <w:right w:val="nil"/>
            </w:tcBorders>
            <w:shd w:val="clear" w:color="auto" w:fill="F2F2F2" w:themeFill="background1" w:themeFillShade="F2"/>
            <w:vAlign w:val="bottom"/>
          </w:tcPr>
          <w:p w14:paraId="4317DEDF" w14:textId="77777777" w:rsidR="00A97D77" w:rsidRPr="00A97D77" w:rsidRDefault="00A97D77" w:rsidP="003B7C74">
            <w:pPr>
              <w:pStyle w:val="TableTextRight"/>
              <w:spacing w:before="30" w:after="30"/>
              <w:rPr>
                <w:snapToGrid w:val="0"/>
                <w:lang w:val="en-US"/>
              </w:rPr>
            </w:pPr>
            <w:r w:rsidRPr="00A97D77">
              <w:rPr>
                <w:snapToGrid w:val="0"/>
                <w:lang w:val="en-US"/>
              </w:rPr>
              <w:t>2.003</w:t>
            </w:r>
          </w:p>
        </w:tc>
        <w:tc>
          <w:tcPr>
            <w:tcW w:w="728" w:type="dxa"/>
            <w:tcBorders>
              <w:top w:val="nil"/>
              <w:left w:val="nil"/>
              <w:bottom w:val="nil"/>
              <w:right w:val="nil"/>
            </w:tcBorders>
            <w:shd w:val="clear" w:color="auto" w:fill="F2F2F2" w:themeFill="background1" w:themeFillShade="F2"/>
            <w:vAlign w:val="bottom"/>
          </w:tcPr>
          <w:p w14:paraId="05CDE888" w14:textId="77777777" w:rsidR="00A97D77" w:rsidRPr="00A97D77" w:rsidRDefault="00A97D77" w:rsidP="003B7C74">
            <w:pPr>
              <w:pStyle w:val="TableTextRight"/>
              <w:spacing w:before="30" w:after="30"/>
              <w:rPr>
                <w:snapToGrid w:val="0"/>
                <w:lang w:val="en-US"/>
              </w:rPr>
            </w:pPr>
            <w:r w:rsidRPr="00A97D77">
              <w:rPr>
                <w:snapToGrid w:val="0"/>
                <w:lang w:val="en-US"/>
              </w:rPr>
              <w:t>1.870</w:t>
            </w:r>
          </w:p>
        </w:tc>
        <w:tc>
          <w:tcPr>
            <w:tcW w:w="294" w:type="dxa"/>
            <w:tcBorders>
              <w:top w:val="nil"/>
              <w:left w:val="nil"/>
              <w:bottom w:val="nil"/>
              <w:right w:val="nil"/>
            </w:tcBorders>
            <w:shd w:val="clear" w:color="auto" w:fill="F2F2F2" w:themeFill="background1" w:themeFillShade="F2"/>
            <w:vAlign w:val="bottom"/>
          </w:tcPr>
          <w:p w14:paraId="475E62E0"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0B04116E" w14:textId="77777777" w:rsidR="00A97D77" w:rsidRPr="00A97D77" w:rsidRDefault="00A97D77" w:rsidP="003B7C74">
            <w:pPr>
              <w:pStyle w:val="TableTextRight"/>
              <w:spacing w:before="30" w:after="30"/>
              <w:rPr>
                <w:snapToGrid w:val="0"/>
                <w:lang w:val="en-US"/>
              </w:rPr>
            </w:pPr>
            <w:r w:rsidRPr="00A97D77">
              <w:rPr>
                <w:snapToGrid w:val="0"/>
                <w:lang w:val="en-US"/>
              </w:rPr>
              <w:t>3.017</w:t>
            </w:r>
          </w:p>
        </w:tc>
        <w:tc>
          <w:tcPr>
            <w:tcW w:w="728" w:type="dxa"/>
            <w:tcBorders>
              <w:top w:val="nil"/>
              <w:left w:val="nil"/>
              <w:bottom w:val="nil"/>
              <w:right w:val="nil"/>
            </w:tcBorders>
            <w:shd w:val="clear" w:color="auto" w:fill="F2F2F2" w:themeFill="background1" w:themeFillShade="F2"/>
            <w:vAlign w:val="bottom"/>
          </w:tcPr>
          <w:p w14:paraId="361D6B93" w14:textId="77777777" w:rsidR="00A97D77" w:rsidRPr="00A97D77" w:rsidRDefault="00A97D77" w:rsidP="003B7C74">
            <w:pPr>
              <w:pStyle w:val="TableTextRight"/>
              <w:spacing w:before="30" w:after="30"/>
              <w:rPr>
                <w:snapToGrid w:val="0"/>
                <w:lang w:val="en-US"/>
              </w:rPr>
            </w:pPr>
            <w:r w:rsidRPr="00A97D77">
              <w:rPr>
                <w:snapToGrid w:val="0"/>
                <w:lang w:val="en-US"/>
              </w:rPr>
              <w:t>2.810</w:t>
            </w:r>
          </w:p>
        </w:tc>
        <w:tc>
          <w:tcPr>
            <w:tcW w:w="728" w:type="dxa"/>
            <w:tcBorders>
              <w:top w:val="nil"/>
              <w:left w:val="nil"/>
              <w:bottom w:val="nil"/>
              <w:right w:val="nil"/>
            </w:tcBorders>
            <w:shd w:val="clear" w:color="auto" w:fill="F2F2F2" w:themeFill="background1" w:themeFillShade="F2"/>
            <w:vAlign w:val="bottom"/>
          </w:tcPr>
          <w:p w14:paraId="21B4AC3D" w14:textId="77777777" w:rsidR="00A97D77" w:rsidRPr="00A97D77" w:rsidRDefault="00A97D77" w:rsidP="003B7C74">
            <w:pPr>
              <w:pStyle w:val="TableTextRight"/>
              <w:spacing w:before="30" w:after="30"/>
              <w:rPr>
                <w:snapToGrid w:val="0"/>
                <w:lang w:val="en-US"/>
              </w:rPr>
            </w:pPr>
            <w:r w:rsidRPr="00A97D77">
              <w:rPr>
                <w:snapToGrid w:val="0"/>
                <w:lang w:val="en-US"/>
              </w:rPr>
              <w:t>2.720</w:t>
            </w:r>
          </w:p>
        </w:tc>
        <w:tc>
          <w:tcPr>
            <w:tcW w:w="293" w:type="dxa"/>
            <w:tcBorders>
              <w:top w:val="nil"/>
              <w:left w:val="nil"/>
              <w:bottom w:val="nil"/>
              <w:right w:val="nil"/>
            </w:tcBorders>
            <w:shd w:val="clear" w:color="auto" w:fill="F2F2F2" w:themeFill="background1" w:themeFillShade="F2"/>
            <w:vAlign w:val="bottom"/>
          </w:tcPr>
          <w:p w14:paraId="2B405EBA"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5F7ED2BF"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237</w:t>
            </w:r>
          </w:p>
        </w:tc>
        <w:tc>
          <w:tcPr>
            <w:tcW w:w="294" w:type="dxa"/>
            <w:tcBorders>
              <w:top w:val="nil"/>
              <w:left w:val="nil"/>
              <w:bottom w:val="nil"/>
              <w:right w:val="nil"/>
            </w:tcBorders>
            <w:shd w:val="clear" w:color="auto" w:fill="F2F2F2" w:themeFill="background1" w:themeFillShade="F2"/>
            <w:vAlign w:val="bottom"/>
          </w:tcPr>
          <w:p w14:paraId="1F67C6AD"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6B3D93CA" w14:textId="77777777" w:rsidR="00A97D77" w:rsidRPr="0045232E" w:rsidRDefault="00A97D77" w:rsidP="003B7C74">
            <w:pPr>
              <w:pStyle w:val="TableTextRight"/>
              <w:spacing w:before="30" w:after="30"/>
              <w:rPr>
                <w:snapToGrid w:val="0"/>
                <w:lang w:val="en-US"/>
              </w:rPr>
            </w:pPr>
            <w:r w:rsidRPr="0045232E">
              <w:rPr>
                <w:snapToGrid w:val="0"/>
                <w:lang w:val="en-US"/>
              </w:rPr>
              <w:t>1.816</w:t>
            </w:r>
          </w:p>
        </w:tc>
      </w:tr>
      <w:tr w:rsidR="002D2737" w:rsidRPr="00B85C14" w14:paraId="5074ABC4" w14:textId="77777777" w:rsidTr="0062476A">
        <w:tc>
          <w:tcPr>
            <w:tcW w:w="879" w:type="dxa"/>
            <w:tcBorders>
              <w:top w:val="nil"/>
              <w:left w:val="nil"/>
              <w:bottom w:val="nil"/>
              <w:right w:val="nil"/>
            </w:tcBorders>
            <w:shd w:val="clear" w:color="auto" w:fill="F2F2F2" w:themeFill="background1" w:themeFillShade="F2"/>
            <w:vAlign w:val="bottom"/>
          </w:tcPr>
          <w:p w14:paraId="3C3DC523" w14:textId="77777777" w:rsidR="00A97D77" w:rsidRPr="00D443D2" w:rsidRDefault="00A97D77" w:rsidP="003B7C74">
            <w:pPr>
              <w:pStyle w:val="TableColumnHeadingLeft"/>
              <w:spacing w:before="30" w:after="30"/>
            </w:pPr>
            <w:r w:rsidRPr="00D443D2">
              <w:t>27</w:t>
            </w:r>
          </w:p>
        </w:tc>
        <w:tc>
          <w:tcPr>
            <w:tcW w:w="731" w:type="dxa"/>
            <w:tcBorders>
              <w:top w:val="nil"/>
              <w:left w:val="nil"/>
              <w:bottom w:val="nil"/>
              <w:right w:val="nil"/>
            </w:tcBorders>
            <w:shd w:val="clear" w:color="auto" w:fill="F2F2F2" w:themeFill="background1" w:themeFillShade="F2"/>
            <w:vAlign w:val="bottom"/>
          </w:tcPr>
          <w:p w14:paraId="28C099E5" w14:textId="77777777" w:rsidR="00A97D77" w:rsidRPr="00A97D77" w:rsidRDefault="00A97D77" w:rsidP="003B7C74">
            <w:pPr>
              <w:pStyle w:val="TableTextRight"/>
              <w:spacing w:before="30" w:after="30"/>
              <w:rPr>
                <w:snapToGrid w:val="0"/>
                <w:lang w:val="en-US"/>
              </w:rPr>
            </w:pPr>
            <w:r w:rsidRPr="00A97D77">
              <w:rPr>
                <w:snapToGrid w:val="0"/>
                <w:lang w:val="en-US"/>
              </w:rPr>
              <w:t>2.055</w:t>
            </w:r>
          </w:p>
        </w:tc>
        <w:tc>
          <w:tcPr>
            <w:tcW w:w="728" w:type="dxa"/>
            <w:tcBorders>
              <w:top w:val="nil"/>
              <w:left w:val="nil"/>
              <w:bottom w:val="nil"/>
              <w:right w:val="nil"/>
            </w:tcBorders>
            <w:shd w:val="clear" w:color="auto" w:fill="F2F2F2" w:themeFill="background1" w:themeFillShade="F2"/>
            <w:vAlign w:val="bottom"/>
          </w:tcPr>
          <w:p w14:paraId="7FDCB949" w14:textId="77777777" w:rsidR="00A97D77" w:rsidRPr="00A97D77" w:rsidRDefault="00A97D77" w:rsidP="003B7C74">
            <w:pPr>
              <w:pStyle w:val="TableTextRight"/>
              <w:spacing w:before="30" w:after="30"/>
              <w:rPr>
                <w:snapToGrid w:val="0"/>
                <w:lang w:val="en-US"/>
              </w:rPr>
            </w:pPr>
            <w:r w:rsidRPr="00A97D77">
              <w:rPr>
                <w:snapToGrid w:val="0"/>
                <w:lang w:val="en-US"/>
              </w:rPr>
              <w:t>2.013</w:t>
            </w:r>
          </w:p>
        </w:tc>
        <w:tc>
          <w:tcPr>
            <w:tcW w:w="728" w:type="dxa"/>
            <w:tcBorders>
              <w:top w:val="nil"/>
              <w:left w:val="nil"/>
              <w:bottom w:val="nil"/>
              <w:right w:val="nil"/>
            </w:tcBorders>
            <w:shd w:val="clear" w:color="auto" w:fill="F2F2F2" w:themeFill="background1" w:themeFillShade="F2"/>
            <w:vAlign w:val="bottom"/>
          </w:tcPr>
          <w:p w14:paraId="51BD1037" w14:textId="77777777" w:rsidR="00A97D77" w:rsidRPr="00A97D77" w:rsidRDefault="00A97D77" w:rsidP="003B7C74">
            <w:pPr>
              <w:pStyle w:val="TableTextRight"/>
              <w:spacing w:before="30" w:after="30"/>
              <w:rPr>
                <w:snapToGrid w:val="0"/>
                <w:lang w:val="en-US"/>
              </w:rPr>
            </w:pPr>
            <w:r w:rsidRPr="00A97D77">
              <w:rPr>
                <w:snapToGrid w:val="0"/>
                <w:lang w:val="en-US"/>
              </w:rPr>
              <w:t>1.889</w:t>
            </w:r>
          </w:p>
        </w:tc>
        <w:tc>
          <w:tcPr>
            <w:tcW w:w="294" w:type="dxa"/>
            <w:tcBorders>
              <w:top w:val="nil"/>
              <w:left w:val="nil"/>
              <w:bottom w:val="nil"/>
              <w:right w:val="nil"/>
            </w:tcBorders>
            <w:shd w:val="clear" w:color="auto" w:fill="F2F2F2" w:themeFill="background1" w:themeFillShade="F2"/>
            <w:vAlign w:val="bottom"/>
          </w:tcPr>
          <w:p w14:paraId="5D2400FE"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49470982" w14:textId="77777777" w:rsidR="00A97D77" w:rsidRPr="00A97D77" w:rsidRDefault="00A97D77" w:rsidP="003B7C74">
            <w:pPr>
              <w:pStyle w:val="TableTextRight"/>
              <w:spacing w:before="30" w:after="30"/>
              <w:rPr>
                <w:snapToGrid w:val="0"/>
                <w:lang w:val="en-US"/>
              </w:rPr>
            </w:pPr>
            <w:r w:rsidRPr="00A97D77">
              <w:rPr>
                <w:snapToGrid w:val="0"/>
                <w:lang w:val="en-US"/>
              </w:rPr>
              <w:t>3.033</w:t>
            </w:r>
          </w:p>
        </w:tc>
        <w:tc>
          <w:tcPr>
            <w:tcW w:w="728" w:type="dxa"/>
            <w:tcBorders>
              <w:top w:val="nil"/>
              <w:left w:val="nil"/>
              <w:bottom w:val="nil"/>
              <w:right w:val="nil"/>
            </w:tcBorders>
            <w:shd w:val="clear" w:color="auto" w:fill="F2F2F2" w:themeFill="background1" w:themeFillShade="F2"/>
            <w:vAlign w:val="bottom"/>
          </w:tcPr>
          <w:p w14:paraId="45449605" w14:textId="77777777" w:rsidR="00A97D77" w:rsidRPr="00A97D77" w:rsidRDefault="00A97D77" w:rsidP="003B7C74">
            <w:pPr>
              <w:pStyle w:val="TableTextRight"/>
              <w:spacing w:before="30" w:after="30"/>
              <w:rPr>
                <w:snapToGrid w:val="0"/>
                <w:lang w:val="en-US"/>
              </w:rPr>
            </w:pPr>
            <w:r w:rsidRPr="00A97D77">
              <w:rPr>
                <w:snapToGrid w:val="0"/>
                <w:lang w:val="en-US"/>
              </w:rPr>
              <w:t>2.826</w:t>
            </w:r>
          </w:p>
        </w:tc>
        <w:tc>
          <w:tcPr>
            <w:tcW w:w="728" w:type="dxa"/>
            <w:tcBorders>
              <w:top w:val="nil"/>
              <w:left w:val="nil"/>
              <w:bottom w:val="nil"/>
              <w:right w:val="nil"/>
            </w:tcBorders>
            <w:shd w:val="clear" w:color="auto" w:fill="F2F2F2" w:themeFill="background1" w:themeFillShade="F2"/>
            <w:vAlign w:val="bottom"/>
          </w:tcPr>
          <w:p w14:paraId="733C16D4" w14:textId="77777777" w:rsidR="00A97D77" w:rsidRPr="00A97D77" w:rsidRDefault="00A97D77" w:rsidP="003B7C74">
            <w:pPr>
              <w:pStyle w:val="TableTextRight"/>
              <w:spacing w:before="30" w:after="30"/>
              <w:rPr>
                <w:snapToGrid w:val="0"/>
                <w:lang w:val="en-US"/>
              </w:rPr>
            </w:pPr>
            <w:r w:rsidRPr="00A97D77">
              <w:rPr>
                <w:snapToGrid w:val="0"/>
                <w:lang w:val="en-US"/>
              </w:rPr>
              <w:t>2.747</w:t>
            </w:r>
          </w:p>
        </w:tc>
        <w:tc>
          <w:tcPr>
            <w:tcW w:w="293" w:type="dxa"/>
            <w:tcBorders>
              <w:top w:val="nil"/>
              <w:left w:val="nil"/>
              <w:bottom w:val="nil"/>
              <w:right w:val="nil"/>
            </w:tcBorders>
            <w:shd w:val="clear" w:color="auto" w:fill="F2F2F2" w:themeFill="background1" w:themeFillShade="F2"/>
            <w:vAlign w:val="bottom"/>
          </w:tcPr>
          <w:p w14:paraId="6344BB20"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5ECB9B0E"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273</w:t>
            </w:r>
          </w:p>
        </w:tc>
        <w:tc>
          <w:tcPr>
            <w:tcW w:w="294" w:type="dxa"/>
            <w:tcBorders>
              <w:top w:val="nil"/>
              <w:left w:val="nil"/>
              <w:bottom w:val="nil"/>
              <w:right w:val="nil"/>
            </w:tcBorders>
            <w:shd w:val="clear" w:color="auto" w:fill="F2F2F2" w:themeFill="background1" w:themeFillShade="F2"/>
            <w:vAlign w:val="bottom"/>
          </w:tcPr>
          <w:p w14:paraId="44085F86"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10455FB0" w14:textId="77777777" w:rsidR="00A97D77" w:rsidRPr="0045232E" w:rsidRDefault="00A97D77" w:rsidP="003B7C74">
            <w:pPr>
              <w:pStyle w:val="TableTextRight"/>
              <w:spacing w:before="30" w:after="30"/>
              <w:rPr>
                <w:snapToGrid w:val="0"/>
                <w:lang w:val="en-US"/>
              </w:rPr>
            </w:pPr>
            <w:r w:rsidRPr="0045232E">
              <w:rPr>
                <w:snapToGrid w:val="0"/>
                <w:lang w:val="en-US"/>
              </w:rPr>
              <w:t>1.831</w:t>
            </w:r>
          </w:p>
        </w:tc>
      </w:tr>
      <w:tr w:rsidR="002D2737" w:rsidRPr="00B85C14" w14:paraId="75016537" w14:textId="77777777" w:rsidTr="0062476A">
        <w:tc>
          <w:tcPr>
            <w:tcW w:w="879" w:type="dxa"/>
            <w:tcBorders>
              <w:top w:val="nil"/>
              <w:left w:val="nil"/>
              <w:bottom w:val="nil"/>
              <w:right w:val="nil"/>
            </w:tcBorders>
            <w:shd w:val="clear" w:color="auto" w:fill="F2F2F2" w:themeFill="background1" w:themeFillShade="F2"/>
            <w:vAlign w:val="bottom"/>
          </w:tcPr>
          <w:p w14:paraId="26EE6D53" w14:textId="77777777" w:rsidR="00A97D77" w:rsidRPr="00D443D2" w:rsidRDefault="00A97D77" w:rsidP="003B7C74">
            <w:pPr>
              <w:pStyle w:val="TableColumnHeadingLeft"/>
              <w:spacing w:before="30" w:after="30"/>
            </w:pPr>
            <w:r w:rsidRPr="00D443D2">
              <w:t>28</w:t>
            </w:r>
          </w:p>
        </w:tc>
        <w:tc>
          <w:tcPr>
            <w:tcW w:w="731" w:type="dxa"/>
            <w:tcBorders>
              <w:top w:val="nil"/>
              <w:left w:val="nil"/>
              <w:bottom w:val="nil"/>
              <w:right w:val="nil"/>
            </w:tcBorders>
            <w:shd w:val="clear" w:color="auto" w:fill="F2F2F2" w:themeFill="background1" w:themeFillShade="F2"/>
            <w:vAlign w:val="bottom"/>
          </w:tcPr>
          <w:p w14:paraId="23E4CAF1" w14:textId="77777777" w:rsidR="00A97D77" w:rsidRPr="00A97D77" w:rsidRDefault="00A97D77" w:rsidP="003B7C74">
            <w:pPr>
              <w:pStyle w:val="TableTextRight"/>
              <w:spacing w:before="30" w:after="30"/>
              <w:rPr>
                <w:snapToGrid w:val="0"/>
                <w:lang w:val="en-US"/>
              </w:rPr>
            </w:pPr>
            <w:r w:rsidRPr="00A97D77">
              <w:rPr>
                <w:snapToGrid w:val="0"/>
                <w:lang w:val="en-US"/>
              </w:rPr>
              <w:t>2.066</w:t>
            </w:r>
          </w:p>
        </w:tc>
        <w:tc>
          <w:tcPr>
            <w:tcW w:w="728" w:type="dxa"/>
            <w:tcBorders>
              <w:top w:val="nil"/>
              <w:left w:val="nil"/>
              <w:bottom w:val="nil"/>
              <w:right w:val="nil"/>
            </w:tcBorders>
            <w:shd w:val="clear" w:color="auto" w:fill="F2F2F2" w:themeFill="background1" w:themeFillShade="F2"/>
            <w:vAlign w:val="bottom"/>
          </w:tcPr>
          <w:p w14:paraId="1B4A4576" w14:textId="77777777" w:rsidR="00A97D77" w:rsidRPr="00A97D77" w:rsidRDefault="00A97D77" w:rsidP="003B7C74">
            <w:pPr>
              <w:pStyle w:val="TableTextRight"/>
              <w:spacing w:before="30" w:after="30"/>
              <w:rPr>
                <w:snapToGrid w:val="0"/>
                <w:lang w:val="en-US"/>
              </w:rPr>
            </w:pPr>
            <w:r w:rsidRPr="00A97D77">
              <w:rPr>
                <w:snapToGrid w:val="0"/>
                <w:lang w:val="en-US"/>
              </w:rPr>
              <w:t>2.023</w:t>
            </w:r>
          </w:p>
        </w:tc>
        <w:tc>
          <w:tcPr>
            <w:tcW w:w="728" w:type="dxa"/>
            <w:tcBorders>
              <w:top w:val="nil"/>
              <w:left w:val="nil"/>
              <w:bottom w:val="nil"/>
              <w:right w:val="nil"/>
            </w:tcBorders>
            <w:shd w:val="clear" w:color="auto" w:fill="F2F2F2" w:themeFill="background1" w:themeFillShade="F2"/>
            <w:vAlign w:val="bottom"/>
          </w:tcPr>
          <w:p w14:paraId="0B578567" w14:textId="77777777" w:rsidR="00A97D77" w:rsidRPr="00A97D77" w:rsidRDefault="00A97D77" w:rsidP="003B7C74">
            <w:pPr>
              <w:pStyle w:val="TableTextRight"/>
              <w:spacing w:before="30" w:after="30"/>
              <w:rPr>
                <w:snapToGrid w:val="0"/>
                <w:lang w:val="en-US"/>
              </w:rPr>
            </w:pPr>
            <w:r w:rsidRPr="00A97D77">
              <w:rPr>
                <w:snapToGrid w:val="0"/>
                <w:lang w:val="en-US"/>
              </w:rPr>
              <w:t>1.905</w:t>
            </w:r>
          </w:p>
        </w:tc>
        <w:tc>
          <w:tcPr>
            <w:tcW w:w="294" w:type="dxa"/>
            <w:tcBorders>
              <w:top w:val="nil"/>
              <w:left w:val="nil"/>
              <w:bottom w:val="nil"/>
              <w:right w:val="nil"/>
            </w:tcBorders>
            <w:shd w:val="clear" w:color="auto" w:fill="F2F2F2" w:themeFill="background1" w:themeFillShade="F2"/>
            <w:vAlign w:val="bottom"/>
          </w:tcPr>
          <w:p w14:paraId="37A58979"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6497C49E" w14:textId="77777777" w:rsidR="00A97D77" w:rsidRPr="00A97D77" w:rsidRDefault="00A97D77" w:rsidP="003B7C74">
            <w:pPr>
              <w:pStyle w:val="TableTextRight"/>
              <w:spacing w:before="30" w:after="30"/>
              <w:rPr>
                <w:snapToGrid w:val="0"/>
                <w:lang w:val="en-US"/>
              </w:rPr>
            </w:pPr>
            <w:r w:rsidRPr="00A97D77">
              <w:rPr>
                <w:snapToGrid w:val="0"/>
                <w:lang w:val="en-US"/>
              </w:rPr>
              <w:t>3.049</w:t>
            </w:r>
          </w:p>
        </w:tc>
        <w:tc>
          <w:tcPr>
            <w:tcW w:w="728" w:type="dxa"/>
            <w:tcBorders>
              <w:top w:val="nil"/>
              <w:left w:val="nil"/>
              <w:bottom w:val="nil"/>
              <w:right w:val="nil"/>
            </w:tcBorders>
            <w:shd w:val="clear" w:color="auto" w:fill="F2F2F2" w:themeFill="background1" w:themeFillShade="F2"/>
            <w:vAlign w:val="bottom"/>
          </w:tcPr>
          <w:p w14:paraId="2D5EBD30" w14:textId="77777777" w:rsidR="00A97D77" w:rsidRPr="00A97D77" w:rsidRDefault="00A97D77" w:rsidP="003B7C74">
            <w:pPr>
              <w:pStyle w:val="TableTextRight"/>
              <w:spacing w:before="30" w:after="30"/>
              <w:rPr>
                <w:snapToGrid w:val="0"/>
                <w:lang w:val="en-US"/>
              </w:rPr>
            </w:pPr>
            <w:r w:rsidRPr="00A97D77">
              <w:rPr>
                <w:snapToGrid w:val="0"/>
                <w:lang w:val="en-US"/>
              </w:rPr>
              <w:t>2.842</w:t>
            </w:r>
          </w:p>
        </w:tc>
        <w:tc>
          <w:tcPr>
            <w:tcW w:w="728" w:type="dxa"/>
            <w:tcBorders>
              <w:top w:val="nil"/>
              <w:left w:val="nil"/>
              <w:bottom w:val="nil"/>
              <w:right w:val="nil"/>
            </w:tcBorders>
            <w:shd w:val="clear" w:color="auto" w:fill="F2F2F2" w:themeFill="background1" w:themeFillShade="F2"/>
            <w:vAlign w:val="bottom"/>
          </w:tcPr>
          <w:p w14:paraId="268CA179" w14:textId="77777777" w:rsidR="00A97D77" w:rsidRPr="00A97D77" w:rsidRDefault="00A97D77" w:rsidP="003B7C74">
            <w:pPr>
              <w:pStyle w:val="TableTextRight"/>
              <w:spacing w:before="30" w:after="30"/>
              <w:rPr>
                <w:snapToGrid w:val="0"/>
                <w:lang w:val="en-US"/>
              </w:rPr>
            </w:pPr>
            <w:r w:rsidRPr="00A97D77">
              <w:rPr>
                <w:snapToGrid w:val="0"/>
                <w:lang w:val="en-US"/>
              </w:rPr>
              <w:t>2.771</w:t>
            </w:r>
          </w:p>
        </w:tc>
        <w:tc>
          <w:tcPr>
            <w:tcW w:w="293" w:type="dxa"/>
            <w:tcBorders>
              <w:top w:val="nil"/>
              <w:left w:val="nil"/>
              <w:bottom w:val="nil"/>
              <w:right w:val="nil"/>
            </w:tcBorders>
            <w:shd w:val="clear" w:color="auto" w:fill="F2F2F2" w:themeFill="background1" w:themeFillShade="F2"/>
            <w:vAlign w:val="bottom"/>
          </w:tcPr>
          <w:p w14:paraId="7C1B59EC"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4055B110"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305</w:t>
            </w:r>
          </w:p>
        </w:tc>
        <w:tc>
          <w:tcPr>
            <w:tcW w:w="294" w:type="dxa"/>
            <w:tcBorders>
              <w:top w:val="nil"/>
              <w:left w:val="nil"/>
              <w:bottom w:val="nil"/>
              <w:right w:val="nil"/>
            </w:tcBorders>
            <w:shd w:val="clear" w:color="auto" w:fill="F2F2F2" w:themeFill="background1" w:themeFillShade="F2"/>
            <w:vAlign w:val="bottom"/>
          </w:tcPr>
          <w:p w14:paraId="32769618"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0A68E40C" w14:textId="77777777" w:rsidR="00A97D77" w:rsidRPr="0045232E" w:rsidRDefault="00A97D77" w:rsidP="003B7C74">
            <w:pPr>
              <w:pStyle w:val="TableTextRight"/>
              <w:spacing w:before="30" w:after="30"/>
              <w:rPr>
                <w:snapToGrid w:val="0"/>
                <w:lang w:val="en-US"/>
              </w:rPr>
            </w:pPr>
            <w:r w:rsidRPr="0045232E">
              <w:rPr>
                <w:snapToGrid w:val="0"/>
                <w:lang w:val="en-US"/>
              </w:rPr>
              <w:t>1.845</w:t>
            </w:r>
          </w:p>
        </w:tc>
      </w:tr>
      <w:tr w:rsidR="002D2737" w:rsidRPr="00B85C14" w14:paraId="5F17ED8F" w14:textId="77777777" w:rsidTr="0062476A">
        <w:tc>
          <w:tcPr>
            <w:tcW w:w="879" w:type="dxa"/>
            <w:tcBorders>
              <w:top w:val="nil"/>
              <w:left w:val="nil"/>
              <w:bottom w:val="single" w:sz="2" w:space="0" w:color="000000"/>
              <w:right w:val="nil"/>
            </w:tcBorders>
            <w:shd w:val="clear" w:color="auto" w:fill="F2F2F2" w:themeFill="background1" w:themeFillShade="F2"/>
            <w:vAlign w:val="bottom"/>
          </w:tcPr>
          <w:p w14:paraId="5194EC69" w14:textId="77777777" w:rsidR="00A97D77" w:rsidRPr="00D443D2" w:rsidRDefault="00A97D77" w:rsidP="003B7C74">
            <w:pPr>
              <w:pStyle w:val="TableColumnHeadingLeft"/>
              <w:spacing w:before="30" w:after="30"/>
            </w:pPr>
            <w:r w:rsidRPr="00D443D2">
              <w:t>29</w:t>
            </w:r>
          </w:p>
        </w:tc>
        <w:tc>
          <w:tcPr>
            <w:tcW w:w="731" w:type="dxa"/>
            <w:tcBorders>
              <w:top w:val="nil"/>
              <w:left w:val="nil"/>
              <w:bottom w:val="single" w:sz="2" w:space="0" w:color="000000"/>
              <w:right w:val="nil"/>
            </w:tcBorders>
            <w:shd w:val="clear" w:color="auto" w:fill="F2F2F2" w:themeFill="background1" w:themeFillShade="F2"/>
            <w:vAlign w:val="bottom"/>
          </w:tcPr>
          <w:p w14:paraId="593E5488" w14:textId="77777777" w:rsidR="00A97D77" w:rsidRPr="00A97D77" w:rsidRDefault="00A97D77" w:rsidP="003B7C74">
            <w:pPr>
              <w:pStyle w:val="TableTextRight"/>
              <w:spacing w:before="30" w:after="30"/>
              <w:rPr>
                <w:snapToGrid w:val="0"/>
                <w:lang w:val="en-US"/>
              </w:rPr>
            </w:pPr>
            <w:r w:rsidRPr="00A97D77">
              <w:rPr>
                <w:snapToGrid w:val="0"/>
                <w:lang w:val="en-US"/>
              </w:rPr>
              <w:t>2.076</w:t>
            </w:r>
          </w:p>
        </w:tc>
        <w:tc>
          <w:tcPr>
            <w:tcW w:w="728" w:type="dxa"/>
            <w:tcBorders>
              <w:top w:val="nil"/>
              <w:left w:val="nil"/>
              <w:bottom w:val="single" w:sz="2" w:space="0" w:color="000000"/>
              <w:right w:val="nil"/>
            </w:tcBorders>
            <w:shd w:val="clear" w:color="auto" w:fill="F2F2F2" w:themeFill="background1" w:themeFillShade="F2"/>
            <w:vAlign w:val="bottom"/>
          </w:tcPr>
          <w:p w14:paraId="473DBDD2" w14:textId="77777777" w:rsidR="00A97D77" w:rsidRPr="00A97D77" w:rsidRDefault="00A97D77" w:rsidP="003B7C74">
            <w:pPr>
              <w:pStyle w:val="TableTextRight"/>
              <w:spacing w:before="30" w:after="30"/>
              <w:rPr>
                <w:snapToGrid w:val="0"/>
                <w:lang w:val="en-US"/>
              </w:rPr>
            </w:pPr>
            <w:r w:rsidRPr="00A97D77">
              <w:rPr>
                <w:snapToGrid w:val="0"/>
                <w:lang w:val="en-US"/>
              </w:rPr>
              <w:t>2.033</w:t>
            </w:r>
          </w:p>
        </w:tc>
        <w:tc>
          <w:tcPr>
            <w:tcW w:w="728" w:type="dxa"/>
            <w:tcBorders>
              <w:top w:val="nil"/>
              <w:left w:val="nil"/>
              <w:bottom w:val="single" w:sz="2" w:space="0" w:color="000000"/>
              <w:right w:val="nil"/>
            </w:tcBorders>
            <w:shd w:val="clear" w:color="auto" w:fill="F2F2F2" w:themeFill="background1" w:themeFillShade="F2"/>
            <w:vAlign w:val="bottom"/>
          </w:tcPr>
          <w:p w14:paraId="26A80805" w14:textId="77777777" w:rsidR="00A97D77" w:rsidRPr="00A97D77" w:rsidRDefault="00A97D77" w:rsidP="003B7C74">
            <w:pPr>
              <w:pStyle w:val="TableTextRight"/>
              <w:spacing w:before="30" w:after="30"/>
              <w:rPr>
                <w:snapToGrid w:val="0"/>
                <w:lang w:val="en-US"/>
              </w:rPr>
            </w:pPr>
            <w:r w:rsidRPr="00A97D77">
              <w:rPr>
                <w:snapToGrid w:val="0"/>
                <w:lang w:val="en-US"/>
              </w:rPr>
              <w:t>1.921</w:t>
            </w:r>
          </w:p>
        </w:tc>
        <w:tc>
          <w:tcPr>
            <w:tcW w:w="294" w:type="dxa"/>
            <w:tcBorders>
              <w:top w:val="nil"/>
              <w:left w:val="nil"/>
              <w:bottom w:val="single" w:sz="2" w:space="0" w:color="000000"/>
              <w:right w:val="nil"/>
            </w:tcBorders>
            <w:shd w:val="clear" w:color="auto" w:fill="F2F2F2" w:themeFill="background1" w:themeFillShade="F2"/>
            <w:vAlign w:val="bottom"/>
          </w:tcPr>
          <w:p w14:paraId="17485C6B"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single" w:sz="2" w:space="0" w:color="000000"/>
              <w:right w:val="nil"/>
            </w:tcBorders>
            <w:shd w:val="clear" w:color="auto" w:fill="F2F2F2" w:themeFill="background1" w:themeFillShade="F2"/>
            <w:vAlign w:val="bottom"/>
          </w:tcPr>
          <w:p w14:paraId="4E0E3BFA" w14:textId="77777777" w:rsidR="00A97D77" w:rsidRPr="00A97D77" w:rsidRDefault="00A97D77" w:rsidP="003B7C74">
            <w:pPr>
              <w:pStyle w:val="TableTextRight"/>
              <w:spacing w:before="30" w:after="30"/>
              <w:rPr>
                <w:snapToGrid w:val="0"/>
                <w:lang w:val="en-US"/>
              </w:rPr>
            </w:pPr>
            <w:r w:rsidRPr="00A97D77">
              <w:rPr>
                <w:snapToGrid w:val="0"/>
                <w:lang w:val="en-US"/>
              </w:rPr>
              <w:t>3.065</w:t>
            </w:r>
          </w:p>
        </w:tc>
        <w:tc>
          <w:tcPr>
            <w:tcW w:w="728" w:type="dxa"/>
            <w:tcBorders>
              <w:top w:val="nil"/>
              <w:left w:val="nil"/>
              <w:bottom w:val="single" w:sz="2" w:space="0" w:color="000000"/>
              <w:right w:val="nil"/>
            </w:tcBorders>
            <w:shd w:val="clear" w:color="auto" w:fill="F2F2F2" w:themeFill="background1" w:themeFillShade="F2"/>
            <w:vAlign w:val="bottom"/>
          </w:tcPr>
          <w:p w14:paraId="131FCE20" w14:textId="77777777" w:rsidR="00A97D77" w:rsidRPr="00A97D77" w:rsidRDefault="00A97D77" w:rsidP="003B7C74">
            <w:pPr>
              <w:pStyle w:val="TableTextRight"/>
              <w:spacing w:before="30" w:after="30"/>
              <w:rPr>
                <w:snapToGrid w:val="0"/>
                <w:lang w:val="en-US"/>
              </w:rPr>
            </w:pPr>
            <w:r w:rsidRPr="00A97D77">
              <w:rPr>
                <w:snapToGrid w:val="0"/>
                <w:lang w:val="en-US"/>
              </w:rPr>
              <w:t>2.856</w:t>
            </w:r>
          </w:p>
        </w:tc>
        <w:tc>
          <w:tcPr>
            <w:tcW w:w="728" w:type="dxa"/>
            <w:tcBorders>
              <w:top w:val="nil"/>
              <w:left w:val="nil"/>
              <w:bottom w:val="single" w:sz="2" w:space="0" w:color="000000"/>
              <w:right w:val="nil"/>
            </w:tcBorders>
            <w:shd w:val="clear" w:color="auto" w:fill="F2F2F2" w:themeFill="background1" w:themeFillShade="F2"/>
            <w:vAlign w:val="bottom"/>
          </w:tcPr>
          <w:p w14:paraId="46334F1B" w14:textId="77777777" w:rsidR="00A97D77" w:rsidRPr="00A97D77" w:rsidRDefault="00A97D77" w:rsidP="003B7C74">
            <w:pPr>
              <w:pStyle w:val="TableTextRight"/>
              <w:spacing w:before="30" w:after="30"/>
              <w:rPr>
                <w:snapToGrid w:val="0"/>
                <w:lang w:val="en-US"/>
              </w:rPr>
            </w:pPr>
            <w:r w:rsidRPr="00A97D77">
              <w:rPr>
                <w:snapToGrid w:val="0"/>
                <w:lang w:val="en-US"/>
              </w:rPr>
              <w:t>2.794</w:t>
            </w:r>
          </w:p>
        </w:tc>
        <w:tc>
          <w:tcPr>
            <w:tcW w:w="293" w:type="dxa"/>
            <w:tcBorders>
              <w:top w:val="nil"/>
              <w:left w:val="nil"/>
              <w:bottom w:val="single" w:sz="2" w:space="0" w:color="000000"/>
              <w:right w:val="nil"/>
            </w:tcBorders>
            <w:shd w:val="clear" w:color="auto" w:fill="F2F2F2" w:themeFill="background1" w:themeFillShade="F2"/>
            <w:vAlign w:val="bottom"/>
          </w:tcPr>
          <w:p w14:paraId="396EA277"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single" w:sz="2" w:space="0" w:color="000000"/>
              <w:right w:val="nil"/>
            </w:tcBorders>
            <w:shd w:val="clear" w:color="auto" w:fill="F2F2F2" w:themeFill="background1" w:themeFillShade="F2"/>
            <w:vAlign w:val="bottom"/>
          </w:tcPr>
          <w:p w14:paraId="645B7908"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334</w:t>
            </w:r>
          </w:p>
        </w:tc>
        <w:tc>
          <w:tcPr>
            <w:tcW w:w="294" w:type="dxa"/>
            <w:tcBorders>
              <w:top w:val="nil"/>
              <w:left w:val="nil"/>
              <w:bottom w:val="single" w:sz="2" w:space="0" w:color="000000"/>
              <w:right w:val="nil"/>
            </w:tcBorders>
            <w:shd w:val="clear" w:color="auto" w:fill="F2F2F2" w:themeFill="background1" w:themeFillShade="F2"/>
            <w:vAlign w:val="bottom"/>
          </w:tcPr>
          <w:p w14:paraId="243F24E3"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shd w:val="clear" w:color="auto" w:fill="F2F2F2" w:themeFill="background1" w:themeFillShade="F2"/>
            <w:vAlign w:val="bottom"/>
          </w:tcPr>
          <w:p w14:paraId="2576F168" w14:textId="77777777" w:rsidR="00A97D77" w:rsidRPr="0045232E" w:rsidRDefault="00A97D77" w:rsidP="003B7C74">
            <w:pPr>
              <w:pStyle w:val="TableTextRight"/>
              <w:spacing w:before="30" w:after="30"/>
              <w:rPr>
                <w:snapToGrid w:val="0"/>
                <w:lang w:val="en-US"/>
              </w:rPr>
            </w:pPr>
            <w:r w:rsidRPr="0045232E">
              <w:rPr>
                <w:snapToGrid w:val="0"/>
                <w:lang w:val="en-US"/>
              </w:rPr>
              <w:t>1.859</w:t>
            </w:r>
          </w:p>
        </w:tc>
      </w:tr>
      <w:tr w:rsidR="002D2737" w:rsidRPr="00B85C14" w14:paraId="6C2579B0" w14:textId="77777777" w:rsidTr="0062476A">
        <w:tc>
          <w:tcPr>
            <w:tcW w:w="879" w:type="dxa"/>
            <w:tcBorders>
              <w:top w:val="single" w:sz="2" w:space="0" w:color="000000"/>
              <w:left w:val="nil"/>
              <w:bottom w:val="nil"/>
              <w:right w:val="nil"/>
            </w:tcBorders>
            <w:vAlign w:val="bottom"/>
          </w:tcPr>
          <w:p w14:paraId="34016B6E" w14:textId="77777777" w:rsidR="00A97D77" w:rsidRPr="00D443D2" w:rsidRDefault="00A97D77" w:rsidP="003B7C74">
            <w:pPr>
              <w:pStyle w:val="TableColumnHeadingLeft"/>
              <w:spacing w:before="30" w:after="30"/>
            </w:pPr>
            <w:r w:rsidRPr="00D443D2">
              <w:t>30</w:t>
            </w:r>
          </w:p>
        </w:tc>
        <w:tc>
          <w:tcPr>
            <w:tcW w:w="731" w:type="dxa"/>
            <w:tcBorders>
              <w:top w:val="single" w:sz="2" w:space="0" w:color="000000"/>
              <w:left w:val="nil"/>
              <w:bottom w:val="nil"/>
              <w:right w:val="nil"/>
            </w:tcBorders>
            <w:vAlign w:val="bottom"/>
          </w:tcPr>
          <w:p w14:paraId="358324B1" w14:textId="77777777" w:rsidR="00A97D77" w:rsidRPr="00A97D77" w:rsidRDefault="00A97D77" w:rsidP="003B7C74">
            <w:pPr>
              <w:pStyle w:val="TableTextRight"/>
              <w:spacing w:before="30" w:after="30"/>
              <w:rPr>
                <w:snapToGrid w:val="0"/>
                <w:lang w:val="en-US"/>
              </w:rPr>
            </w:pPr>
            <w:r w:rsidRPr="00A97D77">
              <w:rPr>
                <w:snapToGrid w:val="0"/>
                <w:lang w:val="en-US"/>
              </w:rPr>
              <w:t>2.086</w:t>
            </w:r>
          </w:p>
        </w:tc>
        <w:tc>
          <w:tcPr>
            <w:tcW w:w="728" w:type="dxa"/>
            <w:tcBorders>
              <w:top w:val="single" w:sz="2" w:space="0" w:color="000000"/>
              <w:left w:val="nil"/>
              <w:bottom w:val="nil"/>
              <w:right w:val="nil"/>
            </w:tcBorders>
            <w:vAlign w:val="bottom"/>
          </w:tcPr>
          <w:p w14:paraId="032369F4" w14:textId="77777777" w:rsidR="00A97D77" w:rsidRPr="00A97D77" w:rsidRDefault="00A97D77" w:rsidP="003B7C74">
            <w:pPr>
              <w:pStyle w:val="TableTextRight"/>
              <w:spacing w:before="30" w:after="30"/>
              <w:rPr>
                <w:snapToGrid w:val="0"/>
                <w:lang w:val="en-US"/>
              </w:rPr>
            </w:pPr>
            <w:r w:rsidRPr="00A97D77">
              <w:rPr>
                <w:snapToGrid w:val="0"/>
                <w:lang w:val="en-US"/>
              </w:rPr>
              <w:t>2.043</w:t>
            </w:r>
          </w:p>
        </w:tc>
        <w:tc>
          <w:tcPr>
            <w:tcW w:w="728" w:type="dxa"/>
            <w:tcBorders>
              <w:top w:val="single" w:sz="2" w:space="0" w:color="000000"/>
              <w:left w:val="nil"/>
              <w:bottom w:val="nil"/>
              <w:right w:val="nil"/>
            </w:tcBorders>
            <w:vAlign w:val="bottom"/>
          </w:tcPr>
          <w:p w14:paraId="00A46C58" w14:textId="77777777" w:rsidR="00A97D77" w:rsidRPr="00A97D77" w:rsidRDefault="00A97D77" w:rsidP="003B7C74">
            <w:pPr>
              <w:pStyle w:val="TableTextRight"/>
              <w:spacing w:before="30" w:after="30"/>
              <w:rPr>
                <w:snapToGrid w:val="0"/>
                <w:lang w:val="en-US"/>
              </w:rPr>
            </w:pPr>
            <w:r w:rsidRPr="00A97D77">
              <w:rPr>
                <w:snapToGrid w:val="0"/>
                <w:lang w:val="en-US"/>
              </w:rPr>
              <w:t>1.931</w:t>
            </w:r>
          </w:p>
        </w:tc>
        <w:tc>
          <w:tcPr>
            <w:tcW w:w="294" w:type="dxa"/>
            <w:tcBorders>
              <w:top w:val="single" w:sz="2" w:space="0" w:color="000000"/>
              <w:left w:val="nil"/>
              <w:bottom w:val="nil"/>
              <w:right w:val="nil"/>
            </w:tcBorders>
            <w:vAlign w:val="bottom"/>
          </w:tcPr>
          <w:p w14:paraId="3EDD1003" w14:textId="77777777" w:rsidR="00A97D77" w:rsidRPr="00190D6C" w:rsidRDefault="00A97D77" w:rsidP="003B7C74">
            <w:pPr>
              <w:pStyle w:val="TableTextRight"/>
              <w:spacing w:before="30" w:after="30"/>
              <w:rPr>
                <w:snapToGrid w:val="0"/>
                <w:lang w:val="en-US"/>
              </w:rPr>
            </w:pPr>
          </w:p>
        </w:tc>
        <w:tc>
          <w:tcPr>
            <w:tcW w:w="714" w:type="dxa"/>
            <w:tcBorders>
              <w:top w:val="single" w:sz="2" w:space="0" w:color="000000"/>
              <w:left w:val="nil"/>
              <w:bottom w:val="nil"/>
              <w:right w:val="nil"/>
            </w:tcBorders>
            <w:vAlign w:val="bottom"/>
          </w:tcPr>
          <w:p w14:paraId="41BC1BB9" w14:textId="77777777" w:rsidR="00A97D77" w:rsidRPr="00A97D77" w:rsidRDefault="00A97D77" w:rsidP="003B7C74">
            <w:pPr>
              <w:pStyle w:val="TableTextRight"/>
              <w:spacing w:before="30" w:after="30"/>
              <w:rPr>
                <w:snapToGrid w:val="0"/>
                <w:lang w:val="en-US"/>
              </w:rPr>
            </w:pPr>
            <w:r w:rsidRPr="00A97D77">
              <w:rPr>
                <w:snapToGrid w:val="0"/>
                <w:lang w:val="en-US"/>
              </w:rPr>
              <w:t>3.080</w:t>
            </w:r>
          </w:p>
        </w:tc>
        <w:tc>
          <w:tcPr>
            <w:tcW w:w="728" w:type="dxa"/>
            <w:tcBorders>
              <w:top w:val="single" w:sz="2" w:space="0" w:color="000000"/>
              <w:left w:val="nil"/>
              <w:bottom w:val="nil"/>
              <w:right w:val="nil"/>
            </w:tcBorders>
            <w:vAlign w:val="bottom"/>
          </w:tcPr>
          <w:p w14:paraId="688070BB" w14:textId="77777777" w:rsidR="00A97D77" w:rsidRPr="00A97D77" w:rsidRDefault="00A97D77" w:rsidP="003B7C74">
            <w:pPr>
              <w:pStyle w:val="TableTextRight"/>
              <w:spacing w:before="30" w:after="30"/>
              <w:rPr>
                <w:snapToGrid w:val="0"/>
                <w:lang w:val="en-US"/>
              </w:rPr>
            </w:pPr>
            <w:r w:rsidRPr="00A97D77">
              <w:rPr>
                <w:snapToGrid w:val="0"/>
                <w:lang w:val="en-US"/>
              </w:rPr>
              <w:t>2.871</w:t>
            </w:r>
          </w:p>
        </w:tc>
        <w:tc>
          <w:tcPr>
            <w:tcW w:w="728" w:type="dxa"/>
            <w:tcBorders>
              <w:top w:val="single" w:sz="2" w:space="0" w:color="000000"/>
              <w:left w:val="nil"/>
              <w:bottom w:val="nil"/>
              <w:right w:val="nil"/>
            </w:tcBorders>
            <w:vAlign w:val="bottom"/>
          </w:tcPr>
          <w:p w14:paraId="22719EAF" w14:textId="77777777" w:rsidR="00A97D77" w:rsidRPr="00A97D77" w:rsidRDefault="00A97D77" w:rsidP="003B7C74">
            <w:pPr>
              <w:pStyle w:val="TableTextRight"/>
              <w:spacing w:before="30" w:after="30"/>
              <w:rPr>
                <w:snapToGrid w:val="0"/>
                <w:lang w:val="en-US"/>
              </w:rPr>
            </w:pPr>
            <w:r w:rsidRPr="00A97D77">
              <w:rPr>
                <w:snapToGrid w:val="0"/>
                <w:lang w:val="en-US"/>
              </w:rPr>
              <w:t>2.815</w:t>
            </w:r>
          </w:p>
        </w:tc>
        <w:tc>
          <w:tcPr>
            <w:tcW w:w="293" w:type="dxa"/>
            <w:tcBorders>
              <w:top w:val="single" w:sz="2" w:space="0" w:color="000000"/>
              <w:left w:val="nil"/>
              <w:bottom w:val="nil"/>
              <w:right w:val="nil"/>
            </w:tcBorders>
            <w:vAlign w:val="bottom"/>
          </w:tcPr>
          <w:p w14:paraId="7BE176DD" w14:textId="77777777" w:rsidR="00A97D77" w:rsidRPr="000E13F8" w:rsidRDefault="00A97D77" w:rsidP="003B7C74">
            <w:pPr>
              <w:pStyle w:val="TableTextRight"/>
              <w:spacing w:before="30" w:after="30"/>
              <w:rPr>
                <w:snapToGrid w:val="0"/>
                <w:lang w:val="en-US"/>
              </w:rPr>
            </w:pPr>
          </w:p>
        </w:tc>
        <w:tc>
          <w:tcPr>
            <w:tcW w:w="784" w:type="dxa"/>
            <w:tcBorders>
              <w:top w:val="single" w:sz="2" w:space="0" w:color="000000"/>
              <w:left w:val="nil"/>
              <w:bottom w:val="nil"/>
              <w:right w:val="nil"/>
            </w:tcBorders>
            <w:vAlign w:val="bottom"/>
          </w:tcPr>
          <w:p w14:paraId="1399ED94"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359</w:t>
            </w:r>
          </w:p>
        </w:tc>
        <w:tc>
          <w:tcPr>
            <w:tcW w:w="294" w:type="dxa"/>
            <w:tcBorders>
              <w:top w:val="single" w:sz="2" w:space="0" w:color="000000"/>
              <w:left w:val="nil"/>
              <w:bottom w:val="nil"/>
              <w:right w:val="nil"/>
            </w:tcBorders>
            <w:vAlign w:val="bottom"/>
          </w:tcPr>
          <w:p w14:paraId="133C12D2"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vAlign w:val="bottom"/>
          </w:tcPr>
          <w:p w14:paraId="02AAC3C8" w14:textId="77777777" w:rsidR="00A97D77" w:rsidRPr="0045232E" w:rsidRDefault="00A97D77" w:rsidP="003B7C74">
            <w:pPr>
              <w:pStyle w:val="TableTextRight"/>
              <w:spacing w:before="30" w:after="30"/>
              <w:rPr>
                <w:snapToGrid w:val="0"/>
                <w:lang w:val="en-US"/>
              </w:rPr>
            </w:pPr>
            <w:r w:rsidRPr="0045232E">
              <w:rPr>
                <w:snapToGrid w:val="0"/>
                <w:lang w:val="en-US"/>
              </w:rPr>
              <w:t>1.873</w:t>
            </w:r>
          </w:p>
        </w:tc>
      </w:tr>
      <w:tr w:rsidR="002D2737" w:rsidRPr="00B85C14" w14:paraId="75D6284B" w14:textId="77777777" w:rsidTr="0062476A">
        <w:tc>
          <w:tcPr>
            <w:tcW w:w="879" w:type="dxa"/>
            <w:tcBorders>
              <w:top w:val="nil"/>
              <w:left w:val="nil"/>
              <w:bottom w:val="nil"/>
              <w:right w:val="nil"/>
            </w:tcBorders>
            <w:vAlign w:val="bottom"/>
          </w:tcPr>
          <w:p w14:paraId="74BA5151" w14:textId="77777777" w:rsidR="00A97D77" w:rsidRPr="00D443D2" w:rsidRDefault="00A97D77" w:rsidP="003B7C74">
            <w:pPr>
              <w:pStyle w:val="TableColumnHeadingLeft"/>
              <w:spacing w:before="30" w:after="30"/>
            </w:pPr>
            <w:r w:rsidRPr="00D443D2">
              <w:t>31</w:t>
            </w:r>
          </w:p>
        </w:tc>
        <w:tc>
          <w:tcPr>
            <w:tcW w:w="731" w:type="dxa"/>
            <w:tcBorders>
              <w:top w:val="nil"/>
              <w:left w:val="nil"/>
              <w:bottom w:val="nil"/>
              <w:right w:val="nil"/>
            </w:tcBorders>
            <w:vAlign w:val="bottom"/>
          </w:tcPr>
          <w:p w14:paraId="2ACE9546" w14:textId="77777777" w:rsidR="00A97D77" w:rsidRPr="00A97D77" w:rsidRDefault="00A97D77" w:rsidP="003B7C74">
            <w:pPr>
              <w:pStyle w:val="TableTextRight"/>
              <w:spacing w:before="30" w:after="30"/>
              <w:rPr>
                <w:snapToGrid w:val="0"/>
                <w:lang w:val="en-US"/>
              </w:rPr>
            </w:pPr>
            <w:r w:rsidRPr="00A97D77">
              <w:rPr>
                <w:snapToGrid w:val="0"/>
                <w:lang w:val="en-US"/>
              </w:rPr>
              <w:t>2.097</w:t>
            </w:r>
          </w:p>
        </w:tc>
        <w:tc>
          <w:tcPr>
            <w:tcW w:w="728" w:type="dxa"/>
            <w:tcBorders>
              <w:top w:val="nil"/>
              <w:left w:val="nil"/>
              <w:bottom w:val="nil"/>
              <w:right w:val="nil"/>
            </w:tcBorders>
            <w:vAlign w:val="bottom"/>
          </w:tcPr>
          <w:p w14:paraId="52417A37" w14:textId="77777777" w:rsidR="00A97D77" w:rsidRPr="00A97D77" w:rsidRDefault="00A97D77" w:rsidP="003B7C74">
            <w:pPr>
              <w:pStyle w:val="TableTextRight"/>
              <w:spacing w:before="30" w:after="30"/>
              <w:rPr>
                <w:snapToGrid w:val="0"/>
                <w:lang w:val="en-US"/>
              </w:rPr>
            </w:pPr>
            <w:r w:rsidRPr="00A97D77">
              <w:rPr>
                <w:snapToGrid w:val="0"/>
                <w:lang w:val="en-US"/>
              </w:rPr>
              <w:t>2.053</w:t>
            </w:r>
          </w:p>
        </w:tc>
        <w:tc>
          <w:tcPr>
            <w:tcW w:w="728" w:type="dxa"/>
            <w:tcBorders>
              <w:top w:val="nil"/>
              <w:left w:val="nil"/>
              <w:bottom w:val="nil"/>
              <w:right w:val="nil"/>
            </w:tcBorders>
            <w:vAlign w:val="bottom"/>
          </w:tcPr>
          <w:p w14:paraId="34FA7D60" w14:textId="77777777" w:rsidR="00A97D77" w:rsidRPr="00A97D77" w:rsidRDefault="00A97D77" w:rsidP="003B7C74">
            <w:pPr>
              <w:pStyle w:val="TableTextRight"/>
              <w:spacing w:before="30" w:after="30"/>
              <w:rPr>
                <w:snapToGrid w:val="0"/>
                <w:lang w:val="en-US"/>
              </w:rPr>
            </w:pPr>
            <w:r w:rsidRPr="00A97D77">
              <w:rPr>
                <w:snapToGrid w:val="0"/>
                <w:lang w:val="en-US"/>
              </w:rPr>
              <w:t>1.941</w:t>
            </w:r>
          </w:p>
        </w:tc>
        <w:tc>
          <w:tcPr>
            <w:tcW w:w="294" w:type="dxa"/>
            <w:tcBorders>
              <w:top w:val="nil"/>
              <w:left w:val="nil"/>
              <w:bottom w:val="nil"/>
              <w:right w:val="nil"/>
            </w:tcBorders>
            <w:vAlign w:val="bottom"/>
          </w:tcPr>
          <w:p w14:paraId="08A8AD36"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4A09A238" w14:textId="77777777" w:rsidR="00A97D77" w:rsidRPr="00A97D77" w:rsidRDefault="00A97D77" w:rsidP="003B7C74">
            <w:pPr>
              <w:pStyle w:val="TableTextRight"/>
              <w:spacing w:before="30" w:after="30"/>
              <w:rPr>
                <w:snapToGrid w:val="0"/>
                <w:lang w:val="en-US"/>
              </w:rPr>
            </w:pPr>
            <w:r w:rsidRPr="00A97D77">
              <w:rPr>
                <w:snapToGrid w:val="0"/>
                <w:lang w:val="en-US"/>
              </w:rPr>
              <w:t>3.095</w:t>
            </w:r>
          </w:p>
        </w:tc>
        <w:tc>
          <w:tcPr>
            <w:tcW w:w="728" w:type="dxa"/>
            <w:tcBorders>
              <w:top w:val="nil"/>
              <w:left w:val="nil"/>
              <w:bottom w:val="nil"/>
              <w:right w:val="nil"/>
            </w:tcBorders>
            <w:vAlign w:val="bottom"/>
          </w:tcPr>
          <w:p w14:paraId="6EA1219F" w14:textId="77777777" w:rsidR="00A97D77" w:rsidRPr="00A97D77" w:rsidRDefault="00A97D77" w:rsidP="003B7C74">
            <w:pPr>
              <w:pStyle w:val="TableTextRight"/>
              <w:spacing w:before="30" w:after="30"/>
              <w:rPr>
                <w:snapToGrid w:val="0"/>
                <w:lang w:val="en-US"/>
              </w:rPr>
            </w:pPr>
            <w:r w:rsidRPr="00A97D77">
              <w:rPr>
                <w:snapToGrid w:val="0"/>
                <w:lang w:val="en-US"/>
              </w:rPr>
              <w:t>2.885</w:t>
            </w:r>
          </w:p>
        </w:tc>
        <w:tc>
          <w:tcPr>
            <w:tcW w:w="728" w:type="dxa"/>
            <w:tcBorders>
              <w:top w:val="nil"/>
              <w:left w:val="nil"/>
              <w:bottom w:val="nil"/>
              <w:right w:val="nil"/>
            </w:tcBorders>
            <w:vAlign w:val="bottom"/>
          </w:tcPr>
          <w:p w14:paraId="3693C474" w14:textId="77777777" w:rsidR="00A97D77" w:rsidRPr="00A97D77" w:rsidRDefault="00A97D77" w:rsidP="003B7C74">
            <w:pPr>
              <w:pStyle w:val="TableTextRight"/>
              <w:spacing w:before="30" w:after="30"/>
              <w:rPr>
                <w:snapToGrid w:val="0"/>
                <w:lang w:val="en-US"/>
              </w:rPr>
            </w:pPr>
            <w:r w:rsidRPr="00A97D77">
              <w:rPr>
                <w:snapToGrid w:val="0"/>
                <w:lang w:val="en-US"/>
              </w:rPr>
              <w:t>2.836</w:t>
            </w:r>
          </w:p>
        </w:tc>
        <w:tc>
          <w:tcPr>
            <w:tcW w:w="293" w:type="dxa"/>
            <w:tcBorders>
              <w:top w:val="nil"/>
              <w:left w:val="nil"/>
              <w:bottom w:val="nil"/>
              <w:right w:val="nil"/>
            </w:tcBorders>
            <w:vAlign w:val="bottom"/>
          </w:tcPr>
          <w:p w14:paraId="5DE45B00"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1C83E612"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381</w:t>
            </w:r>
          </w:p>
        </w:tc>
        <w:tc>
          <w:tcPr>
            <w:tcW w:w="294" w:type="dxa"/>
            <w:tcBorders>
              <w:top w:val="nil"/>
              <w:left w:val="nil"/>
              <w:bottom w:val="nil"/>
              <w:right w:val="nil"/>
            </w:tcBorders>
            <w:vAlign w:val="bottom"/>
          </w:tcPr>
          <w:p w14:paraId="0B1DF691"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1788CABB" w14:textId="77777777" w:rsidR="00A97D77" w:rsidRPr="0045232E" w:rsidRDefault="00A97D77" w:rsidP="003B7C74">
            <w:pPr>
              <w:pStyle w:val="TableTextRight"/>
              <w:spacing w:before="30" w:after="30"/>
              <w:rPr>
                <w:snapToGrid w:val="0"/>
                <w:lang w:val="en-US"/>
              </w:rPr>
            </w:pPr>
            <w:r w:rsidRPr="0045232E">
              <w:rPr>
                <w:snapToGrid w:val="0"/>
                <w:lang w:val="en-US"/>
              </w:rPr>
              <w:t>1.886</w:t>
            </w:r>
          </w:p>
        </w:tc>
      </w:tr>
      <w:tr w:rsidR="002D2737" w:rsidRPr="00B85C14" w14:paraId="471C97FF" w14:textId="77777777" w:rsidTr="0062476A">
        <w:tc>
          <w:tcPr>
            <w:tcW w:w="879" w:type="dxa"/>
            <w:tcBorders>
              <w:top w:val="nil"/>
              <w:left w:val="nil"/>
              <w:bottom w:val="nil"/>
              <w:right w:val="nil"/>
            </w:tcBorders>
            <w:vAlign w:val="bottom"/>
          </w:tcPr>
          <w:p w14:paraId="33D4C693" w14:textId="77777777" w:rsidR="00A97D77" w:rsidRPr="00D443D2" w:rsidRDefault="00A97D77" w:rsidP="003B7C74">
            <w:pPr>
              <w:pStyle w:val="TableColumnHeadingLeft"/>
              <w:spacing w:before="30" w:after="30"/>
            </w:pPr>
            <w:r w:rsidRPr="00D443D2">
              <w:t>32</w:t>
            </w:r>
          </w:p>
        </w:tc>
        <w:tc>
          <w:tcPr>
            <w:tcW w:w="731" w:type="dxa"/>
            <w:tcBorders>
              <w:top w:val="nil"/>
              <w:left w:val="nil"/>
              <w:bottom w:val="nil"/>
              <w:right w:val="nil"/>
            </w:tcBorders>
            <w:vAlign w:val="bottom"/>
          </w:tcPr>
          <w:p w14:paraId="04D2BC83" w14:textId="77777777" w:rsidR="00A97D77" w:rsidRPr="00A97D77" w:rsidRDefault="00A97D77" w:rsidP="003B7C74">
            <w:pPr>
              <w:pStyle w:val="TableTextRight"/>
              <w:spacing w:before="30" w:after="30"/>
              <w:rPr>
                <w:snapToGrid w:val="0"/>
                <w:lang w:val="en-US"/>
              </w:rPr>
            </w:pPr>
            <w:r w:rsidRPr="00A97D77">
              <w:rPr>
                <w:snapToGrid w:val="0"/>
                <w:lang w:val="en-US"/>
              </w:rPr>
              <w:t>2.107</w:t>
            </w:r>
          </w:p>
        </w:tc>
        <w:tc>
          <w:tcPr>
            <w:tcW w:w="728" w:type="dxa"/>
            <w:tcBorders>
              <w:top w:val="nil"/>
              <w:left w:val="nil"/>
              <w:bottom w:val="nil"/>
              <w:right w:val="nil"/>
            </w:tcBorders>
            <w:vAlign w:val="bottom"/>
          </w:tcPr>
          <w:p w14:paraId="2396AF87" w14:textId="77777777" w:rsidR="00A97D77" w:rsidRPr="00A97D77" w:rsidRDefault="00A97D77" w:rsidP="003B7C74">
            <w:pPr>
              <w:pStyle w:val="TableTextRight"/>
              <w:spacing w:before="30" w:after="30"/>
              <w:rPr>
                <w:snapToGrid w:val="0"/>
                <w:lang w:val="en-US"/>
              </w:rPr>
            </w:pPr>
            <w:r w:rsidRPr="00A97D77">
              <w:rPr>
                <w:snapToGrid w:val="0"/>
                <w:lang w:val="en-US"/>
              </w:rPr>
              <w:t>2.064</w:t>
            </w:r>
          </w:p>
        </w:tc>
        <w:tc>
          <w:tcPr>
            <w:tcW w:w="728" w:type="dxa"/>
            <w:tcBorders>
              <w:top w:val="nil"/>
              <w:left w:val="nil"/>
              <w:bottom w:val="nil"/>
              <w:right w:val="nil"/>
            </w:tcBorders>
            <w:vAlign w:val="bottom"/>
          </w:tcPr>
          <w:p w14:paraId="66D8A1E3" w14:textId="77777777" w:rsidR="00A97D77" w:rsidRPr="00A97D77" w:rsidRDefault="00A97D77" w:rsidP="003B7C74">
            <w:pPr>
              <w:pStyle w:val="TableTextRight"/>
              <w:spacing w:before="30" w:after="30"/>
              <w:rPr>
                <w:snapToGrid w:val="0"/>
                <w:lang w:val="en-US"/>
              </w:rPr>
            </w:pPr>
            <w:r w:rsidRPr="00A97D77">
              <w:rPr>
                <w:snapToGrid w:val="0"/>
                <w:lang w:val="en-US"/>
              </w:rPr>
              <w:t>1.950</w:t>
            </w:r>
          </w:p>
        </w:tc>
        <w:tc>
          <w:tcPr>
            <w:tcW w:w="294" w:type="dxa"/>
            <w:tcBorders>
              <w:top w:val="nil"/>
              <w:left w:val="nil"/>
              <w:bottom w:val="nil"/>
              <w:right w:val="nil"/>
            </w:tcBorders>
            <w:vAlign w:val="bottom"/>
          </w:tcPr>
          <w:p w14:paraId="1FC7651F"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3F7F2011" w14:textId="77777777" w:rsidR="00A97D77" w:rsidRPr="00A97D77" w:rsidRDefault="00A97D77" w:rsidP="003B7C74">
            <w:pPr>
              <w:pStyle w:val="TableTextRight"/>
              <w:spacing w:before="30" w:after="30"/>
              <w:rPr>
                <w:snapToGrid w:val="0"/>
                <w:lang w:val="en-US"/>
              </w:rPr>
            </w:pPr>
            <w:r w:rsidRPr="00A97D77">
              <w:rPr>
                <w:snapToGrid w:val="0"/>
                <w:lang w:val="en-US"/>
              </w:rPr>
              <w:t>3.111</w:t>
            </w:r>
          </w:p>
        </w:tc>
        <w:tc>
          <w:tcPr>
            <w:tcW w:w="728" w:type="dxa"/>
            <w:tcBorders>
              <w:top w:val="nil"/>
              <w:left w:val="nil"/>
              <w:bottom w:val="nil"/>
              <w:right w:val="nil"/>
            </w:tcBorders>
            <w:vAlign w:val="bottom"/>
          </w:tcPr>
          <w:p w14:paraId="0AFE02CC" w14:textId="77777777" w:rsidR="00A97D77" w:rsidRPr="00A97D77" w:rsidRDefault="00A97D77" w:rsidP="003B7C74">
            <w:pPr>
              <w:pStyle w:val="TableTextRight"/>
              <w:spacing w:before="30" w:after="30"/>
              <w:rPr>
                <w:snapToGrid w:val="0"/>
                <w:lang w:val="en-US"/>
              </w:rPr>
            </w:pPr>
            <w:r w:rsidRPr="00A97D77">
              <w:rPr>
                <w:snapToGrid w:val="0"/>
                <w:lang w:val="en-US"/>
              </w:rPr>
              <w:t>2.900</w:t>
            </w:r>
          </w:p>
        </w:tc>
        <w:tc>
          <w:tcPr>
            <w:tcW w:w="728" w:type="dxa"/>
            <w:tcBorders>
              <w:top w:val="nil"/>
              <w:left w:val="nil"/>
              <w:bottom w:val="nil"/>
              <w:right w:val="nil"/>
            </w:tcBorders>
            <w:vAlign w:val="bottom"/>
          </w:tcPr>
          <w:p w14:paraId="4DBDFEAF" w14:textId="77777777" w:rsidR="00A97D77" w:rsidRPr="00A97D77" w:rsidRDefault="00A97D77" w:rsidP="003B7C74">
            <w:pPr>
              <w:pStyle w:val="TableTextRight"/>
              <w:spacing w:before="30" w:after="30"/>
              <w:rPr>
                <w:snapToGrid w:val="0"/>
                <w:lang w:val="en-US"/>
              </w:rPr>
            </w:pPr>
            <w:r w:rsidRPr="00A97D77">
              <w:rPr>
                <w:snapToGrid w:val="0"/>
                <w:lang w:val="en-US"/>
              </w:rPr>
              <w:t>2.856</w:t>
            </w:r>
          </w:p>
        </w:tc>
        <w:tc>
          <w:tcPr>
            <w:tcW w:w="293" w:type="dxa"/>
            <w:tcBorders>
              <w:top w:val="nil"/>
              <w:left w:val="nil"/>
              <w:bottom w:val="nil"/>
              <w:right w:val="nil"/>
            </w:tcBorders>
            <w:vAlign w:val="bottom"/>
          </w:tcPr>
          <w:p w14:paraId="0CE070B8"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195100F6"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401</w:t>
            </w:r>
          </w:p>
        </w:tc>
        <w:tc>
          <w:tcPr>
            <w:tcW w:w="294" w:type="dxa"/>
            <w:tcBorders>
              <w:top w:val="nil"/>
              <w:left w:val="nil"/>
              <w:bottom w:val="nil"/>
              <w:right w:val="nil"/>
            </w:tcBorders>
            <w:vAlign w:val="bottom"/>
          </w:tcPr>
          <w:p w14:paraId="539EA719"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087D39BC" w14:textId="77777777" w:rsidR="00A97D77" w:rsidRPr="0045232E" w:rsidRDefault="00A97D77" w:rsidP="003B7C74">
            <w:pPr>
              <w:pStyle w:val="TableTextRight"/>
              <w:spacing w:before="30" w:after="30"/>
              <w:rPr>
                <w:snapToGrid w:val="0"/>
                <w:lang w:val="en-US"/>
              </w:rPr>
            </w:pPr>
            <w:r w:rsidRPr="0045232E">
              <w:rPr>
                <w:snapToGrid w:val="0"/>
                <w:lang w:val="en-US"/>
              </w:rPr>
              <w:t>1.898</w:t>
            </w:r>
          </w:p>
        </w:tc>
      </w:tr>
      <w:tr w:rsidR="002D2737" w:rsidRPr="00B85C14" w14:paraId="7344F131" w14:textId="77777777" w:rsidTr="0062476A">
        <w:tc>
          <w:tcPr>
            <w:tcW w:w="879" w:type="dxa"/>
            <w:tcBorders>
              <w:top w:val="nil"/>
              <w:left w:val="nil"/>
              <w:bottom w:val="nil"/>
              <w:right w:val="nil"/>
            </w:tcBorders>
            <w:vAlign w:val="bottom"/>
          </w:tcPr>
          <w:p w14:paraId="2EFFDC0B" w14:textId="77777777" w:rsidR="00A97D77" w:rsidRPr="00D443D2" w:rsidRDefault="00A97D77" w:rsidP="003B7C74">
            <w:pPr>
              <w:pStyle w:val="TableColumnHeadingLeft"/>
              <w:spacing w:before="30" w:after="30"/>
            </w:pPr>
            <w:r w:rsidRPr="00D443D2">
              <w:t>33</w:t>
            </w:r>
          </w:p>
        </w:tc>
        <w:tc>
          <w:tcPr>
            <w:tcW w:w="731" w:type="dxa"/>
            <w:tcBorders>
              <w:top w:val="nil"/>
              <w:left w:val="nil"/>
              <w:bottom w:val="nil"/>
              <w:right w:val="nil"/>
            </w:tcBorders>
            <w:vAlign w:val="bottom"/>
          </w:tcPr>
          <w:p w14:paraId="28A953A3" w14:textId="77777777" w:rsidR="00A97D77" w:rsidRPr="00A97D77" w:rsidRDefault="00A97D77" w:rsidP="003B7C74">
            <w:pPr>
              <w:pStyle w:val="TableTextRight"/>
              <w:spacing w:before="30" w:after="30"/>
              <w:rPr>
                <w:snapToGrid w:val="0"/>
                <w:lang w:val="en-US"/>
              </w:rPr>
            </w:pPr>
            <w:r w:rsidRPr="00A97D77">
              <w:rPr>
                <w:snapToGrid w:val="0"/>
                <w:lang w:val="en-US"/>
              </w:rPr>
              <w:t>2.118</w:t>
            </w:r>
          </w:p>
        </w:tc>
        <w:tc>
          <w:tcPr>
            <w:tcW w:w="728" w:type="dxa"/>
            <w:tcBorders>
              <w:top w:val="nil"/>
              <w:left w:val="nil"/>
              <w:bottom w:val="nil"/>
              <w:right w:val="nil"/>
            </w:tcBorders>
            <w:vAlign w:val="bottom"/>
          </w:tcPr>
          <w:p w14:paraId="02FA4C31" w14:textId="77777777" w:rsidR="00A97D77" w:rsidRPr="00A97D77" w:rsidRDefault="00A97D77" w:rsidP="003B7C74">
            <w:pPr>
              <w:pStyle w:val="TableTextRight"/>
              <w:spacing w:before="30" w:after="30"/>
              <w:rPr>
                <w:snapToGrid w:val="0"/>
                <w:lang w:val="en-US"/>
              </w:rPr>
            </w:pPr>
            <w:r w:rsidRPr="00A97D77">
              <w:rPr>
                <w:snapToGrid w:val="0"/>
                <w:lang w:val="en-US"/>
              </w:rPr>
              <w:t>2.074</w:t>
            </w:r>
          </w:p>
        </w:tc>
        <w:tc>
          <w:tcPr>
            <w:tcW w:w="728" w:type="dxa"/>
            <w:tcBorders>
              <w:top w:val="nil"/>
              <w:left w:val="nil"/>
              <w:bottom w:val="nil"/>
              <w:right w:val="nil"/>
            </w:tcBorders>
            <w:vAlign w:val="bottom"/>
          </w:tcPr>
          <w:p w14:paraId="57499B36" w14:textId="77777777" w:rsidR="00A97D77" w:rsidRPr="00A97D77" w:rsidRDefault="00A97D77" w:rsidP="003B7C74">
            <w:pPr>
              <w:pStyle w:val="TableTextRight"/>
              <w:spacing w:before="30" w:after="30"/>
              <w:rPr>
                <w:snapToGrid w:val="0"/>
                <w:lang w:val="en-US"/>
              </w:rPr>
            </w:pPr>
            <w:r w:rsidRPr="00A97D77">
              <w:rPr>
                <w:snapToGrid w:val="0"/>
                <w:lang w:val="en-US"/>
              </w:rPr>
              <w:t>1.960</w:t>
            </w:r>
          </w:p>
        </w:tc>
        <w:tc>
          <w:tcPr>
            <w:tcW w:w="294" w:type="dxa"/>
            <w:tcBorders>
              <w:top w:val="nil"/>
              <w:left w:val="nil"/>
              <w:bottom w:val="nil"/>
              <w:right w:val="nil"/>
            </w:tcBorders>
            <w:vAlign w:val="bottom"/>
          </w:tcPr>
          <w:p w14:paraId="3DD4554A"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vAlign w:val="bottom"/>
          </w:tcPr>
          <w:p w14:paraId="15D8CD3B" w14:textId="77777777" w:rsidR="00A97D77" w:rsidRPr="00A97D77" w:rsidRDefault="00A97D77" w:rsidP="003B7C74">
            <w:pPr>
              <w:pStyle w:val="TableTextRight"/>
              <w:spacing w:before="30" w:after="30"/>
              <w:rPr>
                <w:snapToGrid w:val="0"/>
                <w:lang w:val="en-US"/>
              </w:rPr>
            </w:pPr>
            <w:r w:rsidRPr="00A97D77">
              <w:rPr>
                <w:snapToGrid w:val="0"/>
                <w:lang w:val="en-US"/>
              </w:rPr>
              <w:t>3.126</w:t>
            </w:r>
          </w:p>
        </w:tc>
        <w:tc>
          <w:tcPr>
            <w:tcW w:w="728" w:type="dxa"/>
            <w:tcBorders>
              <w:top w:val="nil"/>
              <w:left w:val="nil"/>
              <w:bottom w:val="nil"/>
              <w:right w:val="nil"/>
            </w:tcBorders>
            <w:vAlign w:val="bottom"/>
          </w:tcPr>
          <w:p w14:paraId="3945FFA4" w14:textId="77777777" w:rsidR="00A97D77" w:rsidRPr="00A97D77" w:rsidRDefault="00A97D77" w:rsidP="003B7C74">
            <w:pPr>
              <w:pStyle w:val="TableTextRight"/>
              <w:spacing w:before="30" w:after="30"/>
              <w:rPr>
                <w:snapToGrid w:val="0"/>
                <w:lang w:val="en-US"/>
              </w:rPr>
            </w:pPr>
            <w:r w:rsidRPr="00A97D77">
              <w:rPr>
                <w:snapToGrid w:val="0"/>
                <w:lang w:val="en-US"/>
              </w:rPr>
              <w:t>2.914</w:t>
            </w:r>
          </w:p>
        </w:tc>
        <w:tc>
          <w:tcPr>
            <w:tcW w:w="728" w:type="dxa"/>
            <w:tcBorders>
              <w:top w:val="nil"/>
              <w:left w:val="nil"/>
              <w:bottom w:val="nil"/>
              <w:right w:val="nil"/>
            </w:tcBorders>
            <w:vAlign w:val="bottom"/>
          </w:tcPr>
          <w:p w14:paraId="4D6CFAB0" w14:textId="77777777" w:rsidR="00A97D77" w:rsidRPr="00A97D77" w:rsidRDefault="00A97D77" w:rsidP="003B7C74">
            <w:pPr>
              <w:pStyle w:val="TableTextRight"/>
              <w:spacing w:before="30" w:after="30"/>
              <w:rPr>
                <w:snapToGrid w:val="0"/>
                <w:lang w:val="en-US"/>
              </w:rPr>
            </w:pPr>
            <w:r w:rsidRPr="00A97D77">
              <w:rPr>
                <w:snapToGrid w:val="0"/>
                <w:lang w:val="en-US"/>
              </w:rPr>
              <w:t>2.873</w:t>
            </w:r>
          </w:p>
        </w:tc>
        <w:tc>
          <w:tcPr>
            <w:tcW w:w="293" w:type="dxa"/>
            <w:tcBorders>
              <w:top w:val="nil"/>
              <w:left w:val="nil"/>
              <w:bottom w:val="nil"/>
              <w:right w:val="nil"/>
            </w:tcBorders>
            <w:vAlign w:val="bottom"/>
          </w:tcPr>
          <w:p w14:paraId="68DA100C"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vAlign w:val="bottom"/>
          </w:tcPr>
          <w:p w14:paraId="10A67B99"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420</w:t>
            </w:r>
          </w:p>
        </w:tc>
        <w:tc>
          <w:tcPr>
            <w:tcW w:w="294" w:type="dxa"/>
            <w:tcBorders>
              <w:top w:val="nil"/>
              <w:left w:val="nil"/>
              <w:bottom w:val="nil"/>
              <w:right w:val="nil"/>
            </w:tcBorders>
            <w:vAlign w:val="bottom"/>
          </w:tcPr>
          <w:p w14:paraId="5DE04AE3"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vAlign w:val="bottom"/>
          </w:tcPr>
          <w:p w14:paraId="00A5CA0C" w14:textId="77777777" w:rsidR="00A97D77" w:rsidRPr="0045232E" w:rsidRDefault="00A97D77" w:rsidP="003B7C74">
            <w:pPr>
              <w:pStyle w:val="TableTextRight"/>
              <w:spacing w:before="30" w:after="30"/>
              <w:rPr>
                <w:snapToGrid w:val="0"/>
                <w:lang w:val="en-US"/>
              </w:rPr>
            </w:pPr>
            <w:r w:rsidRPr="0045232E">
              <w:rPr>
                <w:snapToGrid w:val="0"/>
                <w:lang w:val="en-US"/>
              </w:rPr>
              <w:t>1.909</w:t>
            </w:r>
          </w:p>
        </w:tc>
      </w:tr>
      <w:tr w:rsidR="002D2737" w:rsidRPr="00B85C14" w14:paraId="7DD070B0" w14:textId="77777777" w:rsidTr="0062476A">
        <w:tc>
          <w:tcPr>
            <w:tcW w:w="879" w:type="dxa"/>
            <w:tcBorders>
              <w:top w:val="nil"/>
              <w:left w:val="nil"/>
              <w:bottom w:val="single" w:sz="2" w:space="0" w:color="000000"/>
              <w:right w:val="nil"/>
            </w:tcBorders>
            <w:vAlign w:val="bottom"/>
          </w:tcPr>
          <w:p w14:paraId="36E5E5E7" w14:textId="77777777" w:rsidR="00A97D77" w:rsidRPr="00D443D2" w:rsidRDefault="00A97D77" w:rsidP="003B7C74">
            <w:pPr>
              <w:pStyle w:val="TableColumnHeadingLeft"/>
              <w:spacing w:before="30" w:after="30"/>
            </w:pPr>
            <w:r w:rsidRPr="00D443D2">
              <w:t>34</w:t>
            </w:r>
          </w:p>
        </w:tc>
        <w:tc>
          <w:tcPr>
            <w:tcW w:w="731" w:type="dxa"/>
            <w:tcBorders>
              <w:top w:val="nil"/>
              <w:left w:val="nil"/>
              <w:bottom w:val="single" w:sz="2" w:space="0" w:color="000000"/>
              <w:right w:val="nil"/>
            </w:tcBorders>
            <w:vAlign w:val="bottom"/>
          </w:tcPr>
          <w:p w14:paraId="2CB1B2F3" w14:textId="77777777" w:rsidR="00A97D77" w:rsidRPr="00A97D77" w:rsidRDefault="00A97D77" w:rsidP="003B7C74">
            <w:pPr>
              <w:pStyle w:val="TableTextRight"/>
              <w:spacing w:before="30" w:after="30"/>
              <w:rPr>
                <w:snapToGrid w:val="0"/>
                <w:lang w:val="en-US"/>
              </w:rPr>
            </w:pPr>
            <w:r w:rsidRPr="00A97D77">
              <w:rPr>
                <w:snapToGrid w:val="0"/>
                <w:lang w:val="en-US"/>
              </w:rPr>
              <w:t>2.128</w:t>
            </w:r>
          </w:p>
        </w:tc>
        <w:tc>
          <w:tcPr>
            <w:tcW w:w="728" w:type="dxa"/>
            <w:tcBorders>
              <w:top w:val="nil"/>
              <w:left w:val="nil"/>
              <w:bottom w:val="single" w:sz="2" w:space="0" w:color="000000"/>
              <w:right w:val="nil"/>
            </w:tcBorders>
            <w:vAlign w:val="bottom"/>
          </w:tcPr>
          <w:p w14:paraId="382ADA90" w14:textId="77777777" w:rsidR="00A97D77" w:rsidRPr="00A97D77" w:rsidRDefault="00A97D77" w:rsidP="003B7C74">
            <w:pPr>
              <w:pStyle w:val="TableTextRight"/>
              <w:spacing w:before="30" w:after="30"/>
              <w:rPr>
                <w:snapToGrid w:val="0"/>
                <w:lang w:val="en-US"/>
              </w:rPr>
            </w:pPr>
            <w:r w:rsidRPr="00A97D77">
              <w:rPr>
                <w:snapToGrid w:val="0"/>
                <w:lang w:val="en-US"/>
              </w:rPr>
              <w:t>2.084</w:t>
            </w:r>
          </w:p>
        </w:tc>
        <w:tc>
          <w:tcPr>
            <w:tcW w:w="728" w:type="dxa"/>
            <w:tcBorders>
              <w:top w:val="nil"/>
              <w:left w:val="nil"/>
              <w:bottom w:val="single" w:sz="2" w:space="0" w:color="000000"/>
              <w:right w:val="nil"/>
            </w:tcBorders>
            <w:vAlign w:val="bottom"/>
          </w:tcPr>
          <w:p w14:paraId="5F0F8853" w14:textId="77777777" w:rsidR="00A97D77" w:rsidRPr="00A97D77" w:rsidRDefault="00A97D77" w:rsidP="003B7C74">
            <w:pPr>
              <w:pStyle w:val="TableTextRight"/>
              <w:spacing w:before="30" w:after="30"/>
              <w:rPr>
                <w:snapToGrid w:val="0"/>
                <w:lang w:val="en-US"/>
              </w:rPr>
            </w:pPr>
            <w:r w:rsidRPr="00A97D77">
              <w:rPr>
                <w:snapToGrid w:val="0"/>
                <w:lang w:val="en-US"/>
              </w:rPr>
              <w:t>1.970</w:t>
            </w:r>
          </w:p>
        </w:tc>
        <w:tc>
          <w:tcPr>
            <w:tcW w:w="294" w:type="dxa"/>
            <w:tcBorders>
              <w:top w:val="nil"/>
              <w:left w:val="nil"/>
              <w:bottom w:val="single" w:sz="2" w:space="0" w:color="000000"/>
              <w:right w:val="nil"/>
            </w:tcBorders>
            <w:vAlign w:val="bottom"/>
          </w:tcPr>
          <w:p w14:paraId="71EDB2F6"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single" w:sz="2" w:space="0" w:color="000000"/>
              <w:right w:val="nil"/>
            </w:tcBorders>
            <w:vAlign w:val="bottom"/>
          </w:tcPr>
          <w:p w14:paraId="46F78D44" w14:textId="77777777" w:rsidR="00A97D77" w:rsidRPr="00A97D77" w:rsidRDefault="00A97D77" w:rsidP="003B7C74">
            <w:pPr>
              <w:pStyle w:val="TableTextRight"/>
              <w:spacing w:before="30" w:after="30"/>
              <w:rPr>
                <w:snapToGrid w:val="0"/>
                <w:lang w:val="en-US"/>
              </w:rPr>
            </w:pPr>
            <w:r w:rsidRPr="00A97D77">
              <w:rPr>
                <w:snapToGrid w:val="0"/>
                <w:lang w:val="en-US"/>
              </w:rPr>
              <w:t>3.142</w:t>
            </w:r>
          </w:p>
        </w:tc>
        <w:tc>
          <w:tcPr>
            <w:tcW w:w="728" w:type="dxa"/>
            <w:tcBorders>
              <w:top w:val="nil"/>
              <w:left w:val="nil"/>
              <w:bottom w:val="single" w:sz="2" w:space="0" w:color="000000"/>
              <w:right w:val="nil"/>
            </w:tcBorders>
            <w:vAlign w:val="bottom"/>
          </w:tcPr>
          <w:p w14:paraId="21F333F6" w14:textId="77777777" w:rsidR="00A97D77" w:rsidRPr="00A97D77" w:rsidRDefault="00A97D77" w:rsidP="003B7C74">
            <w:pPr>
              <w:pStyle w:val="TableTextRight"/>
              <w:spacing w:before="30" w:after="30"/>
              <w:rPr>
                <w:snapToGrid w:val="0"/>
                <w:lang w:val="en-US"/>
              </w:rPr>
            </w:pPr>
            <w:r w:rsidRPr="00A97D77">
              <w:rPr>
                <w:snapToGrid w:val="0"/>
                <w:lang w:val="en-US"/>
              </w:rPr>
              <w:t>2.929</w:t>
            </w:r>
          </w:p>
        </w:tc>
        <w:tc>
          <w:tcPr>
            <w:tcW w:w="728" w:type="dxa"/>
            <w:tcBorders>
              <w:top w:val="nil"/>
              <w:left w:val="nil"/>
              <w:bottom w:val="single" w:sz="2" w:space="0" w:color="000000"/>
              <w:right w:val="nil"/>
            </w:tcBorders>
            <w:vAlign w:val="bottom"/>
          </w:tcPr>
          <w:p w14:paraId="0A1D1812" w14:textId="77777777" w:rsidR="00A97D77" w:rsidRPr="00A97D77" w:rsidRDefault="00A97D77" w:rsidP="003B7C74">
            <w:pPr>
              <w:pStyle w:val="TableTextRight"/>
              <w:spacing w:before="30" w:after="30"/>
              <w:rPr>
                <w:snapToGrid w:val="0"/>
                <w:lang w:val="en-US"/>
              </w:rPr>
            </w:pPr>
            <w:r w:rsidRPr="00A97D77">
              <w:rPr>
                <w:snapToGrid w:val="0"/>
                <w:lang w:val="en-US"/>
              </w:rPr>
              <w:t>2.888</w:t>
            </w:r>
          </w:p>
        </w:tc>
        <w:tc>
          <w:tcPr>
            <w:tcW w:w="293" w:type="dxa"/>
            <w:tcBorders>
              <w:top w:val="nil"/>
              <w:left w:val="nil"/>
              <w:bottom w:val="single" w:sz="2" w:space="0" w:color="000000"/>
              <w:right w:val="nil"/>
            </w:tcBorders>
            <w:vAlign w:val="bottom"/>
          </w:tcPr>
          <w:p w14:paraId="19312AC1"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single" w:sz="2" w:space="0" w:color="000000"/>
              <w:right w:val="nil"/>
            </w:tcBorders>
            <w:vAlign w:val="bottom"/>
          </w:tcPr>
          <w:p w14:paraId="0E41FB25"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437</w:t>
            </w:r>
          </w:p>
        </w:tc>
        <w:tc>
          <w:tcPr>
            <w:tcW w:w="294" w:type="dxa"/>
            <w:tcBorders>
              <w:top w:val="nil"/>
              <w:left w:val="nil"/>
              <w:bottom w:val="single" w:sz="2" w:space="0" w:color="000000"/>
              <w:right w:val="nil"/>
            </w:tcBorders>
            <w:vAlign w:val="bottom"/>
          </w:tcPr>
          <w:p w14:paraId="144C636E"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vAlign w:val="bottom"/>
          </w:tcPr>
          <w:p w14:paraId="518F3426" w14:textId="77777777" w:rsidR="00A97D77" w:rsidRPr="0045232E" w:rsidRDefault="00A97D77" w:rsidP="003B7C74">
            <w:pPr>
              <w:pStyle w:val="TableTextRight"/>
              <w:spacing w:before="30" w:after="30"/>
              <w:rPr>
                <w:snapToGrid w:val="0"/>
                <w:lang w:val="en-US"/>
              </w:rPr>
            </w:pPr>
            <w:r w:rsidRPr="0045232E">
              <w:rPr>
                <w:snapToGrid w:val="0"/>
                <w:lang w:val="en-US"/>
              </w:rPr>
              <w:t>1.921</w:t>
            </w:r>
          </w:p>
        </w:tc>
      </w:tr>
      <w:tr w:rsidR="002D2737" w:rsidRPr="00B85C14" w14:paraId="44070B99" w14:textId="77777777" w:rsidTr="0062476A">
        <w:tc>
          <w:tcPr>
            <w:tcW w:w="879" w:type="dxa"/>
            <w:tcBorders>
              <w:top w:val="single" w:sz="2" w:space="0" w:color="000000"/>
              <w:left w:val="nil"/>
              <w:bottom w:val="nil"/>
              <w:right w:val="nil"/>
            </w:tcBorders>
            <w:shd w:val="clear" w:color="auto" w:fill="F2F2F2" w:themeFill="background1" w:themeFillShade="F2"/>
            <w:vAlign w:val="bottom"/>
          </w:tcPr>
          <w:p w14:paraId="40801CCE" w14:textId="77777777" w:rsidR="00A97D77" w:rsidRPr="00D443D2" w:rsidRDefault="00A97D77" w:rsidP="003B7C74">
            <w:pPr>
              <w:pStyle w:val="TableColumnHeadingLeft"/>
              <w:spacing w:before="30" w:after="30"/>
            </w:pPr>
            <w:r w:rsidRPr="00D443D2">
              <w:t>35</w:t>
            </w:r>
          </w:p>
        </w:tc>
        <w:tc>
          <w:tcPr>
            <w:tcW w:w="731" w:type="dxa"/>
            <w:tcBorders>
              <w:top w:val="single" w:sz="2" w:space="0" w:color="000000"/>
              <w:left w:val="nil"/>
              <w:bottom w:val="nil"/>
              <w:right w:val="nil"/>
            </w:tcBorders>
            <w:shd w:val="clear" w:color="auto" w:fill="F2F2F2" w:themeFill="background1" w:themeFillShade="F2"/>
            <w:vAlign w:val="bottom"/>
          </w:tcPr>
          <w:p w14:paraId="0DDDD0E6" w14:textId="77777777" w:rsidR="00A97D77" w:rsidRPr="00A97D77" w:rsidRDefault="00A97D77" w:rsidP="003B7C74">
            <w:pPr>
              <w:pStyle w:val="TableTextRight"/>
              <w:spacing w:before="30" w:after="30"/>
              <w:rPr>
                <w:snapToGrid w:val="0"/>
                <w:lang w:val="en-US"/>
              </w:rPr>
            </w:pPr>
            <w:r w:rsidRPr="00A97D77">
              <w:rPr>
                <w:snapToGrid w:val="0"/>
                <w:lang w:val="en-US"/>
              </w:rPr>
              <w:t>2.139</w:t>
            </w:r>
          </w:p>
        </w:tc>
        <w:tc>
          <w:tcPr>
            <w:tcW w:w="728" w:type="dxa"/>
            <w:tcBorders>
              <w:top w:val="single" w:sz="2" w:space="0" w:color="000000"/>
              <w:left w:val="nil"/>
              <w:bottom w:val="nil"/>
              <w:right w:val="nil"/>
            </w:tcBorders>
            <w:shd w:val="clear" w:color="auto" w:fill="F2F2F2" w:themeFill="background1" w:themeFillShade="F2"/>
            <w:vAlign w:val="bottom"/>
          </w:tcPr>
          <w:p w14:paraId="11A3B4AA" w14:textId="77777777" w:rsidR="00A97D77" w:rsidRPr="00A97D77" w:rsidRDefault="00A97D77" w:rsidP="003B7C74">
            <w:pPr>
              <w:pStyle w:val="TableTextRight"/>
              <w:spacing w:before="30" w:after="30"/>
              <w:rPr>
                <w:snapToGrid w:val="0"/>
                <w:lang w:val="en-US"/>
              </w:rPr>
            </w:pPr>
            <w:r w:rsidRPr="00A97D77">
              <w:rPr>
                <w:snapToGrid w:val="0"/>
                <w:lang w:val="en-US"/>
              </w:rPr>
              <w:t>2.095</w:t>
            </w:r>
          </w:p>
        </w:tc>
        <w:tc>
          <w:tcPr>
            <w:tcW w:w="728" w:type="dxa"/>
            <w:tcBorders>
              <w:top w:val="single" w:sz="2" w:space="0" w:color="000000"/>
              <w:left w:val="nil"/>
              <w:bottom w:val="nil"/>
              <w:right w:val="nil"/>
            </w:tcBorders>
            <w:shd w:val="clear" w:color="auto" w:fill="F2F2F2" w:themeFill="background1" w:themeFillShade="F2"/>
            <w:vAlign w:val="bottom"/>
          </w:tcPr>
          <w:p w14:paraId="50569E92" w14:textId="77777777" w:rsidR="00A97D77" w:rsidRPr="00A97D77" w:rsidRDefault="00A97D77" w:rsidP="003B7C74">
            <w:pPr>
              <w:pStyle w:val="TableTextRight"/>
              <w:spacing w:before="30" w:after="30"/>
              <w:rPr>
                <w:snapToGrid w:val="0"/>
                <w:lang w:val="en-US"/>
              </w:rPr>
            </w:pPr>
            <w:r w:rsidRPr="00A97D77">
              <w:rPr>
                <w:snapToGrid w:val="0"/>
                <w:lang w:val="en-US"/>
              </w:rPr>
              <w:t>1.980</w:t>
            </w:r>
          </w:p>
        </w:tc>
        <w:tc>
          <w:tcPr>
            <w:tcW w:w="294" w:type="dxa"/>
            <w:tcBorders>
              <w:top w:val="single" w:sz="2" w:space="0" w:color="000000"/>
              <w:left w:val="nil"/>
              <w:bottom w:val="nil"/>
              <w:right w:val="nil"/>
            </w:tcBorders>
            <w:shd w:val="clear" w:color="auto" w:fill="F2F2F2" w:themeFill="background1" w:themeFillShade="F2"/>
            <w:vAlign w:val="bottom"/>
          </w:tcPr>
          <w:p w14:paraId="260E2573" w14:textId="77777777" w:rsidR="00A97D77" w:rsidRPr="00190D6C" w:rsidRDefault="00A97D77" w:rsidP="003B7C74">
            <w:pPr>
              <w:pStyle w:val="TableTextRight"/>
              <w:spacing w:before="30" w:after="30"/>
              <w:rPr>
                <w:snapToGrid w:val="0"/>
                <w:lang w:val="en-US"/>
              </w:rPr>
            </w:pPr>
          </w:p>
        </w:tc>
        <w:tc>
          <w:tcPr>
            <w:tcW w:w="714" w:type="dxa"/>
            <w:tcBorders>
              <w:top w:val="single" w:sz="2" w:space="0" w:color="000000"/>
              <w:left w:val="nil"/>
              <w:bottom w:val="nil"/>
              <w:right w:val="nil"/>
            </w:tcBorders>
            <w:shd w:val="clear" w:color="auto" w:fill="F2F2F2" w:themeFill="background1" w:themeFillShade="F2"/>
            <w:vAlign w:val="bottom"/>
          </w:tcPr>
          <w:p w14:paraId="07BF8186" w14:textId="77777777" w:rsidR="00A97D77" w:rsidRPr="00A97D77" w:rsidRDefault="00A97D77" w:rsidP="003B7C74">
            <w:pPr>
              <w:pStyle w:val="TableTextRight"/>
              <w:spacing w:before="30" w:after="30"/>
              <w:rPr>
                <w:snapToGrid w:val="0"/>
                <w:lang w:val="en-US"/>
              </w:rPr>
            </w:pPr>
            <w:r w:rsidRPr="00A97D77">
              <w:rPr>
                <w:snapToGrid w:val="0"/>
                <w:lang w:val="en-US"/>
              </w:rPr>
              <w:t>3.158</w:t>
            </w:r>
          </w:p>
        </w:tc>
        <w:tc>
          <w:tcPr>
            <w:tcW w:w="728" w:type="dxa"/>
            <w:tcBorders>
              <w:top w:val="single" w:sz="2" w:space="0" w:color="000000"/>
              <w:left w:val="nil"/>
              <w:bottom w:val="nil"/>
              <w:right w:val="nil"/>
            </w:tcBorders>
            <w:shd w:val="clear" w:color="auto" w:fill="F2F2F2" w:themeFill="background1" w:themeFillShade="F2"/>
            <w:vAlign w:val="bottom"/>
          </w:tcPr>
          <w:p w14:paraId="58D8B5DD" w14:textId="77777777" w:rsidR="00A97D77" w:rsidRPr="00A97D77" w:rsidRDefault="00A97D77" w:rsidP="003B7C74">
            <w:pPr>
              <w:pStyle w:val="TableTextRight"/>
              <w:spacing w:before="30" w:after="30"/>
              <w:rPr>
                <w:snapToGrid w:val="0"/>
                <w:lang w:val="en-US"/>
              </w:rPr>
            </w:pPr>
            <w:r w:rsidRPr="00A97D77">
              <w:rPr>
                <w:snapToGrid w:val="0"/>
                <w:lang w:val="en-US"/>
              </w:rPr>
              <w:t>2.944</w:t>
            </w:r>
          </w:p>
        </w:tc>
        <w:tc>
          <w:tcPr>
            <w:tcW w:w="728" w:type="dxa"/>
            <w:tcBorders>
              <w:top w:val="single" w:sz="2" w:space="0" w:color="000000"/>
              <w:left w:val="nil"/>
              <w:bottom w:val="nil"/>
              <w:right w:val="nil"/>
            </w:tcBorders>
            <w:shd w:val="clear" w:color="auto" w:fill="F2F2F2" w:themeFill="background1" w:themeFillShade="F2"/>
            <w:vAlign w:val="bottom"/>
          </w:tcPr>
          <w:p w14:paraId="0CC5C45E" w14:textId="77777777" w:rsidR="00A97D77" w:rsidRPr="00A97D77" w:rsidRDefault="00A97D77" w:rsidP="003B7C74">
            <w:pPr>
              <w:pStyle w:val="TableTextRight"/>
              <w:spacing w:before="30" w:after="30"/>
              <w:rPr>
                <w:snapToGrid w:val="0"/>
                <w:lang w:val="en-US"/>
              </w:rPr>
            </w:pPr>
            <w:r w:rsidRPr="00A97D77">
              <w:rPr>
                <w:snapToGrid w:val="0"/>
                <w:lang w:val="en-US"/>
              </w:rPr>
              <w:t>2.903</w:t>
            </w:r>
          </w:p>
        </w:tc>
        <w:tc>
          <w:tcPr>
            <w:tcW w:w="293" w:type="dxa"/>
            <w:tcBorders>
              <w:top w:val="single" w:sz="2" w:space="0" w:color="000000"/>
              <w:left w:val="nil"/>
              <w:bottom w:val="nil"/>
              <w:right w:val="nil"/>
            </w:tcBorders>
            <w:shd w:val="clear" w:color="auto" w:fill="F2F2F2" w:themeFill="background1" w:themeFillShade="F2"/>
            <w:vAlign w:val="bottom"/>
          </w:tcPr>
          <w:p w14:paraId="1A0AFEE7" w14:textId="77777777" w:rsidR="00A97D77" w:rsidRPr="000E13F8" w:rsidRDefault="00A97D77" w:rsidP="003B7C74">
            <w:pPr>
              <w:pStyle w:val="TableTextRight"/>
              <w:spacing w:before="30" w:after="30"/>
              <w:rPr>
                <w:snapToGrid w:val="0"/>
                <w:lang w:val="en-US"/>
              </w:rPr>
            </w:pPr>
          </w:p>
        </w:tc>
        <w:tc>
          <w:tcPr>
            <w:tcW w:w="784" w:type="dxa"/>
            <w:tcBorders>
              <w:top w:val="single" w:sz="2" w:space="0" w:color="000000"/>
              <w:left w:val="nil"/>
              <w:bottom w:val="nil"/>
              <w:right w:val="nil"/>
            </w:tcBorders>
            <w:shd w:val="clear" w:color="auto" w:fill="F2F2F2" w:themeFill="background1" w:themeFillShade="F2"/>
            <w:vAlign w:val="bottom"/>
          </w:tcPr>
          <w:p w14:paraId="32E19299"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452</w:t>
            </w:r>
          </w:p>
        </w:tc>
        <w:tc>
          <w:tcPr>
            <w:tcW w:w="294" w:type="dxa"/>
            <w:tcBorders>
              <w:top w:val="single" w:sz="2" w:space="0" w:color="000000"/>
              <w:left w:val="nil"/>
              <w:bottom w:val="nil"/>
              <w:right w:val="nil"/>
            </w:tcBorders>
            <w:shd w:val="clear" w:color="auto" w:fill="F2F2F2" w:themeFill="background1" w:themeFillShade="F2"/>
            <w:vAlign w:val="bottom"/>
          </w:tcPr>
          <w:p w14:paraId="12C1D7A5" w14:textId="77777777" w:rsidR="00A97D77" w:rsidRPr="000E13F8" w:rsidRDefault="00A97D77" w:rsidP="003B7C74">
            <w:pPr>
              <w:pStyle w:val="TableTextRight"/>
              <w:spacing w:before="30" w:after="30"/>
              <w:rPr>
                <w:snapToGrid w:val="0"/>
                <w:lang w:val="en-US"/>
              </w:rPr>
            </w:pPr>
          </w:p>
        </w:tc>
        <w:tc>
          <w:tcPr>
            <w:tcW w:w="798" w:type="dxa"/>
            <w:tcBorders>
              <w:top w:val="single" w:sz="2" w:space="0" w:color="000000"/>
              <w:left w:val="nil"/>
              <w:bottom w:val="nil"/>
              <w:right w:val="nil"/>
            </w:tcBorders>
            <w:shd w:val="clear" w:color="auto" w:fill="F2F2F2" w:themeFill="background1" w:themeFillShade="F2"/>
            <w:vAlign w:val="bottom"/>
          </w:tcPr>
          <w:p w14:paraId="317A832C" w14:textId="77777777" w:rsidR="00A97D77" w:rsidRPr="0045232E" w:rsidRDefault="00A97D77" w:rsidP="003B7C74">
            <w:pPr>
              <w:pStyle w:val="TableTextRight"/>
              <w:spacing w:before="30" w:after="30"/>
              <w:rPr>
                <w:snapToGrid w:val="0"/>
                <w:lang w:val="en-US"/>
              </w:rPr>
            </w:pPr>
            <w:r w:rsidRPr="0045232E">
              <w:rPr>
                <w:snapToGrid w:val="0"/>
                <w:lang w:val="en-US"/>
              </w:rPr>
              <w:t>1.931</w:t>
            </w:r>
          </w:p>
        </w:tc>
      </w:tr>
      <w:tr w:rsidR="002D2737" w:rsidRPr="00B85C14" w14:paraId="2CC56190" w14:textId="77777777" w:rsidTr="0062476A">
        <w:tc>
          <w:tcPr>
            <w:tcW w:w="879" w:type="dxa"/>
            <w:tcBorders>
              <w:top w:val="nil"/>
              <w:left w:val="nil"/>
              <w:bottom w:val="nil"/>
              <w:right w:val="nil"/>
            </w:tcBorders>
            <w:shd w:val="clear" w:color="auto" w:fill="F2F2F2" w:themeFill="background1" w:themeFillShade="F2"/>
            <w:vAlign w:val="bottom"/>
          </w:tcPr>
          <w:p w14:paraId="5D54B38A" w14:textId="77777777" w:rsidR="00A97D77" w:rsidRPr="00D443D2" w:rsidRDefault="00A97D77" w:rsidP="003B7C74">
            <w:pPr>
              <w:pStyle w:val="TableColumnHeadingLeft"/>
              <w:spacing w:before="30" w:after="30"/>
            </w:pPr>
            <w:r w:rsidRPr="00D443D2">
              <w:t>36</w:t>
            </w:r>
          </w:p>
        </w:tc>
        <w:tc>
          <w:tcPr>
            <w:tcW w:w="731" w:type="dxa"/>
            <w:tcBorders>
              <w:top w:val="nil"/>
              <w:left w:val="nil"/>
              <w:bottom w:val="nil"/>
              <w:right w:val="nil"/>
            </w:tcBorders>
            <w:shd w:val="clear" w:color="auto" w:fill="F2F2F2" w:themeFill="background1" w:themeFillShade="F2"/>
            <w:vAlign w:val="bottom"/>
          </w:tcPr>
          <w:p w14:paraId="15788F80" w14:textId="77777777" w:rsidR="00A97D77" w:rsidRPr="00A97D77" w:rsidRDefault="00A97D77" w:rsidP="003B7C74">
            <w:pPr>
              <w:pStyle w:val="TableTextRight"/>
              <w:spacing w:before="30" w:after="30"/>
              <w:rPr>
                <w:snapToGrid w:val="0"/>
                <w:lang w:val="en-US"/>
              </w:rPr>
            </w:pPr>
            <w:r w:rsidRPr="00A97D77">
              <w:rPr>
                <w:snapToGrid w:val="0"/>
                <w:lang w:val="en-US"/>
              </w:rPr>
              <w:t>2.150</w:t>
            </w:r>
          </w:p>
        </w:tc>
        <w:tc>
          <w:tcPr>
            <w:tcW w:w="728" w:type="dxa"/>
            <w:tcBorders>
              <w:top w:val="nil"/>
              <w:left w:val="nil"/>
              <w:bottom w:val="nil"/>
              <w:right w:val="nil"/>
            </w:tcBorders>
            <w:shd w:val="clear" w:color="auto" w:fill="F2F2F2" w:themeFill="background1" w:themeFillShade="F2"/>
            <w:vAlign w:val="bottom"/>
          </w:tcPr>
          <w:p w14:paraId="4D25D739" w14:textId="77777777" w:rsidR="00A97D77" w:rsidRPr="00A97D77" w:rsidRDefault="00A97D77" w:rsidP="003B7C74">
            <w:pPr>
              <w:pStyle w:val="TableTextRight"/>
              <w:spacing w:before="30" w:after="30"/>
              <w:rPr>
                <w:snapToGrid w:val="0"/>
                <w:lang w:val="en-US"/>
              </w:rPr>
            </w:pPr>
            <w:r w:rsidRPr="00A97D77">
              <w:rPr>
                <w:snapToGrid w:val="0"/>
                <w:lang w:val="en-US"/>
              </w:rPr>
              <w:t>2.105</w:t>
            </w:r>
          </w:p>
        </w:tc>
        <w:tc>
          <w:tcPr>
            <w:tcW w:w="728" w:type="dxa"/>
            <w:tcBorders>
              <w:top w:val="nil"/>
              <w:left w:val="nil"/>
              <w:bottom w:val="nil"/>
              <w:right w:val="nil"/>
            </w:tcBorders>
            <w:shd w:val="clear" w:color="auto" w:fill="F2F2F2" w:themeFill="background1" w:themeFillShade="F2"/>
            <w:vAlign w:val="bottom"/>
          </w:tcPr>
          <w:p w14:paraId="3FBE889D" w14:textId="77777777" w:rsidR="00A97D77" w:rsidRPr="00A97D77" w:rsidRDefault="00A97D77" w:rsidP="003B7C74">
            <w:pPr>
              <w:pStyle w:val="TableTextRight"/>
              <w:spacing w:before="30" w:after="30"/>
              <w:rPr>
                <w:snapToGrid w:val="0"/>
                <w:lang w:val="en-US"/>
              </w:rPr>
            </w:pPr>
            <w:r w:rsidRPr="00A97D77">
              <w:rPr>
                <w:snapToGrid w:val="0"/>
                <w:lang w:val="en-US"/>
              </w:rPr>
              <w:t>1.990</w:t>
            </w:r>
          </w:p>
        </w:tc>
        <w:tc>
          <w:tcPr>
            <w:tcW w:w="294" w:type="dxa"/>
            <w:tcBorders>
              <w:top w:val="nil"/>
              <w:left w:val="nil"/>
              <w:bottom w:val="nil"/>
              <w:right w:val="nil"/>
            </w:tcBorders>
            <w:shd w:val="clear" w:color="auto" w:fill="F2F2F2" w:themeFill="background1" w:themeFillShade="F2"/>
            <w:vAlign w:val="bottom"/>
          </w:tcPr>
          <w:p w14:paraId="0B8BBFE3"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0B4D1A92" w14:textId="77777777" w:rsidR="00A97D77" w:rsidRPr="00A97D77" w:rsidRDefault="00A97D77" w:rsidP="003B7C74">
            <w:pPr>
              <w:pStyle w:val="TableTextRight"/>
              <w:spacing w:before="30" w:after="30"/>
              <w:rPr>
                <w:snapToGrid w:val="0"/>
                <w:lang w:val="en-US"/>
              </w:rPr>
            </w:pPr>
            <w:r w:rsidRPr="00A97D77">
              <w:rPr>
                <w:snapToGrid w:val="0"/>
                <w:lang w:val="en-US"/>
              </w:rPr>
              <w:t>3.174</w:t>
            </w:r>
          </w:p>
        </w:tc>
        <w:tc>
          <w:tcPr>
            <w:tcW w:w="728" w:type="dxa"/>
            <w:tcBorders>
              <w:top w:val="nil"/>
              <w:left w:val="nil"/>
              <w:bottom w:val="nil"/>
              <w:right w:val="nil"/>
            </w:tcBorders>
            <w:shd w:val="clear" w:color="auto" w:fill="F2F2F2" w:themeFill="background1" w:themeFillShade="F2"/>
            <w:vAlign w:val="bottom"/>
          </w:tcPr>
          <w:p w14:paraId="280101DF" w14:textId="77777777" w:rsidR="00A97D77" w:rsidRPr="00A97D77" w:rsidRDefault="00A97D77" w:rsidP="003B7C74">
            <w:pPr>
              <w:pStyle w:val="TableTextRight"/>
              <w:spacing w:before="30" w:after="30"/>
              <w:rPr>
                <w:snapToGrid w:val="0"/>
                <w:lang w:val="en-US"/>
              </w:rPr>
            </w:pPr>
            <w:r w:rsidRPr="00A97D77">
              <w:rPr>
                <w:snapToGrid w:val="0"/>
                <w:lang w:val="en-US"/>
              </w:rPr>
              <w:t>2.958</w:t>
            </w:r>
          </w:p>
        </w:tc>
        <w:tc>
          <w:tcPr>
            <w:tcW w:w="728" w:type="dxa"/>
            <w:tcBorders>
              <w:top w:val="nil"/>
              <w:left w:val="nil"/>
              <w:bottom w:val="nil"/>
              <w:right w:val="nil"/>
            </w:tcBorders>
            <w:shd w:val="clear" w:color="auto" w:fill="F2F2F2" w:themeFill="background1" w:themeFillShade="F2"/>
            <w:vAlign w:val="bottom"/>
          </w:tcPr>
          <w:p w14:paraId="49B18FA5" w14:textId="77777777" w:rsidR="00A97D77" w:rsidRPr="00A97D77" w:rsidRDefault="00A97D77" w:rsidP="003B7C74">
            <w:pPr>
              <w:pStyle w:val="TableTextRight"/>
              <w:spacing w:before="30" w:after="30"/>
              <w:rPr>
                <w:snapToGrid w:val="0"/>
                <w:lang w:val="en-US"/>
              </w:rPr>
            </w:pPr>
            <w:r w:rsidRPr="00A97D77">
              <w:rPr>
                <w:snapToGrid w:val="0"/>
                <w:lang w:val="en-US"/>
              </w:rPr>
              <w:t>2.918</w:t>
            </w:r>
          </w:p>
        </w:tc>
        <w:tc>
          <w:tcPr>
            <w:tcW w:w="293" w:type="dxa"/>
            <w:tcBorders>
              <w:top w:val="nil"/>
              <w:left w:val="nil"/>
              <w:bottom w:val="nil"/>
              <w:right w:val="nil"/>
            </w:tcBorders>
            <w:shd w:val="clear" w:color="auto" w:fill="F2F2F2" w:themeFill="background1" w:themeFillShade="F2"/>
            <w:vAlign w:val="bottom"/>
          </w:tcPr>
          <w:p w14:paraId="3BE0794B"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2D9A0F9C"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466</w:t>
            </w:r>
          </w:p>
        </w:tc>
        <w:tc>
          <w:tcPr>
            <w:tcW w:w="294" w:type="dxa"/>
            <w:tcBorders>
              <w:top w:val="nil"/>
              <w:left w:val="nil"/>
              <w:bottom w:val="nil"/>
              <w:right w:val="nil"/>
            </w:tcBorders>
            <w:shd w:val="clear" w:color="auto" w:fill="F2F2F2" w:themeFill="background1" w:themeFillShade="F2"/>
            <w:vAlign w:val="bottom"/>
          </w:tcPr>
          <w:p w14:paraId="0A559397"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100BB903" w14:textId="77777777" w:rsidR="00A97D77" w:rsidRPr="0045232E" w:rsidRDefault="00A97D77" w:rsidP="003B7C74">
            <w:pPr>
              <w:pStyle w:val="TableTextRight"/>
              <w:spacing w:before="30" w:after="30"/>
              <w:rPr>
                <w:snapToGrid w:val="0"/>
                <w:lang w:val="en-US"/>
              </w:rPr>
            </w:pPr>
            <w:r w:rsidRPr="0045232E">
              <w:rPr>
                <w:snapToGrid w:val="0"/>
                <w:lang w:val="en-US"/>
              </w:rPr>
              <w:t>1.941</w:t>
            </w:r>
          </w:p>
        </w:tc>
      </w:tr>
      <w:tr w:rsidR="002D2737" w:rsidRPr="00B85C14" w14:paraId="662F8292" w14:textId="77777777" w:rsidTr="0062476A">
        <w:tc>
          <w:tcPr>
            <w:tcW w:w="879" w:type="dxa"/>
            <w:tcBorders>
              <w:top w:val="nil"/>
              <w:left w:val="nil"/>
              <w:bottom w:val="nil"/>
              <w:right w:val="nil"/>
            </w:tcBorders>
            <w:shd w:val="clear" w:color="auto" w:fill="F2F2F2" w:themeFill="background1" w:themeFillShade="F2"/>
            <w:vAlign w:val="bottom"/>
          </w:tcPr>
          <w:p w14:paraId="2B3C9101" w14:textId="77777777" w:rsidR="00A97D77" w:rsidRPr="00D443D2" w:rsidRDefault="00A97D77" w:rsidP="003B7C74">
            <w:pPr>
              <w:pStyle w:val="TableColumnHeadingLeft"/>
              <w:spacing w:before="30" w:after="30"/>
            </w:pPr>
            <w:r w:rsidRPr="00D443D2">
              <w:t>37</w:t>
            </w:r>
          </w:p>
        </w:tc>
        <w:tc>
          <w:tcPr>
            <w:tcW w:w="731" w:type="dxa"/>
            <w:tcBorders>
              <w:top w:val="nil"/>
              <w:left w:val="nil"/>
              <w:bottom w:val="nil"/>
              <w:right w:val="nil"/>
            </w:tcBorders>
            <w:shd w:val="clear" w:color="auto" w:fill="F2F2F2" w:themeFill="background1" w:themeFillShade="F2"/>
            <w:vAlign w:val="bottom"/>
          </w:tcPr>
          <w:p w14:paraId="4D9395F9" w14:textId="77777777" w:rsidR="00A97D77" w:rsidRPr="00A97D77" w:rsidRDefault="00A97D77" w:rsidP="003B7C74">
            <w:pPr>
              <w:pStyle w:val="TableTextRight"/>
              <w:spacing w:before="30" w:after="30"/>
              <w:rPr>
                <w:snapToGrid w:val="0"/>
                <w:lang w:val="en-US"/>
              </w:rPr>
            </w:pPr>
            <w:r w:rsidRPr="00A97D77">
              <w:rPr>
                <w:snapToGrid w:val="0"/>
                <w:lang w:val="en-US"/>
              </w:rPr>
              <w:t>2.160</w:t>
            </w:r>
          </w:p>
        </w:tc>
        <w:tc>
          <w:tcPr>
            <w:tcW w:w="728" w:type="dxa"/>
            <w:tcBorders>
              <w:top w:val="nil"/>
              <w:left w:val="nil"/>
              <w:bottom w:val="nil"/>
              <w:right w:val="nil"/>
            </w:tcBorders>
            <w:shd w:val="clear" w:color="auto" w:fill="F2F2F2" w:themeFill="background1" w:themeFillShade="F2"/>
            <w:vAlign w:val="bottom"/>
          </w:tcPr>
          <w:p w14:paraId="31ED5DA8" w14:textId="77777777" w:rsidR="00A97D77" w:rsidRPr="00A97D77" w:rsidRDefault="00A97D77" w:rsidP="003B7C74">
            <w:pPr>
              <w:pStyle w:val="TableTextRight"/>
              <w:spacing w:before="30" w:after="30"/>
              <w:rPr>
                <w:snapToGrid w:val="0"/>
                <w:lang w:val="en-US"/>
              </w:rPr>
            </w:pPr>
            <w:r w:rsidRPr="00A97D77">
              <w:rPr>
                <w:snapToGrid w:val="0"/>
                <w:lang w:val="en-US"/>
              </w:rPr>
              <w:t>2.116</w:t>
            </w:r>
          </w:p>
        </w:tc>
        <w:tc>
          <w:tcPr>
            <w:tcW w:w="728" w:type="dxa"/>
            <w:tcBorders>
              <w:top w:val="nil"/>
              <w:left w:val="nil"/>
              <w:bottom w:val="nil"/>
              <w:right w:val="nil"/>
            </w:tcBorders>
            <w:shd w:val="clear" w:color="auto" w:fill="F2F2F2" w:themeFill="background1" w:themeFillShade="F2"/>
            <w:vAlign w:val="bottom"/>
          </w:tcPr>
          <w:p w14:paraId="7A2EB498" w14:textId="77777777" w:rsidR="00A97D77" w:rsidRPr="00A97D77" w:rsidRDefault="00A97D77" w:rsidP="003B7C74">
            <w:pPr>
              <w:pStyle w:val="TableTextRight"/>
              <w:spacing w:before="30" w:after="30"/>
              <w:rPr>
                <w:snapToGrid w:val="0"/>
                <w:lang w:val="en-US"/>
              </w:rPr>
            </w:pPr>
            <w:r w:rsidRPr="00A97D77">
              <w:rPr>
                <w:snapToGrid w:val="0"/>
                <w:lang w:val="en-US"/>
              </w:rPr>
              <w:t>1.999</w:t>
            </w:r>
          </w:p>
        </w:tc>
        <w:tc>
          <w:tcPr>
            <w:tcW w:w="294" w:type="dxa"/>
            <w:tcBorders>
              <w:top w:val="nil"/>
              <w:left w:val="nil"/>
              <w:bottom w:val="nil"/>
              <w:right w:val="nil"/>
            </w:tcBorders>
            <w:shd w:val="clear" w:color="auto" w:fill="F2F2F2" w:themeFill="background1" w:themeFillShade="F2"/>
            <w:vAlign w:val="bottom"/>
          </w:tcPr>
          <w:p w14:paraId="6CD31EC1"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7A4FD5C2" w14:textId="77777777" w:rsidR="00A97D77" w:rsidRPr="00A97D77" w:rsidRDefault="00A97D77" w:rsidP="003B7C74">
            <w:pPr>
              <w:pStyle w:val="TableTextRight"/>
              <w:spacing w:before="30" w:after="30"/>
              <w:rPr>
                <w:snapToGrid w:val="0"/>
                <w:lang w:val="en-US"/>
              </w:rPr>
            </w:pPr>
            <w:r w:rsidRPr="00A97D77">
              <w:rPr>
                <w:snapToGrid w:val="0"/>
                <w:lang w:val="en-US"/>
              </w:rPr>
              <w:t>3.189</w:t>
            </w:r>
          </w:p>
        </w:tc>
        <w:tc>
          <w:tcPr>
            <w:tcW w:w="728" w:type="dxa"/>
            <w:tcBorders>
              <w:top w:val="nil"/>
              <w:left w:val="nil"/>
              <w:bottom w:val="nil"/>
              <w:right w:val="nil"/>
            </w:tcBorders>
            <w:shd w:val="clear" w:color="auto" w:fill="F2F2F2" w:themeFill="background1" w:themeFillShade="F2"/>
            <w:vAlign w:val="bottom"/>
          </w:tcPr>
          <w:p w14:paraId="63C87939" w14:textId="77777777" w:rsidR="00A97D77" w:rsidRPr="00A97D77" w:rsidRDefault="00A97D77" w:rsidP="003B7C74">
            <w:pPr>
              <w:pStyle w:val="TableTextRight"/>
              <w:spacing w:before="30" w:after="30"/>
              <w:rPr>
                <w:snapToGrid w:val="0"/>
                <w:lang w:val="en-US"/>
              </w:rPr>
            </w:pPr>
            <w:r w:rsidRPr="00A97D77">
              <w:rPr>
                <w:snapToGrid w:val="0"/>
                <w:lang w:val="en-US"/>
              </w:rPr>
              <w:t>2.973</w:t>
            </w:r>
          </w:p>
        </w:tc>
        <w:tc>
          <w:tcPr>
            <w:tcW w:w="728" w:type="dxa"/>
            <w:tcBorders>
              <w:top w:val="nil"/>
              <w:left w:val="nil"/>
              <w:bottom w:val="nil"/>
              <w:right w:val="nil"/>
            </w:tcBorders>
            <w:shd w:val="clear" w:color="auto" w:fill="F2F2F2" w:themeFill="background1" w:themeFillShade="F2"/>
            <w:vAlign w:val="bottom"/>
          </w:tcPr>
          <w:p w14:paraId="1CDF6264" w14:textId="77777777" w:rsidR="00A97D77" w:rsidRPr="00A97D77" w:rsidRDefault="00A97D77" w:rsidP="003B7C74">
            <w:pPr>
              <w:pStyle w:val="TableTextRight"/>
              <w:spacing w:before="30" w:after="30"/>
              <w:rPr>
                <w:snapToGrid w:val="0"/>
                <w:lang w:val="en-US"/>
              </w:rPr>
            </w:pPr>
            <w:r w:rsidRPr="00A97D77">
              <w:rPr>
                <w:snapToGrid w:val="0"/>
                <w:lang w:val="en-US"/>
              </w:rPr>
              <w:t>2.933</w:t>
            </w:r>
          </w:p>
        </w:tc>
        <w:tc>
          <w:tcPr>
            <w:tcW w:w="293" w:type="dxa"/>
            <w:tcBorders>
              <w:top w:val="nil"/>
              <w:left w:val="nil"/>
              <w:bottom w:val="nil"/>
              <w:right w:val="nil"/>
            </w:tcBorders>
            <w:shd w:val="clear" w:color="auto" w:fill="F2F2F2" w:themeFill="background1" w:themeFillShade="F2"/>
            <w:vAlign w:val="bottom"/>
          </w:tcPr>
          <w:p w14:paraId="40CE5245"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463706E5"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478</w:t>
            </w:r>
          </w:p>
        </w:tc>
        <w:tc>
          <w:tcPr>
            <w:tcW w:w="294" w:type="dxa"/>
            <w:tcBorders>
              <w:top w:val="nil"/>
              <w:left w:val="nil"/>
              <w:bottom w:val="nil"/>
              <w:right w:val="nil"/>
            </w:tcBorders>
            <w:shd w:val="clear" w:color="auto" w:fill="F2F2F2" w:themeFill="background1" w:themeFillShade="F2"/>
            <w:vAlign w:val="bottom"/>
          </w:tcPr>
          <w:p w14:paraId="48105343"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3557038A" w14:textId="77777777" w:rsidR="00A97D77" w:rsidRPr="0045232E" w:rsidRDefault="00A97D77" w:rsidP="003B7C74">
            <w:pPr>
              <w:pStyle w:val="TableTextRight"/>
              <w:spacing w:before="30" w:after="30"/>
              <w:rPr>
                <w:snapToGrid w:val="0"/>
                <w:lang w:val="en-US"/>
              </w:rPr>
            </w:pPr>
            <w:r w:rsidRPr="0045232E">
              <w:rPr>
                <w:snapToGrid w:val="0"/>
                <w:lang w:val="en-US"/>
              </w:rPr>
              <w:t>1.951</w:t>
            </w:r>
          </w:p>
        </w:tc>
      </w:tr>
      <w:tr w:rsidR="002D2737" w:rsidRPr="00B85C14" w14:paraId="68D14AB0" w14:textId="77777777" w:rsidTr="0062476A">
        <w:tc>
          <w:tcPr>
            <w:tcW w:w="879" w:type="dxa"/>
            <w:tcBorders>
              <w:top w:val="nil"/>
              <w:left w:val="nil"/>
              <w:bottom w:val="nil"/>
              <w:right w:val="nil"/>
            </w:tcBorders>
            <w:shd w:val="clear" w:color="auto" w:fill="F2F2F2" w:themeFill="background1" w:themeFillShade="F2"/>
            <w:vAlign w:val="bottom"/>
          </w:tcPr>
          <w:p w14:paraId="47B11925" w14:textId="77777777" w:rsidR="00A97D77" w:rsidRPr="00D443D2" w:rsidRDefault="00A97D77" w:rsidP="003B7C74">
            <w:pPr>
              <w:pStyle w:val="TableColumnHeadingLeft"/>
              <w:spacing w:before="30" w:after="30"/>
            </w:pPr>
            <w:r w:rsidRPr="00D443D2">
              <w:t>38</w:t>
            </w:r>
          </w:p>
        </w:tc>
        <w:tc>
          <w:tcPr>
            <w:tcW w:w="731" w:type="dxa"/>
            <w:tcBorders>
              <w:top w:val="nil"/>
              <w:left w:val="nil"/>
              <w:bottom w:val="nil"/>
              <w:right w:val="nil"/>
            </w:tcBorders>
            <w:shd w:val="clear" w:color="auto" w:fill="F2F2F2" w:themeFill="background1" w:themeFillShade="F2"/>
            <w:vAlign w:val="bottom"/>
          </w:tcPr>
          <w:p w14:paraId="701E6ED0" w14:textId="77777777" w:rsidR="00A97D77" w:rsidRPr="00A97D77" w:rsidRDefault="00A97D77" w:rsidP="003B7C74">
            <w:pPr>
              <w:pStyle w:val="TableTextRight"/>
              <w:spacing w:before="30" w:after="30"/>
              <w:rPr>
                <w:snapToGrid w:val="0"/>
                <w:lang w:val="en-US"/>
              </w:rPr>
            </w:pPr>
            <w:r w:rsidRPr="00A97D77">
              <w:rPr>
                <w:snapToGrid w:val="0"/>
                <w:lang w:val="en-US"/>
              </w:rPr>
              <w:t>2.171</w:t>
            </w:r>
          </w:p>
        </w:tc>
        <w:tc>
          <w:tcPr>
            <w:tcW w:w="728" w:type="dxa"/>
            <w:tcBorders>
              <w:top w:val="nil"/>
              <w:left w:val="nil"/>
              <w:bottom w:val="nil"/>
              <w:right w:val="nil"/>
            </w:tcBorders>
            <w:shd w:val="clear" w:color="auto" w:fill="F2F2F2" w:themeFill="background1" w:themeFillShade="F2"/>
            <w:vAlign w:val="bottom"/>
          </w:tcPr>
          <w:p w14:paraId="5A8E219D" w14:textId="77777777" w:rsidR="00A97D77" w:rsidRPr="00A97D77" w:rsidRDefault="00A97D77" w:rsidP="003B7C74">
            <w:pPr>
              <w:pStyle w:val="TableTextRight"/>
              <w:spacing w:before="30" w:after="30"/>
              <w:rPr>
                <w:snapToGrid w:val="0"/>
                <w:lang w:val="en-US"/>
              </w:rPr>
            </w:pPr>
            <w:r w:rsidRPr="00A97D77">
              <w:rPr>
                <w:snapToGrid w:val="0"/>
                <w:lang w:val="en-US"/>
              </w:rPr>
              <w:t>2.126</w:t>
            </w:r>
          </w:p>
        </w:tc>
        <w:tc>
          <w:tcPr>
            <w:tcW w:w="728" w:type="dxa"/>
            <w:tcBorders>
              <w:top w:val="nil"/>
              <w:left w:val="nil"/>
              <w:bottom w:val="nil"/>
              <w:right w:val="nil"/>
            </w:tcBorders>
            <w:shd w:val="clear" w:color="auto" w:fill="F2F2F2" w:themeFill="background1" w:themeFillShade="F2"/>
            <w:vAlign w:val="bottom"/>
          </w:tcPr>
          <w:p w14:paraId="19AC6E36" w14:textId="77777777" w:rsidR="00A97D77" w:rsidRPr="00A97D77" w:rsidRDefault="00A97D77" w:rsidP="003B7C74">
            <w:pPr>
              <w:pStyle w:val="TableTextRight"/>
              <w:spacing w:before="30" w:after="30"/>
              <w:rPr>
                <w:snapToGrid w:val="0"/>
                <w:lang w:val="en-US"/>
              </w:rPr>
            </w:pPr>
            <w:r w:rsidRPr="00A97D77">
              <w:rPr>
                <w:snapToGrid w:val="0"/>
                <w:lang w:val="en-US"/>
              </w:rPr>
              <w:t>2.009</w:t>
            </w:r>
          </w:p>
        </w:tc>
        <w:tc>
          <w:tcPr>
            <w:tcW w:w="294" w:type="dxa"/>
            <w:tcBorders>
              <w:top w:val="nil"/>
              <w:left w:val="nil"/>
              <w:bottom w:val="nil"/>
              <w:right w:val="nil"/>
            </w:tcBorders>
            <w:shd w:val="clear" w:color="auto" w:fill="F2F2F2" w:themeFill="background1" w:themeFillShade="F2"/>
            <w:vAlign w:val="bottom"/>
          </w:tcPr>
          <w:p w14:paraId="070CCFDC"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nil"/>
              <w:right w:val="nil"/>
            </w:tcBorders>
            <w:shd w:val="clear" w:color="auto" w:fill="F2F2F2" w:themeFill="background1" w:themeFillShade="F2"/>
            <w:vAlign w:val="bottom"/>
          </w:tcPr>
          <w:p w14:paraId="118ECDEB" w14:textId="77777777" w:rsidR="00A97D77" w:rsidRPr="00A97D77" w:rsidRDefault="00A97D77" w:rsidP="003B7C74">
            <w:pPr>
              <w:pStyle w:val="TableTextRight"/>
              <w:spacing w:before="30" w:after="30"/>
              <w:rPr>
                <w:snapToGrid w:val="0"/>
                <w:lang w:val="en-US"/>
              </w:rPr>
            </w:pPr>
            <w:r w:rsidRPr="00A97D77">
              <w:rPr>
                <w:snapToGrid w:val="0"/>
                <w:lang w:val="en-US"/>
              </w:rPr>
              <w:t>3.205</w:t>
            </w:r>
          </w:p>
        </w:tc>
        <w:tc>
          <w:tcPr>
            <w:tcW w:w="728" w:type="dxa"/>
            <w:tcBorders>
              <w:top w:val="nil"/>
              <w:left w:val="nil"/>
              <w:bottom w:val="nil"/>
              <w:right w:val="nil"/>
            </w:tcBorders>
            <w:shd w:val="clear" w:color="auto" w:fill="F2F2F2" w:themeFill="background1" w:themeFillShade="F2"/>
            <w:vAlign w:val="bottom"/>
          </w:tcPr>
          <w:p w14:paraId="2E7E5D2E" w14:textId="77777777" w:rsidR="00A97D77" w:rsidRPr="00A97D77" w:rsidRDefault="00A97D77" w:rsidP="003B7C74">
            <w:pPr>
              <w:pStyle w:val="TableTextRight"/>
              <w:spacing w:before="30" w:after="30"/>
              <w:rPr>
                <w:snapToGrid w:val="0"/>
                <w:lang w:val="en-US"/>
              </w:rPr>
            </w:pPr>
            <w:r w:rsidRPr="00A97D77">
              <w:rPr>
                <w:snapToGrid w:val="0"/>
                <w:lang w:val="en-US"/>
              </w:rPr>
              <w:t>2.988</w:t>
            </w:r>
          </w:p>
        </w:tc>
        <w:tc>
          <w:tcPr>
            <w:tcW w:w="728" w:type="dxa"/>
            <w:tcBorders>
              <w:top w:val="nil"/>
              <w:left w:val="nil"/>
              <w:bottom w:val="nil"/>
              <w:right w:val="nil"/>
            </w:tcBorders>
            <w:shd w:val="clear" w:color="auto" w:fill="F2F2F2" w:themeFill="background1" w:themeFillShade="F2"/>
            <w:vAlign w:val="bottom"/>
          </w:tcPr>
          <w:p w14:paraId="40C97904" w14:textId="77777777" w:rsidR="00A97D77" w:rsidRPr="00A97D77" w:rsidRDefault="00A97D77" w:rsidP="003B7C74">
            <w:pPr>
              <w:pStyle w:val="TableTextRight"/>
              <w:spacing w:before="30" w:after="30"/>
              <w:rPr>
                <w:snapToGrid w:val="0"/>
                <w:lang w:val="en-US"/>
              </w:rPr>
            </w:pPr>
            <w:r w:rsidRPr="00A97D77">
              <w:rPr>
                <w:snapToGrid w:val="0"/>
                <w:lang w:val="en-US"/>
              </w:rPr>
              <w:t>2.947</w:t>
            </w:r>
          </w:p>
        </w:tc>
        <w:tc>
          <w:tcPr>
            <w:tcW w:w="293" w:type="dxa"/>
            <w:tcBorders>
              <w:top w:val="nil"/>
              <w:left w:val="nil"/>
              <w:bottom w:val="nil"/>
              <w:right w:val="nil"/>
            </w:tcBorders>
            <w:shd w:val="clear" w:color="auto" w:fill="F2F2F2" w:themeFill="background1" w:themeFillShade="F2"/>
            <w:vAlign w:val="bottom"/>
          </w:tcPr>
          <w:p w14:paraId="0C3456FD"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nil"/>
              <w:right w:val="nil"/>
            </w:tcBorders>
            <w:shd w:val="clear" w:color="auto" w:fill="F2F2F2" w:themeFill="background1" w:themeFillShade="F2"/>
            <w:vAlign w:val="bottom"/>
          </w:tcPr>
          <w:p w14:paraId="4EF9D4CB"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491</w:t>
            </w:r>
          </w:p>
        </w:tc>
        <w:tc>
          <w:tcPr>
            <w:tcW w:w="294" w:type="dxa"/>
            <w:tcBorders>
              <w:top w:val="nil"/>
              <w:left w:val="nil"/>
              <w:bottom w:val="nil"/>
              <w:right w:val="nil"/>
            </w:tcBorders>
            <w:shd w:val="clear" w:color="auto" w:fill="F2F2F2" w:themeFill="background1" w:themeFillShade="F2"/>
            <w:vAlign w:val="bottom"/>
          </w:tcPr>
          <w:p w14:paraId="61654204"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nil"/>
              <w:right w:val="nil"/>
            </w:tcBorders>
            <w:shd w:val="clear" w:color="auto" w:fill="F2F2F2" w:themeFill="background1" w:themeFillShade="F2"/>
            <w:vAlign w:val="bottom"/>
          </w:tcPr>
          <w:p w14:paraId="04A27E3B" w14:textId="77777777" w:rsidR="00A97D77" w:rsidRPr="0045232E" w:rsidRDefault="00A97D77" w:rsidP="003B7C74">
            <w:pPr>
              <w:pStyle w:val="TableTextRight"/>
              <w:spacing w:before="30" w:after="30"/>
              <w:rPr>
                <w:snapToGrid w:val="0"/>
                <w:lang w:val="en-US"/>
              </w:rPr>
            </w:pPr>
            <w:r w:rsidRPr="0045232E">
              <w:rPr>
                <w:snapToGrid w:val="0"/>
                <w:lang w:val="en-US"/>
              </w:rPr>
              <w:t>1.960</w:t>
            </w:r>
          </w:p>
        </w:tc>
      </w:tr>
      <w:tr w:rsidR="002D2737" w:rsidRPr="00B85C14" w14:paraId="649F6A7C" w14:textId="77777777" w:rsidTr="0062476A">
        <w:tc>
          <w:tcPr>
            <w:tcW w:w="879" w:type="dxa"/>
            <w:tcBorders>
              <w:top w:val="nil"/>
              <w:left w:val="nil"/>
              <w:bottom w:val="single" w:sz="2" w:space="0" w:color="000000"/>
              <w:right w:val="nil"/>
            </w:tcBorders>
            <w:shd w:val="clear" w:color="auto" w:fill="F2F2F2" w:themeFill="background1" w:themeFillShade="F2"/>
          </w:tcPr>
          <w:p w14:paraId="402B370D" w14:textId="77777777" w:rsidR="00A97D77" w:rsidRPr="005A0CE4" w:rsidRDefault="00A97D77" w:rsidP="003B7C74">
            <w:pPr>
              <w:pStyle w:val="TableColumnHeadingLeft"/>
              <w:spacing w:before="30" w:after="30"/>
            </w:pPr>
            <w:r>
              <w:t>39</w:t>
            </w:r>
          </w:p>
        </w:tc>
        <w:tc>
          <w:tcPr>
            <w:tcW w:w="731" w:type="dxa"/>
            <w:tcBorders>
              <w:top w:val="nil"/>
              <w:left w:val="nil"/>
              <w:bottom w:val="single" w:sz="2" w:space="0" w:color="000000"/>
              <w:right w:val="nil"/>
            </w:tcBorders>
            <w:shd w:val="clear" w:color="auto" w:fill="F2F2F2" w:themeFill="background1" w:themeFillShade="F2"/>
            <w:vAlign w:val="bottom"/>
          </w:tcPr>
          <w:p w14:paraId="54EBC3E4" w14:textId="77777777" w:rsidR="00A97D77" w:rsidRPr="00A97D77" w:rsidRDefault="00A97D77" w:rsidP="003B7C74">
            <w:pPr>
              <w:pStyle w:val="TableTextRight"/>
              <w:spacing w:before="30" w:after="30"/>
              <w:rPr>
                <w:snapToGrid w:val="0"/>
                <w:lang w:val="en-US"/>
              </w:rPr>
            </w:pPr>
            <w:r w:rsidRPr="00A97D77">
              <w:rPr>
                <w:snapToGrid w:val="0"/>
                <w:lang w:val="en-US"/>
              </w:rPr>
              <w:t>2.182</w:t>
            </w:r>
          </w:p>
        </w:tc>
        <w:tc>
          <w:tcPr>
            <w:tcW w:w="728" w:type="dxa"/>
            <w:tcBorders>
              <w:top w:val="nil"/>
              <w:left w:val="nil"/>
              <w:bottom w:val="single" w:sz="2" w:space="0" w:color="000000"/>
              <w:right w:val="nil"/>
            </w:tcBorders>
            <w:shd w:val="clear" w:color="auto" w:fill="F2F2F2" w:themeFill="background1" w:themeFillShade="F2"/>
            <w:vAlign w:val="bottom"/>
          </w:tcPr>
          <w:p w14:paraId="73C6D752" w14:textId="77777777" w:rsidR="00A97D77" w:rsidRPr="00A97D77" w:rsidRDefault="00A97D77" w:rsidP="003B7C74">
            <w:pPr>
              <w:pStyle w:val="TableTextRight"/>
              <w:spacing w:before="30" w:after="30"/>
              <w:rPr>
                <w:snapToGrid w:val="0"/>
                <w:lang w:val="en-US"/>
              </w:rPr>
            </w:pPr>
            <w:r w:rsidRPr="00A97D77">
              <w:rPr>
                <w:snapToGrid w:val="0"/>
                <w:lang w:val="en-US"/>
              </w:rPr>
              <w:t>2.137</w:t>
            </w:r>
          </w:p>
        </w:tc>
        <w:tc>
          <w:tcPr>
            <w:tcW w:w="728" w:type="dxa"/>
            <w:tcBorders>
              <w:top w:val="nil"/>
              <w:left w:val="nil"/>
              <w:bottom w:val="single" w:sz="2" w:space="0" w:color="000000"/>
              <w:right w:val="nil"/>
            </w:tcBorders>
            <w:shd w:val="clear" w:color="auto" w:fill="F2F2F2" w:themeFill="background1" w:themeFillShade="F2"/>
            <w:vAlign w:val="bottom"/>
          </w:tcPr>
          <w:p w14:paraId="2E3F484C" w14:textId="77777777" w:rsidR="00A97D77" w:rsidRPr="00A97D77" w:rsidRDefault="00A97D77" w:rsidP="003B7C74">
            <w:pPr>
              <w:pStyle w:val="TableTextRight"/>
              <w:spacing w:before="30" w:after="30"/>
              <w:rPr>
                <w:snapToGrid w:val="0"/>
                <w:lang w:val="en-US"/>
              </w:rPr>
            </w:pPr>
            <w:r w:rsidRPr="00A97D77">
              <w:rPr>
                <w:snapToGrid w:val="0"/>
                <w:lang w:val="en-US"/>
              </w:rPr>
              <w:t>2.020</w:t>
            </w:r>
          </w:p>
        </w:tc>
        <w:tc>
          <w:tcPr>
            <w:tcW w:w="294" w:type="dxa"/>
            <w:tcBorders>
              <w:top w:val="nil"/>
              <w:left w:val="nil"/>
              <w:bottom w:val="single" w:sz="2" w:space="0" w:color="000000"/>
              <w:right w:val="nil"/>
            </w:tcBorders>
            <w:shd w:val="clear" w:color="auto" w:fill="F2F2F2" w:themeFill="background1" w:themeFillShade="F2"/>
            <w:vAlign w:val="bottom"/>
          </w:tcPr>
          <w:p w14:paraId="4CC5477A" w14:textId="77777777" w:rsidR="00A97D77" w:rsidRPr="00190D6C" w:rsidRDefault="00A97D77" w:rsidP="003B7C74">
            <w:pPr>
              <w:pStyle w:val="TableTextRight"/>
              <w:spacing w:before="30" w:after="30"/>
              <w:rPr>
                <w:snapToGrid w:val="0"/>
                <w:lang w:val="en-US"/>
              </w:rPr>
            </w:pPr>
          </w:p>
        </w:tc>
        <w:tc>
          <w:tcPr>
            <w:tcW w:w="714" w:type="dxa"/>
            <w:tcBorders>
              <w:top w:val="nil"/>
              <w:left w:val="nil"/>
              <w:bottom w:val="single" w:sz="2" w:space="0" w:color="000000"/>
              <w:right w:val="nil"/>
            </w:tcBorders>
            <w:shd w:val="clear" w:color="auto" w:fill="F2F2F2" w:themeFill="background1" w:themeFillShade="F2"/>
            <w:vAlign w:val="bottom"/>
          </w:tcPr>
          <w:p w14:paraId="4753F22E" w14:textId="77777777" w:rsidR="00A97D77" w:rsidRPr="00A97D77" w:rsidRDefault="00A97D77" w:rsidP="003B7C74">
            <w:pPr>
              <w:pStyle w:val="TableTextRight"/>
              <w:spacing w:before="30" w:after="30"/>
              <w:rPr>
                <w:snapToGrid w:val="0"/>
                <w:lang w:val="en-US"/>
              </w:rPr>
            </w:pPr>
            <w:r w:rsidRPr="00A97D77">
              <w:rPr>
                <w:snapToGrid w:val="0"/>
                <w:lang w:val="en-US"/>
              </w:rPr>
              <w:t>3.221</w:t>
            </w:r>
          </w:p>
        </w:tc>
        <w:tc>
          <w:tcPr>
            <w:tcW w:w="728" w:type="dxa"/>
            <w:tcBorders>
              <w:top w:val="nil"/>
              <w:left w:val="nil"/>
              <w:bottom w:val="single" w:sz="2" w:space="0" w:color="000000"/>
              <w:right w:val="nil"/>
            </w:tcBorders>
            <w:shd w:val="clear" w:color="auto" w:fill="F2F2F2" w:themeFill="background1" w:themeFillShade="F2"/>
            <w:vAlign w:val="bottom"/>
          </w:tcPr>
          <w:p w14:paraId="7A7EA6E6" w14:textId="77777777" w:rsidR="00A97D77" w:rsidRPr="00A97D77" w:rsidRDefault="00A97D77" w:rsidP="003B7C74">
            <w:pPr>
              <w:pStyle w:val="TableTextRight"/>
              <w:spacing w:before="30" w:after="30"/>
              <w:rPr>
                <w:snapToGrid w:val="0"/>
                <w:lang w:val="en-US"/>
              </w:rPr>
            </w:pPr>
            <w:r w:rsidRPr="00A97D77">
              <w:rPr>
                <w:snapToGrid w:val="0"/>
                <w:lang w:val="en-US"/>
              </w:rPr>
              <w:t>3.003</w:t>
            </w:r>
          </w:p>
        </w:tc>
        <w:tc>
          <w:tcPr>
            <w:tcW w:w="728" w:type="dxa"/>
            <w:tcBorders>
              <w:top w:val="nil"/>
              <w:left w:val="nil"/>
              <w:bottom w:val="single" w:sz="2" w:space="0" w:color="000000"/>
              <w:right w:val="nil"/>
            </w:tcBorders>
            <w:shd w:val="clear" w:color="auto" w:fill="F2F2F2" w:themeFill="background1" w:themeFillShade="F2"/>
            <w:vAlign w:val="bottom"/>
          </w:tcPr>
          <w:p w14:paraId="67D5BDBD" w14:textId="77777777" w:rsidR="00A97D77" w:rsidRPr="00A97D77" w:rsidRDefault="00A97D77" w:rsidP="003B7C74">
            <w:pPr>
              <w:pStyle w:val="TableTextRight"/>
              <w:spacing w:before="30" w:after="30"/>
              <w:rPr>
                <w:snapToGrid w:val="0"/>
                <w:lang w:val="en-US"/>
              </w:rPr>
            </w:pPr>
            <w:r w:rsidRPr="00A97D77">
              <w:rPr>
                <w:snapToGrid w:val="0"/>
                <w:lang w:val="en-US"/>
              </w:rPr>
              <w:t>2.962</w:t>
            </w:r>
          </w:p>
        </w:tc>
        <w:tc>
          <w:tcPr>
            <w:tcW w:w="293" w:type="dxa"/>
            <w:tcBorders>
              <w:top w:val="nil"/>
              <w:left w:val="nil"/>
              <w:bottom w:val="single" w:sz="2" w:space="0" w:color="000000"/>
              <w:right w:val="nil"/>
            </w:tcBorders>
            <w:shd w:val="clear" w:color="auto" w:fill="F2F2F2" w:themeFill="background1" w:themeFillShade="F2"/>
            <w:vAlign w:val="bottom"/>
          </w:tcPr>
          <w:p w14:paraId="0DDCE2FD" w14:textId="77777777" w:rsidR="00A97D77" w:rsidRPr="000E13F8" w:rsidRDefault="00A97D77" w:rsidP="003B7C74">
            <w:pPr>
              <w:pStyle w:val="TableTextRight"/>
              <w:spacing w:before="30" w:after="30"/>
              <w:rPr>
                <w:snapToGrid w:val="0"/>
                <w:lang w:val="en-US"/>
              </w:rPr>
            </w:pPr>
          </w:p>
        </w:tc>
        <w:tc>
          <w:tcPr>
            <w:tcW w:w="784" w:type="dxa"/>
            <w:tcBorders>
              <w:top w:val="nil"/>
              <w:left w:val="nil"/>
              <w:bottom w:val="single" w:sz="2" w:space="0" w:color="000000"/>
              <w:right w:val="nil"/>
            </w:tcBorders>
            <w:shd w:val="clear" w:color="auto" w:fill="F2F2F2" w:themeFill="background1" w:themeFillShade="F2"/>
            <w:vAlign w:val="bottom"/>
          </w:tcPr>
          <w:p w14:paraId="6DFCC9E4" w14:textId="77777777" w:rsidR="00A97D77" w:rsidRPr="00D443D2" w:rsidRDefault="00A97D77" w:rsidP="003B7C74">
            <w:pPr>
              <w:pStyle w:val="TableTextRight"/>
              <w:spacing w:before="30" w:after="30"/>
              <w:rPr>
                <w:snapToGrid w:val="0"/>
                <w:lang w:val="en-US"/>
              </w:rPr>
            </w:pPr>
            <w:r w:rsidRPr="00D443D2">
              <w:rPr>
                <w:snapToGrid w:val="0"/>
                <w:lang w:val="en-US"/>
              </w:rPr>
              <w:t>2.</w:t>
            </w:r>
            <w:r>
              <w:rPr>
                <w:snapToGrid w:val="0"/>
                <w:lang w:val="en-US"/>
              </w:rPr>
              <w:t>502</w:t>
            </w:r>
          </w:p>
        </w:tc>
        <w:tc>
          <w:tcPr>
            <w:tcW w:w="294" w:type="dxa"/>
            <w:tcBorders>
              <w:top w:val="nil"/>
              <w:left w:val="nil"/>
              <w:bottom w:val="single" w:sz="2" w:space="0" w:color="000000"/>
              <w:right w:val="nil"/>
            </w:tcBorders>
            <w:shd w:val="clear" w:color="auto" w:fill="F2F2F2" w:themeFill="background1" w:themeFillShade="F2"/>
            <w:vAlign w:val="bottom"/>
          </w:tcPr>
          <w:p w14:paraId="15DA22B2" w14:textId="77777777" w:rsidR="00A97D77" w:rsidRPr="000E13F8" w:rsidRDefault="00A97D77" w:rsidP="003B7C74">
            <w:pPr>
              <w:pStyle w:val="TableTextRight"/>
              <w:spacing w:before="30" w:after="30"/>
              <w:rPr>
                <w:snapToGrid w:val="0"/>
                <w:lang w:val="en-US"/>
              </w:rPr>
            </w:pPr>
          </w:p>
        </w:tc>
        <w:tc>
          <w:tcPr>
            <w:tcW w:w="798" w:type="dxa"/>
            <w:tcBorders>
              <w:top w:val="nil"/>
              <w:left w:val="nil"/>
              <w:bottom w:val="single" w:sz="2" w:space="0" w:color="000000"/>
              <w:right w:val="nil"/>
            </w:tcBorders>
            <w:shd w:val="clear" w:color="auto" w:fill="F2F2F2" w:themeFill="background1" w:themeFillShade="F2"/>
            <w:vAlign w:val="bottom"/>
          </w:tcPr>
          <w:p w14:paraId="6C71CBAC" w14:textId="77777777" w:rsidR="00A97D77" w:rsidRPr="0045232E" w:rsidRDefault="00A97D77" w:rsidP="003B7C74">
            <w:pPr>
              <w:pStyle w:val="TableTextRight"/>
              <w:spacing w:before="30" w:after="30"/>
              <w:rPr>
                <w:snapToGrid w:val="0"/>
                <w:lang w:val="en-US"/>
              </w:rPr>
            </w:pPr>
            <w:r w:rsidRPr="0045232E">
              <w:rPr>
                <w:snapToGrid w:val="0"/>
                <w:lang w:val="en-US"/>
              </w:rPr>
              <w:t>1.969</w:t>
            </w:r>
          </w:p>
        </w:tc>
      </w:tr>
    </w:tbl>
    <w:p w14:paraId="6D3F4DC0" w14:textId="77777777" w:rsidR="00052A87" w:rsidRDefault="00052A87" w:rsidP="00052A87">
      <w:pPr>
        <w:rPr>
          <w:rFonts w:cs="Arial"/>
        </w:rPr>
      </w:pPr>
      <w:r w:rsidRPr="00C157F7">
        <w:rPr>
          <w:rFonts w:cs="Arial"/>
        </w:rPr>
        <w:t xml:space="preserve">As an example, consider an MSBS </w:t>
      </w:r>
      <w:r w:rsidR="0098181D">
        <w:rPr>
          <w:rFonts w:cs="Arial"/>
        </w:rPr>
        <w:t>cadet</w:t>
      </w:r>
      <w:r w:rsidRPr="00C157F7">
        <w:rPr>
          <w:rFonts w:cs="Arial"/>
        </w:rPr>
        <w:t xml:space="preserve"> who joined at age 2</w:t>
      </w:r>
      <w:r w:rsidR="0098181D">
        <w:rPr>
          <w:rFonts w:cs="Arial"/>
        </w:rPr>
        <w:t>1</w:t>
      </w:r>
      <w:r w:rsidRPr="00C157F7">
        <w:rPr>
          <w:rFonts w:cs="Arial"/>
        </w:rPr>
        <w:t>. The salary of such a person at age 3</w:t>
      </w:r>
      <w:r w:rsidR="0098181D">
        <w:rPr>
          <w:rFonts w:cs="Arial"/>
        </w:rPr>
        <w:t>1</w:t>
      </w:r>
      <w:r w:rsidRPr="00C157F7">
        <w:rPr>
          <w:rFonts w:cs="Arial"/>
        </w:rPr>
        <w:t xml:space="preserve"> would, in the absence of inflation, </w:t>
      </w:r>
      <w:r>
        <w:rPr>
          <w:rFonts w:cs="Arial"/>
        </w:rPr>
        <w:t xml:space="preserve">be assumed to </w:t>
      </w:r>
      <w:r w:rsidRPr="00C157F7">
        <w:rPr>
          <w:rFonts w:cs="Arial"/>
        </w:rPr>
        <w:t xml:space="preserve">be </w:t>
      </w:r>
      <w:r w:rsidR="0098181D">
        <w:rPr>
          <w:rFonts w:cs="Arial"/>
        </w:rPr>
        <w:t>2.</w:t>
      </w:r>
      <w:r w:rsidR="00514DE6">
        <w:rPr>
          <w:rFonts w:cs="Arial"/>
        </w:rPr>
        <w:t xml:space="preserve">017 </w:t>
      </w:r>
      <w:r w:rsidRPr="00C157F7">
        <w:rPr>
          <w:rFonts w:cs="Arial"/>
        </w:rPr>
        <w:t>times the commencing salary at age 2</w:t>
      </w:r>
      <w:r w:rsidR="0098181D">
        <w:rPr>
          <w:rFonts w:cs="Arial"/>
        </w:rPr>
        <w:t>1</w:t>
      </w:r>
      <w:r w:rsidRPr="00C157F7">
        <w:rPr>
          <w:rFonts w:cs="Arial"/>
        </w:rPr>
        <w:t>.</w:t>
      </w:r>
    </w:p>
    <w:p w14:paraId="30969E6F" w14:textId="05E95A7C" w:rsidR="00052A87" w:rsidRPr="00C157F7" w:rsidRDefault="00052A87" w:rsidP="00EB2452">
      <w:pPr>
        <w:pStyle w:val="Heading3nonumbering"/>
      </w:pPr>
      <w:r>
        <w:t>Pensioner m</w:t>
      </w:r>
      <w:r w:rsidRPr="00C157F7">
        <w:t>ortality</w:t>
      </w:r>
    </w:p>
    <w:p w14:paraId="1D48E084" w14:textId="77777777" w:rsidR="00052A87" w:rsidRPr="00C157F7" w:rsidRDefault="00052A87" w:rsidP="00052A87">
      <w:pPr>
        <w:rPr>
          <w:rFonts w:cs="Arial"/>
        </w:rPr>
      </w:pPr>
      <w:r w:rsidRPr="00C157F7">
        <w:rPr>
          <w:rFonts w:cs="Arial"/>
        </w:rPr>
        <w:t xml:space="preserve">The </w:t>
      </w:r>
      <w:r>
        <w:rPr>
          <w:rFonts w:cs="Arial"/>
        </w:rPr>
        <w:t>t</w:t>
      </w:r>
      <w:r w:rsidRPr="00C157F7">
        <w:rPr>
          <w:rFonts w:cs="Arial"/>
        </w:rPr>
        <w:t>able below shows the mortality rates assumed for pensioners in the 20</w:t>
      </w:r>
      <w:r w:rsidR="00641589">
        <w:rPr>
          <w:rFonts w:cs="Arial"/>
        </w:rPr>
        <w:t>10</w:t>
      </w:r>
      <w:r>
        <w:rPr>
          <w:rFonts w:cs="Arial"/>
        </w:rPr>
        <w:noBreakHyphen/>
        <w:t>20</w:t>
      </w:r>
      <w:r w:rsidR="00641589">
        <w:rPr>
          <w:rFonts w:cs="Arial"/>
        </w:rPr>
        <w:t>11</w:t>
      </w:r>
      <w:r>
        <w:rPr>
          <w:rFonts w:cs="Arial"/>
        </w:rPr>
        <w:t xml:space="preserve"> </w:t>
      </w:r>
      <w:r w:rsidRPr="00C157F7">
        <w:rPr>
          <w:rFonts w:cs="Arial"/>
        </w:rPr>
        <w:t>year.</w:t>
      </w:r>
    </w:p>
    <w:p w14:paraId="4E5D2861" w14:textId="77777777" w:rsidR="0062476A" w:rsidRDefault="0062476A">
      <w:pPr>
        <w:spacing w:before="0" w:after="0" w:line="240" w:lineRule="auto"/>
        <w:jc w:val="left"/>
        <w:rPr>
          <w:b/>
        </w:rPr>
      </w:pPr>
      <w:r>
        <w:br w:type="page"/>
      </w:r>
    </w:p>
    <w:p w14:paraId="0FD9F9C7" w14:textId="20F767FD" w:rsidR="00052A87" w:rsidRPr="00C157F7" w:rsidRDefault="00052A87" w:rsidP="00D1063F">
      <w:pPr>
        <w:pStyle w:val="TableMainHeading-Appendix"/>
      </w:pPr>
      <w:r>
        <w:lastRenderedPageBreak/>
        <w:t>Pensioner mortality (per 1,000 pensioners)</w:t>
      </w:r>
    </w:p>
    <w:tbl>
      <w:tblPr>
        <w:tblW w:w="0" w:type="auto"/>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685"/>
        <w:gridCol w:w="1680"/>
        <w:gridCol w:w="284"/>
        <w:gridCol w:w="1683"/>
        <w:gridCol w:w="1680"/>
      </w:tblGrid>
      <w:tr w:rsidR="00AE6A8D" w:rsidRPr="00FF3826" w14:paraId="23BF9AD2" w14:textId="77777777" w:rsidTr="00AE6A8D">
        <w:tc>
          <w:tcPr>
            <w:tcW w:w="709" w:type="dxa"/>
            <w:tcBorders>
              <w:top w:val="single" w:sz="2" w:space="0" w:color="000000"/>
              <w:left w:val="nil"/>
              <w:bottom w:val="nil"/>
              <w:right w:val="nil"/>
            </w:tcBorders>
            <w:shd w:val="clear" w:color="auto" w:fill="E6E6E6"/>
          </w:tcPr>
          <w:p w14:paraId="38500842" w14:textId="77777777" w:rsidR="002D2737" w:rsidRPr="00FF3826" w:rsidRDefault="002D2737" w:rsidP="00052A87">
            <w:pPr>
              <w:pStyle w:val="TableColumnHeadingCentred"/>
            </w:pPr>
          </w:p>
        </w:tc>
        <w:tc>
          <w:tcPr>
            <w:tcW w:w="3365" w:type="dxa"/>
            <w:gridSpan w:val="2"/>
            <w:tcBorders>
              <w:top w:val="single" w:sz="2" w:space="0" w:color="000000"/>
              <w:left w:val="nil"/>
              <w:bottom w:val="single" w:sz="2" w:space="0" w:color="000000"/>
              <w:right w:val="nil"/>
            </w:tcBorders>
            <w:shd w:val="clear" w:color="auto" w:fill="E6E6E6"/>
          </w:tcPr>
          <w:p w14:paraId="715991F5" w14:textId="5E68D308" w:rsidR="002D2737" w:rsidRPr="00FF3826" w:rsidRDefault="002D2737" w:rsidP="00052A87">
            <w:pPr>
              <w:pStyle w:val="TableColumnHeadingCentred"/>
            </w:pPr>
            <w:r w:rsidRPr="00FF3826">
              <w:t>Males</w:t>
            </w:r>
          </w:p>
        </w:tc>
        <w:tc>
          <w:tcPr>
            <w:tcW w:w="284" w:type="dxa"/>
            <w:tcBorders>
              <w:top w:val="single" w:sz="2" w:space="0" w:color="000000"/>
              <w:left w:val="nil"/>
              <w:bottom w:val="nil"/>
              <w:right w:val="nil"/>
            </w:tcBorders>
            <w:shd w:val="clear" w:color="auto" w:fill="E6E6E6"/>
          </w:tcPr>
          <w:p w14:paraId="144156DF" w14:textId="77777777" w:rsidR="002D2737" w:rsidRPr="00FF3826" w:rsidRDefault="002D2737" w:rsidP="00052A87">
            <w:pPr>
              <w:pStyle w:val="TableColumnHeadingCentred"/>
            </w:pPr>
          </w:p>
        </w:tc>
        <w:tc>
          <w:tcPr>
            <w:tcW w:w="3363" w:type="dxa"/>
            <w:gridSpan w:val="2"/>
            <w:tcBorders>
              <w:top w:val="single" w:sz="2" w:space="0" w:color="000000"/>
              <w:left w:val="nil"/>
              <w:bottom w:val="single" w:sz="2" w:space="0" w:color="000000"/>
              <w:right w:val="nil"/>
            </w:tcBorders>
            <w:shd w:val="clear" w:color="auto" w:fill="E6E6E6"/>
          </w:tcPr>
          <w:p w14:paraId="29AE6E06" w14:textId="0EBCD889" w:rsidR="002D2737" w:rsidRPr="00FF3826" w:rsidRDefault="002D2737" w:rsidP="00052A87">
            <w:pPr>
              <w:pStyle w:val="TableColumnHeadingCentred"/>
            </w:pPr>
            <w:r w:rsidRPr="00FF3826">
              <w:t>Females</w:t>
            </w:r>
          </w:p>
        </w:tc>
      </w:tr>
      <w:tr w:rsidR="00AE6A8D" w:rsidRPr="00FF3826" w14:paraId="5567C3EE" w14:textId="77777777" w:rsidTr="00AE6A8D">
        <w:tc>
          <w:tcPr>
            <w:tcW w:w="709" w:type="dxa"/>
            <w:tcBorders>
              <w:top w:val="nil"/>
              <w:left w:val="nil"/>
              <w:bottom w:val="single" w:sz="2" w:space="0" w:color="000000"/>
              <w:right w:val="nil"/>
            </w:tcBorders>
            <w:shd w:val="clear" w:color="auto" w:fill="E6E6E6"/>
          </w:tcPr>
          <w:p w14:paraId="08A33E70" w14:textId="77777777" w:rsidR="00052A87" w:rsidRPr="00FF3826" w:rsidRDefault="00052A87" w:rsidP="00052A87">
            <w:pPr>
              <w:pStyle w:val="TableColumnHeadingLeft"/>
            </w:pPr>
            <w:r w:rsidRPr="00FF3826">
              <w:t>Age</w:t>
            </w:r>
          </w:p>
        </w:tc>
        <w:tc>
          <w:tcPr>
            <w:tcW w:w="1685" w:type="dxa"/>
            <w:tcBorders>
              <w:top w:val="single" w:sz="2" w:space="0" w:color="000000"/>
              <w:left w:val="nil"/>
              <w:bottom w:val="single" w:sz="2" w:space="0" w:color="000000"/>
              <w:right w:val="nil"/>
            </w:tcBorders>
            <w:shd w:val="clear" w:color="auto" w:fill="E6E6E6"/>
          </w:tcPr>
          <w:p w14:paraId="799F017C" w14:textId="77777777" w:rsidR="00052A87" w:rsidRPr="00FF3826" w:rsidRDefault="00052A87" w:rsidP="00052A87">
            <w:pPr>
              <w:pStyle w:val="TableColumnHeadingRight"/>
            </w:pPr>
            <w:r w:rsidRPr="00FF3826">
              <w:t>Age</w:t>
            </w:r>
            <w:r>
              <w:t xml:space="preserve"> r</w:t>
            </w:r>
            <w:r w:rsidRPr="00FF3826">
              <w:t>etired</w:t>
            </w:r>
          </w:p>
        </w:tc>
        <w:tc>
          <w:tcPr>
            <w:tcW w:w="1680" w:type="dxa"/>
            <w:tcBorders>
              <w:top w:val="single" w:sz="2" w:space="0" w:color="000000"/>
              <w:left w:val="nil"/>
              <w:bottom w:val="single" w:sz="2" w:space="0" w:color="000000"/>
              <w:right w:val="nil"/>
            </w:tcBorders>
            <w:shd w:val="clear" w:color="auto" w:fill="E6E6E6"/>
          </w:tcPr>
          <w:p w14:paraId="6408F817" w14:textId="77777777" w:rsidR="00052A87" w:rsidRPr="00FF3826" w:rsidRDefault="00052A87" w:rsidP="00052A87">
            <w:pPr>
              <w:pStyle w:val="TableColumnHeadingRight"/>
            </w:pPr>
            <w:r w:rsidRPr="00FF3826">
              <w:t>Invalid</w:t>
            </w:r>
            <w:r>
              <w:t xml:space="preserve"> r</w:t>
            </w:r>
            <w:r w:rsidRPr="00FF3826">
              <w:t>etired</w:t>
            </w:r>
          </w:p>
        </w:tc>
        <w:tc>
          <w:tcPr>
            <w:tcW w:w="284" w:type="dxa"/>
            <w:tcBorders>
              <w:top w:val="nil"/>
              <w:left w:val="nil"/>
              <w:bottom w:val="single" w:sz="2" w:space="0" w:color="000000"/>
              <w:right w:val="nil"/>
            </w:tcBorders>
            <w:shd w:val="clear" w:color="auto" w:fill="E6E6E6"/>
          </w:tcPr>
          <w:p w14:paraId="472288E9" w14:textId="77777777" w:rsidR="00052A87" w:rsidRPr="00FF3826" w:rsidRDefault="00052A87" w:rsidP="00052A87">
            <w:pPr>
              <w:pStyle w:val="TableColumnHeadingRight"/>
            </w:pPr>
          </w:p>
        </w:tc>
        <w:tc>
          <w:tcPr>
            <w:tcW w:w="1683" w:type="dxa"/>
            <w:tcBorders>
              <w:top w:val="single" w:sz="2" w:space="0" w:color="000000"/>
              <w:left w:val="nil"/>
              <w:bottom w:val="single" w:sz="2" w:space="0" w:color="000000"/>
              <w:right w:val="nil"/>
            </w:tcBorders>
            <w:shd w:val="clear" w:color="auto" w:fill="E6E6E6"/>
          </w:tcPr>
          <w:p w14:paraId="12EB2478" w14:textId="77777777" w:rsidR="00052A87" w:rsidRPr="00FF3826" w:rsidRDefault="00052A87" w:rsidP="00052A87">
            <w:pPr>
              <w:pStyle w:val="TableColumnHeadingRight"/>
            </w:pPr>
            <w:r w:rsidRPr="00FF3826">
              <w:t>Age</w:t>
            </w:r>
            <w:r>
              <w:t xml:space="preserve"> r</w:t>
            </w:r>
            <w:r w:rsidRPr="00FF3826">
              <w:t>etired</w:t>
            </w:r>
          </w:p>
        </w:tc>
        <w:tc>
          <w:tcPr>
            <w:tcW w:w="1680" w:type="dxa"/>
            <w:tcBorders>
              <w:top w:val="single" w:sz="2" w:space="0" w:color="000000"/>
              <w:left w:val="nil"/>
              <w:bottom w:val="single" w:sz="2" w:space="0" w:color="000000"/>
              <w:right w:val="nil"/>
            </w:tcBorders>
            <w:shd w:val="clear" w:color="auto" w:fill="E6E6E6"/>
          </w:tcPr>
          <w:p w14:paraId="61E2D08E" w14:textId="77777777" w:rsidR="00052A87" w:rsidRPr="00FF3826" w:rsidRDefault="00052A87" w:rsidP="00052A87">
            <w:pPr>
              <w:pStyle w:val="TableColumnHeadingRight"/>
            </w:pPr>
            <w:r w:rsidRPr="00FF3826">
              <w:t>Invalid</w:t>
            </w:r>
            <w:r>
              <w:t xml:space="preserve"> r</w:t>
            </w:r>
            <w:r w:rsidRPr="00FF3826">
              <w:t>etired</w:t>
            </w:r>
          </w:p>
        </w:tc>
      </w:tr>
      <w:tr w:rsidR="00AE6A8D" w:rsidRPr="00FF3826" w14:paraId="72D2365A" w14:textId="77777777" w:rsidTr="00AE6A8D">
        <w:tc>
          <w:tcPr>
            <w:tcW w:w="709" w:type="dxa"/>
            <w:tcBorders>
              <w:top w:val="single" w:sz="2" w:space="0" w:color="000000"/>
              <w:left w:val="nil"/>
              <w:bottom w:val="nil"/>
              <w:right w:val="nil"/>
            </w:tcBorders>
          </w:tcPr>
          <w:p w14:paraId="08D47454" w14:textId="77777777" w:rsidR="004645D7" w:rsidRPr="00387293" w:rsidRDefault="004645D7" w:rsidP="00052A87">
            <w:pPr>
              <w:pStyle w:val="TableColumnHeadingLeft"/>
            </w:pPr>
            <w:r w:rsidRPr="00387293">
              <w:t>20</w:t>
            </w:r>
          </w:p>
        </w:tc>
        <w:tc>
          <w:tcPr>
            <w:tcW w:w="1685" w:type="dxa"/>
            <w:tcBorders>
              <w:top w:val="single" w:sz="2" w:space="0" w:color="000000"/>
              <w:left w:val="nil"/>
              <w:bottom w:val="nil"/>
              <w:right w:val="nil"/>
            </w:tcBorders>
            <w:vAlign w:val="bottom"/>
          </w:tcPr>
          <w:p w14:paraId="597F7F73" w14:textId="77777777" w:rsidR="004645D7" w:rsidRPr="006758C9" w:rsidRDefault="004645D7" w:rsidP="00052A87">
            <w:pPr>
              <w:pStyle w:val="TableTextRight"/>
            </w:pPr>
            <w:r>
              <w:noBreakHyphen/>
            </w:r>
          </w:p>
        </w:tc>
        <w:tc>
          <w:tcPr>
            <w:tcW w:w="1680" w:type="dxa"/>
            <w:tcBorders>
              <w:top w:val="single" w:sz="2" w:space="0" w:color="000000"/>
              <w:left w:val="nil"/>
              <w:bottom w:val="nil"/>
              <w:right w:val="nil"/>
            </w:tcBorders>
            <w:vAlign w:val="bottom"/>
          </w:tcPr>
          <w:p w14:paraId="0B493CD1" w14:textId="77777777" w:rsidR="004645D7" w:rsidRPr="006758C9" w:rsidRDefault="004645D7" w:rsidP="004645D7">
            <w:pPr>
              <w:pStyle w:val="TableTextRight"/>
            </w:pPr>
            <w:r>
              <w:t>3</w:t>
            </w:r>
            <w:r w:rsidRPr="006758C9">
              <w:t>.</w:t>
            </w:r>
            <w:r>
              <w:t>18</w:t>
            </w:r>
          </w:p>
        </w:tc>
        <w:tc>
          <w:tcPr>
            <w:tcW w:w="284" w:type="dxa"/>
            <w:tcBorders>
              <w:top w:val="single" w:sz="2" w:space="0" w:color="000000"/>
              <w:left w:val="nil"/>
              <w:bottom w:val="nil"/>
              <w:right w:val="nil"/>
            </w:tcBorders>
          </w:tcPr>
          <w:p w14:paraId="13AECFD5" w14:textId="77777777" w:rsidR="004645D7" w:rsidRPr="009C2AD4" w:rsidRDefault="004645D7" w:rsidP="00052A87">
            <w:pPr>
              <w:pStyle w:val="TableTextRight"/>
            </w:pPr>
          </w:p>
        </w:tc>
        <w:tc>
          <w:tcPr>
            <w:tcW w:w="1683" w:type="dxa"/>
            <w:tcBorders>
              <w:top w:val="single" w:sz="2" w:space="0" w:color="000000"/>
              <w:left w:val="nil"/>
              <w:bottom w:val="nil"/>
              <w:right w:val="nil"/>
            </w:tcBorders>
            <w:vAlign w:val="bottom"/>
          </w:tcPr>
          <w:p w14:paraId="3467D0CF" w14:textId="77777777" w:rsidR="004645D7" w:rsidRPr="006758C9" w:rsidRDefault="004645D7" w:rsidP="00052A87">
            <w:pPr>
              <w:pStyle w:val="TableTextRight"/>
            </w:pPr>
            <w:r>
              <w:noBreakHyphen/>
            </w:r>
          </w:p>
        </w:tc>
        <w:tc>
          <w:tcPr>
            <w:tcW w:w="1680" w:type="dxa"/>
            <w:tcBorders>
              <w:top w:val="single" w:sz="2" w:space="0" w:color="000000"/>
              <w:left w:val="nil"/>
              <w:bottom w:val="nil"/>
              <w:right w:val="nil"/>
            </w:tcBorders>
            <w:vAlign w:val="bottom"/>
          </w:tcPr>
          <w:p w14:paraId="0DC2520B" w14:textId="77777777" w:rsidR="004645D7" w:rsidRPr="006758C9" w:rsidRDefault="004645D7" w:rsidP="004645D7">
            <w:pPr>
              <w:pStyle w:val="TableTextRight"/>
            </w:pPr>
            <w:r>
              <w:t>3</w:t>
            </w:r>
            <w:r w:rsidRPr="006758C9">
              <w:t>.</w:t>
            </w:r>
            <w:r>
              <w:t>18</w:t>
            </w:r>
          </w:p>
        </w:tc>
      </w:tr>
      <w:tr w:rsidR="00AE6A8D" w:rsidRPr="00FF3826" w14:paraId="5D818242" w14:textId="77777777" w:rsidTr="00AE6A8D">
        <w:tc>
          <w:tcPr>
            <w:tcW w:w="709" w:type="dxa"/>
            <w:tcBorders>
              <w:top w:val="nil"/>
              <w:left w:val="nil"/>
              <w:bottom w:val="nil"/>
              <w:right w:val="nil"/>
            </w:tcBorders>
          </w:tcPr>
          <w:p w14:paraId="057C0A0B" w14:textId="77777777" w:rsidR="004645D7" w:rsidRPr="00387293" w:rsidRDefault="004645D7" w:rsidP="00052A87">
            <w:pPr>
              <w:pStyle w:val="TableColumnHeadingLeft"/>
            </w:pPr>
            <w:r w:rsidRPr="00387293">
              <w:t>30</w:t>
            </w:r>
          </w:p>
        </w:tc>
        <w:tc>
          <w:tcPr>
            <w:tcW w:w="1685" w:type="dxa"/>
            <w:tcBorders>
              <w:top w:val="nil"/>
              <w:left w:val="nil"/>
              <w:bottom w:val="nil"/>
              <w:right w:val="nil"/>
            </w:tcBorders>
          </w:tcPr>
          <w:p w14:paraId="0299F854" w14:textId="77777777" w:rsidR="004645D7" w:rsidRPr="00357C65" w:rsidRDefault="004645D7" w:rsidP="00641589">
            <w:pPr>
              <w:pStyle w:val="TableTextRight"/>
            </w:pPr>
            <w:r w:rsidRPr="00357C65">
              <w:t>0.2</w:t>
            </w:r>
            <w:r>
              <w:t>3</w:t>
            </w:r>
          </w:p>
        </w:tc>
        <w:tc>
          <w:tcPr>
            <w:tcW w:w="1680" w:type="dxa"/>
            <w:tcBorders>
              <w:top w:val="nil"/>
              <w:left w:val="nil"/>
              <w:bottom w:val="nil"/>
              <w:right w:val="nil"/>
            </w:tcBorders>
          </w:tcPr>
          <w:p w14:paraId="67D8680F" w14:textId="77777777" w:rsidR="004645D7" w:rsidRPr="00357C65" w:rsidRDefault="004645D7" w:rsidP="004645D7">
            <w:pPr>
              <w:pStyle w:val="TableTextRight"/>
            </w:pPr>
            <w:r>
              <w:t>3</w:t>
            </w:r>
            <w:r w:rsidRPr="00357C65">
              <w:t>.</w:t>
            </w:r>
            <w:r>
              <w:t>18</w:t>
            </w:r>
          </w:p>
        </w:tc>
        <w:tc>
          <w:tcPr>
            <w:tcW w:w="284" w:type="dxa"/>
            <w:tcBorders>
              <w:top w:val="nil"/>
              <w:left w:val="nil"/>
              <w:bottom w:val="nil"/>
              <w:right w:val="nil"/>
            </w:tcBorders>
          </w:tcPr>
          <w:p w14:paraId="741CF478" w14:textId="77777777" w:rsidR="004645D7" w:rsidRPr="009C2AD4" w:rsidRDefault="004645D7" w:rsidP="00052A87">
            <w:pPr>
              <w:pStyle w:val="TableTextRight"/>
            </w:pPr>
          </w:p>
        </w:tc>
        <w:tc>
          <w:tcPr>
            <w:tcW w:w="1683" w:type="dxa"/>
            <w:tcBorders>
              <w:top w:val="nil"/>
              <w:left w:val="nil"/>
              <w:bottom w:val="nil"/>
              <w:right w:val="nil"/>
            </w:tcBorders>
            <w:vAlign w:val="bottom"/>
          </w:tcPr>
          <w:p w14:paraId="15DB9B74" w14:textId="77777777" w:rsidR="004645D7" w:rsidRPr="00C27FA5" w:rsidRDefault="004645D7" w:rsidP="004645D7">
            <w:pPr>
              <w:pStyle w:val="TableTextRight"/>
            </w:pPr>
            <w:r w:rsidRPr="00C27FA5">
              <w:t>0.2</w:t>
            </w:r>
            <w:r>
              <w:t>3</w:t>
            </w:r>
          </w:p>
        </w:tc>
        <w:tc>
          <w:tcPr>
            <w:tcW w:w="1680" w:type="dxa"/>
            <w:tcBorders>
              <w:top w:val="nil"/>
              <w:left w:val="nil"/>
              <w:bottom w:val="nil"/>
              <w:right w:val="nil"/>
            </w:tcBorders>
          </w:tcPr>
          <w:p w14:paraId="24E76E5C" w14:textId="77777777" w:rsidR="004645D7" w:rsidRPr="00357C65" w:rsidRDefault="004645D7" w:rsidP="004645D7">
            <w:pPr>
              <w:pStyle w:val="TableTextRight"/>
            </w:pPr>
            <w:r>
              <w:t>3</w:t>
            </w:r>
            <w:r w:rsidRPr="00357C65">
              <w:t>.</w:t>
            </w:r>
            <w:r>
              <w:t>18</w:t>
            </w:r>
          </w:p>
        </w:tc>
      </w:tr>
      <w:tr w:rsidR="00AE6A8D" w:rsidRPr="00FF3826" w14:paraId="5C910D82" w14:textId="77777777" w:rsidTr="00AE6A8D">
        <w:tc>
          <w:tcPr>
            <w:tcW w:w="709" w:type="dxa"/>
            <w:tcBorders>
              <w:top w:val="nil"/>
              <w:left w:val="nil"/>
              <w:bottom w:val="nil"/>
              <w:right w:val="nil"/>
            </w:tcBorders>
          </w:tcPr>
          <w:p w14:paraId="4C6EF8B7" w14:textId="77777777" w:rsidR="004645D7" w:rsidRPr="00387293" w:rsidRDefault="004645D7" w:rsidP="00052A87">
            <w:pPr>
              <w:pStyle w:val="TableColumnHeadingLeft"/>
            </w:pPr>
            <w:r w:rsidRPr="00387293">
              <w:t>40</w:t>
            </w:r>
          </w:p>
        </w:tc>
        <w:tc>
          <w:tcPr>
            <w:tcW w:w="1685" w:type="dxa"/>
            <w:tcBorders>
              <w:top w:val="nil"/>
              <w:left w:val="nil"/>
              <w:bottom w:val="nil"/>
              <w:right w:val="nil"/>
            </w:tcBorders>
          </w:tcPr>
          <w:p w14:paraId="58485D0B" w14:textId="77777777" w:rsidR="004645D7" w:rsidRPr="00357C65" w:rsidRDefault="004645D7" w:rsidP="004645D7">
            <w:pPr>
              <w:pStyle w:val="TableTextRight"/>
            </w:pPr>
            <w:r>
              <w:t>0.67</w:t>
            </w:r>
          </w:p>
        </w:tc>
        <w:tc>
          <w:tcPr>
            <w:tcW w:w="1680" w:type="dxa"/>
            <w:tcBorders>
              <w:top w:val="nil"/>
              <w:left w:val="nil"/>
              <w:bottom w:val="nil"/>
              <w:right w:val="nil"/>
            </w:tcBorders>
          </w:tcPr>
          <w:p w14:paraId="6B2663A8" w14:textId="77777777" w:rsidR="004645D7" w:rsidRPr="00357C65" w:rsidRDefault="004645D7" w:rsidP="004645D7">
            <w:pPr>
              <w:pStyle w:val="TableTextRight"/>
            </w:pPr>
            <w:r>
              <w:t>4</w:t>
            </w:r>
            <w:r w:rsidRPr="00357C65">
              <w:t>.</w:t>
            </w:r>
            <w:r>
              <w:t>04</w:t>
            </w:r>
          </w:p>
        </w:tc>
        <w:tc>
          <w:tcPr>
            <w:tcW w:w="284" w:type="dxa"/>
            <w:tcBorders>
              <w:top w:val="nil"/>
              <w:left w:val="nil"/>
              <w:bottom w:val="nil"/>
              <w:right w:val="nil"/>
            </w:tcBorders>
          </w:tcPr>
          <w:p w14:paraId="3ACA1D1E" w14:textId="77777777" w:rsidR="004645D7" w:rsidRPr="009C2AD4" w:rsidRDefault="004645D7" w:rsidP="00052A87">
            <w:pPr>
              <w:pStyle w:val="TableTextRight"/>
            </w:pPr>
          </w:p>
        </w:tc>
        <w:tc>
          <w:tcPr>
            <w:tcW w:w="1683" w:type="dxa"/>
            <w:tcBorders>
              <w:top w:val="nil"/>
              <w:left w:val="nil"/>
              <w:bottom w:val="nil"/>
              <w:right w:val="nil"/>
            </w:tcBorders>
          </w:tcPr>
          <w:p w14:paraId="76CBCFC0" w14:textId="77777777" w:rsidR="004645D7" w:rsidRPr="001E7559" w:rsidRDefault="004645D7" w:rsidP="004645D7">
            <w:pPr>
              <w:pStyle w:val="TableTextRight"/>
            </w:pPr>
            <w:r>
              <w:t>0.68</w:t>
            </w:r>
          </w:p>
        </w:tc>
        <w:tc>
          <w:tcPr>
            <w:tcW w:w="1680" w:type="dxa"/>
            <w:tcBorders>
              <w:top w:val="nil"/>
              <w:left w:val="nil"/>
              <w:bottom w:val="nil"/>
              <w:right w:val="nil"/>
            </w:tcBorders>
          </w:tcPr>
          <w:p w14:paraId="03EE0060" w14:textId="77777777" w:rsidR="004645D7" w:rsidRPr="00357C65" w:rsidRDefault="004645D7" w:rsidP="004645D7">
            <w:pPr>
              <w:pStyle w:val="TableTextRight"/>
            </w:pPr>
            <w:r>
              <w:t>4</w:t>
            </w:r>
            <w:r w:rsidRPr="00357C65">
              <w:t>.</w:t>
            </w:r>
            <w:r>
              <w:t>04</w:t>
            </w:r>
          </w:p>
        </w:tc>
      </w:tr>
      <w:tr w:rsidR="00AE6A8D" w:rsidRPr="00FF3826" w14:paraId="358313DD" w14:textId="77777777" w:rsidTr="00AE6A8D">
        <w:tc>
          <w:tcPr>
            <w:tcW w:w="709" w:type="dxa"/>
            <w:tcBorders>
              <w:top w:val="nil"/>
              <w:left w:val="nil"/>
              <w:bottom w:val="single" w:sz="2" w:space="0" w:color="000000"/>
              <w:right w:val="nil"/>
            </w:tcBorders>
          </w:tcPr>
          <w:p w14:paraId="43C01BA1" w14:textId="77777777" w:rsidR="004645D7" w:rsidRPr="00387293" w:rsidRDefault="004645D7" w:rsidP="00052A87">
            <w:pPr>
              <w:pStyle w:val="TableColumnHeadingLeft"/>
            </w:pPr>
            <w:r w:rsidRPr="00387293">
              <w:t>50</w:t>
            </w:r>
          </w:p>
        </w:tc>
        <w:tc>
          <w:tcPr>
            <w:tcW w:w="1685" w:type="dxa"/>
            <w:tcBorders>
              <w:top w:val="nil"/>
              <w:left w:val="nil"/>
              <w:bottom w:val="single" w:sz="2" w:space="0" w:color="000000"/>
              <w:right w:val="nil"/>
            </w:tcBorders>
          </w:tcPr>
          <w:p w14:paraId="3BF0BC71" w14:textId="77777777" w:rsidR="004645D7" w:rsidRPr="00357C65" w:rsidRDefault="004645D7" w:rsidP="004645D7">
            <w:pPr>
              <w:pStyle w:val="TableTextRight"/>
            </w:pPr>
            <w:r>
              <w:t>1.62</w:t>
            </w:r>
          </w:p>
        </w:tc>
        <w:tc>
          <w:tcPr>
            <w:tcW w:w="1680" w:type="dxa"/>
            <w:tcBorders>
              <w:top w:val="nil"/>
              <w:left w:val="nil"/>
              <w:bottom w:val="single" w:sz="2" w:space="0" w:color="000000"/>
              <w:right w:val="nil"/>
            </w:tcBorders>
          </w:tcPr>
          <w:p w14:paraId="1D7A036F" w14:textId="77777777" w:rsidR="004645D7" w:rsidRPr="00357C65" w:rsidRDefault="004645D7" w:rsidP="004645D7">
            <w:pPr>
              <w:pStyle w:val="TableTextRight"/>
            </w:pPr>
            <w:r>
              <w:t>7</w:t>
            </w:r>
            <w:r w:rsidRPr="00357C65">
              <w:t>.0</w:t>
            </w:r>
            <w:r>
              <w:t>8</w:t>
            </w:r>
          </w:p>
        </w:tc>
        <w:tc>
          <w:tcPr>
            <w:tcW w:w="284" w:type="dxa"/>
            <w:tcBorders>
              <w:top w:val="nil"/>
              <w:left w:val="nil"/>
              <w:bottom w:val="single" w:sz="2" w:space="0" w:color="000000"/>
              <w:right w:val="nil"/>
            </w:tcBorders>
          </w:tcPr>
          <w:p w14:paraId="6CE27EA1" w14:textId="77777777" w:rsidR="004645D7" w:rsidRPr="009C2AD4" w:rsidRDefault="004645D7" w:rsidP="00052A87">
            <w:pPr>
              <w:pStyle w:val="TableTextRight"/>
            </w:pPr>
          </w:p>
        </w:tc>
        <w:tc>
          <w:tcPr>
            <w:tcW w:w="1683" w:type="dxa"/>
            <w:tcBorders>
              <w:top w:val="nil"/>
              <w:left w:val="nil"/>
              <w:bottom w:val="single" w:sz="2" w:space="0" w:color="000000"/>
              <w:right w:val="nil"/>
            </w:tcBorders>
          </w:tcPr>
          <w:p w14:paraId="4820E75D" w14:textId="77777777" w:rsidR="004645D7" w:rsidRPr="001E7559" w:rsidRDefault="004645D7" w:rsidP="004645D7">
            <w:pPr>
              <w:pStyle w:val="TableTextRight"/>
            </w:pPr>
            <w:r>
              <w:t>1.91</w:t>
            </w:r>
          </w:p>
        </w:tc>
        <w:tc>
          <w:tcPr>
            <w:tcW w:w="1680" w:type="dxa"/>
            <w:tcBorders>
              <w:top w:val="nil"/>
              <w:left w:val="nil"/>
              <w:bottom w:val="single" w:sz="2" w:space="0" w:color="000000"/>
              <w:right w:val="nil"/>
            </w:tcBorders>
          </w:tcPr>
          <w:p w14:paraId="3158C4CF" w14:textId="77777777" w:rsidR="004645D7" w:rsidRPr="00357C65" w:rsidRDefault="004645D7" w:rsidP="004645D7">
            <w:pPr>
              <w:pStyle w:val="TableTextRight"/>
            </w:pPr>
            <w:r>
              <w:t>7</w:t>
            </w:r>
            <w:r w:rsidRPr="00357C65">
              <w:t>.0</w:t>
            </w:r>
            <w:r>
              <w:t>8</w:t>
            </w:r>
          </w:p>
        </w:tc>
      </w:tr>
      <w:tr w:rsidR="00AE6A8D" w:rsidRPr="00FF3826" w14:paraId="01D93068" w14:textId="77777777" w:rsidTr="00AE6A8D">
        <w:tc>
          <w:tcPr>
            <w:tcW w:w="709" w:type="dxa"/>
            <w:tcBorders>
              <w:top w:val="single" w:sz="2" w:space="0" w:color="000000"/>
              <w:left w:val="nil"/>
              <w:bottom w:val="nil"/>
              <w:right w:val="nil"/>
            </w:tcBorders>
            <w:shd w:val="clear" w:color="auto" w:fill="F2F2F2" w:themeFill="background1" w:themeFillShade="F2"/>
          </w:tcPr>
          <w:p w14:paraId="009DD6E3" w14:textId="77777777" w:rsidR="004645D7" w:rsidRPr="00387293" w:rsidRDefault="004645D7" w:rsidP="00052A87">
            <w:pPr>
              <w:pStyle w:val="TableColumnHeadingLeft"/>
            </w:pPr>
            <w:r w:rsidRPr="00387293">
              <w:t>55</w:t>
            </w:r>
          </w:p>
        </w:tc>
        <w:tc>
          <w:tcPr>
            <w:tcW w:w="1685" w:type="dxa"/>
            <w:tcBorders>
              <w:top w:val="single" w:sz="2" w:space="0" w:color="000000"/>
              <w:left w:val="nil"/>
              <w:bottom w:val="nil"/>
              <w:right w:val="nil"/>
            </w:tcBorders>
            <w:shd w:val="clear" w:color="auto" w:fill="F2F2F2" w:themeFill="background1" w:themeFillShade="F2"/>
          </w:tcPr>
          <w:p w14:paraId="42496E86" w14:textId="77777777" w:rsidR="004645D7" w:rsidRPr="00357C65" w:rsidRDefault="004645D7" w:rsidP="004645D7">
            <w:pPr>
              <w:pStyle w:val="TableTextRight"/>
            </w:pPr>
            <w:r>
              <w:t>2.97</w:t>
            </w:r>
          </w:p>
        </w:tc>
        <w:tc>
          <w:tcPr>
            <w:tcW w:w="1680" w:type="dxa"/>
            <w:tcBorders>
              <w:top w:val="single" w:sz="2" w:space="0" w:color="000000"/>
              <w:left w:val="nil"/>
              <w:bottom w:val="nil"/>
              <w:right w:val="nil"/>
            </w:tcBorders>
            <w:shd w:val="clear" w:color="auto" w:fill="F2F2F2" w:themeFill="background1" w:themeFillShade="F2"/>
          </w:tcPr>
          <w:p w14:paraId="1621DD08" w14:textId="77777777" w:rsidR="004645D7" w:rsidRPr="00357C65" w:rsidRDefault="004645D7" w:rsidP="004645D7">
            <w:pPr>
              <w:pStyle w:val="TableTextRight"/>
            </w:pPr>
            <w:r w:rsidRPr="00357C65">
              <w:t>1</w:t>
            </w:r>
            <w:r>
              <w:t>0</w:t>
            </w:r>
            <w:r w:rsidRPr="00357C65">
              <w:t>.</w:t>
            </w:r>
            <w:r>
              <w:t>09</w:t>
            </w:r>
          </w:p>
        </w:tc>
        <w:tc>
          <w:tcPr>
            <w:tcW w:w="284" w:type="dxa"/>
            <w:tcBorders>
              <w:top w:val="single" w:sz="2" w:space="0" w:color="000000"/>
              <w:left w:val="nil"/>
              <w:bottom w:val="nil"/>
              <w:right w:val="nil"/>
            </w:tcBorders>
            <w:shd w:val="clear" w:color="auto" w:fill="F2F2F2" w:themeFill="background1" w:themeFillShade="F2"/>
          </w:tcPr>
          <w:p w14:paraId="2C292C63" w14:textId="77777777" w:rsidR="004645D7" w:rsidRPr="009C2AD4" w:rsidRDefault="004645D7" w:rsidP="00052A87">
            <w:pPr>
              <w:pStyle w:val="TableTextRight"/>
            </w:pPr>
          </w:p>
        </w:tc>
        <w:tc>
          <w:tcPr>
            <w:tcW w:w="1683" w:type="dxa"/>
            <w:tcBorders>
              <w:top w:val="single" w:sz="2" w:space="0" w:color="000000"/>
              <w:left w:val="nil"/>
              <w:bottom w:val="nil"/>
              <w:right w:val="nil"/>
            </w:tcBorders>
            <w:shd w:val="clear" w:color="auto" w:fill="F2F2F2" w:themeFill="background1" w:themeFillShade="F2"/>
          </w:tcPr>
          <w:p w14:paraId="42989972" w14:textId="77777777" w:rsidR="004645D7" w:rsidRPr="001E7559" w:rsidRDefault="004645D7" w:rsidP="004645D7">
            <w:pPr>
              <w:pStyle w:val="TableTextRight"/>
            </w:pPr>
            <w:r>
              <w:t>3.17</w:t>
            </w:r>
          </w:p>
        </w:tc>
        <w:tc>
          <w:tcPr>
            <w:tcW w:w="1680" w:type="dxa"/>
            <w:tcBorders>
              <w:top w:val="single" w:sz="2" w:space="0" w:color="000000"/>
              <w:left w:val="nil"/>
              <w:bottom w:val="nil"/>
              <w:right w:val="nil"/>
            </w:tcBorders>
            <w:shd w:val="clear" w:color="auto" w:fill="F2F2F2" w:themeFill="background1" w:themeFillShade="F2"/>
          </w:tcPr>
          <w:p w14:paraId="73438F31" w14:textId="77777777" w:rsidR="004645D7" w:rsidRPr="00357C65" w:rsidRDefault="004645D7" w:rsidP="004645D7">
            <w:pPr>
              <w:pStyle w:val="TableTextRight"/>
            </w:pPr>
            <w:r w:rsidRPr="00357C65">
              <w:t>1</w:t>
            </w:r>
            <w:r>
              <w:t>0</w:t>
            </w:r>
            <w:r w:rsidRPr="00357C65">
              <w:t>.</w:t>
            </w:r>
            <w:r>
              <w:t>09</w:t>
            </w:r>
          </w:p>
        </w:tc>
      </w:tr>
      <w:tr w:rsidR="00AE6A8D" w:rsidRPr="00FF3826" w14:paraId="19CC2B76" w14:textId="77777777" w:rsidTr="00AE6A8D">
        <w:tc>
          <w:tcPr>
            <w:tcW w:w="709" w:type="dxa"/>
            <w:tcBorders>
              <w:top w:val="nil"/>
              <w:left w:val="nil"/>
              <w:bottom w:val="nil"/>
              <w:right w:val="nil"/>
            </w:tcBorders>
            <w:shd w:val="clear" w:color="auto" w:fill="F2F2F2" w:themeFill="background1" w:themeFillShade="F2"/>
          </w:tcPr>
          <w:p w14:paraId="0422C4F3" w14:textId="77777777" w:rsidR="004645D7" w:rsidRPr="00387293" w:rsidRDefault="004645D7" w:rsidP="00052A87">
            <w:pPr>
              <w:pStyle w:val="TableColumnHeadingLeft"/>
            </w:pPr>
            <w:r w:rsidRPr="00387293">
              <w:t>60</w:t>
            </w:r>
          </w:p>
        </w:tc>
        <w:tc>
          <w:tcPr>
            <w:tcW w:w="1685" w:type="dxa"/>
            <w:tcBorders>
              <w:top w:val="nil"/>
              <w:left w:val="nil"/>
              <w:bottom w:val="nil"/>
              <w:right w:val="nil"/>
            </w:tcBorders>
            <w:shd w:val="clear" w:color="auto" w:fill="F2F2F2" w:themeFill="background1" w:themeFillShade="F2"/>
          </w:tcPr>
          <w:p w14:paraId="44EA567A" w14:textId="77777777" w:rsidR="004645D7" w:rsidRPr="00357C65" w:rsidRDefault="004645D7" w:rsidP="004645D7">
            <w:pPr>
              <w:pStyle w:val="TableTextRight"/>
            </w:pPr>
            <w:r>
              <w:t>5.39</w:t>
            </w:r>
          </w:p>
        </w:tc>
        <w:tc>
          <w:tcPr>
            <w:tcW w:w="1680" w:type="dxa"/>
            <w:tcBorders>
              <w:top w:val="nil"/>
              <w:left w:val="nil"/>
              <w:bottom w:val="nil"/>
              <w:right w:val="nil"/>
            </w:tcBorders>
            <w:shd w:val="clear" w:color="auto" w:fill="F2F2F2" w:themeFill="background1" w:themeFillShade="F2"/>
          </w:tcPr>
          <w:p w14:paraId="6D0459A2" w14:textId="77777777" w:rsidR="004645D7" w:rsidRPr="00357C65" w:rsidRDefault="004645D7" w:rsidP="004645D7">
            <w:pPr>
              <w:pStyle w:val="TableTextRight"/>
            </w:pPr>
            <w:r w:rsidRPr="00357C65">
              <w:t>14.</w:t>
            </w:r>
            <w:r>
              <w:t>91</w:t>
            </w:r>
          </w:p>
        </w:tc>
        <w:tc>
          <w:tcPr>
            <w:tcW w:w="284" w:type="dxa"/>
            <w:tcBorders>
              <w:top w:val="nil"/>
              <w:left w:val="nil"/>
              <w:bottom w:val="nil"/>
              <w:right w:val="nil"/>
            </w:tcBorders>
            <w:shd w:val="clear" w:color="auto" w:fill="F2F2F2" w:themeFill="background1" w:themeFillShade="F2"/>
          </w:tcPr>
          <w:p w14:paraId="5AEF93CF" w14:textId="77777777" w:rsidR="004645D7" w:rsidRPr="009C2AD4" w:rsidRDefault="004645D7" w:rsidP="00052A87">
            <w:pPr>
              <w:pStyle w:val="TableTextRight"/>
            </w:pPr>
          </w:p>
        </w:tc>
        <w:tc>
          <w:tcPr>
            <w:tcW w:w="1683" w:type="dxa"/>
            <w:tcBorders>
              <w:top w:val="nil"/>
              <w:left w:val="nil"/>
              <w:bottom w:val="nil"/>
              <w:right w:val="nil"/>
            </w:tcBorders>
            <w:shd w:val="clear" w:color="auto" w:fill="F2F2F2" w:themeFill="background1" w:themeFillShade="F2"/>
          </w:tcPr>
          <w:p w14:paraId="3406650F" w14:textId="77777777" w:rsidR="004645D7" w:rsidRPr="001E7559" w:rsidRDefault="004645D7" w:rsidP="004645D7">
            <w:pPr>
              <w:pStyle w:val="TableTextRight"/>
            </w:pPr>
            <w:r>
              <w:t>4.86</w:t>
            </w:r>
          </w:p>
        </w:tc>
        <w:tc>
          <w:tcPr>
            <w:tcW w:w="1680" w:type="dxa"/>
            <w:tcBorders>
              <w:top w:val="nil"/>
              <w:left w:val="nil"/>
              <w:bottom w:val="nil"/>
              <w:right w:val="nil"/>
            </w:tcBorders>
            <w:shd w:val="clear" w:color="auto" w:fill="F2F2F2" w:themeFill="background1" w:themeFillShade="F2"/>
          </w:tcPr>
          <w:p w14:paraId="745FC9C3" w14:textId="77777777" w:rsidR="004645D7" w:rsidRPr="00357C65" w:rsidRDefault="004645D7" w:rsidP="004645D7">
            <w:pPr>
              <w:pStyle w:val="TableTextRight"/>
            </w:pPr>
            <w:r w:rsidRPr="00357C65">
              <w:t>14.</w:t>
            </w:r>
            <w:r>
              <w:t>91</w:t>
            </w:r>
          </w:p>
        </w:tc>
      </w:tr>
      <w:tr w:rsidR="00AE6A8D" w:rsidRPr="00FF3826" w14:paraId="0B3BE489" w14:textId="77777777" w:rsidTr="00AE6A8D">
        <w:tc>
          <w:tcPr>
            <w:tcW w:w="709" w:type="dxa"/>
            <w:tcBorders>
              <w:top w:val="nil"/>
              <w:left w:val="nil"/>
              <w:bottom w:val="nil"/>
              <w:right w:val="nil"/>
            </w:tcBorders>
            <w:shd w:val="clear" w:color="auto" w:fill="F2F2F2" w:themeFill="background1" w:themeFillShade="F2"/>
          </w:tcPr>
          <w:p w14:paraId="48AC1DD1" w14:textId="77777777" w:rsidR="004645D7" w:rsidRPr="00387293" w:rsidRDefault="004645D7" w:rsidP="00052A87">
            <w:pPr>
              <w:pStyle w:val="TableColumnHeadingLeft"/>
            </w:pPr>
            <w:r w:rsidRPr="00387293">
              <w:t>65</w:t>
            </w:r>
          </w:p>
        </w:tc>
        <w:tc>
          <w:tcPr>
            <w:tcW w:w="1685" w:type="dxa"/>
            <w:tcBorders>
              <w:top w:val="nil"/>
              <w:left w:val="nil"/>
              <w:bottom w:val="nil"/>
              <w:right w:val="nil"/>
            </w:tcBorders>
            <w:shd w:val="clear" w:color="auto" w:fill="F2F2F2" w:themeFill="background1" w:themeFillShade="F2"/>
          </w:tcPr>
          <w:p w14:paraId="0E00AD80" w14:textId="77777777" w:rsidR="004645D7" w:rsidRPr="00357C65" w:rsidRDefault="004645D7" w:rsidP="004645D7">
            <w:pPr>
              <w:pStyle w:val="TableTextRight"/>
            </w:pPr>
            <w:r>
              <w:t>9.62</w:t>
            </w:r>
          </w:p>
        </w:tc>
        <w:tc>
          <w:tcPr>
            <w:tcW w:w="1680" w:type="dxa"/>
            <w:tcBorders>
              <w:top w:val="nil"/>
              <w:left w:val="nil"/>
              <w:bottom w:val="nil"/>
              <w:right w:val="nil"/>
            </w:tcBorders>
            <w:shd w:val="clear" w:color="auto" w:fill="F2F2F2" w:themeFill="background1" w:themeFillShade="F2"/>
          </w:tcPr>
          <w:p w14:paraId="4B0CC16B" w14:textId="77777777" w:rsidR="004645D7" w:rsidRPr="00357C65" w:rsidRDefault="004645D7" w:rsidP="004645D7">
            <w:pPr>
              <w:pStyle w:val="TableTextRight"/>
            </w:pPr>
            <w:r>
              <w:t>22</w:t>
            </w:r>
            <w:r w:rsidRPr="00357C65">
              <w:t>.</w:t>
            </w:r>
            <w:r>
              <w:t>57</w:t>
            </w:r>
          </w:p>
        </w:tc>
        <w:tc>
          <w:tcPr>
            <w:tcW w:w="284" w:type="dxa"/>
            <w:tcBorders>
              <w:top w:val="nil"/>
              <w:left w:val="nil"/>
              <w:bottom w:val="nil"/>
              <w:right w:val="nil"/>
            </w:tcBorders>
            <w:shd w:val="clear" w:color="auto" w:fill="F2F2F2" w:themeFill="background1" w:themeFillShade="F2"/>
          </w:tcPr>
          <w:p w14:paraId="43650F5F" w14:textId="77777777" w:rsidR="004645D7" w:rsidRPr="009C2AD4" w:rsidRDefault="004645D7" w:rsidP="00052A87">
            <w:pPr>
              <w:pStyle w:val="TableTextRight"/>
            </w:pPr>
          </w:p>
        </w:tc>
        <w:tc>
          <w:tcPr>
            <w:tcW w:w="1683" w:type="dxa"/>
            <w:tcBorders>
              <w:top w:val="nil"/>
              <w:left w:val="nil"/>
              <w:bottom w:val="nil"/>
              <w:right w:val="nil"/>
            </w:tcBorders>
            <w:shd w:val="clear" w:color="auto" w:fill="F2F2F2" w:themeFill="background1" w:themeFillShade="F2"/>
          </w:tcPr>
          <w:p w14:paraId="170B7FC3" w14:textId="77777777" w:rsidR="004645D7" w:rsidRPr="001E7559" w:rsidRDefault="004645D7" w:rsidP="004645D7">
            <w:pPr>
              <w:pStyle w:val="TableTextRight"/>
            </w:pPr>
            <w:r>
              <w:t>7.61</w:t>
            </w:r>
          </w:p>
        </w:tc>
        <w:tc>
          <w:tcPr>
            <w:tcW w:w="1680" w:type="dxa"/>
            <w:tcBorders>
              <w:top w:val="nil"/>
              <w:left w:val="nil"/>
              <w:bottom w:val="nil"/>
              <w:right w:val="nil"/>
            </w:tcBorders>
            <w:shd w:val="clear" w:color="auto" w:fill="F2F2F2" w:themeFill="background1" w:themeFillShade="F2"/>
          </w:tcPr>
          <w:p w14:paraId="2F3123EC" w14:textId="77777777" w:rsidR="004645D7" w:rsidRPr="00357C65" w:rsidRDefault="004645D7" w:rsidP="004645D7">
            <w:pPr>
              <w:pStyle w:val="TableTextRight"/>
            </w:pPr>
            <w:r>
              <w:t>22</w:t>
            </w:r>
            <w:r w:rsidRPr="00357C65">
              <w:t>.</w:t>
            </w:r>
            <w:r>
              <w:t>57</w:t>
            </w:r>
          </w:p>
        </w:tc>
      </w:tr>
      <w:tr w:rsidR="00AE6A8D" w:rsidRPr="00FF3826" w14:paraId="4EC598C5" w14:textId="77777777" w:rsidTr="00AE6A8D">
        <w:tc>
          <w:tcPr>
            <w:tcW w:w="709" w:type="dxa"/>
            <w:tcBorders>
              <w:top w:val="nil"/>
              <w:left w:val="nil"/>
              <w:bottom w:val="single" w:sz="2" w:space="0" w:color="000000"/>
              <w:right w:val="nil"/>
            </w:tcBorders>
            <w:shd w:val="clear" w:color="auto" w:fill="F2F2F2" w:themeFill="background1" w:themeFillShade="F2"/>
          </w:tcPr>
          <w:p w14:paraId="13BB2068" w14:textId="77777777" w:rsidR="004645D7" w:rsidRPr="00387293" w:rsidRDefault="004645D7" w:rsidP="00052A87">
            <w:pPr>
              <w:pStyle w:val="TableColumnHeadingLeft"/>
            </w:pPr>
            <w:r w:rsidRPr="00387293">
              <w:t>70</w:t>
            </w:r>
          </w:p>
        </w:tc>
        <w:tc>
          <w:tcPr>
            <w:tcW w:w="1685" w:type="dxa"/>
            <w:tcBorders>
              <w:top w:val="nil"/>
              <w:left w:val="nil"/>
              <w:bottom w:val="single" w:sz="2" w:space="0" w:color="000000"/>
              <w:right w:val="nil"/>
            </w:tcBorders>
            <w:shd w:val="clear" w:color="auto" w:fill="F2F2F2" w:themeFill="background1" w:themeFillShade="F2"/>
          </w:tcPr>
          <w:p w14:paraId="0CD6F7F2" w14:textId="77777777" w:rsidR="004645D7" w:rsidRPr="00357C65" w:rsidRDefault="004645D7" w:rsidP="004645D7">
            <w:pPr>
              <w:pStyle w:val="TableTextRight"/>
            </w:pPr>
            <w:r>
              <w:t>16.93</w:t>
            </w:r>
          </w:p>
        </w:tc>
        <w:tc>
          <w:tcPr>
            <w:tcW w:w="1680" w:type="dxa"/>
            <w:tcBorders>
              <w:top w:val="nil"/>
              <w:left w:val="nil"/>
              <w:bottom w:val="single" w:sz="2" w:space="0" w:color="000000"/>
              <w:right w:val="nil"/>
            </w:tcBorders>
            <w:shd w:val="clear" w:color="auto" w:fill="F2F2F2" w:themeFill="background1" w:themeFillShade="F2"/>
          </w:tcPr>
          <w:p w14:paraId="2DF2C14D" w14:textId="77777777" w:rsidR="004645D7" w:rsidRPr="00357C65" w:rsidRDefault="004645D7" w:rsidP="004645D7">
            <w:pPr>
              <w:pStyle w:val="TableTextRight"/>
            </w:pPr>
            <w:r>
              <w:t>34</w:t>
            </w:r>
            <w:r w:rsidRPr="00357C65">
              <w:t>.</w:t>
            </w:r>
            <w:r>
              <w:t>69</w:t>
            </w:r>
          </w:p>
        </w:tc>
        <w:tc>
          <w:tcPr>
            <w:tcW w:w="284" w:type="dxa"/>
            <w:tcBorders>
              <w:top w:val="nil"/>
              <w:left w:val="nil"/>
              <w:bottom w:val="single" w:sz="2" w:space="0" w:color="000000"/>
              <w:right w:val="nil"/>
            </w:tcBorders>
            <w:shd w:val="clear" w:color="auto" w:fill="F2F2F2" w:themeFill="background1" w:themeFillShade="F2"/>
          </w:tcPr>
          <w:p w14:paraId="54EE7E43" w14:textId="77777777" w:rsidR="004645D7" w:rsidRPr="009C2AD4" w:rsidRDefault="004645D7" w:rsidP="00052A87">
            <w:pPr>
              <w:pStyle w:val="TableTextRight"/>
            </w:pPr>
          </w:p>
        </w:tc>
        <w:tc>
          <w:tcPr>
            <w:tcW w:w="1683" w:type="dxa"/>
            <w:tcBorders>
              <w:top w:val="nil"/>
              <w:left w:val="nil"/>
              <w:bottom w:val="single" w:sz="2" w:space="0" w:color="000000"/>
              <w:right w:val="nil"/>
            </w:tcBorders>
            <w:shd w:val="clear" w:color="auto" w:fill="F2F2F2" w:themeFill="background1" w:themeFillShade="F2"/>
          </w:tcPr>
          <w:p w14:paraId="5C6EC1A1" w14:textId="77777777" w:rsidR="004645D7" w:rsidRPr="001E7559" w:rsidRDefault="004645D7" w:rsidP="004645D7">
            <w:pPr>
              <w:pStyle w:val="TableTextRight"/>
            </w:pPr>
            <w:r>
              <w:t>12.68</w:t>
            </w:r>
          </w:p>
        </w:tc>
        <w:tc>
          <w:tcPr>
            <w:tcW w:w="1680" w:type="dxa"/>
            <w:tcBorders>
              <w:top w:val="nil"/>
              <w:left w:val="nil"/>
              <w:bottom w:val="single" w:sz="2" w:space="0" w:color="000000"/>
              <w:right w:val="nil"/>
            </w:tcBorders>
            <w:shd w:val="clear" w:color="auto" w:fill="F2F2F2" w:themeFill="background1" w:themeFillShade="F2"/>
          </w:tcPr>
          <w:p w14:paraId="20072FE8" w14:textId="77777777" w:rsidR="004645D7" w:rsidRPr="00357C65" w:rsidRDefault="004645D7" w:rsidP="004645D7">
            <w:pPr>
              <w:pStyle w:val="TableTextRight"/>
            </w:pPr>
            <w:r>
              <w:t>34</w:t>
            </w:r>
            <w:r w:rsidRPr="00357C65">
              <w:t>.</w:t>
            </w:r>
            <w:r>
              <w:t>69</w:t>
            </w:r>
          </w:p>
        </w:tc>
      </w:tr>
      <w:tr w:rsidR="00AE6A8D" w:rsidRPr="00FF3826" w14:paraId="0D69BDF2" w14:textId="77777777" w:rsidTr="00AE6A8D">
        <w:tc>
          <w:tcPr>
            <w:tcW w:w="709" w:type="dxa"/>
            <w:tcBorders>
              <w:top w:val="single" w:sz="2" w:space="0" w:color="000000"/>
              <w:left w:val="nil"/>
              <w:bottom w:val="nil"/>
              <w:right w:val="nil"/>
            </w:tcBorders>
          </w:tcPr>
          <w:p w14:paraId="0D828DF8" w14:textId="77777777" w:rsidR="004645D7" w:rsidRPr="00387293" w:rsidRDefault="004645D7" w:rsidP="00052A87">
            <w:pPr>
              <w:pStyle w:val="TableColumnHeadingLeft"/>
            </w:pPr>
            <w:r w:rsidRPr="00387293">
              <w:t>75</w:t>
            </w:r>
          </w:p>
        </w:tc>
        <w:tc>
          <w:tcPr>
            <w:tcW w:w="1685" w:type="dxa"/>
            <w:tcBorders>
              <w:top w:val="single" w:sz="2" w:space="0" w:color="000000"/>
              <w:left w:val="nil"/>
              <w:bottom w:val="nil"/>
              <w:right w:val="nil"/>
            </w:tcBorders>
          </w:tcPr>
          <w:p w14:paraId="648D12BF" w14:textId="77777777" w:rsidR="004645D7" w:rsidRPr="00357C65" w:rsidRDefault="004645D7" w:rsidP="004645D7">
            <w:pPr>
              <w:pStyle w:val="TableTextRight"/>
            </w:pPr>
            <w:r>
              <w:t>29.32</w:t>
            </w:r>
          </w:p>
        </w:tc>
        <w:tc>
          <w:tcPr>
            <w:tcW w:w="1680" w:type="dxa"/>
            <w:tcBorders>
              <w:top w:val="single" w:sz="2" w:space="0" w:color="000000"/>
              <w:left w:val="nil"/>
              <w:bottom w:val="nil"/>
              <w:right w:val="nil"/>
            </w:tcBorders>
          </w:tcPr>
          <w:p w14:paraId="1315174F" w14:textId="77777777" w:rsidR="004645D7" w:rsidRPr="00357C65" w:rsidRDefault="004645D7" w:rsidP="004645D7">
            <w:pPr>
              <w:pStyle w:val="TableTextRight"/>
            </w:pPr>
            <w:r>
              <w:t>53</w:t>
            </w:r>
            <w:r w:rsidRPr="00357C65">
              <w:t>.</w:t>
            </w:r>
            <w:r>
              <w:t>53</w:t>
            </w:r>
          </w:p>
        </w:tc>
        <w:tc>
          <w:tcPr>
            <w:tcW w:w="284" w:type="dxa"/>
            <w:tcBorders>
              <w:top w:val="single" w:sz="2" w:space="0" w:color="000000"/>
              <w:left w:val="nil"/>
              <w:bottom w:val="nil"/>
              <w:right w:val="nil"/>
            </w:tcBorders>
          </w:tcPr>
          <w:p w14:paraId="2B2BF716" w14:textId="77777777" w:rsidR="004645D7" w:rsidRPr="009C2AD4" w:rsidRDefault="004645D7" w:rsidP="00052A87">
            <w:pPr>
              <w:pStyle w:val="TableTextRight"/>
            </w:pPr>
          </w:p>
        </w:tc>
        <w:tc>
          <w:tcPr>
            <w:tcW w:w="1683" w:type="dxa"/>
            <w:tcBorders>
              <w:top w:val="single" w:sz="2" w:space="0" w:color="000000"/>
              <w:left w:val="nil"/>
              <w:bottom w:val="nil"/>
              <w:right w:val="nil"/>
            </w:tcBorders>
          </w:tcPr>
          <w:p w14:paraId="50B2C21C" w14:textId="77777777" w:rsidR="004645D7" w:rsidRPr="001E7559" w:rsidRDefault="004645D7" w:rsidP="004645D7">
            <w:pPr>
              <w:pStyle w:val="TableTextRight"/>
            </w:pPr>
            <w:r>
              <w:t>21.30</w:t>
            </w:r>
          </w:p>
        </w:tc>
        <w:tc>
          <w:tcPr>
            <w:tcW w:w="1680" w:type="dxa"/>
            <w:tcBorders>
              <w:top w:val="single" w:sz="2" w:space="0" w:color="000000"/>
              <w:left w:val="nil"/>
              <w:bottom w:val="nil"/>
              <w:right w:val="nil"/>
            </w:tcBorders>
          </w:tcPr>
          <w:p w14:paraId="74CD9212" w14:textId="77777777" w:rsidR="004645D7" w:rsidRPr="00357C65" w:rsidRDefault="004645D7" w:rsidP="004645D7">
            <w:pPr>
              <w:pStyle w:val="TableTextRight"/>
            </w:pPr>
            <w:r>
              <w:t>53</w:t>
            </w:r>
            <w:r w:rsidRPr="00357C65">
              <w:t>.</w:t>
            </w:r>
            <w:r>
              <w:t>53</w:t>
            </w:r>
          </w:p>
        </w:tc>
      </w:tr>
      <w:tr w:rsidR="00AE6A8D" w:rsidRPr="00FF3826" w14:paraId="0DEAD9EC" w14:textId="77777777" w:rsidTr="00AE6A8D">
        <w:tc>
          <w:tcPr>
            <w:tcW w:w="709" w:type="dxa"/>
            <w:tcBorders>
              <w:top w:val="nil"/>
              <w:left w:val="nil"/>
              <w:bottom w:val="nil"/>
              <w:right w:val="nil"/>
            </w:tcBorders>
          </w:tcPr>
          <w:p w14:paraId="2CA894B4" w14:textId="77777777" w:rsidR="004645D7" w:rsidRPr="00387293" w:rsidRDefault="004645D7" w:rsidP="00052A87">
            <w:pPr>
              <w:pStyle w:val="TableColumnHeadingLeft"/>
            </w:pPr>
            <w:r w:rsidRPr="00387293">
              <w:t>80</w:t>
            </w:r>
          </w:p>
        </w:tc>
        <w:tc>
          <w:tcPr>
            <w:tcW w:w="1685" w:type="dxa"/>
            <w:tcBorders>
              <w:top w:val="nil"/>
              <w:left w:val="nil"/>
              <w:bottom w:val="nil"/>
              <w:right w:val="nil"/>
            </w:tcBorders>
          </w:tcPr>
          <w:p w14:paraId="5A5D822C" w14:textId="77777777" w:rsidR="004645D7" w:rsidRPr="00357C65" w:rsidRDefault="004645D7" w:rsidP="004645D7">
            <w:pPr>
              <w:pStyle w:val="TableTextRight"/>
            </w:pPr>
            <w:r>
              <w:t>52.88</w:t>
            </w:r>
          </w:p>
        </w:tc>
        <w:tc>
          <w:tcPr>
            <w:tcW w:w="1680" w:type="dxa"/>
            <w:tcBorders>
              <w:top w:val="nil"/>
              <w:left w:val="nil"/>
              <w:bottom w:val="nil"/>
              <w:right w:val="nil"/>
            </w:tcBorders>
          </w:tcPr>
          <w:p w14:paraId="5057C872" w14:textId="77777777" w:rsidR="004645D7" w:rsidRPr="00357C65" w:rsidRDefault="004645D7" w:rsidP="004645D7">
            <w:pPr>
              <w:pStyle w:val="TableTextRight"/>
            </w:pPr>
            <w:r w:rsidRPr="00357C65">
              <w:t>8</w:t>
            </w:r>
            <w:r>
              <w:t>2</w:t>
            </w:r>
            <w:r w:rsidRPr="00357C65">
              <w:t>.</w:t>
            </w:r>
            <w:r>
              <w:t>09</w:t>
            </w:r>
          </w:p>
        </w:tc>
        <w:tc>
          <w:tcPr>
            <w:tcW w:w="284" w:type="dxa"/>
            <w:tcBorders>
              <w:top w:val="nil"/>
              <w:left w:val="nil"/>
              <w:bottom w:val="nil"/>
              <w:right w:val="nil"/>
            </w:tcBorders>
          </w:tcPr>
          <w:p w14:paraId="52B19DEC" w14:textId="77777777" w:rsidR="004645D7" w:rsidRPr="009C2AD4" w:rsidRDefault="004645D7" w:rsidP="00052A87">
            <w:pPr>
              <w:pStyle w:val="TableTextRight"/>
            </w:pPr>
          </w:p>
        </w:tc>
        <w:tc>
          <w:tcPr>
            <w:tcW w:w="1683" w:type="dxa"/>
            <w:tcBorders>
              <w:top w:val="nil"/>
              <w:left w:val="nil"/>
              <w:bottom w:val="nil"/>
              <w:right w:val="nil"/>
            </w:tcBorders>
          </w:tcPr>
          <w:p w14:paraId="03043EC7" w14:textId="77777777" w:rsidR="004645D7" w:rsidRPr="001E7559" w:rsidRDefault="004645D7" w:rsidP="004645D7">
            <w:pPr>
              <w:pStyle w:val="TableTextRight"/>
            </w:pPr>
            <w:r>
              <w:t>36,46</w:t>
            </w:r>
          </w:p>
        </w:tc>
        <w:tc>
          <w:tcPr>
            <w:tcW w:w="1680" w:type="dxa"/>
            <w:tcBorders>
              <w:top w:val="nil"/>
              <w:left w:val="nil"/>
              <w:bottom w:val="nil"/>
              <w:right w:val="nil"/>
            </w:tcBorders>
          </w:tcPr>
          <w:p w14:paraId="54E91C2D" w14:textId="77777777" w:rsidR="004645D7" w:rsidRPr="00357C65" w:rsidRDefault="004645D7" w:rsidP="004645D7">
            <w:pPr>
              <w:pStyle w:val="TableTextRight"/>
            </w:pPr>
            <w:r w:rsidRPr="00357C65">
              <w:t>8</w:t>
            </w:r>
            <w:r>
              <w:t>2</w:t>
            </w:r>
            <w:r w:rsidRPr="00357C65">
              <w:t>.</w:t>
            </w:r>
            <w:r>
              <w:t>09</w:t>
            </w:r>
          </w:p>
        </w:tc>
      </w:tr>
      <w:tr w:rsidR="00AE6A8D" w:rsidRPr="00FF3826" w14:paraId="5A616876" w14:textId="77777777" w:rsidTr="00AE6A8D">
        <w:tc>
          <w:tcPr>
            <w:tcW w:w="709" w:type="dxa"/>
            <w:tcBorders>
              <w:top w:val="nil"/>
              <w:left w:val="nil"/>
              <w:bottom w:val="nil"/>
              <w:right w:val="nil"/>
            </w:tcBorders>
          </w:tcPr>
          <w:p w14:paraId="05B6E89D" w14:textId="77777777" w:rsidR="004645D7" w:rsidRPr="00387293" w:rsidRDefault="004645D7" w:rsidP="00052A87">
            <w:pPr>
              <w:pStyle w:val="TableColumnHeadingLeft"/>
            </w:pPr>
            <w:r w:rsidRPr="00387293">
              <w:t>90</w:t>
            </w:r>
          </w:p>
        </w:tc>
        <w:tc>
          <w:tcPr>
            <w:tcW w:w="1685" w:type="dxa"/>
            <w:tcBorders>
              <w:top w:val="nil"/>
              <w:left w:val="nil"/>
              <w:bottom w:val="nil"/>
              <w:right w:val="nil"/>
            </w:tcBorders>
          </w:tcPr>
          <w:p w14:paraId="55067326" w14:textId="77777777" w:rsidR="004645D7" w:rsidRPr="00357C65" w:rsidRDefault="004645D7" w:rsidP="004645D7">
            <w:pPr>
              <w:pStyle w:val="TableTextRight"/>
            </w:pPr>
            <w:r>
              <w:t>139.95</w:t>
            </w:r>
          </w:p>
        </w:tc>
        <w:tc>
          <w:tcPr>
            <w:tcW w:w="1680" w:type="dxa"/>
            <w:tcBorders>
              <w:top w:val="nil"/>
              <w:left w:val="nil"/>
              <w:bottom w:val="nil"/>
              <w:right w:val="nil"/>
            </w:tcBorders>
          </w:tcPr>
          <w:p w14:paraId="737C67C5" w14:textId="77777777" w:rsidR="004645D7" w:rsidRPr="00357C65" w:rsidRDefault="004645D7" w:rsidP="004645D7">
            <w:pPr>
              <w:pStyle w:val="TableTextRight"/>
            </w:pPr>
            <w:r w:rsidRPr="00357C65">
              <w:t>18</w:t>
            </w:r>
            <w:r>
              <w:t>1</w:t>
            </w:r>
            <w:r w:rsidRPr="00357C65">
              <w:t>.</w:t>
            </w:r>
            <w:r>
              <w:t>72</w:t>
            </w:r>
          </w:p>
        </w:tc>
        <w:tc>
          <w:tcPr>
            <w:tcW w:w="284" w:type="dxa"/>
            <w:tcBorders>
              <w:top w:val="nil"/>
              <w:left w:val="nil"/>
              <w:bottom w:val="nil"/>
              <w:right w:val="nil"/>
            </w:tcBorders>
          </w:tcPr>
          <w:p w14:paraId="06A5F126" w14:textId="77777777" w:rsidR="004645D7" w:rsidRPr="009C2AD4" w:rsidRDefault="004645D7" w:rsidP="00052A87">
            <w:pPr>
              <w:pStyle w:val="TableTextRight"/>
            </w:pPr>
          </w:p>
        </w:tc>
        <w:tc>
          <w:tcPr>
            <w:tcW w:w="1683" w:type="dxa"/>
            <w:tcBorders>
              <w:top w:val="nil"/>
              <w:left w:val="nil"/>
              <w:bottom w:val="nil"/>
              <w:right w:val="nil"/>
            </w:tcBorders>
          </w:tcPr>
          <w:p w14:paraId="2720E698" w14:textId="77777777" w:rsidR="004645D7" w:rsidRPr="001E7559" w:rsidRDefault="004645D7" w:rsidP="004645D7">
            <w:pPr>
              <w:pStyle w:val="TableTextRight"/>
            </w:pPr>
            <w:r>
              <w:t>117.46</w:t>
            </w:r>
          </w:p>
        </w:tc>
        <w:tc>
          <w:tcPr>
            <w:tcW w:w="1680" w:type="dxa"/>
            <w:tcBorders>
              <w:top w:val="nil"/>
              <w:left w:val="nil"/>
              <w:bottom w:val="nil"/>
              <w:right w:val="nil"/>
            </w:tcBorders>
          </w:tcPr>
          <w:p w14:paraId="343B1A01" w14:textId="77777777" w:rsidR="004645D7" w:rsidRPr="00357C65" w:rsidRDefault="004645D7" w:rsidP="004645D7">
            <w:pPr>
              <w:pStyle w:val="TableTextRight"/>
            </w:pPr>
            <w:r w:rsidRPr="00357C65">
              <w:t>18</w:t>
            </w:r>
            <w:r>
              <w:t>1</w:t>
            </w:r>
            <w:r w:rsidRPr="00357C65">
              <w:t>.</w:t>
            </w:r>
            <w:r>
              <w:t>72</w:t>
            </w:r>
          </w:p>
        </w:tc>
      </w:tr>
      <w:tr w:rsidR="00AE6A8D" w:rsidRPr="00FF3826" w14:paraId="2636D32C" w14:textId="77777777" w:rsidTr="00AE6A8D">
        <w:tc>
          <w:tcPr>
            <w:tcW w:w="709" w:type="dxa"/>
            <w:tcBorders>
              <w:top w:val="nil"/>
              <w:left w:val="nil"/>
              <w:bottom w:val="single" w:sz="2" w:space="0" w:color="000000"/>
              <w:right w:val="nil"/>
            </w:tcBorders>
          </w:tcPr>
          <w:p w14:paraId="65F1575F" w14:textId="77777777" w:rsidR="004645D7" w:rsidRPr="00387293" w:rsidRDefault="004645D7" w:rsidP="00052A87">
            <w:pPr>
              <w:pStyle w:val="TableColumnHeadingLeft"/>
            </w:pPr>
            <w:r w:rsidRPr="00387293">
              <w:t>100</w:t>
            </w:r>
          </w:p>
        </w:tc>
        <w:tc>
          <w:tcPr>
            <w:tcW w:w="1685" w:type="dxa"/>
            <w:tcBorders>
              <w:top w:val="nil"/>
              <w:left w:val="nil"/>
              <w:bottom w:val="single" w:sz="2" w:space="0" w:color="000000"/>
              <w:right w:val="nil"/>
            </w:tcBorders>
          </w:tcPr>
          <w:p w14:paraId="76B1D5EA" w14:textId="77777777" w:rsidR="004645D7" w:rsidRPr="00357C65" w:rsidRDefault="004645D7" w:rsidP="004645D7">
            <w:pPr>
              <w:pStyle w:val="TableTextRight"/>
            </w:pPr>
            <w:r>
              <w:t>268.67</w:t>
            </w:r>
          </w:p>
        </w:tc>
        <w:tc>
          <w:tcPr>
            <w:tcW w:w="1680" w:type="dxa"/>
            <w:tcBorders>
              <w:top w:val="nil"/>
              <w:left w:val="nil"/>
              <w:bottom w:val="single" w:sz="2" w:space="0" w:color="000000"/>
              <w:right w:val="nil"/>
            </w:tcBorders>
          </w:tcPr>
          <w:p w14:paraId="1F685C42" w14:textId="77777777" w:rsidR="004645D7" w:rsidRDefault="004645D7" w:rsidP="004645D7">
            <w:pPr>
              <w:pStyle w:val="TableTextRight"/>
            </w:pPr>
            <w:r w:rsidRPr="00357C65">
              <w:t>3</w:t>
            </w:r>
            <w:r>
              <w:t>46</w:t>
            </w:r>
            <w:r w:rsidRPr="00357C65">
              <w:t>.</w:t>
            </w:r>
            <w:r>
              <w:t>11</w:t>
            </w:r>
          </w:p>
        </w:tc>
        <w:tc>
          <w:tcPr>
            <w:tcW w:w="284" w:type="dxa"/>
            <w:tcBorders>
              <w:top w:val="nil"/>
              <w:left w:val="nil"/>
              <w:bottom w:val="single" w:sz="2" w:space="0" w:color="000000"/>
              <w:right w:val="nil"/>
            </w:tcBorders>
          </w:tcPr>
          <w:p w14:paraId="01A81930" w14:textId="77777777" w:rsidR="004645D7" w:rsidRPr="009C2AD4" w:rsidRDefault="004645D7" w:rsidP="00052A87">
            <w:pPr>
              <w:pStyle w:val="TableTextRight"/>
            </w:pPr>
          </w:p>
        </w:tc>
        <w:tc>
          <w:tcPr>
            <w:tcW w:w="1683" w:type="dxa"/>
            <w:tcBorders>
              <w:top w:val="nil"/>
              <w:left w:val="nil"/>
              <w:bottom w:val="single" w:sz="2" w:space="0" w:color="000000"/>
              <w:right w:val="nil"/>
            </w:tcBorders>
          </w:tcPr>
          <w:p w14:paraId="28DAE54F" w14:textId="77777777" w:rsidR="004645D7" w:rsidRDefault="004645D7" w:rsidP="004645D7">
            <w:pPr>
              <w:pStyle w:val="TableTextRight"/>
            </w:pPr>
            <w:r>
              <w:t>263</w:t>
            </w:r>
            <w:r w:rsidRPr="001E7559">
              <w:t>.</w:t>
            </w:r>
            <w:r>
              <w:t>74</w:t>
            </w:r>
          </w:p>
        </w:tc>
        <w:tc>
          <w:tcPr>
            <w:tcW w:w="1680" w:type="dxa"/>
            <w:tcBorders>
              <w:top w:val="nil"/>
              <w:left w:val="nil"/>
              <w:bottom w:val="single" w:sz="2" w:space="0" w:color="000000"/>
              <w:right w:val="nil"/>
            </w:tcBorders>
          </w:tcPr>
          <w:p w14:paraId="709BDB3E" w14:textId="77777777" w:rsidR="004645D7" w:rsidRDefault="004645D7" w:rsidP="004645D7">
            <w:pPr>
              <w:pStyle w:val="TableTextRight"/>
            </w:pPr>
            <w:r w:rsidRPr="00357C65">
              <w:t>3</w:t>
            </w:r>
            <w:r>
              <w:t>46</w:t>
            </w:r>
            <w:r w:rsidRPr="00357C65">
              <w:t>.</w:t>
            </w:r>
            <w:r>
              <w:t>11</w:t>
            </w:r>
          </w:p>
        </w:tc>
      </w:tr>
    </w:tbl>
    <w:p w14:paraId="20500199" w14:textId="77777777" w:rsidR="00052A87" w:rsidRDefault="00052A87" w:rsidP="00052A87">
      <w:pPr>
        <w:pStyle w:val="SingleParagraph"/>
      </w:pPr>
    </w:p>
    <w:p w14:paraId="385A106A" w14:textId="77777777" w:rsidR="00052A87" w:rsidRPr="00C157F7" w:rsidRDefault="00052A87" w:rsidP="00052A87">
      <w:pPr>
        <w:rPr>
          <w:rFonts w:cs="Arial"/>
        </w:rPr>
      </w:pPr>
      <w:r w:rsidRPr="00C157F7">
        <w:rPr>
          <w:rFonts w:cs="Arial"/>
        </w:rPr>
        <w:t xml:space="preserve">Widows are assumed to have the same mortality rates as female age retirements. Likewise widowers are assumed to have the same mortality rates as male age retirements. </w:t>
      </w:r>
    </w:p>
    <w:p w14:paraId="7234976F" w14:textId="77777777" w:rsidR="00052A87" w:rsidRPr="00C157F7" w:rsidRDefault="00052A87" w:rsidP="00EB2452">
      <w:pPr>
        <w:pStyle w:val="Heading3nonumbering"/>
      </w:pPr>
      <w:r w:rsidRPr="00C157F7">
        <w:t xml:space="preserve">Improvements in </w:t>
      </w:r>
      <w:r>
        <w:t>p</w:t>
      </w:r>
      <w:r w:rsidRPr="00C157F7">
        <w:t xml:space="preserve">ensioner </w:t>
      </w:r>
      <w:r>
        <w:t>m</w:t>
      </w:r>
      <w:r w:rsidRPr="00C157F7">
        <w:t>ortality</w:t>
      </w:r>
    </w:p>
    <w:p w14:paraId="66A270DD" w14:textId="77777777" w:rsidR="00052A87" w:rsidRPr="00C157F7" w:rsidRDefault="00052A87" w:rsidP="00052A87">
      <w:pPr>
        <w:rPr>
          <w:rFonts w:cs="Arial"/>
        </w:rPr>
      </w:pPr>
      <w:r w:rsidRPr="00C157F7">
        <w:rPr>
          <w:rFonts w:cs="Arial"/>
        </w:rPr>
        <w:t>The following table summarises the assumed rates of improvement in future mortality of age retirements. No allowance has been made for future improvements in mortality for invalid retirements.</w:t>
      </w:r>
    </w:p>
    <w:p w14:paraId="00D0AB93" w14:textId="77777777" w:rsidR="00052A87" w:rsidRPr="00C157F7" w:rsidRDefault="00052A87" w:rsidP="00D1063F">
      <w:pPr>
        <w:pStyle w:val="TableMainHeading-Appendix"/>
      </w:pPr>
      <w:r>
        <w:t>Assumed rates of mortality reduction (per cent per annum)</w:t>
      </w:r>
    </w:p>
    <w:tbl>
      <w:tblPr>
        <w:tblW w:w="772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3505"/>
        <w:gridCol w:w="3513"/>
      </w:tblGrid>
      <w:tr w:rsidR="00052A87" w:rsidRPr="00FF3826" w14:paraId="04F0F004" w14:textId="77777777" w:rsidTr="00AE6A8D">
        <w:tc>
          <w:tcPr>
            <w:tcW w:w="709" w:type="dxa"/>
            <w:tcBorders>
              <w:top w:val="single" w:sz="2" w:space="0" w:color="000000"/>
              <w:left w:val="nil"/>
              <w:bottom w:val="single" w:sz="2" w:space="0" w:color="000000"/>
              <w:right w:val="nil"/>
            </w:tcBorders>
            <w:shd w:val="clear" w:color="auto" w:fill="E6E6E6"/>
          </w:tcPr>
          <w:p w14:paraId="6052DF59" w14:textId="77777777" w:rsidR="00052A87" w:rsidRPr="00FF3826" w:rsidRDefault="00052A87" w:rsidP="00052A87">
            <w:pPr>
              <w:pStyle w:val="TableColumnHeadingLeft"/>
            </w:pPr>
            <w:r w:rsidRPr="00FF3826">
              <w:t>Age</w:t>
            </w:r>
          </w:p>
        </w:tc>
        <w:tc>
          <w:tcPr>
            <w:tcW w:w="3505" w:type="dxa"/>
            <w:tcBorders>
              <w:top w:val="single" w:sz="2" w:space="0" w:color="000000"/>
              <w:left w:val="nil"/>
              <w:bottom w:val="single" w:sz="2" w:space="0" w:color="000000"/>
              <w:right w:val="nil"/>
            </w:tcBorders>
            <w:shd w:val="clear" w:color="auto" w:fill="E6E6E6"/>
          </w:tcPr>
          <w:p w14:paraId="664F34F8" w14:textId="77777777" w:rsidR="00052A87" w:rsidRPr="00FF3826" w:rsidRDefault="00052A87" w:rsidP="00052A87">
            <w:pPr>
              <w:pStyle w:val="TableColumnHeadingRight"/>
            </w:pPr>
            <w:r w:rsidRPr="00FF3826">
              <w:t>Male</w:t>
            </w:r>
          </w:p>
        </w:tc>
        <w:tc>
          <w:tcPr>
            <w:tcW w:w="3513" w:type="dxa"/>
            <w:tcBorders>
              <w:top w:val="single" w:sz="2" w:space="0" w:color="000000"/>
              <w:left w:val="nil"/>
              <w:bottom w:val="single" w:sz="2" w:space="0" w:color="000000"/>
              <w:right w:val="nil"/>
            </w:tcBorders>
            <w:shd w:val="clear" w:color="auto" w:fill="E6E6E6"/>
          </w:tcPr>
          <w:p w14:paraId="07AFF905" w14:textId="77777777" w:rsidR="00052A87" w:rsidRPr="00FF3826" w:rsidRDefault="00052A87" w:rsidP="00052A87">
            <w:pPr>
              <w:pStyle w:val="TableColumnHeadingRight"/>
            </w:pPr>
            <w:r w:rsidRPr="00FF3826">
              <w:t>Female</w:t>
            </w:r>
          </w:p>
        </w:tc>
      </w:tr>
      <w:tr w:rsidR="00052A87" w:rsidRPr="00FF3826" w14:paraId="780EC7EF" w14:textId="77777777" w:rsidTr="00AE6A8D">
        <w:tc>
          <w:tcPr>
            <w:tcW w:w="709" w:type="dxa"/>
            <w:tcBorders>
              <w:top w:val="single" w:sz="2" w:space="0" w:color="000000"/>
              <w:left w:val="nil"/>
              <w:bottom w:val="nil"/>
              <w:right w:val="nil"/>
            </w:tcBorders>
          </w:tcPr>
          <w:p w14:paraId="2A346999" w14:textId="77777777" w:rsidR="00052A87" w:rsidRPr="005A0CE4" w:rsidRDefault="00052A87" w:rsidP="00052A87">
            <w:pPr>
              <w:pStyle w:val="TableColumnHeadingLeft"/>
            </w:pPr>
            <w:r w:rsidRPr="005A0CE4">
              <w:t>60</w:t>
            </w:r>
          </w:p>
        </w:tc>
        <w:tc>
          <w:tcPr>
            <w:tcW w:w="3505" w:type="dxa"/>
            <w:tcBorders>
              <w:top w:val="single" w:sz="2" w:space="0" w:color="000000"/>
              <w:left w:val="nil"/>
              <w:bottom w:val="nil"/>
              <w:right w:val="nil"/>
            </w:tcBorders>
          </w:tcPr>
          <w:p w14:paraId="37C3E980" w14:textId="77777777" w:rsidR="00052A87" w:rsidRPr="00FF3826" w:rsidRDefault="00052A87" w:rsidP="00052A87">
            <w:pPr>
              <w:pStyle w:val="TableTextRight"/>
            </w:pPr>
            <w:r w:rsidRPr="00FF3826">
              <w:t>2.4</w:t>
            </w:r>
          </w:p>
        </w:tc>
        <w:tc>
          <w:tcPr>
            <w:tcW w:w="3513" w:type="dxa"/>
            <w:tcBorders>
              <w:top w:val="single" w:sz="2" w:space="0" w:color="000000"/>
              <w:left w:val="nil"/>
              <w:bottom w:val="nil"/>
              <w:right w:val="nil"/>
            </w:tcBorders>
          </w:tcPr>
          <w:p w14:paraId="71E1A1F2" w14:textId="77777777" w:rsidR="00052A87" w:rsidRPr="00FF3826" w:rsidRDefault="00052A87" w:rsidP="00052A87">
            <w:pPr>
              <w:pStyle w:val="TableTextRight"/>
            </w:pPr>
            <w:r w:rsidRPr="00FF3826">
              <w:t>1.9</w:t>
            </w:r>
          </w:p>
        </w:tc>
      </w:tr>
      <w:tr w:rsidR="00052A87" w:rsidRPr="00FF3826" w14:paraId="604602A8" w14:textId="77777777" w:rsidTr="00AE6A8D">
        <w:tc>
          <w:tcPr>
            <w:tcW w:w="709" w:type="dxa"/>
            <w:tcBorders>
              <w:top w:val="nil"/>
              <w:left w:val="nil"/>
              <w:bottom w:val="nil"/>
              <w:right w:val="nil"/>
            </w:tcBorders>
            <w:shd w:val="clear" w:color="auto" w:fill="F2F2F2" w:themeFill="background1" w:themeFillShade="F2"/>
          </w:tcPr>
          <w:p w14:paraId="6A1901CD" w14:textId="77777777" w:rsidR="00052A87" w:rsidRPr="005A0CE4" w:rsidRDefault="00052A87" w:rsidP="00052A87">
            <w:pPr>
              <w:pStyle w:val="TableColumnHeadingLeft"/>
            </w:pPr>
            <w:r w:rsidRPr="005A0CE4">
              <w:t>70</w:t>
            </w:r>
          </w:p>
        </w:tc>
        <w:tc>
          <w:tcPr>
            <w:tcW w:w="3505" w:type="dxa"/>
            <w:tcBorders>
              <w:top w:val="nil"/>
              <w:left w:val="nil"/>
              <w:bottom w:val="nil"/>
              <w:right w:val="nil"/>
            </w:tcBorders>
            <w:shd w:val="clear" w:color="auto" w:fill="F2F2F2" w:themeFill="background1" w:themeFillShade="F2"/>
          </w:tcPr>
          <w:p w14:paraId="5C66F78D" w14:textId="77777777" w:rsidR="00052A87" w:rsidRPr="00FF3826" w:rsidRDefault="00052A87" w:rsidP="00052A87">
            <w:pPr>
              <w:pStyle w:val="TableTextRight"/>
            </w:pPr>
            <w:r w:rsidRPr="00FF3826">
              <w:t>2.0</w:t>
            </w:r>
          </w:p>
        </w:tc>
        <w:tc>
          <w:tcPr>
            <w:tcW w:w="3513" w:type="dxa"/>
            <w:tcBorders>
              <w:top w:val="nil"/>
              <w:left w:val="nil"/>
              <w:bottom w:val="nil"/>
              <w:right w:val="nil"/>
            </w:tcBorders>
            <w:shd w:val="clear" w:color="auto" w:fill="F2F2F2" w:themeFill="background1" w:themeFillShade="F2"/>
          </w:tcPr>
          <w:p w14:paraId="7533D381" w14:textId="77777777" w:rsidR="00052A87" w:rsidRPr="00FF3826" w:rsidRDefault="00052A87" w:rsidP="00052A87">
            <w:pPr>
              <w:pStyle w:val="TableTextRight"/>
            </w:pPr>
            <w:r w:rsidRPr="00FF3826">
              <w:t>2.0</w:t>
            </w:r>
          </w:p>
        </w:tc>
      </w:tr>
      <w:tr w:rsidR="00052A87" w:rsidRPr="00FF3826" w14:paraId="4F184840" w14:textId="77777777" w:rsidTr="00AE6A8D">
        <w:tc>
          <w:tcPr>
            <w:tcW w:w="709" w:type="dxa"/>
            <w:tcBorders>
              <w:top w:val="nil"/>
              <w:left w:val="nil"/>
              <w:bottom w:val="nil"/>
              <w:right w:val="nil"/>
            </w:tcBorders>
          </w:tcPr>
          <w:p w14:paraId="78E0DE8A" w14:textId="77777777" w:rsidR="00052A87" w:rsidRPr="005A0CE4" w:rsidRDefault="00052A87" w:rsidP="00052A87">
            <w:pPr>
              <w:pStyle w:val="TableColumnHeadingLeft"/>
            </w:pPr>
            <w:r w:rsidRPr="005A0CE4">
              <w:t>80</w:t>
            </w:r>
          </w:p>
        </w:tc>
        <w:tc>
          <w:tcPr>
            <w:tcW w:w="3505" w:type="dxa"/>
            <w:tcBorders>
              <w:top w:val="nil"/>
              <w:left w:val="nil"/>
              <w:bottom w:val="nil"/>
              <w:right w:val="nil"/>
            </w:tcBorders>
          </w:tcPr>
          <w:p w14:paraId="65C64978" w14:textId="77777777" w:rsidR="00052A87" w:rsidRPr="00FF3826" w:rsidRDefault="00052A87" w:rsidP="00052A87">
            <w:pPr>
              <w:pStyle w:val="TableTextRight"/>
            </w:pPr>
            <w:r w:rsidRPr="00FF3826">
              <w:t>1.5</w:t>
            </w:r>
          </w:p>
        </w:tc>
        <w:tc>
          <w:tcPr>
            <w:tcW w:w="3513" w:type="dxa"/>
            <w:tcBorders>
              <w:top w:val="nil"/>
              <w:left w:val="nil"/>
              <w:bottom w:val="nil"/>
              <w:right w:val="nil"/>
            </w:tcBorders>
          </w:tcPr>
          <w:p w14:paraId="02FD6BAC" w14:textId="77777777" w:rsidR="00052A87" w:rsidRPr="00FF3826" w:rsidRDefault="00052A87" w:rsidP="00052A87">
            <w:pPr>
              <w:pStyle w:val="TableTextRight"/>
            </w:pPr>
            <w:r w:rsidRPr="00FF3826">
              <w:t>1.9</w:t>
            </w:r>
          </w:p>
        </w:tc>
      </w:tr>
      <w:tr w:rsidR="00052A87" w:rsidRPr="00FF3826" w14:paraId="21182A8E" w14:textId="77777777" w:rsidTr="00AE6A8D">
        <w:tc>
          <w:tcPr>
            <w:tcW w:w="709" w:type="dxa"/>
            <w:tcBorders>
              <w:top w:val="nil"/>
              <w:left w:val="nil"/>
              <w:bottom w:val="nil"/>
              <w:right w:val="nil"/>
            </w:tcBorders>
            <w:shd w:val="clear" w:color="auto" w:fill="F2F2F2" w:themeFill="background1" w:themeFillShade="F2"/>
          </w:tcPr>
          <w:p w14:paraId="7198A3E1" w14:textId="77777777" w:rsidR="00052A87" w:rsidRPr="005A0CE4" w:rsidRDefault="00052A87" w:rsidP="00052A87">
            <w:pPr>
              <w:pStyle w:val="TableColumnHeadingLeft"/>
            </w:pPr>
            <w:r w:rsidRPr="005A0CE4">
              <w:t>90</w:t>
            </w:r>
          </w:p>
        </w:tc>
        <w:tc>
          <w:tcPr>
            <w:tcW w:w="3505" w:type="dxa"/>
            <w:tcBorders>
              <w:top w:val="nil"/>
              <w:left w:val="nil"/>
              <w:bottom w:val="nil"/>
              <w:right w:val="nil"/>
            </w:tcBorders>
            <w:shd w:val="clear" w:color="auto" w:fill="F2F2F2" w:themeFill="background1" w:themeFillShade="F2"/>
          </w:tcPr>
          <w:p w14:paraId="07D3DD69" w14:textId="77777777" w:rsidR="00052A87" w:rsidRPr="00FF3826" w:rsidRDefault="00052A87" w:rsidP="00052A87">
            <w:pPr>
              <w:pStyle w:val="TableTextRight"/>
            </w:pPr>
            <w:r w:rsidRPr="00FF3826">
              <w:t>1.1</w:t>
            </w:r>
          </w:p>
        </w:tc>
        <w:tc>
          <w:tcPr>
            <w:tcW w:w="3513" w:type="dxa"/>
            <w:tcBorders>
              <w:top w:val="nil"/>
              <w:left w:val="nil"/>
              <w:bottom w:val="nil"/>
              <w:right w:val="nil"/>
            </w:tcBorders>
            <w:shd w:val="clear" w:color="auto" w:fill="F2F2F2" w:themeFill="background1" w:themeFillShade="F2"/>
          </w:tcPr>
          <w:p w14:paraId="65E1C38F" w14:textId="77777777" w:rsidR="00052A87" w:rsidRPr="00FF3826" w:rsidRDefault="00052A87" w:rsidP="00052A87">
            <w:pPr>
              <w:pStyle w:val="TableTextRight"/>
            </w:pPr>
            <w:r w:rsidRPr="00FF3826">
              <w:t>1.3</w:t>
            </w:r>
          </w:p>
        </w:tc>
      </w:tr>
      <w:tr w:rsidR="00052A87" w:rsidRPr="00FF3826" w14:paraId="184CCC8C" w14:textId="77777777" w:rsidTr="00AE6A8D">
        <w:tc>
          <w:tcPr>
            <w:tcW w:w="709" w:type="dxa"/>
            <w:tcBorders>
              <w:top w:val="nil"/>
              <w:left w:val="nil"/>
              <w:bottom w:val="single" w:sz="2" w:space="0" w:color="000000"/>
              <w:right w:val="nil"/>
            </w:tcBorders>
          </w:tcPr>
          <w:p w14:paraId="372548C0" w14:textId="77777777" w:rsidR="00052A87" w:rsidRPr="005A0CE4" w:rsidRDefault="00052A87" w:rsidP="00052A87">
            <w:pPr>
              <w:pStyle w:val="TableColumnHeadingLeft"/>
            </w:pPr>
            <w:r w:rsidRPr="005A0CE4">
              <w:t>100</w:t>
            </w:r>
          </w:p>
        </w:tc>
        <w:tc>
          <w:tcPr>
            <w:tcW w:w="3505" w:type="dxa"/>
            <w:tcBorders>
              <w:top w:val="nil"/>
              <w:left w:val="nil"/>
              <w:bottom w:val="single" w:sz="2" w:space="0" w:color="000000"/>
              <w:right w:val="nil"/>
            </w:tcBorders>
          </w:tcPr>
          <w:p w14:paraId="2C64CC50" w14:textId="77777777" w:rsidR="00052A87" w:rsidRPr="00FF3826" w:rsidRDefault="00052A87" w:rsidP="00052A87">
            <w:pPr>
              <w:pStyle w:val="TableTextRight"/>
            </w:pPr>
            <w:r w:rsidRPr="00FF3826">
              <w:t>1.3</w:t>
            </w:r>
          </w:p>
        </w:tc>
        <w:tc>
          <w:tcPr>
            <w:tcW w:w="3513" w:type="dxa"/>
            <w:tcBorders>
              <w:top w:val="nil"/>
              <w:left w:val="nil"/>
              <w:bottom w:val="single" w:sz="2" w:space="0" w:color="000000"/>
              <w:right w:val="nil"/>
            </w:tcBorders>
          </w:tcPr>
          <w:p w14:paraId="31FED562" w14:textId="77777777" w:rsidR="00052A87" w:rsidRPr="00FF3826" w:rsidRDefault="00052A87" w:rsidP="00052A87">
            <w:pPr>
              <w:pStyle w:val="TableTextRight"/>
            </w:pPr>
            <w:r w:rsidRPr="00FF3826">
              <w:t>1.1</w:t>
            </w:r>
          </w:p>
        </w:tc>
      </w:tr>
    </w:tbl>
    <w:p w14:paraId="554FD653" w14:textId="77777777" w:rsidR="00052A87" w:rsidRDefault="00052A87" w:rsidP="00052A87">
      <w:pPr>
        <w:pStyle w:val="SingleParagraph"/>
      </w:pPr>
    </w:p>
    <w:p w14:paraId="55942B34" w14:textId="77777777" w:rsidR="00AE6A8D" w:rsidRDefault="00AE6A8D">
      <w:pPr>
        <w:spacing w:before="0" w:after="0" w:line="240" w:lineRule="auto"/>
        <w:jc w:val="left"/>
        <w:rPr>
          <w:rFonts w:ascii="Arial Bold" w:hAnsi="Arial Bold"/>
          <w:b/>
          <w:color w:val="9B0014"/>
          <w:sz w:val="26"/>
          <w:szCs w:val="24"/>
          <w:lang w:eastAsia="en-AU"/>
        </w:rPr>
      </w:pPr>
      <w:r>
        <w:br w:type="page"/>
      </w:r>
    </w:p>
    <w:p w14:paraId="72DE0238" w14:textId="718D521E" w:rsidR="00052A87" w:rsidRPr="00C157F7" w:rsidRDefault="00052A87" w:rsidP="00EB2452">
      <w:pPr>
        <w:pStyle w:val="Heading3nonumbering"/>
        <w:spacing w:before="120"/>
      </w:pPr>
      <w:r w:rsidRPr="00C157F7">
        <w:lastRenderedPageBreak/>
        <w:t>Proportions married and age differences</w:t>
      </w:r>
    </w:p>
    <w:p w14:paraId="4A0816E7" w14:textId="77777777" w:rsidR="00052A87" w:rsidRPr="00C157F7" w:rsidRDefault="00052A87" w:rsidP="00052A87">
      <w:pPr>
        <w:rPr>
          <w:rFonts w:cs="Arial"/>
        </w:rPr>
      </w:pPr>
      <w:r w:rsidRPr="00C157F7">
        <w:rPr>
          <w:rFonts w:cs="Arial"/>
        </w:rPr>
        <w:t xml:space="preserve">The assumed </w:t>
      </w:r>
      <w:r w:rsidR="00EA4791" w:rsidRPr="00C157F7">
        <w:rPr>
          <w:rFonts w:cs="Arial"/>
        </w:rPr>
        <w:t>proportions married at each age are</w:t>
      </w:r>
      <w:r w:rsidRPr="00C157F7">
        <w:rPr>
          <w:rFonts w:cs="Arial"/>
        </w:rPr>
        <w:t xml:space="preserve"> shown below:</w:t>
      </w:r>
    </w:p>
    <w:p w14:paraId="33637FCC" w14:textId="77777777" w:rsidR="00052A87" w:rsidRPr="00C157F7" w:rsidRDefault="00052A87" w:rsidP="00D1063F">
      <w:pPr>
        <w:pStyle w:val="TableMainHeading-Appendix"/>
      </w:pPr>
      <w:r>
        <w:t>Proportions married</w:t>
      </w:r>
    </w:p>
    <w:tbl>
      <w:tblPr>
        <w:tblW w:w="7727" w:type="dxa"/>
        <w:tblInd w:w="107"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709"/>
        <w:gridCol w:w="3505"/>
        <w:gridCol w:w="3513"/>
      </w:tblGrid>
      <w:tr w:rsidR="00052A87" w:rsidRPr="00FF3826" w14:paraId="5A593B86" w14:textId="77777777" w:rsidTr="00AE6A8D">
        <w:tc>
          <w:tcPr>
            <w:tcW w:w="709" w:type="dxa"/>
            <w:tcBorders>
              <w:top w:val="single" w:sz="2" w:space="0" w:color="000000"/>
              <w:left w:val="nil"/>
              <w:bottom w:val="single" w:sz="2" w:space="0" w:color="000000"/>
              <w:right w:val="nil"/>
            </w:tcBorders>
            <w:shd w:val="clear" w:color="auto" w:fill="E6E6E6"/>
          </w:tcPr>
          <w:p w14:paraId="0B2A93D3" w14:textId="77777777" w:rsidR="00052A87" w:rsidRPr="00FF3826" w:rsidRDefault="00052A87" w:rsidP="00052A87">
            <w:pPr>
              <w:pStyle w:val="TableColumnHeadingLeft"/>
            </w:pPr>
            <w:r w:rsidRPr="00FF3826">
              <w:t>Age</w:t>
            </w:r>
          </w:p>
        </w:tc>
        <w:tc>
          <w:tcPr>
            <w:tcW w:w="3505" w:type="dxa"/>
            <w:tcBorders>
              <w:top w:val="single" w:sz="2" w:space="0" w:color="000000"/>
              <w:left w:val="nil"/>
              <w:bottom w:val="single" w:sz="2" w:space="0" w:color="000000"/>
              <w:right w:val="nil"/>
            </w:tcBorders>
            <w:shd w:val="clear" w:color="auto" w:fill="E6E6E6"/>
          </w:tcPr>
          <w:p w14:paraId="7B75A98A" w14:textId="77777777" w:rsidR="00052A87" w:rsidRPr="00FF3826" w:rsidRDefault="00052A87" w:rsidP="00052A87">
            <w:pPr>
              <w:pStyle w:val="TableColumnHeadingRight"/>
            </w:pPr>
            <w:r w:rsidRPr="00FF3826">
              <w:t>Males (%)</w:t>
            </w:r>
          </w:p>
        </w:tc>
        <w:tc>
          <w:tcPr>
            <w:tcW w:w="3513" w:type="dxa"/>
            <w:tcBorders>
              <w:top w:val="single" w:sz="2" w:space="0" w:color="000000"/>
              <w:left w:val="nil"/>
              <w:bottom w:val="single" w:sz="2" w:space="0" w:color="000000"/>
              <w:right w:val="nil"/>
            </w:tcBorders>
            <w:shd w:val="clear" w:color="auto" w:fill="E6E6E6"/>
          </w:tcPr>
          <w:p w14:paraId="6BF6138F" w14:textId="77777777" w:rsidR="00052A87" w:rsidRPr="00FF3826" w:rsidRDefault="00052A87" w:rsidP="00052A87">
            <w:pPr>
              <w:pStyle w:val="TableColumnHeadingRight"/>
            </w:pPr>
            <w:r w:rsidRPr="00FF3826">
              <w:t>Females (%)</w:t>
            </w:r>
          </w:p>
        </w:tc>
      </w:tr>
      <w:tr w:rsidR="00052A87" w:rsidRPr="00FF3826" w14:paraId="5D521C8B" w14:textId="77777777" w:rsidTr="00AE6A8D">
        <w:tc>
          <w:tcPr>
            <w:tcW w:w="709" w:type="dxa"/>
            <w:tcBorders>
              <w:top w:val="single" w:sz="2" w:space="0" w:color="000000"/>
              <w:left w:val="nil"/>
              <w:bottom w:val="nil"/>
              <w:right w:val="nil"/>
            </w:tcBorders>
          </w:tcPr>
          <w:p w14:paraId="2C4D7725" w14:textId="77777777" w:rsidR="00052A87" w:rsidRPr="005A0CE4" w:rsidRDefault="00052A87" w:rsidP="00052A87">
            <w:pPr>
              <w:pStyle w:val="TableColumnHeadingLeft"/>
            </w:pPr>
            <w:r w:rsidRPr="005A0CE4">
              <w:t>20</w:t>
            </w:r>
          </w:p>
        </w:tc>
        <w:tc>
          <w:tcPr>
            <w:tcW w:w="3505" w:type="dxa"/>
            <w:tcBorders>
              <w:top w:val="single" w:sz="2" w:space="0" w:color="000000"/>
              <w:left w:val="nil"/>
              <w:bottom w:val="nil"/>
              <w:right w:val="nil"/>
            </w:tcBorders>
            <w:vAlign w:val="bottom"/>
          </w:tcPr>
          <w:p w14:paraId="32E09CC3" w14:textId="77777777" w:rsidR="00052A87" w:rsidRPr="00AF5324" w:rsidRDefault="00052A87" w:rsidP="00052A87">
            <w:pPr>
              <w:pStyle w:val="TableTextRight"/>
            </w:pPr>
            <w:r w:rsidRPr="00AF5324">
              <w:t>2</w:t>
            </w:r>
          </w:p>
        </w:tc>
        <w:tc>
          <w:tcPr>
            <w:tcW w:w="3513" w:type="dxa"/>
            <w:tcBorders>
              <w:top w:val="single" w:sz="2" w:space="0" w:color="000000"/>
              <w:left w:val="nil"/>
              <w:bottom w:val="nil"/>
              <w:right w:val="nil"/>
            </w:tcBorders>
          </w:tcPr>
          <w:p w14:paraId="6DEAA1E7" w14:textId="77777777" w:rsidR="00052A87" w:rsidRPr="00AF5324" w:rsidRDefault="00052A87" w:rsidP="00052A87">
            <w:pPr>
              <w:pStyle w:val="TableTextRight"/>
            </w:pPr>
            <w:r w:rsidRPr="00AF5324">
              <w:t>7</w:t>
            </w:r>
          </w:p>
        </w:tc>
      </w:tr>
      <w:tr w:rsidR="00052A87" w:rsidRPr="00FF3826" w14:paraId="3295E805" w14:textId="77777777" w:rsidTr="00AE6A8D">
        <w:tc>
          <w:tcPr>
            <w:tcW w:w="709" w:type="dxa"/>
            <w:tcBorders>
              <w:top w:val="nil"/>
              <w:left w:val="nil"/>
              <w:bottom w:val="nil"/>
              <w:right w:val="nil"/>
            </w:tcBorders>
            <w:shd w:val="clear" w:color="auto" w:fill="F2F2F2" w:themeFill="background1" w:themeFillShade="F2"/>
          </w:tcPr>
          <w:p w14:paraId="321DE37A" w14:textId="77777777" w:rsidR="00052A87" w:rsidRPr="005A0CE4" w:rsidRDefault="00052A87" w:rsidP="00052A87">
            <w:pPr>
              <w:pStyle w:val="TableColumnHeadingLeft"/>
            </w:pPr>
            <w:r w:rsidRPr="005A0CE4">
              <w:t>30</w:t>
            </w:r>
          </w:p>
        </w:tc>
        <w:tc>
          <w:tcPr>
            <w:tcW w:w="3505" w:type="dxa"/>
            <w:tcBorders>
              <w:top w:val="nil"/>
              <w:left w:val="nil"/>
              <w:bottom w:val="nil"/>
              <w:right w:val="nil"/>
            </w:tcBorders>
            <w:shd w:val="clear" w:color="auto" w:fill="F2F2F2" w:themeFill="background1" w:themeFillShade="F2"/>
            <w:vAlign w:val="bottom"/>
          </w:tcPr>
          <w:p w14:paraId="3FAC9723" w14:textId="77777777" w:rsidR="00052A87" w:rsidRPr="00AF5324" w:rsidRDefault="00052A87" w:rsidP="00052A87">
            <w:pPr>
              <w:pStyle w:val="TableTextRight"/>
            </w:pPr>
            <w:r w:rsidRPr="00AF5324">
              <w:t>49</w:t>
            </w:r>
          </w:p>
        </w:tc>
        <w:tc>
          <w:tcPr>
            <w:tcW w:w="3513" w:type="dxa"/>
            <w:tcBorders>
              <w:top w:val="nil"/>
              <w:left w:val="nil"/>
              <w:bottom w:val="nil"/>
              <w:right w:val="nil"/>
            </w:tcBorders>
            <w:shd w:val="clear" w:color="auto" w:fill="F2F2F2" w:themeFill="background1" w:themeFillShade="F2"/>
          </w:tcPr>
          <w:p w14:paraId="5B2EEF0F" w14:textId="77777777" w:rsidR="00052A87" w:rsidRPr="00AF5324" w:rsidRDefault="00052A87" w:rsidP="00052A87">
            <w:pPr>
              <w:pStyle w:val="TableTextRight"/>
            </w:pPr>
            <w:r w:rsidRPr="00AF5324">
              <w:t>55</w:t>
            </w:r>
          </w:p>
        </w:tc>
      </w:tr>
      <w:tr w:rsidR="00052A87" w:rsidRPr="00FF3826" w14:paraId="633C0927" w14:textId="77777777" w:rsidTr="00AE6A8D">
        <w:tc>
          <w:tcPr>
            <w:tcW w:w="709" w:type="dxa"/>
            <w:tcBorders>
              <w:top w:val="nil"/>
              <w:left w:val="nil"/>
              <w:bottom w:val="nil"/>
              <w:right w:val="nil"/>
            </w:tcBorders>
          </w:tcPr>
          <w:p w14:paraId="3BF2CBED" w14:textId="77777777" w:rsidR="00052A87" w:rsidRPr="005A0CE4" w:rsidRDefault="00052A87" w:rsidP="00052A87">
            <w:pPr>
              <w:pStyle w:val="TableColumnHeadingLeft"/>
            </w:pPr>
            <w:r w:rsidRPr="005A0CE4">
              <w:t>40</w:t>
            </w:r>
          </w:p>
        </w:tc>
        <w:tc>
          <w:tcPr>
            <w:tcW w:w="3505" w:type="dxa"/>
            <w:tcBorders>
              <w:top w:val="nil"/>
              <w:left w:val="nil"/>
              <w:bottom w:val="nil"/>
              <w:right w:val="nil"/>
            </w:tcBorders>
            <w:vAlign w:val="bottom"/>
          </w:tcPr>
          <w:p w14:paraId="6C862135" w14:textId="77777777" w:rsidR="00052A87" w:rsidRPr="00AF5324" w:rsidRDefault="00052A87" w:rsidP="00052A87">
            <w:pPr>
              <w:pStyle w:val="TableTextRight"/>
            </w:pPr>
            <w:r w:rsidRPr="00AF5324">
              <w:t>71</w:t>
            </w:r>
          </w:p>
        </w:tc>
        <w:tc>
          <w:tcPr>
            <w:tcW w:w="3513" w:type="dxa"/>
            <w:tcBorders>
              <w:top w:val="nil"/>
              <w:left w:val="nil"/>
              <w:bottom w:val="nil"/>
              <w:right w:val="nil"/>
            </w:tcBorders>
          </w:tcPr>
          <w:p w14:paraId="70B4CD7C" w14:textId="77777777" w:rsidR="00052A87" w:rsidRPr="00AF5324" w:rsidRDefault="00052A87" w:rsidP="00052A87">
            <w:pPr>
              <w:pStyle w:val="TableTextRight"/>
            </w:pPr>
            <w:r w:rsidRPr="00AF5324">
              <w:t>55</w:t>
            </w:r>
          </w:p>
        </w:tc>
      </w:tr>
      <w:tr w:rsidR="00052A87" w:rsidRPr="00FF3826" w14:paraId="76AACC0E" w14:textId="77777777" w:rsidTr="00AE6A8D">
        <w:tc>
          <w:tcPr>
            <w:tcW w:w="709" w:type="dxa"/>
            <w:tcBorders>
              <w:top w:val="nil"/>
              <w:left w:val="nil"/>
              <w:bottom w:val="nil"/>
              <w:right w:val="nil"/>
            </w:tcBorders>
            <w:shd w:val="clear" w:color="auto" w:fill="F2F2F2" w:themeFill="background1" w:themeFillShade="F2"/>
          </w:tcPr>
          <w:p w14:paraId="113807CB" w14:textId="77777777" w:rsidR="00052A87" w:rsidRPr="005A0CE4" w:rsidRDefault="00052A87" w:rsidP="00052A87">
            <w:pPr>
              <w:pStyle w:val="TableColumnHeadingLeft"/>
            </w:pPr>
            <w:r w:rsidRPr="005A0CE4">
              <w:t>50</w:t>
            </w:r>
          </w:p>
        </w:tc>
        <w:tc>
          <w:tcPr>
            <w:tcW w:w="3505" w:type="dxa"/>
            <w:tcBorders>
              <w:top w:val="nil"/>
              <w:left w:val="nil"/>
              <w:bottom w:val="nil"/>
              <w:right w:val="nil"/>
            </w:tcBorders>
            <w:shd w:val="clear" w:color="auto" w:fill="F2F2F2" w:themeFill="background1" w:themeFillShade="F2"/>
            <w:vAlign w:val="bottom"/>
          </w:tcPr>
          <w:p w14:paraId="2D8FBC6E" w14:textId="77777777" w:rsidR="00052A87" w:rsidRPr="00AF5324" w:rsidRDefault="00052A87" w:rsidP="00052A87">
            <w:pPr>
              <w:pStyle w:val="TableTextRight"/>
            </w:pPr>
            <w:r w:rsidRPr="00AF5324">
              <w:t>73</w:t>
            </w:r>
          </w:p>
        </w:tc>
        <w:tc>
          <w:tcPr>
            <w:tcW w:w="3513" w:type="dxa"/>
            <w:tcBorders>
              <w:top w:val="nil"/>
              <w:left w:val="nil"/>
              <w:bottom w:val="nil"/>
              <w:right w:val="nil"/>
            </w:tcBorders>
            <w:shd w:val="clear" w:color="auto" w:fill="F2F2F2" w:themeFill="background1" w:themeFillShade="F2"/>
          </w:tcPr>
          <w:p w14:paraId="7E3C9EF3" w14:textId="77777777" w:rsidR="00052A87" w:rsidRPr="00AF5324" w:rsidRDefault="00052A87" w:rsidP="00052A87">
            <w:pPr>
              <w:pStyle w:val="TableTextRight"/>
            </w:pPr>
            <w:r w:rsidRPr="00AF5324">
              <w:t>55</w:t>
            </w:r>
          </w:p>
        </w:tc>
      </w:tr>
      <w:tr w:rsidR="00052A87" w:rsidRPr="00FF3826" w14:paraId="77BEC73C" w14:textId="77777777" w:rsidTr="00AE6A8D">
        <w:tc>
          <w:tcPr>
            <w:tcW w:w="709" w:type="dxa"/>
            <w:tcBorders>
              <w:top w:val="nil"/>
              <w:left w:val="nil"/>
              <w:bottom w:val="nil"/>
              <w:right w:val="nil"/>
            </w:tcBorders>
          </w:tcPr>
          <w:p w14:paraId="116337FD" w14:textId="77777777" w:rsidR="00052A87" w:rsidRPr="005A0CE4" w:rsidRDefault="00052A87" w:rsidP="00052A87">
            <w:pPr>
              <w:pStyle w:val="TableColumnHeadingLeft"/>
            </w:pPr>
            <w:r w:rsidRPr="005A0CE4">
              <w:t>60</w:t>
            </w:r>
          </w:p>
        </w:tc>
        <w:tc>
          <w:tcPr>
            <w:tcW w:w="3505" w:type="dxa"/>
            <w:tcBorders>
              <w:top w:val="nil"/>
              <w:left w:val="nil"/>
              <w:bottom w:val="nil"/>
              <w:right w:val="nil"/>
            </w:tcBorders>
            <w:vAlign w:val="bottom"/>
          </w:tcPr>
          <w:p w14:paraId="2667A4FA" w14:textId="77777777" w:rsidR="00052A87" w:rsidRPr="00AF5324" w:rsidRDefault="00052A87" w:rsidP="00052A87">
            <w:pPr>
              <w:pStyle w:val="TableTextRight"/>
            </w:pPr>
            <w:r w:rsidRPr="00AF5324">
              <w:t>73</w:t>
            </w:r>
          </w:p>
        </w:tc>
        <w:tc>
          <w:tcPr>
            <w:tcW w:w="3513" w:type="dxa"/>
            <w:tcBorders>
              <w:top w:val="nil"/>
              <w:left w:val="nil"/>
              <w:bottom w:val="nil"/>
              <w:right w:val="nil"/>
            </w:tcBorders>
          </w:tcPr>
          <w:p w14:paraId="7130C9E8" w14:textId="77777777" w:rsidR="00052A87" w:rsidRPr="00AF5324" w:rsidRDefault="00052A87" w:rsidP="00052A87">
            <w:pPr>
              <w:pStyle w:val="TableTextRight"/>
            </w:pPr>
            <w:r w:rsidRPr="00AF5324">
              <w:t>50</w:t>
            </w:r>
          </w:p>
        </w:tc>
      </w:tr>
      <w:tr w:rsidR="00052A87" w:rsidRPr="00FF3826" w14:paraId="5E640DD3" w14:textId="77777777" w:rsidTr="00AE6A8D">
        <w:tc>
          <w:tcPr>
            <w:tcW w:w="709" w:type="dxa"/>
            <w:tcBorders>
              <w:top w:val="nil"/>
              <w:left w:val="nil"/>
              <w:bottom w:val="nil"/>
              <w:right w:val="nil"/>
            </w:tcBorders>
            <w:shd w:val="clear" w:color="auto" w:fill="F2F2F2" w:themeFill="background1" w:themeFillShade="F2"/>
          </w:tcPr>
          <w:p w14:paraId="6CEE2FAC" w14:textId="77777777" w:rsidR="00052A87" w:rsidRPr="005A0CE4" w:rsidRDefault="00052A87" w:rsidP="00052A87">
            <w:pPr>
              <w:pStyle w:val="TableColumnHeadingLeft"/>
            </w:pPr>
            <w:r w:rsidRPr="005A0CE4">
              <w:t>70</w:t>
            </w:r>
          </w:p>
        </w:tc>
        <w:tc>
          <w:tcPr>
            <w:tcW w:w="3505" w:type="dxa"/>
            <w:tcBorders>
              <w:top w:val="nil"/>
              <w:left w:val="nil"/>
              <w:bottom w:val="nil"/>
              <w:right w:val="nil"/>
            </w:tcBorders>
            <w:shd w:val="clear" w:color="auto" w:fill="F2F2F2" w:themeFill="background1" w:themeFillShade="F2"/>
            <w:vAlign w:val="bottom"/>
          </w:tcPr>
          <w:p w14:paraId="08A7C276" w14:textId="77777777" w:rsidR="00052A87" w:rsidRPr="00AF5324" w:rsidRDefault="00052A87" w:rsidP="00052A87">
            <w:pPr>
              <w:pStyle w:val="TableTextRight"/>
            </w:pPr>
            <w:r w:rsidRPr="00AF5324">
              <w:t>69</w:t>
            </w:r>
          </w:p>
        </w:tc>
        <w:tc>
          <w:tcPr>
            <w:tcW w:w="3513" w:type="dxa"/>
            <w:tcBorders>
              <w:top w:val="nil"/>
              <w:left w:val="nil"/>
              <w:bottom w:val="nil"/>
              <w:right w:val="nil"/>
            </w:tcBorders>
            <w:shd w:val="clear" w:color="auto" w:fill="F2F2F2" w:themeFill="background1" w:themeFillShade="F2"/>
          </w:tcPr>
          <w:p w14:paraId="26DBEEC7" w14:textId="77777777" w:rsidR="00052A87" w:rsidRPr="00AF5324" w:rsidRDefault="00052A87" w:rsidP="00052A87">
            <w:pPr>
              <w:pStyle w:val="TableTextRight"/>
            </w:pPr>
            <w:r w:rsidRPr="00AF5324">
              <w:t>37</w:t>
            </w:r>
          </w:p>
        </w:tc>
      </w:tr>
      <w:tr w:rsidR="00052A87" w:rsidRPr="00FF3826" w14:paraId="7ACBDD74" w14:textId="77777777" w:rsidTr="00AE6A8D">
        <w:tc>
          <w:tcPr>
            <w:tcW w:w="709" w:type="dxa"/>
            <w:tcBorders>
              <w:top w:val="nil"/>
              <w:left w:val="nil"/>
              <w:bottom w:val="single" w:sz="2" w:space="0" w:color="000000"/>
              <w:right w:val="nil"/>
            </w:tcBorders>
          </w:tcPr>
          <w:p w14:paraId="3F734712" w14:textId="77777777" w:rsidR="00052A87" w:rsidRPr="005A0CE4" w:rsidRDefault="00052A87" w:rsidP="00052A87">
            <w:pPr>
              <w:pStyle w:val="TableColumnHeadingLeft"/>
            </w:pPr>
            <w:r w:rsidRPr="005A0CE4">
              <w:t>80</w:t>
            </w:r>
          </w:p>
        </w:tc>
        <w:tc>
          <w:tcPr>
            <w:tcW w:w="3505" w:type="dxa"/>
            <w:tcBorders>
              <w:top w:val="nil"/>
              <w:left w:val="nil"/>
              <w:bottom w:val="single" w:sz="2" w:space="0" w:color="000000"/>
              <w:right w:val="nil"/>
            </w:tcBorders>
            <w:vAlign w:val="bottom"/>
          </w:tcPr>
          <w:p w14:paraId="447A5B33" w14:textId="77777777" w:rsidR="00052A87" w:rsidRPr="00AF5324" w:rsidRDefault="00052A87" w:rsidP="00052A87">
            <w:pPr>
              <w:pStyle w:val="TableTextRight"/>
            </w:pPr>
            <w:r w:rsidRPr="00AF5324">
              <w:t>60</w:t>
            </w:r>
          </w:p>
        </w:tc>
        <w:tc>
          <w:tcPr>
            <w:tcW w:w="3513" w:type="dxa"/>
            <w:tcBorders>
              <w:top w:val="nil"/>
              <w:left w:val="nil"/>
              <w:bottom w:val="single" w:sz="2" w:space="0" w:color="000000"/>
              <w:right w:val="nil"/>
            </w:tcBorders>
          </w:tcPr>
          <w:p w14:paraId="25098F51" w14:textId="77777777" w:rsidR="00052A87" w:rsidRPr="00AF5324" w:rsidRDefault="00052A87" w:rsidP="00052A87">
            <w:pPr>
              <w:pStyle w:val="TableTextRight"/>
            </w:pPr>
            <w:r w:rsidRPr="00AF5324">
              <w:t>16</w:t>
            </w:r>
          </w:p>
        </w:tc>
      </w:tr>
    </w:tbl>
    <w:p w14:paraId="79FBB2D5" w14:textId="77777777" w:rsidR="00052A87" w:rsidRDefault="00052A87" w:rsidP="00052A87">
      <w:pPr>
        <w:rPr>
          <w:rFonts w:cs="Arial"/>
        </w:rPr>
      </w:pPr>
      <w:r>
        <w:rPr>
          <w:rFonts w:cs="Arial"/>
        </w:rPr>
        <w:t>Married m</w:t>
      </w:r>
      <w:r w:rsidRPr="00C157F7">
        <w:rPr>
          <w:rFonts w:cs="Arial"/>
        </w:rPr>
        <w:t>ale</w:t>
      </w:r>
      <w:r>
        <w:rPr>
          <w:rFonts w:cs="Arial"/>
        </w:rPr>
        <w:t xml:space="preserve"> members</w:t>
      </w:r>
      <w:r w:rsidRPr="00C157F7">
        <w:rPr>
          <w:rFonts w:cs="Arial"/>
        </w:rPr>
        <w:t xml:space="preserve"> are assumed to be married to females </w:t>
      </w:r>
      <w:r>
        <w:rPr>
          <w:rFonts w:cs="Arial"/>
        </w:rPr>
        <w:t>four</w:t>
      </w:r>
      <w:r w:rsidRPr="00C157F7">
        <w:rPr>
          <w:rFonts w:cs="Arial"/>
        </w:rPr>
        <w:t xml:space="preserve"> years their junior</w:t>
      </w:r>
      <w:r>
        <w:rPr>
          <w:rFonts w:cs="Arial"/>
        </w:rPr>
        <w:t xml:space="preserve"> on death.</w:t>
      </w:r>
    </w:p>
    <w:p w14:paraId="480893C8" w14:textId="77777777" w:rsidR="00052A87" w:rsidRDefault="00052A87" w:rsidP="00052A87">
      <w:pPr>
        <w:rPr>
          <w:rFonts w:cs="Arial"/>
        </w:rPr>
      </w:pPr>
      <w:r>
        <w:rPr>
          <w:rFonts w:cs="Arial"/>
        </w:rPr>
        <w:t>Married female members are assumed to be married to males three years their senior on death.</w:t>
      </w:r>
    </w:p>
    <w:p w14:paraId="0C1A49FC" w14:textId="7FAA6ADB" w:rsidR="00052A87" w:rsidRDefault="00C95E2B" w:rsidP="00EB2452">
      <w:pPr>
        <w:pStyle w:val="Heading3nonumbering"/>
      </w:pPr>
      <w:r w:rsidRPr="003B40B9">
        <w:rPr>
          <w:rFonts w:cs="Arial"/>
        </w:rPr>
        <w:t>Gross Domestic Product</w:t>
      </w:r>
      <w:r w:rsidR="00052A87">
        <w:t xml:space="preserve"> increases adjusted for inflation</w:t>
      </w:r>
    </w:p>
    <w:p w14:paraId="6794F25B" w14:textId="77777777" w:rsidR="00052A87" w:rsidRDefault="00052A87" w:rsidP="00052A87">
      <w:pPr>
        <w:rPr>
          <w:rFonts w:cs="Arial"/>
        </w:rPr>
      </w:pPr>
      <w:r>
        <w:rPr>
          <w:rFonts w:cs="Arial"/>
        </w:rPr>
        <w:t>GDP growth rates are based on Commonwealth Treasury projections of nominal GDP values adjusted for consistency with the inflation and wage growth assumption adopted for this valuation. Given this adjustment, they should not be regarded as official Commonwealth Treasury projections.</w:t>
      </w:r>
    </w:p>
    <w:p w14:paraId="58227489" w14:textId="0D7DC76D" w:rsidR="00052A87" w:rsidRDefault="00052A87" w:rsidP="00D1063F">
      <w:pPr>
        <w:pStyle w:val="TableMainHeading-Appendix"/>
      </w:pPr>
      <w:r>
        <w:t xml:space="preserve">GDP </w:t>
      </w:r>
      <w:r w:rsidR="00340EDA">
        <w:t>growth rates (adjusted for</w:t>
      </w:r>
      <w:r w:rsidR="00D84B75">
        <w:t xml:space="preserve"> CPI </w:t>
      </w:r>
      <w:r>
        <w:t>inflation)</w:t>
      </w:r>
    </w:p>
    <w:tbl>
      <w:tblPr>
        <w:tblW w:w="7727" w:type="dxa"/>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6026"/>
      </w:tblGrid>
      <w:tr w:rsidR="00052A87" w:rsidRPr="009C579D" w14:paraId="5F0FF2FF" w14:textId="77777777" w:rsidTr="00AE6A8D">
        <w:tc>
          <w:tcPr>
            <w:tcW w:w="1701" w:type="dxa"/>
            <w:tcBorders>
              <w:top w:val="single" w:sz="2" w:space="0" w:color="000000"/>
              <w:left w:val="nil"/>
              <w:bottom w:val="single" w:sz="2" w:space="0" w:color="000000"/>
              <w:right w:val="nil"/>
            </w:tcBorders>
            <w:shd w:val="clear" w:color="auto" w:fill="E6E6E6"/>
          </w:tcPr>
          <w:p w14:paraId="3CDD7FB1" w14:textId="77777777" w:rsidR="00052A87" w:rsidRPr="009C579D" w:rsidRDefault="00052A87" w:rsidP="00052A87">
            <w:pPr>
              <w:pStyle w:val="TableColumnHeadingLeft"/>
            </w:pPr>
            <w:r w:rsidRPr="009C579D">
              <w:t>Year</w:t>
            </w:r>
          </w:p>
        </w:tc>
        <w:tc>
          <w:tcPr>
            <w:tcW w:w="6026" w:type="dxa"/>
            <w:tcBorders>
              <w:top w:val="single" w:sz="2" w:space="0" w:color="000000"/>
              <w:left w:val="nil"/>
              <w:bottom w:val="single" w:sz="2" w:space="0" w:color="000000"/>
              <w:right w:val="nil"/>
            </w:tcBorders>
            <w:shd w:val="clear" w:color="auto" w:fill="E6E6E6"/>
          </w:tcPr>
          <w:p w14:paraId="18786D90" w14:textId="77777777" w:rsidR="00052A87" w:rsidRPr="009C579D" w:rsidRDefault="00052A87" w:rsidP="00052A87">
            <w:pPr>
              <w:pStyle w:val="TableColumnHeadingRight"/>
            </w:pPr>
            <w:r w:rsidRPr="009C579D">
              <w:t>Per</w:t>
            </w:r>
            <w:r>
              <w:t xml:space="preserve"> c</w:t>
            </w:r>
            <w:r w:rsidRPr="009C579D">
              <w:t>en</w:t>
            </w:r>
            <w:r>
              <w:t>t</w:t>
            </w:r>
            <w:r>
              <w:br/>
            </w:r>
            <w:r w:rsidRPr="009C579D">
              <w:t>per annum</w:t>
            </w:r>
          </w:p>
        </w:tc>
      </w:tr>
      <w:tr w:rsidR="008437B6" w:rsidRPr="009C579D" w14:paraId="790890D1" w14:textId="77777777" w:rsidTr="00AE6A8D">
        <w:trPr>
          <w:trHeight w:hRule="exact" w:val="300"/>
        </w:trPr>
        <w:tc>
          <w:tcPr>
            <w:tcW w:w="1701" w:type="dxa"/>
            <w:tcBorders>
              <w:top w:val="single" w:sz="2" w:space="0" w:color="000000"/>
              <w:left w:val="nil"/>
              <w:bottom w:val="nil"/>
              <w:right w:val="nil"/>
            </w:tcBorders>
            <w:vAlign w:val="bottom"/>
          </w:tcPr>
          <w:p w14:paraId="01E9F7A2" w14:textId="77777777" w:rsidR="008437B6" w:rsidRPr="008505A2" w:rsidRDefault="008437B6" w:rsidP="004645D7">
            <w:pPr>
              <w:pStyle w:val="TableTextLeft"/>
            </w:pPr>
            <w:r w:rsidRPr="008505A2">
              <w:t>2014-15</w:t>
            </w:r>
          </w:p>
        </w:tc>
        <w:tc>
          <w:tcPr>
            <w:tcW w:w="6026" w:type="dxa"/>
            <w:tcBorders>
              <w:top w:val="single" w:sz="2" w:space="0" w:color="000000"/>
              <w:left w:val="nil"/>
              <w:bottom w:val="nil"/>
              <w:right w:val="nil"/>
            </w:tcBorders>
            <w:vAlign w:val="bottom"/>
          </w:tcPr>
          <w:p w14:paraId="07CDB0E9" w14:textId="77777777" w:rsidR="008437B6" w:rsidRPr="00953DFE" w:rsidRDefault="008437B6" w:rsidP="008437B6">
            <w:pPr>
              <w:pStyle w:val="TableTextLeft"/>
              <w:jc w:val="right"/>
            </w:pPr>
            <w:r w:rsidRPr="00953DFE">
              <w:t>2.9</w:t>
            </w:r>
          </w:p>
        </w:tc>
      </w:tr>
      <w:tr w:rsidR="008437B6" w:rsidRPr="009C579D" w14:paraId="21527CA0" w14:textId="77777777" w:rsidTr="00AE6A8D">
        <w:trPr>
          <w:trHeight w:hRule="exact" w:val="300"/>
        </w:trPr>
        <w:tc>
          <w:tcPr>
            <w:tcW w:w="1701" w:type="dxa"/>
            <w:tcBorders>
              <w:top w:val="nil"/>
              <w:left w:val="nil"/>
              <w:bottom w:val="nil"/>
              <w:right w:val="nil"/>
            </w:tcBorders>
            <w:vAlign w:val="bottom"/>
          </w:tcPr>
          <w:p w14:paraId="58A89F45" w14:textId="77777777" w:rsidR="008437B6" w:rsidRPr="008505A2" w:rsidRDefault="008437B6" w:rsidP="004645D7">
            <w:pPr>
              <w:pStyle w:val="TableTextLeft"/>
            </w:pPr>
            <w:r w:rsidRPr="008505A2">
              <w:t>2015-16</w:t>
            </w:r>
          </w:p>
        </w:tc>
        <w:tc>
          <w:tcPr>
            <w:tcW w:w="6026" w:type="dxa"/>
            <w:tcBorders>
              <w:top w:val="nil"/>
              <w:left w:val="nil"/>
              <w:bottom w:val="nil"/>
              <w:right w:val="nil"/>
            </w:tcBorders>
            <w:vAlign w:val="bottom"/>
          </w:tcPr>
          <w:p w14:paraId="57F306A3" w14:textId="77777777" w:rsidR="008437B6" w:rsidRPr="00953DFE" w:rsidRDefault="008437B6" w:rsidP="008437B6">
            <w:pPr>
              <w:pStyle w:val="TableTextLeft"/>
              <w:jc w:val="right"/>
            </w:pPr>
            <w:r w:rsidRPr="00953DFE">
              <w:t>3.1</w:t>
            </w:r>
          </w:p>
        </w:tc>
      </w:tr>
      <w:tr w:rsidR="008437B6" w:rsidRPr="009C579D" w14:paraId="57E2195A" w14:textId="77777777" w:rsidTr="00AE6A8D">
        <w:trPr>
          <w:trHeight w:hRule="exact" w:val="300"/>
        </w:trPr>
        <w:tc>
          <w:tcPr>
            <w:tcW w:w="1701" w:type="dxa"/>
            <w:tcBorders>
              <w:top w:val="nil"/>
              <w:left w:val="nil"/>
              <w:bottom w:val="nil"/>
              <w:right w:val="nil"/>
            </w:tcBorders>
            <w:vAlign w:val="bottom"/>
          </w:tcPr>
          <w:p w14:paraId="7483BEB1" w14:textId="77777777" w:rsidR="008437B6" w:rsidRPr="008505A2" w:rsidRDefault="008437B6" w:rsidP="004645D7">
            <w:pPr>
              <w:pStyle w:val="TableTextLeft"/>
            </w:pPr>
            <w:r w:rsidRPr="008505A2">
              <w:t>2016-17</w:t>
            </w:r>
          </w:p>
        </w:tc>
        <w:tc>
          <w:tcPr>
            <w:tcW w:w="6026" w:type="dxa"/>
            <w:tcBorders>
              <w:top w:val="nil"/>
              <w:left w:val="nil"/>
              <w:bottom w:val="nil"/>
              <w:right w:val="nil"/>
            </w:tcBorders>
            <w:vAlign w:val="bottom"/>
          </w:tcPr>
          <w:p w14:paraId="7D3791D2" w14:textId="77777777" w:rsidR="008437B6" w:rsidRPr="00953DFE" w:rsidRDefault="008437B6" w:rsidP="008437B6">
            <w:pPr>
              <w:pStyle w:val="TableTextLeft"/>
              <w:jc w:val="right"/>
            </w:pPr>
            <w:r w:rsidRPr="00953DFE">
              <w:t>3.1</w:t>
            </w:r>
          </w:p>
        </w:tc>
      </w:tr>
      <w:tr w:rsidR="008437B6" w:rsidRPr="009C579D" w14:paraId="61B8101A" w14:textId="77777777" w:rsidTr="00AE6A8D">
        <w:trPr>
          <w:trHeight w:hRule="exact" w:val="300"/>
        </w:trPr>
        <w:tc>
          <w:tcPr>
            <w:tcW w:w="1701" w:type="dxa"/>
            <w:tcBorders>
              <w:top w:val="nil"/>
              <w:left w:val="nil"/>
              <w:bottom w:val="nil"/>
              <w:right w:val="nil"/>
            </w:tcBorders>
            <w:vAlign w:val="bottom"/>
          </w:tcPr>
          <w:p w14:paraId="17F37979" w14:textId="77777777" w:rsidR="008437B6" w:rsidRPr="008505A2" w:rsidRDefault="008437B6" w:rsidP="004645D7">
            <w:pPr>
              <w:pStyle w:val="TableTextLeft"/>
            </w:pPr>
            <w:r w:rsidRPr="008505A2">
              <w:t>2017-18</w:t>
            </w:r>
          </w:p>
        </w:tc>
        <w:tc>
          <w:tcPr>
            <w:tcW w:w="6026" w:type="dxa"/>
            <w:tcBorders>
              <w:top w:val="nil"/>
              <w:left w:val="nil"/>
              <w:bottom w:val="nil"/>
              <w:right w:val="nil"/>
            </w:tcBorders>
            <w:vAlign w:val="bottom"/>
          </w:tcPr>
          <w:p w14:paraId="7287E062" w14:textId="77777777" w:rsidR="008437B6" w:rsidRPr="00953DFE" w:rsidRDefault="008437B6" w:rsidP="008437B6">
            <w:pPr>
              <w:pStyle w:val="TableTextLeft"/>
              <w:jc w:val="right"/>
            </w:pPr>
            <w:r w:rsidRPr="00953DFE">
              <w:t>3.1</w:t>
            </w:r>
          </w:p>
        </w:tc>
      </w:tr>
      <w:tr w:rsidR="008437B6" w:rsidRPr="009C579D" w14:paraId="35602554" w14:textId="77777777" w:rsidTr="00AE6A8D">
        <w:trPr>
          <w:trHeight w:hRule="exact" w:val="300"/>
        </w:trPr>
        <w:tc>
          <w:tcPr>
            <w:tcW w:w="1701" w:type="dxa"/>
            <w:tcBorders>
              <w:top w:val="nil"/>
              <w:left w:val="nil"/>
              <w:bottom w:val="single" w:sz="2" w:space="0" w:color="000000"/>
              <w:right w:val="nil"/>
            </w:tcBorders>
            <w:vAlign w:val="bottom"/>
          </w:tcPr>
          <w:p w14:paraId="6D4EA310" w14:textId="77777777" w:rsidR="008437B6" w:rsidRPr="008505A2" w:rsidRDefault="008437B6" w:rsidP="004645D7">
            <w:pPr>
              <w:pStyle w:val="TableTextLeft"/>
            </w:pPr>
            <w:r w:rsidRPr="008505A2">
              <w:t>2018-19</w:t>
            </w:r>
          </w:p>
        </w:tc>
        <w:tc>
          <w:tcPr>
            <w:tcW w:w="6026" w:type="dxa"/>
            <w:tcBorders>
              <w:top w:val="nil"/>
              <w:left w:val="nil"/>
              <w:bottom w:val="single" w:sz="2" w:space="0" w:color="000000"/>
              <w:right w:val="nil"/>
            </w:tcBorders>
            <w:vAlign w:val="bottom"/>
          </w:tcPr>
          <w:p w14:paraId="7CD2930C" w14:textId="77777777" w:rsidR="008437B6" w:rsidRPr="00953DFE" w:rsidRDefault="008437B6" w:rsidP="008437B6">
            <w:pPr>
              <w:pStyle w:val="TableTextLeft"/>
              <w:jc w:val="right"/>
            </w:pPr>
            <w:r w:rsidRPr="00953DFE">
              <w:t>3.2</w:t>
            </w:r>
          </w:p>
        </w:tc>
      </w:tr>
      <w:tr w:rsidR="008437B6" w:rsidRPr="009C579D" w14:paraId="44A9A0C7" w14:textId="77777777" w:rsidTr="00AE6A8D">
        <w:trPr>
          <w:trHeight w:hRule="exact" w:val="300"/>
        </w:trPr>
        <w:tc>
          <w:tcPr>
            <w:tcW w:w="1701" w:type="dxa"/>
            <w:tcBorders>
              <w:top w:val="single" w:sz="2" w:space="0" w:color="000000"/>
              <w:left w:val="nil"/>
              <w:bottom w:val="nil"/>
              <w:right w:val="nil"/>
            </w:tcBorders>
            <w:shd w:val="clear" w:color="auto" w:fill="F2F2F2" w:themeFill="background1" w:themeFillShade="F2"/>
            <w:vAlign w:val="bottom"/>
          </w:tcPr>
          <w:p w14:paraId="4484C5A2" w14:textId="77777777" w:rsidR="008437B6" w:rsidRPr="008505A2" w:rsidRDefault="008437B6" w:rsidP="004645D7">
            <w:pPr>
              <w:pStyle w:val="TableTextLeft"/>
            </w:pPr>
            <w:r w:rsidRPr="008505A2">
              <w:t>2019-20</w:t>
            </w:r>
          </w:p>
        </w:tc>
        <w:tc>
          <w:tcPr>
            <w:tcW w:w="6026" w:type="dxa"/>
            <w:tcBorders>
              <w:top w:val="single" w:sz="2" w:space="0" w:color="000000"/>
              <w:left w:val="nil"/>
              <w:bottom w:val="nil"/>
              <w:right w:val="nil"/>
            </w:tcBorders>
            <w:shd w:val="clear" w:color="auto" w:fill="F2F2F2" w:themeFill="background1" w:themeFillShade="F2"/>
            <w:vAlign w:val="bottom"/>
          </w:tcPr>
          <w:p w14:paraId="349EA195" w14:textId="77777777" w:rsidR="008437B6" w:rsidRPr="00953DFE" w:rsidRDefault="008437B6" w:rsidP="008437B6">
            <w:pPr>
              <w:pStyle w:val="TableTextLeft"/>
              <w:jc w:val="right"/>
            </w:pPr>
            <w:r w:rsidRPr="00953DFE">
              <w:t>3.1</w:t>
            </w:r>
          </w:p>
        </w:tc>
      </w:tr>
      <w:tr w:rsidR="008437B6" w:rsidRPr="009C579D" w14:paraId="04ECB6DF"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3A89CF5B" w14:textId="77777777" w:rsidR="008437B6" w:rsidRPr="008505A2" w:rsidRDefault="008437B6" w:rsidP="004645D7">
            <w:pPr>
              <w:pStyle w:val="TableTextLeft"/>
            </w:pPr>
            <w:r w:rsidRPr="008505A2">
              <w:t>2020-21</w:t>
            </w:r>
          </w:p>
        </w:tc>
        <w:tc>
          <w:tcPr>
            <w:tcW w:w="6026" w:type="dxa"/>
            <w:tcBorders>
              <w:top w:val="nil"/>
              <w:left w:val="nil"/>
              <w:bottom w:val="nil"/>
              <w:right w:val="nil"/>
            </w:tcBorders>
            <w:shd w:val="clear" w:color="auto" w:fill="F2F2F2" w:themeFill="background1" w:themeFillShade="F2"/>
            <w:vAlign w:val="bottom"/>
          </w:tcPr>
          <w:p w14:paraId="53E4A076" w14:textId="77777777" w:rsidR="008437B6" w:rsidRPr="00953DFE" w:rsidRDefault="008437B6" w:rsidP="008437B6">
            <w:pPr>
              <w:pStyle w:val="TableTextLeft"/>
              <w:jc w:val="right"/>
            </w:pPr>
            <w:r w:rsidRPr="00953DFE">
              <w:t>3.0</w:t>
            </w:r>
          </w:p>
        </w:tc>
      </w:tr>
      <w:tr w:rsidR="008437B6" w:rsidRPr="009C579D" w14:paraId="4B202575"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083040FD" w14:textId="77777777" w:rsidR="008437B6" w:rsidRPr="008505A2" w:rsidRDefault="008437B6" w:rsidP="004645D7">
            <w:pPr>
              <w:pStyle w:val="TableTextLeft"/>
            </w:pPr>
            <w:r w:rsidRPr="008505A2">
              <w:t>2021-22</w:t>
            </w:r>
          </w:p>
        </w:tc>
        <w:tc>
          <w:tcPr>
            <w:tcW w:w="6026" w:type="dxa"/>
            <w:tcBorders>
              <w:top w:val="nil"/>
              <w:left w:val="nil"/>
              <w:bottom w:val="nil"/>
              <w:right w:val="nil"/>
            </w:tcBorders>
            <w:shd w:val="clear" w:color="auto" w:fill="F2F2F2" w:themeFill="background1" w:themeFillShade="F2"/>
            <w:vAlign w:val="bottom"/>
          </w:tcPr>
          <w:p w14:paraId="3E39D153" w14:textId="77777777" w:rsidR="008437B6" w:rsidRPr="00953DFE" w:rsidRDefault="008437B6" w:rsidP="008437B6">
            <w:pPr>
              <w:pStyle w:val="TableTextLeft"/>
              <w:jc w:val="right"/>
            </w:pPr>
            <w:r w:rsidRPr="00953DFE">
              <w:t>3.0</w:t>
            </w:r>
          </w:p>
        </w:tc>
      </w:tr>
      <w:tr w:rsidR="008437B6" w:rsidRPr="009C579D" w14:paraId="305D6F1D" w14:textId="77777777" w:rsidTr="00EE22F6">
        <w:trPr>
          <w:trHeight w:hRule="exact" w:val="300"/>
        </w:trPr>
        <w:tc>
          <w:tcPr>
            <w:tcW w:w="1701" w:type="dxa"/>
            <w:tcBorders>
              <w:top w:val="nil"/>
              <w:left w:val="nil"/>
              <w:bottom w:val="nil"/>
              <w:right w:val="nil"/>
            </w:tcBorders>
            <w:shd w:val="clear" w:color="auto" w:fill="F2F2F2" w:themeFill="background1" w:themeFillShade="F2"/>
            <w:vAlign w:val="bottom"/>
          </w:tcPr>
          <w:p w14:paraId="2B49DE36" w14:textId="77777777" w:rsidR="008437B6" w:rsidRPr="008505A2" w:rsidRDefault="008437B6" w:rsidP="004645D7">
            <w:pPr>
              <w:pStyle w:val="TableTextLeft"/>
            </w:pPr>
            <w:r w:rsidRPr="008505A2">
              <w:t>2022-23</w:t>
            </w:r>
          </w:p>
        </w:tc>
        <w:tc>
          <w:tcPr>
            <w:tcW w:w="6026" w:type="dxa"/>
            <w:tcBorders>
              <w:top w:val="nil"/>
              <w:left w:val="nil"/>
              <w:bottom w:val="nil"/>
              <w:right w:val="nil"/>
            </w:tcBorders>
            <w:shd w:val="clear" w:color="auto" w:fill="F2F2F2" w:themeFill="background1" w:themeFillShade="F2"/>
            <w:vAlign w:val="bottom"/>
          </w:tcPr>
          <w:p w14:paraId="4BDE75E3" w14:textId="77777777" w:rsidR="008437B6" w:rsidRPr="00953DFE" w:rsidRDefault="008437B6" w:rsidP="008437B6">
            <w:pPr>
              <w:pStyle w:val="TableTextLeft"/>
              <w:jc w:val="right"/>
            </w:pPr>
            <w:r w:rsidRPr="00953DFE">
              <w:t>2.9</w:t>
            </w:r>
          </w:p>
        </w:tc>
      </w:tr>
      <w:tr w:rsidR="008437B6" w:rsidRPr="009C579D" w14:paraId="27A522E9" w14:textId="77777777" w:rsidTr="00EE22F6">
        <w:trPr>
          <w:trHeight w:hRule="exact" w:val="300"/>
        </w:trPr>
        <w:tc>
          <w:tcPr>
            <w:tcW w:w="1701" w:type="dxa"/>
            <w:tcBorders>
              <w:top w:val="nil"/>
              <w:left w:val="nil"/>
              <w:bottom w:val="single" w:sz="4" w:space="0" w:color="auto"/>
              <w:right w:val="nil"/>
            </w:tcBorders>
            <w:shd w:val="clear" w:color="auto" w:fill="F2F2F2" w:themeFill="background1" w:themeFillShade="F2"/>
            <w:vAlign w:val="bottom"/>
          </w:tcPr>
          <w:p w14:paraId="0B7C89B9" w14:textId="77777777" w:rsidR="008437B6" w:rsidRPr="008505A2" w:rsidRDefault="008437B6" w:rsidP="004645D7">
            <w:pPr>
              <w:pStyle w:val="TableTextLeft"/>
            </w:pPr>
            <w:r w:rsidRPr="008505A2">
              <w:t>2023-24</w:t>
            </w:r>
          </w:p>
        </w:tc>
        <w:tc>
          <w:tcPr>
            <w:tcW w:w="6026" w:type="dxa"/>
            <w:tcBorders>
              <w:top w:val="nil"/>
              <w:left w:val="nil"/>
              <w:bottom w:val="single" w:sz="4" w:space="0" w:color="auto"/>
              <w:right w:val="nil"/>
            </w:tcBorders>
            <w:shd w:val="clear" w:color="auto" w:fill="F2F2F2" w:themeFill="background1" w:themeFillShade="F2"/>
            <w:vAlign w:val="bottom"/>
          </w:tcPr>
          <w:p w14:paraId="43BC3E0C" w14:textId="77777777" w:rsidR="008437B6" w:rsidRPr="00953DFE" w:rsidRDefault="008437B6" w:rsidP="008437B6">
            <w:pPr>
              <w:pStyle w:val="TableTextLeft"/>
              <w:jc w:val="right"/>
            </w:pPr>
            <w:r w:rsidRPr="00953DFE">
              <w:t>2.9</w:t>
            </w:r>
          </w:p>
        </w:tc>
      </w:tr>
    </w:tbl>
    <w:p w14:paraId="735DC6B1" w14:textId="262E62A0" w:rsidR="00AE6A8D" w:rsidRDefault="00AE6A8D">
      <w:r>
        <w:br w:type="page"/>
      </w:r>
    </w:p>
    <w:p w14:paraId="528A7EC6" w14:textId="7F3D25BD" w:rsidR="00AE6A8D" w:rsidRDefault="00AE6A8D" w:rsidP="00AE6A8D">
      <w:pPr>
        <w:pStyle w:val="TableMainHeading-Appendix"/>
      </w:pPr>
      <w:r>
        <w:lastRenderedPageBreak/>
        <w:t>GDP growth rates (adjusted for CPI inflation) (continued)</w:t>
      </w:r>
    </w:p>
    <w:tbl>
      <w:tblPr>
        <w:tblW w:w="7727" w:type="dxa"/>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6026"/>
      </w:tblGrid>
      <w:tr w:rsidR="00AE6A8D" w:rsidRPr="009C579D" w14:paraId="3C88204A" w14:textId="77777777" w:rsidTr="00EE22F6">
        <w:tc>
          <w:tcPr>
            <w:tcW w:w="1701" w:type="dxa"/>
            <w:tcBorders>
              <w:top w:val="single" w:sz="2" w:space="0" w:color="000000"/>
              <w:left w:val="nil"/>
              <w:bottom w:val="single" w:sz="2" w:space="0" w:color="000000"/>
              <w:right w:val="nil"/>
            </w:tcBorders>
            <w:shd w:val="clear" w:color="auto" w:fill="E6E6E6"/>
          </w:tcPr>
          <w:p w14:paraId="1351C476" w14:textId="77777777" w:rsidR="00AE6A8D" w:rsidRPr="009C579D" w:rsidRDefault="00AE6A8D" w:rsidP="00EE22F6">
            <w:pPr>
              <w:pStyle w:val="TableColumnHeadingLeft"/>
            </w:pPr>
            <w:r w:rsidRPr="009C579D">
              <w:t>Year</w:t>
            </w:r>
          </w:p>
        </w:tc>
        <w:tc>
          <w:tcPr>
            <w:tcW w:w="6026" w:type="dxa"/>
            <w:tcBorders>
              <w:top w:val="single" w:sz="2" w:space="0" w:color="000000"/>
              <w:left w:val="nil"/>
              <w:bottom w:val="single" w:sz="2" w:space="0" w:color="000000"/>
              <w:right w:val="nil"/>
            </w:tcBorders>
            <w:shd w:val="clear" w:color="auto" w:fill="E6E6E6"/>
          </w:tcPr>
          <w:p w14:paraId="42EA95F8" w14:textId="77777777" w:rsidR="00AE6A8D" w:rsidRPr="009C579D" w:rsidRDefault="00AE6A8D" w:rsidP="00EE22F6">
            <w:pPr>
              <w:pStyle w:val="TableColumnHeadingRight"/>
            </w:pPr>
            <w:r w:rsidRPr="009C579D">
              <w:t>Per</w:t>
            </w:r>
            <w:r>
              <w:t xml:space="preserve"> c</w:t>
            </w:r>
            <w:r w:rsidRPr="009C579D">
              <w:t>en</w:t>
            </w:r>
            <w:r>
              <w:t>t</w:t>
            </w:r>
            <w:r>
              <w:br/>
            </w:r>
            <w:r w:rsidRPr="009C579D">
              <w:t>per annum</w:t>
            </w:r>
          </w:p>
        </w:tc>
      </w:tr>
      <w:tr w:rsidR="005C615C" w:rsidRPr="009C579D" w14:paraId="185A9409" w14:textId="77777777" w:rsidTr="00AE6A8D">
        <w:trPr>
          <w:trHeight w:hRule="exact" w:val="300"/>
        </w:trPr>
        <w:tc>
          <w:tcPr>
            <w:tcW w:w="1701" w:type="dxa"/>
            <w:tcBorders>
              <w:top w:val="single" w:sz="2" w:space="0" w:color="000000"/>
              <w:left w:val="nil"/>
              <w:bottom w:val="nil"/>
              <w:right w:val="nil"/>
            </w:tcBorders>
            <w:vAlign w:val="bottom"/>
          </w:tcPr>
          <w:p w14:paraId="53D6E798" w14:textId="2FABF835" w:rsidR="005C615C" w:rsidRPr="008505A2" w:rsidRDefault="005C615C" w:rsidP="005C615C">
            <w:pPr>
              <w:pStyle w:val="TableTextLeft"/>
            </w:pPr>
            <w:r w:rsidRPr="008505A2">
              <w:t>2024-25</w:t>
            </w:r>
          </w:p>
        </w:tc>
        <w:tc>
          <w:tcPr>
            <w:tcW w:w="6026" w:type="dxa"/>
            <w:tcBorders>
              <w:top w:val="single" w:sz="2" w:space="0" w:color="000000"/>
              <w:left w:val="nil"/>
              <w:bottom w:val="nil"/>
              <w:right w:val="nil"/>
            </w:tcBorders>
            <w:vAlign w:val="bottom"/>
          </w:tcPr>
          <w:p w14:paraId="767F9A97" w14:textId="77777777" w:rsidR="005C615C" w:rsidRPr="00953DFE" w:rsidRDefault="005C615C" w:rsidP="005C615C">
            <w:pPr>
              <w:pStyle w:val="TableTextLeft"/>
              <w:jc w:val="right"/>
            </w:pPr>
            <w:r w:rsidRPr="00953DFE">
              <w:t>2.9</w:t>
            </w:r>
          </w:p>
        </w:tc>
      </w:tr>
      <w:tr w:rsidR="005C615C" w:rsidRPr="009C579D" w14:paraId="2712E588" w14:textId="77777777" w:rsidTr="00AE6A8D">
        <w:trPr>
          <w:trHeight w:hRule="exact" w:val="300"/>
        </w:trPr>
        <w:tc>
          <w:tcPr>
            <w:tcW w:w="1701" w:type="dxa"/>
            <w:tcBorders>
              <w:top w:val="nil"/>
              <w:left w:val="nil"/>
              <w:bottom w:val="nil"/>
              <w:right w:val="nil"/>
            </w:tcBorders>
            <w:vAlign w:val="bottom"/>
          </w:tcPr>
          <w:p w14:paraId="65EDD670" w14:textId="77777777" w:rsidR="005C615C" w:rsidRPr="008505A2" w:rsidRDefault="005C615C" w:rsidP="005C615C">
            <w:pPr>
              <w:pStyle w:val="TableTextLeft"/>
            </w:pPr>
            <w:r w:rsidRPr="008505A2">
              <w:t>2025-26</w:t>
            </w:r>
          </w:p>
        </w:tc>
        <w:tc>
          <w:tcPr>
            <w:tcW w:w="6026" w:type="dxa"/>
            <w:tcBorders>
              <w:top w:val="nil"/>
              <w:left w:val="nil"/>
              <w:bottom w:val="nil"/>
              <w:right w:val="nil"/>
            </w:tcBorders>
            <w:vAlign w:val="bottom"/>
          </w:tcPr>
          <w:p w14:paraId="7048773A" w14:textId="77777777" w:rsidR="005C615C" w:rsidRPr="00953DFE" w:rsidRDefault="005C615C" w:rsidP="005C615C">
            <w:pPr>
              <w:pStyle w:val="TableTextLeft"/>
              <w:jc w:val="right"/>
            </w:pPr>
            <w:r w:rsidRPr="00953DFE">
              <w:t>2.9</w:t>
            </w:r>
          </w:p>
        </w:tc>
      </w:tr>
      <w:tr w:rsidR="005C615C" w:rsidRPr="009C579D" w14:paraId="2D46C09C" w14:textId="77777777" w:rsidTr="00AE6A8D">
        <w:trPr>
          <w:trHeight w:hRule="exact" w:val="300"/>
        </w:trPr>
        <w:tc>
          <w:tcPr>
            <w:tcW w:w="1701" w:type="dxa"/>
            <w:tcBorders>
              <w:top w:val="nil"/>
              <w:left w:val="nil"/>
              <w:bottom w:val="nil"/>
              <w:right w:val="nil"/>
            </w:tcBorders>
            <w:vAlign w:val="bottom"/>
          </w:tcPr>
          <w:p w14:paraId="1AFC56D2" w14:textId="77777777" w:rsidR="005C615C" w:rsidRPr="008505A2" w:rsidRDefault="005C615C" w:rsidP="005C615C">
            <w:pPr>
              <w:pStyle w:val="TableTextLeft"/>
            </w:pPr>
            <w:r w:rsidRPr="008505A2">
              <w:t>2026-27</w:t>
            </w:r>
          </w:p>
        </w:tc>
        <w:tc>
          <w:tcPr>
            <w:tcW w:w="6026" w:type="dxa"/>
            <w:tcBorders>
              <w:top w:val="nil"/>
              <w:left w:val="nil"/>
              <w:bottom w:val="nil"/>
              <w:right w:val="nil"/>
            </w:tcBorders>
            <w:vAlign w:val="bottom"/>
          </w:tcPr>
          <w:p w14:paraId="5D9B638B" w14:textId="77777777" w:rsidR="005C615C" w:rsidRPr="00953DFE" w:rsidRDefault="005C615C" w:rsidP="005C615C">
            <w:pPr>
              <w:pStyle w:val="TableTextLeft"/>
              <w:jc w:val="right"/>
            </w:pPr>
            <w:r w:rsidRPr="00953DFE">
              <w:t>2.9</w:t>
            </w:r>
          </w:p>
        </w:tc>
      </w:tr>
      <w:tr w:rsidR="005C615C" w:rsidRPr="009C579D" w14:paraId="681DB016" w14:textId="77777777" w:rsidTr="00AE6A8D">
        <w:trPr>
          <w:trHeight w:hRule="exact" w:val="300"/>
        </w:trPr>
        <w:tc>
          <w:tcPr>
            <w:tcW w:w="1701" w:type="dxa"/>
            <w:tcBorders>
              <w:top w:val="nil"/>
              <w:left w:val="nil"/>
              <w:bottom w:val="nil"/>
              <w:right w:val="nil"/>
            </w:tcBorders>
            <w:vAlign w:val="bottom"/>
          </w:tcPr>
          <w:p w14:paraId="0E57F6D8" w14:textId="77777777" w:rsidR="005C615C" w:rsidRPr="008505A2" w:rsidRDefault="005C615C" w:rsidP="005C615C">
            <w:pPr>
              <w:pStyle w:val="TableTextLeft"/>
            </w:pPr>
            <w:r w:rsidRPr="008505A2">
              <w:t>2027-28</w:t>
            </w:r>
          </w:p>
        </w:tc>
        <w:tc>
          <w:tcPr>
            <w:tcW w:w="6026" w:type="dxa"/>
            <w:tcBorders>
              <w:top w:val="nil"/>
              <w:left w:val="nil"/>
              <w:bottom w:val="nil"/>
              <w:right w:val="nil"/>
            </w:tcBorders>
            <w:vAlign w:val="bottom"/>
          </w:tcPr>
          <w:p w14:paraId="5FA56B99" w14:textId="77777777" w:rsidR="005C615C" w:rsidRPr="00953DFE" w:rsidRDefault="005C615C" w:rsidP="005C615C">
            <w:pPr>
              <w:pStyle w:val="TableTextLeft"/>
              <w:jc w:val="right"/>
            </w:pPr>
            <w:r w:rsidRPr="00953DFE">
              <w:t>2.9</w:t>
            </w:r>
          </w:p>
        </w:tc>
      </w:tr>
      <w:tr w:rsidR="005C615C" w:rsidRPr="009C579D" w14:paraId="6D3E45DD" w14:textId="77777777" w:rsidTr="00AE6A8D">
        <w:trPr>
          <w:trHeight w:hRule="exact" w:val="300"/>
        </w:trPr>
        <w:tc>
          <w:tcPr>
            <w:tcW w:w="1701" w:type="dxa"/>
            <w:tcBorders>
              <w:top w:val="nil"/>
              <w:left w:val="nil"/>
              <w:bottom w:val="single" w:sz="2" w:space="0" w:color="000000"/>
              <w:right w:val="nil"/>
            </w:tcBorders>
            <w:vAlign w:val="bottom"/>
          </w:tcPr>
          <w:p w14:paraId="55F91E39" w14:textId="77777777" w:rsidR="005C615C" w:rsidRPr="008505A2" w:rsidRDefault="005C615C" w:rsidP="005C615C">
            <w:pPr>
              <w:pStyle w:val="TableTextLeft"/>
            </w:pPr>
            <w:r w:rsidRPr="008505A2">
              <w:t>2028-29</w:t>
            </w:r>
          </w:p>
        </w:tc>
        <w:tc>
          <w:tcPr>
            <w:tcW w:w="6026" w:type="dxa"/>
            <w:tcBorders>
              <w:top w:val="nil"/>
              <w:left w:val="nil"/>
              <w:bottom w:val="single" w:sz="2" w:space="0" w:color="000000"/>
              <w:right w:val="nil"/>
            </w:tcBorders>
            <w:vAlign w:val="bottom"/>
          </w:tcPr>
          <w:p w14:paraId="51094F91" w14:textId="77777777" w:rsidR="005C615C" w:rsidRPr="00953DFE" w:rsidRDefault="005C615C" w:rsidP="005C615C">
            <w:pPr>
              <w:pStyle w:val="TableTextLeft"/>
              <w:jc w:val="right"/>
            </w:pPr>
            <w:r w:rsidRPr="00953DFE">
              <w:t>2.8</w:t>
            </w:r>
          </w:p>
        </w:tc>
      </w:tr>
      <w:tr w:rsidR="005C615C" w:rsidRPr="009C579D" w14:paraId="3A310A86" w14:textId="77777777" w:rsidTr="00AE6A8D">
        <w:trPr>
          <w:trHeight w:hRule="exact" w:val="300"/>
        </w:trPr>
        <w:tc>
          <w:tcPr>
            <w:tcW w:w="1701" w:type="dxa"/>
            <w:tcBorders>
              <w:top w:val="single" w:sz="2" w:space="0" w:color="000000"/>
              <w:left w:val="nil"/>
              <w:bottom w:val="nil"/>
              <w:right w:val="nil"/>
            </w:tcBorders>
            <w:shd w:val="clear" w:color="auto" w:fill="F2F2F2" w:themeFill="background1" w:themeFillShade="F2"/>
            <w:vAlign w:val="bottom"/>
          </w:tcPr>
          <w:p w14:paraId="174C88A2" w14:textId="77777777" w:rsidR="005C615C" w:rsidRPr="008505A2" w:rsidRDefault="005C615C" w:rsidP="005C615C">
            <w:pPr>
              <w:pStyle w:val="TableTextLeft"/>
            </w:pPr>
            <w:r w:rsidRPr="008505A2">
              <w:t>2029-30</w:t>
            </w:r>
          </w:p>
        </w:tc>
        <w:tc>
          <w:tcPr>
            <w:tcW w:w="6026" w:type="dxa"/>
            <w:tcBorders>
              <w:top w:val="single" w:sz="2" w:space="0" w:color="000000"/>
              <w:left w:val="nil"/>
              <w:bottom w:val="nil"/>
              <w:right w:val="nil"/>
            </w:tcBorders>
            <w:shd w:val="clear" w:color="auto" w:fill="F2F2F2" w:themeFill="background1" w:themeFillShade="F2"/>
            <w:vAlign w:val="bottom"/>
          </w:tcPr>
          <w:p w14:paraId="6E227009" w14:textId="77777777" w:rsidR="005C615C" w:rsidRPr="00953DFE" w:rsidRDefault="005C615C" w:rsidP="005C615C">
            <w:pPr>
              <w:pStyle w:val="TableTextLeft"/>
              <w:jc w:val="right"/>
            </w:pPr>
            <w:r w:rsidRPr="00953DFE">
              <w:t>2.9</w:t>
            </w:r>
          </w:p>
        </w:tc>
      </w:tr>
      <w:tr w:rsidR="005C615C" w:rsidRPr="009C579D" w14:paraId="5FB6BFB1"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066D76E6" w14:textId="77777777" w:rsidR="005C615C" w:rsidRPr="008505A2" w:rsidRDefault="005C615C" w:rsidP="005C615C">
            <w:pPr>
              <w:pStyle w:val="TableTextLeft"/>
            </w:pPr>
            <w:r w:rsidRPr="008505A2">
              <w:t>2030-31</w:t>
            </w:r>
          </w:p>
        </w:tc>
        <w:tc>
          <w:tcPr>
            <w:tcW w:w="6026" w:type="dxa"/>
            <w:tcBorders>
              <w:top w:val="nil"/>
              <w:left w:val="nil"/>
              <w:bottom w:val="nil"/>
              <w:right w:val="nil"/>
            </w:tcBorders>
            <w:shd w:val="clear" w:color="auto" w:fill="F2F2F2" w:themeFill="background1" w:themeFillShade="F2"/>
            <w:vAlign w:val="bottom"/>
          </w:tcPr>
          <w:p w14:paraId="3076FC38" w14:textId="77777777" w:rsidR="005C615C" w:rsidRPr="00953DFE" w:rsidRDefault="005C615C" w:rsidP="005C615C">
            <w:pPr>
              <w:pStyle w:val="TableTextLeft"/>
              <w:jc w:val="right"/>
            </w:pPr>
            <w:r w:rsidRPr="00953DFE">
              <w:t>2.8</w:t>
            </w:r>
          </w:p>
        </w:tc>
      </w:tr>
      <w:tr w:rsidR="005C615C" w:rsidRPr="009C579D" w14:paraId="0DB50A23"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00E4D0DB" w14:textId="77777777" w:rsidR="005C615C" w:rsidRPr="008505A2" w:rsidRDefault="005C615C" w:rsidP="005C615C">
            <w:pPr>
              <w:pStyle w:val="TableTextLeft"/>
            </w:pPr>
            <w:r w:rsidRPr="008505A2">
              <w:t>2031-32</w:t>
            </w:r>
          </w:p>
        </w:tc>
        <w:tc>
          <w:tcPr>
            <w:tcW w:w="6026" w:type="dxa"/>
            <w:tcBorders>
              <w:top w:val="nil"/>
              <w:left w:val="nil"/>
              <w:bottom w:val="nil"/>
              <w:right w:val="nil"/>
            </w:tcBorders>
            <w:shd w:val="clear" w:color="auto" w:fill="F2F2F2" w:themeFill="background1" w:themeFillShade="F2"/>
            <w:vAlign w:val="bottom"/>
          </w:tcPr>
          <w:p w14:paraId="652D1615" w14:textId="77777777" w:rsidR="005C615C" w:rsidRPr="00953DFE" w:rsidRDefault="005C615C" w:rsidP="005C615C">
            <w:pPr>
              <w:pStyle w:val="TableTextLeft"/>
              <w:jc w:val="right"/>
            </w:pPr>
            <w:r w:rsidRPr="00953DFE">
              <w:t>2.9</w:t>
            </w:r>
          </w:p>
        </w:tc>
      </w:tr>
      <w:tr w:rsidR="005C615C" w:rsidRPr="009C579D" w14:paraId="201A2A8F"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75528BDF" w14:textId="77777777" w:rsidR="005C615C" w:rsidRPr="008505A2" w:rsidRDefault="005C615C" w:rsidP="005C615C">
            <w:pPr>
              <w:pStyle w:val="TableTextLeft"/>
            </w:pPr>
            <w:r w:rsidRPr="008505A2">
              <w:t>2032-33</w:t>
            </w:r>
          </w:p>
        </w:tc>
        <w:tc>
          <w:tcPr>
            <w:tcW w:w="6026" w:type="dxa"/>
            <w:tcBorders>
              <w:top w:val="nil"/>
              <w:left w:val="nil"/>
              <w:bottom w:val="nil"/>
              <w:right w:val="nil"/>
            </w:tcBorders>
            <w:shd w:val="clear" w:color="auto" w:fill="F2F2F2" w:themeFill="background1" w:themeFillShade="F2"/>
            <w:vAlign w:val="bottom"/>
          </w:tcPr>
          <w:p w14:paraId="7ACCDBD3" w14:textId="77777777" w:rsidR="005C615C" w:rsidRPr="00953DFE" w:rsidRDefault="005C615C" w:rsidP="005C615C">
            <w:pPr>
              <w:pStyle w:val="TableTextLeft"/>
              <w:jc w:val="right"/>
            </w:pPr>
            <w:r w:rsidRPr="00953DFE">
              <w:t>2.8</w:t>
            </w:r>
          </w:p>
        </w:tc>
      </w:tr>
      <w:tr w:rsidR="005C615C" w:rsidRPr="009C579D" w14:paraId="572CD9D8" w14:textId="77777777" w:rsidTr="00AE6A8D">
        <w:trPr>
          <w:trHeight w:hRule="exact" w:val="300"/>
        </w:trPr>
        <w:tc>
          <w:tcPr>
            <w:tcW w:w="1701" w:type="dxa"/>
            <w:tcBorders>
              <w:top w:val="nil"/>
              <w:left w:val="nil"/>
              <w:bottom w:val="single" w:sz="2" w:space="0" w:color="000000"/>
              <w:right w:val="nil"/>
            </w:tcBorders>
            <w:shd w:val="clear" w:color="auto" w:fill="F2F2F2" w:themeFill="background1" w:themeFillShade="F2"/>
            <w:vAlign w:val="bottom"/>
          </w:tcPr>
          <w:p w14:paraId="26DF81FF" w14:textId="77777777" w:rsidR="005C615C" w:rsidRPr="008505A2" w:rsidRDefault="005C615C" w:rsidP="005C615C">
            <w:pPr>
              <w:pStyle w:val="TableTextLeft"/>
            </w:pPr>
            <w:r w:rsidRPr="008505A2">
              <w:t>2033-34</w:t>
            </w:r>
          </w:p>
        </w:tc>
        <w:tc>
          <w:tcPr>
            <w:tcW w:w="6026" w:type="dxa"/>
            <w:tcBorders>
              <w:top w:val="nil"/>
              <w:left w:val="nil"/>
              <w:bottom w:val="single" w:sz="2" w:space="0" w:color="000000"/>
              <w:right w:val="nil"/>
            </w:tcBorders>
            <w:shd w:val="clear" w:color="auto" w:fill="F2F2F2" w:themeFill="background1" w:themeFillShade="F2"/>
            <w:vAlign w:val="bottom"/>
          </w:tcPr>
          <w:p w14:paraId="678AE981" w14:textId="77777777" w:rsidR="005C615C" w:rsidRPr="00953DFE" w:rsidRDefault="005C615C" w:rsidP="005C615C">
            <w:pPr>
              <w:pStyle w:val="TableTextLeft"/>
              <w:jc w:val="right"/>
            </w:pPr>
            <w:r w:rsidRPr="00953DFE">
              <w:t>2.9</w:t>
            </w:r>
          </w:p>
        </w:tc>
      </w:tr>
      <w:tr w:rsidR="008437B6" w:rsidRPr="009C579D" w14:paraId="334062E4" w14:textId="77777777" w:rsidTr="00AE6A8D">
        <w:trPr>
          <w:trHeight w:hRule="exact" w:val="300"/>
        </w:trPr>
        <w:tc>
          <w:tcPr>
            <w:tcW w:w="1701" w:type="dxa"/>
            <w:tcBorders>
              <w:top w:val="single" w:sz="2" w:space="0" w:color="000000"/>
              <w:left w:val="nil"/>
              <w:bottom w:val="nil"/>
              <w:right w:val="nil"/>
            </w:tcBorders>
            <w:vAlign w:val="bottom"/>
          </w:tcPr>
          <w:p w14:paraId="0E2BDEBD" w14:textId="77777777" w:rsidR="008437B6" w:rsidRPr="008505A2" w:rsidRDefault="008437B6" w:rsidP="004645D7">
            <w:pPr>
              <w:pStyle w:val="TableTextLeft"/>
            </w:pPr>
            <w:r w:rsidRPr="008505A2">
              <w:t>2034-35</w:t>
            </w:r>
          </w:p>
        </w:tc>
        <w:tc>
          <w:tcPr>
            <w:tcW w:w="6026" w:type="dxa"/>
            <w:tcBorders>
              <w:top w:val="single" w:sz="2" w:space="0" w:color="000000"/>
              <w:left w:val="nil"/>
              <w:bottom w:val="nil"/>
              <w:right w:val="nil"/>
            </w:tcBorders>
            <w:vAlign w:val="bottom"/>
          </w:tcPr>
          <w:p w14:paraId="440C9F19" w14:textId="77777777" w:rsidR="008437B6" w:rsidRPr="00953DFE" w:rsidRDefault="008437B6" w:rsidP="008437B6">
            <w:pPr>
              <w:pStyle w:val="TableTextLeft"/>
              <w:jc w:val="right"/>
            </w:pPr>
            <w:r w:rsidRPr="00953DFE">
              <w:t>2.8</w:t>
            </w:r>
          </w:p>
        </w:tc>
      </w:tr>
      <w:tr w:rsidR="008437B6" w:rsidRPr="009C579D" w14:paraId="247C8A12" w14:textId="77777777" w:rsidTr="00AE6A8D">
        <w:trPr>
          <w:trHeight w:hRule="exact" w:val="300"/>
        </w:trPr>
        <w:tc>
          <w:tcPr>
            <w:tcW w:w="1701" w:type="dxa"/>
            <w:tcBorders>
              <w:top w:val="nil"/>
              <w:left w:val="nil"/>
              <w:bottom w:val="nil"/>
              <w:right w:val="nil"/>
            </w:tcBorders>
            <w:vAlign w:val="bottom"/>
          </w:tcPr>
          <w:p w14:paraId="481E9261" w14:textId="77777777" w:rsidR="008437B6" w:rsidRPr="008505A2" w:rsidRDefault="008437B6" w:rsidP="004645D7">
            <w:pPr>
              <w:pStyle w:val="TableTextLeft"/>
            </w:pPr>
            <w:r w:rsidRPr="008505A2">
              <w:t>2035-36</w:t>
            </w:r>
          </w:p>
        </w:tc>
        <w:tc>
          <w:tcPr>
            <w:tcW w:w="6026" w:type="dxa"/>
            <w:tcBorders>
              <w:top w:val="nil"/>
              <w:left w:val="nil"/>
              <w:bottom w:val="nil"/>
              <w:right w:val="nil"/>
            </w:tcBorders>
            <w:vAlign w:val="bottom"/>
          </w:tcPr>
          <w:p w14:paraId="57E26D00" w14:textId="77777777" w:rsidR="008437B6" w:rsidRPr="00953DFE" w:rsidRDefault="008437B6" w:rsidP="008437B6">
            <w:pPr>
              <w:pStyle w:val="TableTextLeft"/>
              <w:jc w:val="right"/>
            </w:pPr>
            <w:r w:rsidRPr="00953DFE">
              <w:t>2.9</w:t>
            </w:r>
          </w:p>
        </w:tc>
      </w:tr>
      <w:tr w:rsidR="008437B6" w:rsidRPr="009C579D" w14:paraId="7FF190A7" w14:textId="77777777" w:rsidTr="00AE6A8D">
        <w:trPr>
          <w:trHeight w:hRule="exact" w:val="300"/>
        </w:trPr>
        <w:tc>
          <w:tcPr>
            <w:tcW w:w="1701" w:type="dxa"/>
            <w:tcBorders>
              <w:top w:val="nil"/>
              <w:left w:val="nil"/>
              <w:bottom w:val="nil"/>
              <w:right w:val="nil"/>
            </w:tcBorders>
            <w:vAlign w:val="bottom"/>
          </w:tcPr>
          <w:p w14:paraId="58C98BAF" w14:textId="77777777" w:rsidR="008437B6" w:rsidRPr="008505A2" w:rsidRDefault="008437B6" w:rsidP="004645D7">
            <w:pPr>
              <w:pStyle w:val="TableTextLeft"/>
            </w:pPr>
            <w:r w:rsidRPr="008505A2">
              <w:t>2036-37</w:t>
            </w:r>
          </w:p>
        </w:tc>
        <w:tc>
          <w:tcPr>
            <w:tcW w:w="6026" w:type="dxa"/>
            <w:tcBorders>
              <w:top w:val="nil"/>
              <w:left w:val="nil"/>
              <w:bottom w:val="nil"/>
              <w:right w:val="nil"/>
            </w:tcBorders>
            <w:vAlign w:val="bottom"/>
          </w:tcPr>
          <w:p w14:paraId="4700ACCA" w14:textId="77777777" w:rsidR="008437B6" w:rsidRPr="00953DFE" w:rsidRDefault="008437B6" w:rsidP="008437B6">
            <w:pPr>
              <w:pStyle w:val="TableTextLeft"/>
              <w:jc w:val="right"/>
            </w:pPr>
            <w:r w:rsidRPr="00953DFE">
              <w:t>2.8</w:t>
            </w:r>
          </w:p>
        </w:tc>
      </w:tr>
      <w:tr w:rsidR="008437B6" w:rsidRPr="009C579D" w14:paraId="621F7F11" w14:textId="77777777" w:rsidTr="00AE6A8D">
        <w:trPr>
          <w:trHeight w:hRule="exact" w:val="300"/>
        </w:trPr>
        <w:tc>
          <w:tcPr>
            <w:tcW w:w="1701" w:type="dxa"/>
            <w:tcBorders>
              <w:top w:val="nil"/>
              <w:left w:val="nil"/>
              <w:bottom w:val="nil"/>
              <w:right w:val="nil"/>
            </w:tcBorders>
            <w:vAlign w:val="bottom"/>
          </w:tcPr>
          <w:p w14:paraId="71475D9C" w14:textId="77777777" w:rsidR="008437B6" w:rsidRPr="008505A2" w:rsidRDefault="008437B6" w:rsidP="004645D7">
            <w:pPr>
              <w:pStyle w:val="TableTextLeft"/>
            </w:pPr>
            <w:r w:rsidRPr="008505A2">
              <w:t>2037-38</w:t>
            </w:r>
          </w:p>
        </w:tc>
        <w:tc>
          <w:tcPr>
            <w:tcW w:w="6026" w:type="dxa"/>
            <w:tcBorders>
              <w:top w:val="nil"/>
              <w:left w:val="nil"/>
              <w:bottom w:val="nil"/>
              <w:right w:val="nil"/>
            </w:tcBorders>
            <w:vAlign w:val="bottom"/>
          </w:tcPr>
          <w:p w14:paraId="59DF2F1E" w14:textId="77777777" w:rsidR="008437B6" w:rsidRPr="00953DFE" w:rsidRDefault="008437B6" w:rsidP="008437B6">
            <w:pPr>
              <w:pStyle w:val="TableTextLeft"/>
              <w:jc w:val="right"/>
            </w:pPr>
            <w:r w:rsidRPr="00953DFE">
              <w:t>2.8</w:t>
            </w:r>
          </w:p>
        </w:tc>
      </w:tr>
      <w:tr w:rsidR="008437B6" w:rsidRPr="009C579D" w14:paraId="48A5D2AE" w14:textId="77777777" w:rsidTr="00AE6A8D">
        <w:trPr>
          <w:trHeight w:hRule="exact" w:val="300"/>
        </w:trPr>
        <w:tc>
          <w:tcPr>
            <w:tcW w:w="1701" w:type="dxa"/>
            <w:tcBorders>
              <w:top w:val="nil"/>
              <w:left w:val="nil"/>
              <w:bottom w:val="single" w:sz="2" w:space="0" w:color="000000"/>
              <w:right w:val="nil"/>
            </w:tcBorders>
            <w:vAlign w:val="bottom"/>
          </w:tcPr>
          <w:p w14:paraId="6D5AA1F7" w14:textId="77777777" w:rsidR="008437B6" w:rsidRPr="008505A2" w:rsidRDefault="008437B6" w:rsidP="004645D7">
            <w:pPr>
              <w:pStyle w:val="TableTextLeft"/>
            </w:pPr>
            <w:r w:rsidRPr="008505A2">
              <w:t>2038-39</w:t>
            </w:r>
          </w:p>
        </w:tc>
        <w:tc>
          <w:tcPr>
            <w:tcW w:w="6026" w:type="dxa"/>
            <w:tcBorders>
              <w:top w:val="nil"/>
              <w:left w:val="nil"/>
              <w:bottom w:val="single" w:sz="2" w:space="0" w:color="000000"/>
              <w:right w:val="nil"/>
            </w:tcBorders>
            <w:vAlign w:val="bottom"/>
          </w:tcPr>
          <w:p w14:paraId="4904650F" w14:textId="77777777" w:rsidR="008437B6" w:rsidRPr="00953DFE" w:rsidRDefault="008437B6" w:rsidP="008437B6">
            <w:pPr>
              <w:pStyle w:val="TableTextLeft"/>
              <w:jc w:val="right"/>
            </w:pPr>
            <w:r w:rsidRPr="00953DFE">
              <w:t>2.8</w:t>
            </w:r>
          </w:p>
        </w:tc>
      </w:tr>
      <w:tr w:rsidR="008437B6" w:rsidRPr="009C579D" w14:paraId="6BD515C1" w14:textId="77777777" w:rsidTr="00AE6A8D">
        <w:trPr>
          <w:trHeight w:hRule="exact" w:val="300"/>
        </w:trPr>
        <w:tc>
          <w:tcPr>
            <w:tcW w:w="1701" w:type="dxa"/>
            <w:tcBorders>
              <w:top w:val="single" w:sz="2" w:space="0" w:color="000000"/>
              <w:left w:val="nil"/>
              <w:bottom w:val="nil"/>
              <w:right w:val="nil"/>
            </w:tcBorders>
            <w:shd w:val="clear" w:color="auto" w:fill="F2F2F2" w:themeFill="background1" w:themeFillShade="F2"/>
            <w:vAlign w:val="bottom"/>
          </w:tcPr>
          <w:p w14:paraId="1C903C13" w14:textId="77777777" w:rsidR="008437B6" w:rsidRPr="008505A2" w:rsidRDefault="008437B6" w:rsidP="004645D7">
            <w:pPr>
              <w:pStyle w:val="TableTextLeft"/>
            </w:pPr>
            <w:r w:rsidRPr="008505A2">
              <w:t>2039-40</w:t>
            </w:r>
          </w:p>
        </w:tc>
        <w:tc>
          <w:tcPr>
            <w:tcW w:w="6026" w:type="dxa"/>
            <w:tcBorders>
              <w:top w:val="single" w:sz="2" w:space="0" w:color="000000"/>
              <w:left w:val="nil"/>
              <w:bottom w:val="nil"/>
              <w:right w:val="nil"/>
            </w:tcBorders>
            <w:shd w:val="clear" w:color="auto" w:fill="F2F2F2" w:themeFill="background1" w:themeFillShade="F2"/>
            <w:vAlign w:val="bottom"/>
          </w:tcPr>
          <w:p w14:paraId="645D56BA" w14:textId="77777777" w:rsidR="008437B6" w:rsidRPr="00953DFE" w:rsidRDefault="008437B6" w:rsidP="008437B6">
            <w:pPr>
              <w:pStyle w:val="TableTextLeft"/>
              <w:jc w:val="right"/>
            </w:pPr>
            <w:r w:rsidRPr="00953DFE">
              <w:t>2.8</w:t>
            </w:r>
          </w:p>
        </w:tc>
      </w:tr>
      <w:tr w:rsidR="008437B6" w:rsidRPr="009C579D" w14:paraId="61E8DAA4"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68B07470" w14:textId="77777777" w:rsidR="008437B6" w:rsidRPr="008505A2" w:rsidRDefault="008437B6" w:rsidP="004645D7">
            <w:pPr>
              <w:pStyle w:val="TableTextLeft"/>
            </w:pPr>
            <w:r w:rsidRPr="008505A2">
              <w:t>2040-41</w:t>
            </w:r>
          </w:p>
        </w:tc>
        <w:tc>
          <w:tcPr>
            <w:tcW w:w="6026" w:type="dxa"/>
            <w:tcBorders>
              <w:top w:val="nil"/>
              <w:left w:val="nil"/>
              <w:bottom w:val="nil"/>
              <w:right w:val="nil"/>
            </w:tcBorders>
            <w:shd w:val="clear" w:color="auto" w:fill="F2F2F2" w:themeFill="background1" w:themeFillShade="F2"/>
            <w:vAlign w:val="bottom"/>
          </w:tcPr>
          <w:p w14:paraId="546FD91C" w14:textId="77777777" w:rsidR="008437B6" w:rsidRPr="00953DFE" w:rsidRDefault="008437B6" w:rsidP="008437B6">
            <w:pPr>
              <w:pStyle w:val="TableTextLeft"/>
              <w:jc w:val="right"/>
            </w:pPr>
            <w:r w:rsidRPr="00953DFE">
              <w:t>2.7</w:t>
            </w:r>
          </w:p>
        </w:tc>
      </w:tr>
      <w:tr w:rsidR="008437B6" w:rsidRPr="009C579D" w14:paraId="30A6576D"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3D18ACC1" w14:textId="77777777" w:rsidR="008437B6" w:rsidRPr="008505A2" w:rsidRDefault="008437B6" w:rsidP="004645D7">
            <w:pPr>
              <w:pStyle w:val="TableTextLeft"/>
            </w:pPr>
            <w:r w:rsidRPr="008505A2">
              <w:t>2041-42</w:t>
            </w:r>
          </w:p>
        </w:tc>
        <w:tc>
          <w:tcPr>
            <w:tcW w:w="6026" w:type="dxa"/>
            <w:tcBorders>
              <w:top w:val="nil"/>
              <w:left w:val="nil"/>
              <w:bottom w:val="nil"/>
              <w:right w:val="nil"/>
            </w:tcBorders>
            <w:shd w:val="clear" w:color="auto" w:fill="F2F2F2" w:themeFill="background1" w:themeFillShade="F2"/>
            <w:vAlign w:val="bottom"/>
          </w:tcPr>
          <w:p w14:paraId="76A84685" w14:textId="77777777" w:rsidR="008437B6" w:rsidRPr="00953DFE" w:rsidRDefault="008437B6" w:rsidP="008437B6">
            <w:pPr>
              <w:pStyle w:val="TableTextLeft"/>
              <w:jc w:val="right"/>
            </w:pPr>
            <w:r w:rsidRPr="00953DFE">
              <w:t>2.7</w:t>
            </w:r>
          </w:p>
        </w:tc>
      </w:tr>
      <w:tr w:rsidR="008437B6" w:rsidRPr="009C579D" w14:paraId="4D550E4D"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7874B4DB" w14:textId="77777777" w:rsidR="008437B6" w:rsidRPr="008505A2" w:rsidRDefault="008437B6" w:rsidP="004645D7">
            <w:pPr>
              <w:pStyle w:val="TableTextLeft"/>
            </w:pPr>
            <w:r w:rsidRPr="008505A2">
              <w:t>2042-43</w:t>
            </w:r>
          </w:p>
        </w:tc>
        <w:tc>
          <w:tcPr>
            <w:tcW w:w="6026" w:type="dxa"/>
            <w:tcBorders>
              <w:top w:val="nil"/>
              <w:left w:val="nil"/>
              <w:bottom w:val="nil"/>
              <w:right w:val="nil"/>
            </w:tcBorders>
            <w:shd w:val="clear" w:color="auto" w:fill="F2F2F2" w:themeFill="background1" w:themeFillShade="F2"/>
            <w:vAlign w:val="bottom"/>
          </w:tcPr>
          <w:p w14:paraId="304B219B" w14:textId="77777777" w:rsidR="008437B6" w:rsidRPr="00953DFE" w:rsidRDefault="008437B6" w:rsidP="008437B6">
            <w:pPr>
              <w:pStyle w:val="TableTextLeft"/>
              <w:jc w:val="right"/>
            </w:pPr>
            <w:r w:rsidRPr="00953DFE">
              <w:t>2.7</w:t>
            </w:r>
          </w:p>
        </w:tc>
      </w:tr>
      <w:tr w:rsidR="008437B6" w:rsidRPr="009C579D" w14:paraId="3B3A59A3" w14:textId="77777777" w:rsidTr="00AE6A8D">
        <w:trPr>
          <w:trHeight w:hRule="exact" w:val="300"/>
        </w:trPr>
        <w:tc>
          <w:tcPr>
            <w:tcW w:w="1701" w:type="dxa"/>
            <w:tcBorders>
              <w:top w:val="nil"/>
              <w:left w:val="nil"/>
              <w:bottom w:val="single" w:sz="2" w:space="0" w:color="000000"/>
              <w:right w:val="nil"/>
            </w:tcBorders>
            <w:shd w:val="clear" w:color="auto" w:fill="F2F2F2" w:themeFill="background1" w:themeFillShade="F2"/>
            <w:vAlign w:val="bottom"/>
          </w:tcPr>
          <w:p w14:paraId="53127564" w14:textId="77777777" w:rsidR="008437B6" w:rsidRPr="008505A2" w:rsidRDefault="008437B6" w:rsidP="004645D7">
            <w:pPr>
              <w:pStyle w:val="TableTextLeft"/>
            </w:pPr>
            <w:r w:rsidRPr="008505A2">
              <w:t>2043-44</w:t>
            </w:r>
          </w:p>
        </w:tc>
        <w:tc>
          <w:tcPr>
            <w:tcW w:w="6026" w:type="dxa"/>
            <w:tcBorders>
              <w:top w:val="nil"/>
              <w:left w:val="nil"/>
              <w:bottom w:val="single" w:sz="2" w:space="0" w:color="000000"/>
              <w:right w:val="nil"/>
            </w:tcBorders>
            <w:shd w:val="clear" w:color="auto" w:fill="F2F2F2" w:themeFill="background1" w:themeFillShade="F2"/>
            <w:vAlign w:val="bottom"/>
          </w:tcPr>
          <w:p w14:paraId="062E59DE" w14:textId="77777777" w:rsidR="008437B6" w:rsidRPr="00953DFE" w:rsidRDefault="008437B6" w:rsidP="008437B6">
            <w:pPr>
              <w:pStyle w:val="TableTextLeft"/>
              <w:jc w:val="right"/>
            </w:pPr>
            <w:r w:rsidRPr="00953DFE">
              <w:t>2.7</w:t>
            </w:r>
          </w:p>
        </w:tc>
      </w:tr>
      <w:tr w:rsidR="008437B6" w:rsidRPr="009C579D" w14:paraId="42BA0F16" w14:textId="77777777" w:rsidTr="00AE6A8D">
        <w:trPr>
          <w:trHeight w:hRule="exact" w:val="300"/>
        </w:trPr>
        <w:tc>
          <w:tcPr>
            <w:tcW w:w="1701" w:type="dxa"/>
            <w:tcBorders>
              <w:top w:val="single" w:sz="2" w:space="0" w:color="000000"/>
              <w:left w:val="nil"/>
              <w:bottom w:val="nil"/>
              <w:right w:val="nil"/>
            </w:tcBorders>
            <w:vAlign w:val="bottom"/>
          </w:tcPr>
          <w:p w14:paraId="488DA0B3" w14:textId="77777777" w:rsidR="008437B6" w:rsidRPr="008505A2" w:rsidRDefault="008437B6" w:rsidP="004645D7">
            <w:pPr>
              <w:pStyle w:val="TableTextLeft"/>
            </w:pPr>
            <w:r w:rsidRPr="008505A2">
              <w:t>2044-45</w:t>
            </w:r>
          </w:p>
        </w:tc>
        <w:tc>
          <w:tcPr>
            <w:tcW w:w="6026" w:type="dxa"/>
            <w:tcBorders>
              <w:top w:val="single" w:sz="2" w:space="0" w:color="000000"/>
              <w:left w:val="nil"/>
              <w:bottom w:val="nil"/>
              <w:right w:val="nil"/>
            </w:tcBorders>
            <w:vAlign w:val="bottom"/>
          </w:tcPr>
          <w:p w14:paraId="7C5ACEBC" w14:textId="77777777" w:rsidR="008437B6" w:rsidRPr="00953DFE" w:rsidRDefault="008437B6" w:rsidP="008437B6">
            <w:pPr>
              <w:pStyle w:val="TableTextLeft"/>
              <w:jc w:val="right"/>
            </w:pPr>
            <w:r w:rsidRPr="00953DFE">
              <w:t>2.7</w:t>
            </w:r>
          </w:p>
        </w:tc>
      </w:tr>
      <w:tr w:rsidR="008437B6" w:rsidRPr="009C579D" w14:paraId="1D9E540F" w14:textId="77777777" w:rsidTr="00AE6A8D">
        <w:trPr>
          <w:trHeight w:hRule="exact" w:val="300"/>
        </w:trPr>
        <w:tc>
          <w:tcPr>
            <w:tcW w:w="1701" w:type="dxa"/>
            <w:tcBorders>
              <w:top w:val="nil"/>
              <w:left w:val="nil"/>
              <w:bottom w:val="nil"/>
              <w:right w:val="nil"/>
            </w:tcBorders>
            <w:vAlign w:val="bottom"/>
          </w:tcPr>
          <w:p w14:paraId="76E1A484" w14:textId="77777777" w:rsidR="008437B6" w:rsidRPr="008505A2" w:rsidRDefault="008437B6" w:rsidP="004645D7">
            <w:pPr>
              <w:pStyle w:val="TableTextLeft"/>
            </w:pPr>
            <w:r w:rsidRPr="008505A2">
              <w:t>2045-46</w:t>
            </w:r>
          </w:p>
        </w:tc>
        <w:tc>
          <w:tcPr>
            <w:tcW w:w="6026" w:type="dxa"/>
            <w:tcBorders>
              <w:top w:val="nil"/>
              <w:left w:val="nil"/>
              <w:bottom w:val="nil"/>
              <w:right w:val="nil"/>
            </w:tcBorders>
            <w:vAlign w:val="bottom"/>
          </w:tcPr>
          <w:p w14:paraId="497160E0" w14:textId="77777777" w:rsidR="008437B6" w:rsidRPr="00953DFE" w:rsidRDefault="008437B6" w:rsidP="008437B6">
            <w:pPr>
              <w:pStyle w:val="TableTextLeft"/>
              <w:jc w:val="right"/>
            </w:pPr>
            <w:r w:rsidRPr="00953DFE">
              <w:t>2.6</w:t>
            </w:r>
          </w:p>
        </w:tc>
      </w:tr>
      <w:tr w:rsidR="008437B6" w:rsidRPr="009C579D" w14:paraId="2C89A39A" w14:textId="77777777" w:rsidTr="00AE6A8D">
        <w:trPr>
          <w:trHeight w:hRule="exact" w:val="300"/>
        </w:trPr>
        <w:tc>
          <w:tcPr>
            <w:tcW w:w="1701" w:type="dxa"/>
            <w:tcBorders>
              <w:top w:val="nil"/>
              <w:left w:val="nil"/>
              <w:bottom w:val="nil"/>
              <w:right w:val="nil"/>
            </w:tcBorders>
            <w:vAlign w:val="bottom"/>
          </w:tcPr>
          <w:p w14:paraId="5E0B7F64" w14:textId="77777777" w:rsidR="008437B6" w:rsidRPr="009C579D" w:rsidRDefault="008437B6" w:rsidP="004645D7">
            <w:pPr>
              <w:pStyle w:val="TableTextLeft"/>
            </w:pPr>
            <w:r>
              <w:t>2046-47</w:t>
            </w:r>
          </w:p>
        </w:tc>
        <w:tc>
          <w:tcPr>
            <w:tcW w:w="6026" w:type="dxa"/>
            <w:tcBorders>
              <w:top w:val="nil"/>
              <w:left w:val="nil"/>
              <w:bottom w:val="nil"/>
              <w:right w:val="nil"/>
            </w:tcBorders>
            <w:vAlign w:val="bottom"/>
          </w:tcPr>
          <w:p w14:paraId="7A230527" w14:textId="77777777" w:rsidR="008437B6" w:rsidRPr="00953DFE" w:rsidRDefault="008437B6" w:rsidP="008437B6">
            <w:pPr>
              <w:pStyle w:val="TableTextLeft"/>
              <w:jc w:val="right"/>
            </w:pPr>
            <w:r w:rsidRPr="00953DFE">
              <w:t>2.6</w:t>
            </w:r>
          </w:p>
        </w:tc>
      </w:tr>
      <w:tr w:rsidR="008437B6" w:rsidRPr="009C579D" w14:paraId="5088A2D8" w14:textId="77777777" w:rsidTr="00AE6A8D">
        <w:trPr>
          <w:trHeight w:hRule="exact" w:val="300"/>
        </w:trPr>
        <w:tc>
          <w:tcPr>
            <w:tcW w:w="1701" w:type="dxa"/>
            <w:tcBorders>
              <w:top w:val="nil"/>
              <w:left w:val="nil"/>
              <w:bottom w:val="nil"/>
              <w:right w:val="nil"/>
            </w:tcBorders>
            <w:vAlign w:val="bottom"/>
          </w:tcPr>
          <w:p w14:paraId="37561D24" w14:textId="77777777" w:rsidR="008437B6" w:rsidRPr="009C579D" w:rsidRDefault="008437B6" w:rsidP="004645D7">
            <w:pPr>
              <w:pStyle w:val="TableTextLeft"/>
            </w:pPr>
            <w:r>
              <w:t>2047-48</w:t>
            </w:r>
          </w:p>
        </w:tc>
        <w:tc>
          <w:tcPr>
            <w:tcW w:w="6026" w:type="dxa"/>
            <w:tcBorders>
              <w:top w:val="nil"/>
              <w:left w:val="nil"/>
              <w:bottom w:val="nil"/>
              <w:right w:val="nil"/>
            </w:tcBorders>
            <w:vAlign w:val="bottom"/>
          </w:tcPr>
          <w:p w14:paraId="7DA8D1E1" w14:textId="77777777" w:rsidR="008437B6" w:rsidRPr="00953DFE" w:rsidRDefault="008437B6" w:rsidP="008437B6">
            <w:pPr>
              <w:pStyle w:val="TableTextLeft"/>
              <w:jc w:val="right"/>
            </w:pPr>
            <w:r w:rsidRPr="00953DFE">
              <w:t>2.6</w:t>
            </w:r>
          </w:p>
        </w:tc>
      </w:tr>
      <w:tr w:rsidR="008437B6" w:rsidRPr="009C579D" w14:paraId="7A456084" w14:textId="77777777" w:rsidTr="00AE6A8D">
        <w:trPr>
          <w:trHeight w:hRule="exact" w:val="300"/>
        </w:trPr>
        <w:tc>
          <w:tcPr>
            <w:tcW w:w="1701" w:type="dxa"/>
            <w:tcBorders>
              <w:top w:val="nil"/>
              <w:left w:val="nil"/>
              <w:bottom w:val="single" w:sz="2" w:space="0" w:color="000000"/>
              <w:right w:val="nil"/>
            </w:tcBorders>
            <w:vAlign w:val="bottom"/>
          </w:tcPr>
          <w:p w14:paraId="24DC06EC" w14:textId="77777777" w:rsidR="008437B6" w:rsidRPr="009C579D" w:rsidRDefault="008437B6" w:rsidP="004645D7">
            <w:pPr>
              <w:pStyle w:val="TableTextLeft"/>
            </w:pPr>
            <w:r>
              <w:t>2048-49</w:t>
            </w:r>
          </w:p>
        </w:tc>
        <w:tc>
          <w:tcPr>
            <w:tcW w:w="6026" w:type="dxa"/>
            <w:tcBorders>
              <w:top w:val="nil"/>
              <w:left w:val="nil"/>
              <w:bottom w:val="single" w:sz="2" w:space="0" w:color="000000"/>
              <w:right w:val="nil"/>
            </w:tcBorders>
            <w:vAlign w:val="bottom"/>
          </w:tcPr>
          <w:p w14:paraId="28024608" w14:textId="77777777" w:rsidR="008437B6" w:rsidRPr="00953DFE" w:rsidRDefault="008437B6" w:rsidP="008437B6">
            <w:pPr>
              <w:pStyle w:val="TableTextLeft"/>
              <w:jc w:val="right"/>
            </w:pPr>
            <w:r w:rsidRPr="00953DFE">
              <w:t>2.5</w:t>
            </w:r>
          </w:p>
        </w:tc>
      </w:tr>
      <w:tr w:rsidR="00D84B75" w:rsidRPr="009C579D" w14:paraId="1E85325D" w14:textId="77777777" w:rsidTr="00AE6A8D">
        <w:trPr>
          <w:trHeight w:hRule="exact" w:val="236"/>
        </w:trPr>
        <w:tc>
          <w:tcPr>
            <w:tcW w:w="1701" w:type="dxa"/>
            <w:tcBorders>
              <w:top w:val="nil"/>
              <w:left w:val="nil"/>
              <w:bottom w:val="nil"/>
              <w:right w:val="nil"/>
            </w:tcBorders>
            <w:shd w:val="clear" w:color="auto" w:fill="F2F2F2" w:themeFill="background1" w:themeFillShade="F2"/>
            <w:vAlign w:val="bottom"/>
          </w:tcPr>
          <w:p w14:paraId="5294B052" w14:textId="3DC70E9D" w:rsidR="00D84B75" w:rsidRPr="008505A2" w:rsidRDefault="00D84B75" w:rsidP="00D84B75">
            <w:pPr>
              <w:pStyle w:val="TableTextLeft"/>
            </w:pPr>
            <w:r w:rsidRPr="008505A2">
              <w:t>20</w:t>
            </w:r>
            <w:r>
              <w:t>49</w:t>
            </w:r>
            <w:r w:rsidRPr="008505A2">
              <w:t>-</w:t>
            </w:r>
            <w:r>
              <w:t>50</w:t>
            </w:r>
          </w:p>
        </w:tc>
        <w:tc>
          <w:tcPr>
            <w:tcW w:w="6026" w:type="dxa"/>
            <w:tcBorders>
              <w:top w:val="nil"/>
              <w:left w:val="nil"/>
              <w:bottom w:val="nil"/>
              <w:right w:val="nil"/>
            </w:tcBorders>
            <w:shd w:val="clear" w:color="auto" w:fill="F2F2F2" w:themeFill="background1" w:themeFillShade="F2"/>
            <w:vAlign w:val="bottom"/>
          </w:tcPr>
          <w:p w14:paraId="2D3D2A1C" w14:textId="77777777" w:rsidR="00D84B75" w:rsidRPr="00953DFE" w:rsidRDefault="00D84B75" w:rsidP="00D84B75">
            <w:pPr>
              <w:pStyle w:val="TableTextLeft"/>
              <w:jc w:val="right"/>
            </w:pPr>
            <w:r w:rsidRPr="00953DFE">
              <w:t>2.</w:t>
            </w:r>
            <w:r>
              <w:t>5</w:t>
            </w:r>
          </w:p>
        </w:tc>
      </w:tr>
      <w:tr w:rsidR="00D84B75" w:rsidRPr="009C579D" w14:paraId="43337ED7"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76E9EA7B" w14:textId="77777777" w:rsidR="00D84B75" w:rsidRPr="008505A2" w:rsidRDefault="00D84B75" w:rsidP="00D84B75">
            <w:pPr>
              <w:pStyle w:val="TableTextLeft"/>
            </w:pPr>
            <w:r w:rsidRPr="008505A2">
              <w:t>20</w:t>
            </w:r>
            <w:r>
              <w:t>50</w:t>
            </w:r>
            <w:r w:rsidRPr="008505A2">
              <w:t>-</w:t>
            </w:r>
            <w:r>
              <w:t>51</w:t>
            </w:r>
          </w:p>
        </w:tc>
        <w:tc>
          <w:tcPr>
            <w:tcW w:w="6026" w:type="dxa"/>
            <w:tcBorders>
              <w:top w:val="nil"/>
              <w:left w:val="nil"/>
              <w:bottom w:val="nil"/>
              <w:right w:val="nil"/>
            </w:tcBorders>
            <w:shd w:val="clear" w:color="auto" w:fill="F2F2F2" w:themeFill="background1" w:themeFillShade="F2"/>
            <w:vAlign w:val="bottom"/>
          </w:tcPr>
          <w:p w14:paraId="06D56294" w14:textId="77777777" w:rsidR="00D84B75" w:rsidRPr="00953DFE" w:rsidRDefault="00D84B75" w:rsidP="00D84B75">
            <w:pPr>
              <w:pStyle w:val="TableTextLeft"/>
              <w:jc w:val="right"/>
            </w:pPr>
            <w:r w:rsidRPr="00953DFE">
              <w:t>2.</w:t>
            </w:r>
            <w:r>
              <w:t>5</w:t>
            </w:r>
          </w:p>
        </w:tc>
      </w:tr>
      <w:tr w:rsidR="00D84B75" w:rsidRPr="009C579D" w14:paraId="78E01D8A"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2995C4FD" w14:textId="77777777" w:rsidR="00D84B75" w:rsidRPr="009C579D" w:rsidRDefault="00D84B75" w:rsidP="00D84B75">
            <w:pPr>
              <w:pStyle w:val="TableTextLeft"/>
            </w:pPr>
            <w:r>
              <w:t>2051-52</w:t>
            </w:r>
          </w:p>
        </w:tc>
        <w:tc>
          <w:tcPr>
            <w:tcW w:w="6026" w:type="dxa"/>
            <w:tcBorders>
              <w:top w:val="nil"/>
              <w:left w:val="nil"/>
              <w:bottom w:val="nil"/>
              <w:right w:val="nil"/>
            </w:tcBorders>
            <w:shd w:val="clear" w:color="auto" w:fill="F2F2F2" w:themeFill="background1" w:themeFillShade="F2"/>
            <w:vAlign w:val="bottom"/>
          </w:tcPr>
          <w:p w14:paraId="71B2F14D" w14:textId="77777777" w:rsidR="00D84B75" w:rsidRPr="00953DFE" w:rsidRDefault="00D84B75" w:rsidP="00D84B75">
            <w:pPr>
              <w:pStyle w:val="TableTextLeft"/>
              <w:jc w:val="right"/>
            </w:pPr>
            <w:r w:rsidRPr="00953DFE">
              <w:t>2.</w:t>
            </w:r>
            <w:r>
              <w:t>5</w:t>
            </w:r>
          </w:p>
        </w:tc>
      </w:tr>
      <w:tr w:rsidR="00D84B75" w:rsidRPr="009C579D" w14:paraId="13195897" w14:textId="77777777" w:rsidTr="00AE6A8D">
        <w:trPr>
          <w:trHeight w:hRule="exact" w:val="300"/>
        </w:trPr>
        <w:tc>
          <w:tcPr>
            <w:tcW w:w="1701" w:type="dxa"/>
            <w:tcBorders>
              <w:top w:val="nil"/>
              <w:left w:val="nil"/>
              <w:bottom w:val="nil"/>
              <w:right w:val="nil"/>
            </w:tcBorders>
            <w:shd w:val="clear" w:color="auto" w:fill="F2F2F2" w:themeFill="background1" w:themeFillShade="F2"/>
            <w:vAlign w:val="bottom"/>
          </w:tcPr>
          <w:p w14:paraId="48DA4007" w14:textId="77777777" w:rsidR="00D84B75" w:rsidRPr="009C579D" w:rsidRDefault="00D84B75" w:rsidP="00D84B75">
            <w:pPr>
              <w:pStyle w:val="TableTextLeft"/>
            </w:pPr>
            <w:r>
              <w:t>2052-53</w:t>
            </w:r>
          </w:p>
        </w:tc>
        <w:tc>
          <w:tcPr>
            <w:tcW w:w="6026" w:type="dxa"/>
            <w:tcBorders>
              <w:top w:val="nil"/>
              <w:left w:val="nil"/>
              <w:bottom w:val="nil"/>
              <w:right w:val="nil"/>
            </w:tcBorders>
            <w:shd w:val="clear" w:color="auto" w:fill="F2F2F2" w:themeFill="background1" w:themeFillShade="F2"/>
            <w:vAlign w:val="bottom"/>
          </w:tcPr>
          <w:p w14:paraId="77D720FC" w14:textId="77777777" w:rsidR="00D84B75" w:rsidRPr="00953DFE" w:rsidRDefault="00D84B75" w:rsidP="00D84B75">
            <w:pPr>
              <w:pStyle w:val="TableTextLeft"/>
              <w:jc w:val="right"/>
            </w:pPr>
            <w:r w:rsidRPr="00953DFE">
              <w:t>2.</w:t>
            </w:r>
            <w:r>
              <w:t>4</w:t>
            </w:r>
          </w:p>
        </w:tc>
      </w:tr>
      <w:tr w:rsidR="00D84B75" w:rsidRPr="009C579D" w14:paraId="576F8023" w14:textId="77777777" w:rsidTr="00AE6A8D">
        <w:trPr>
          <w:trHeight w:hRule="exact" w:val="300"/>
        </w:trPr>
        <w:tc>
          <w:tcPr>
            <w:tcW w:w="1701" w:type="dxa"/>
            <w:tcBorders>
              <w:top w:val="nil"/>
              <w:left w:val="nil"/>
              <w:bottom w:val="single" w:sz="4" w:space="0" w:color="auto"/>
              <w:right w:val="nil"/>
            </w:tcBorders>
            <w:shd w:val="clear" w:color="auto" w:fill="F2F2F2" w:themeFill="background1" w:themeFillShade="F2"/>
            <w:vAlign w:val="bottom"/>
          </w:tcPr>
          <w:p w14:paraId="4E6841B1" w14:textId="77777777" w:rsidR="00D84B75" w:rsidRPr="009C579D" w:rsidRDefault="00D84B75" w:rsidP="00D84B75">
            <w:pPr>
              <w:pStyle w:val="TableTextLeft"/>
            </w:pPr>
            <w:r>
              <w:t>2053-54</w:t>
            </w:r>
          </w:p>
        </w:tc>
        <w:tc>
          <w:tcPr>
            <w:tcW w:w="6026" w:type="dxa"/>
            <w:tcBorders>
              <w:top w:val="nil"/>
              <w:left w:val="nil"/>
              <w:bottom w:val="single" w:sz="4" w:space="0" w:color="auto"/>
              <w:right w:val="nil"/>
            </w:tcBorders>
            <w:shd w:val="clear" w:color="auto" w:fill="F2F2F2" w:themeFill="background1" w:themeFillShade="F2"/>
            <w:vAlign w:val="bottom"/>
          </w:tcPr>
          <w:p w14:paraId="10ACFCEB" w14:textId="77777777" w:rsidR="00D84B75" w:rsidRPr="00953DFE" w:rsidRDefault="00D84B75" w:rsidP="00D84B75">
            <w:pPr>
              <w:pStyle w:val="TableTextLeft"/>
              <w:jc w:val="right"/>
            </w:pPr>
            <w:r w:rsidRPr="00953DFE">
              <w:t>2.</w:t>
            </w:r>
            <w:r>
              <w:t>4</w:t>
            </w:r>
          </w:p>
        </w:tc>
      </w:tr>
      <w:tr w:rsidR="00D84B75" w:rsidRPr="009C579D" w14:paraId="5A05EF0E" w14:textId="77777777" w:rsidTr="00AE6A8D">
        <w:trPr>
          <w:trHeight w:hRule="exact" w:val="300"/>
        </w:trPr>
        <w:tc>
          <w:tcPr>
            <w:tcW w:w="1701" w:type="dxa"/>
            <w:tcBorders>
              <w:top w:val="single" w:sz="4" w:space="0" w:color="auto"/>
              <w:left w:val="nil"/>
              <w:bottom w:val="single" w:sz="4" w:space="0" w:color="auto"/>
              <w:right w:val="nil"/>
            </w:tcBorders>
            <w:vAlign w:val="bottom"/>
          </w:tcPr>
          <w:p w14:paraId="6B93A477" w14:textId="77777777" w:rsidR="00D84B75" w:rsidRDefault="00D84B75" w:rsidP="00D84B75">
            <w:pPr>
              <w:pStyle w:val="TableTextLeft"/>
            </w:pPr>
            <w:r>
              <w:t>2054-55</w:t>
            </w:r>
          </w:p>
        </w:tc>
        <w:tc>
          <w:tcPr>
            <w:tcW w:w="6026" w:type="dxa"/>
            <w:tcBorders>
              <w:top w:val="single" w:sz="4" w:space="0" w:color="auto"/>
              <w:left w:val="nil"/>
              <w:bottom w:val="single" w:sz="4" w:space="0" w:color="auto"/>
              <w:right w:val="nil"/>
            </w:tcBorders>
            <w:vAlign w:val="bottom"/>
          </w:tcPr>
          <w:p w14:paraId="1A195CB3" w14:textId="77777777" w:rsidR="00D84B75" w:rsidRPr="00953DFE" w:rsidRDefault="00340EDA" w:rsidP="00D84B75">
            <w:pPr>
              <w:pStyle w:val="TableTextLeft"/>
              <w:jc w:val="right"/>
            </w:pPr>
            <w:r>
              <w:t>2.4</w:t>
            </w:r>
          </w:p>
        </w:tc>
      </w:tr>
    </w:tbl>
    <w:p w14:paraId="30B0D67C" w14:textId="77777777" w:rsidR="00CA435F" w:rsidRPr="001973A3" w:rsidRDefault="00CA435F" w:rsidP="001973A3"/>
    <w:p w14:paraId="0B212A31" w14:textId="77777777" w:rsidR="00CA435F" w:rsidRPr="001973A3" w:rsidRDefault="00CA435F" w:rsidP="001973A3">
      <w:pPr>
        <w:sectPr w:rsidR="00CA435F" w:rsidRPr="001973A3" w:rsidSect="000E6C41">
          <w:headerReference w:type="default" r:id="rId74"/>
          <w:headerReference w:type="first" r:id="rId75"/>
          <w:type w:val="oddPage"/>
          <w:pgSz w:w="11906" w:h="16838" w:code="9"/>
          <w:pgMar w:top="2466" w:right="2098" w:bottom="2466" w:left="2098" w:header="1899" w:footer="1899" w:gutter="0"/>
          <w:cols w:space="708"/>
          <w:titlePg/>
          <w:docGrid w:linePitch="360"/>
        </w:sectPr>
      </w:pPr>
    </w:p>
    <w:p w14:paraId="125C56CC" w14:textId="77777777" w:rsidR="00E77F7B" w:rsidRPr="0030448F" w:rsidRDefault="00E77F7B" w:rsidP="00E77F7B">
      <w:pPr>
        <w:pStyle w:val="AppendixHeading"/>
      </w:pPr>
      <w:bookmarkStart w:id="111" w:name="_Toc425770502"/>
      <w:r w:rsidRPr="0030448F">
        <w:lastRenderedPageBreak/>
        <w:t>Appendix D</w:t>
      </w:r>
      <w:bookmarkEnd w:id="111"/>
    </w:p>
    <w:p w14:paraId="7B7A7E0A" w14:textId="4ED96853" w:rsidR="00E77F7B" w:rsidRPr="0030448F" w:rsidRDefault="00E77F7B" w:rsidP="00EB2452">
      <w:pPr>
        <w:pStyle w:val="Heading2nonumbering"/>
      </w:pPr>
      <w:bookmarkStart w:id="112" w:name="_Toc425770503"/>
      <w:r w:rsidRPr="0030448F">
        <w:t xml:space="preserve">Sensitivity </w:t>
      </w:r>
      <w:r w:rsidR="00107010">
        <w:t>a</w:t>
      </w:r>
      <w:r w:rsidRPr="0030448F">
        <w:t>nalysis</w:t>
      </w:r>
      <w:bookmarkEnd w:id="112"/>
    </w:p>
    <w:p w14:paraId="25422CBC" w14:textId="77777777" w:rsidR="00E77F7B" w:rsidRPr="0030448F" w:rsidRDefault="00757432" w:rsidP="002973D9">
      <w:pPr>
        <w:pStyle w:val="BodyText-Appendix"/>
      </w:pPr>
      <w:r w:rsidRPr="0030448F">
        <w:t>S</w:t>
      </w:r>
      <w:r w:rsidR="00E77F7B" w:rsidRPr="0030448F">
        <w:t xml:space="preserve">ome sensitivity analyses </w:t>
      </w:r>
      <w:r w:rsidR="001549EF">
        <w:t>have</w:t>
      </w:r>
      <w:r w:rsidRPr="0030448F">
        <w:t xml:space="preserve"> been undertaken </w:t>
      </w:r>
      <w:r w:rsidR="00E77F7B" w:rsidRPr="0030448F">
        <w:t>on a variety of factors to show their impact on the unfunded liabilities for all schemes and the notional employer contribution rates for the DFRDB and MSBS.</w:t>
      </w:r>
    </w:p>
    <w:p w14:paraId="76BAFFBC" w14:textId="727F1613" w:rsidR="00E77F7B" w:rsidRPr="0030448F" w:rsidRDefault="00E77F7B" w:rsidP="002973D9">
      <w:pPr>
        <w:pStyle w:val="BodyText-Appendix"/>
      </w:pPr>
      <w:r w:rsidRPr="0030448F">
        <w:t>The key sensitivities around the costs of the schemes rela</w:t>
      </w:r>
      <w:r w:rsidR="001549EF">
        <w:t>te to the economic parameters.</w:t>
      </w:r>
      <w:r w:rsidR="00212C90">
        <w:t xml:space="preserve"> </w:t>
      </w:r>
      <w:r w:rsidRPr="0030448F">
        <w:t xml:space="preserve">Accordingly, six scenarios which </w:t>
      </w:r>
      <w:r w:rsidR="00757432" w:rsidRPr="0030448F">
        <w:t>illustrate</w:t>
      </w:r>
      <w:r w:rsidRPr="0030448F">
        <w:t xml:space="preserve"> the impacts of changes to the economic assumptions</w:t>
      </w:r>
      <w:r w:rsidR="00757432" w:rsidRPr="0030448F">
        <w:t xml:space="preserve"> have been modelled</w:t>
      </w:r>
      <w:r w:rsidRPr="0030448F">
        <w:t>, specifically:</w:t>
      </w:r>
    </w:p>
    <w:p w14:paraId="7EF1CE86" w14:textId="3DA17D12" w:rsidR="002A2808" w:rsidRPr="0030448F" w:rsidRDefault="002A2808" w:rsidP="002973D9">
      <w:pPr>
        <w:pStyle w:val="Bulletindent"/>
      </w:pPr>
      <w:r w:rsidRPr="0030448F">
        <w:t>a decrease of 1 percentage point in the annual interest rate used</w:t>
      </w:r>
      <w:r w:rsidR="00D54822">
        <w:br/>
      </w:r>
      <w:r w:rsidRPr="0030448F">
        <w:t>(to 5% pa);</w:t>
      </w:r>
    </w:p>
    <w:p w14:paraId="1D8CD4DB" w14:textId="31538F45" w:rsidR="00E77F7B" w:rsidRPr="0030448F" w:rsidRDefault="00757432" w:rsidP="002973D9">
      <w:pPr>
        <w:pStyle w:val="Bulletindent"/>
      </w:pPr>
      <w:r w:rsidRPr="0030448F">
        <w:t>a</w:t>
      </w:r>
      <w:r w:rsidR="00E77F7B" w:rsidRPr="0030448F">
        <w:t>n increase of 1 percentage point i</w:t>
      </w:r>
      <w:r w:rsidR="00281D5E">
        <w:t>n the annual interest rate used</w:t>
      </w:r>
      <w:r w:rsidR="00D54822">
        <w:br/>
      </w:r>
      <w:r w:rsidR="00E77F7B" w:rsidRPr="0030448F">
        <w:t>(to 7% pa);</w:t>
      </w:r>
    </w:p>
    <w:p w14:paraId="3ECE97DF" w14:textId="77777777" w:rsidR="002A2808" w:rsidRPr="0030448F" w:rsidRDefault="002A2808" w:rsidP="002973D9">
      <w:pPr>
        <w:pStyle w:val="Bulletindent"/>
      </w:pPr>
      <w:r w:rsidRPr="0030448F">
        <w:t xml:space="preserve">a decrease of 1 percentage point in the assumed annual rate of general salary </w:t>
      </w:r>
      <w:r w:rsidR="00593C36">
        <w:t>(</w:t>
      </w:r>
      <w:r w:rsidR="001549EF">
        <w:t xml:space="preserve">and MTAWE) </w:t>
      </w:r>
      <w:r w:rsidRPr="0030448F">
        <w:t>inflation (to 3% pa);</w:t>
      </w:r>
    </w:p>
    <w:p w14:paraId="16A51656" w14:textId="77777777" w:rsidR="00E77F7B" w:rsidRPr="0030448F" w:rsidRDefault="00757432" w:rsidP="002973D9">
      <w:pPr>
        <w:pStyle w:val="Bulletindent"/>
      </w:pPr>
      <w:r w:rsidRPr="0030448F">
        <w:t>a</w:t>
      </w:r>
      <w:r w:rsidR="00E77F7B" w:rsidRPr="0030448F">
        <w:t xml:space="preserve">n increase of 1 percentage point in the assumed annual rate of general salary </w:t>
      </w:r>
      <w:r w:rsidR="001549EF">
        <w:t xml:space="preserve">(and MTAWE) </w:t>
      </w:r>
      <w:r w:rsidR="00E77F7B" w:rsidRPr="0030448F">
        <w:t>inflation (to 5% pa);</w:t>
      </w:r>
    </w:p>
    <w:p w14:paraId="5656B04A" w14:textId="69A23747" w:rsidR="002A2808" w:rsidRPr="0030448F" w:rsidRDefault="002A2808" w:rsidP="002973D9">
      <w:pPr>
        <w:pStyle w:val="Bulletindent"/>
      </w:pPr>
      <w:r w:rsidRPr="0030448F">
        <w:t>a decrease of 1 percentage point in the assumed annual rate of CPI inflation</w:t>
      </w:r>
      <w:r w:rsidR="00D54822">
        <w:t xml:space="preserve"> </w:t>
      </w:r>
      <w:r w:rsidRPr="0030448F">
        <w:t>(to 1.5% pa); and.</w:t>
      </w:r>
    </w:p>
    <w:p w14:paraId="56B5F8EC" w14:textId="018AD9E2" w:rsidR="00E77F7B" w:rsidRPr="0030448F" w:rsidRDefault="00757432" w:rsidP="002973D9">
      <w:pPr>
        <w:pStyle w:val="Bulletindent"/>
      </w:pPr>
      <w:r w:rsidRPr="0030448F">
        <w:t>a</w:t>
      </w:r>
      <w:r w:rsidR="00E77F7B" w:rsidRPr="0030448F">
        <w:t>n increase of 1 percentage point in the assumed annual rate of CPI inflation</w:t>
      </w:r>
      <w:r w:rsidR="00D54822">
        <w:t xml:space="preserve"> </w:t>
      </w:r>
      <w:r w:rsidR="00E77F7B" w:rsidRPr="0030448F">
        <w:t>(to 3.5% pa</w:t>
      </w:r>
      <w:r w:rsidR="002A2808" w:rsidRPr="0030448F">
        <w:t>).</w:t>
      </w:r>
    </w:p>
    <w:p w14:paraId="1E1B611C" w14:textId="77777777" w:rsidR="00E77F7B" w:rsidRPr="0030448F" w:rsidRDefault="00E77F7B" w:rsidP="002973D9">
      <w:pPr>
        <w:pStyle w:val="BodyText-Appendix"/>
      </w:pPr>
      <w:r w:rsidRPr="0030448F">
        <w:t xml:space="preserve">In each case, it is assumed that the other economic assumptions are unchanged. The </w:t>
      </w:r>
      <w:r w:rsidR="001549EF">
        <w:t xml:space="preserve">nominal </w:t>
      </w:r>
      <w:r w:rsidRPr="0030448F">
        <w:t>base assumptions for this purpose</w:t>
      </w:r>
      <w:r w:rsidR="00EB28DD">
        <w:t xml:space="preserve"> are those adopted for the Long-</w:t>
      </w:r>
      <w:r w:rsidRPr="0030448F">
        <w:t>Term Cost Report, namely:</w:t>
      </w:r>
    </w:p>
    <w:p w14:paraId="1B692DD1" w14:textId="62476FFD" w:rsidR="00E77F7B" w:rsidRPr="0030448F" w:rsidRDefault="00E77F7B" w:rsidP="00DB65C7">
      <w:pPr>
        <w:pStyle w:val="NoNumberIndent-Appendix"/>
        <w:tabs>
          <w:tab w:val="left" w:pos="3261"/>
        </w:tabs>
      </w:pPr>
      <w:r w:rsidRPr="00E5449D">
        <w:rPr>
          <w:b/>
        </w:rPr>
        <w:t>Interest rate</w:t>
      </w:r>
      <w:r w:rsidRPr="0030448F">
        <w:tab/>
        <w:t>6.0% pa</w:t>
      </w:r>
    </w:p>
    <w:p w14:paraId="2D0F58B5" w14:textId="611D593F" w:rsidR="00E77F7B" w:rsidRPr="0030448F" w:rsidRDefault="00E77F7B" w:rsidP="00DB65C7">
      <w:pPr>
        <w:pStyle w:val="NoNumberIndent-Appendix"/>
        <w:tabs>
          <w:tab w:val="left" w:pos="3261"/>
        </w:tabs>
      </w:pPr>
      <w:r w:rsidRPr="00E5449D">
        <w:rPr>
          <w:b/>
        </w:rPr>
        <w:t>General salary inflation</w:t>
      </w:r>
      <w:r w:rsidRPr="0030448F">
        <w:tab/>
        <w:t>4.0% pa</w:t>
      </w:r>
    </w:p>
    <w:p w14:paraId="40CAF0EB" w14:textId="31FBC0EB" w:rsidR="00E77F7B" w:rsidRPr="0030448F" w:rsidRDefault="00E77F7B" w:rsidP="00DB65C7">
      <w:pPr>
        <w:pStyle w:val="NoNumberIndent-Appendix"/>
        <w:tabs>
          <w:tab w:val="left" w:pos="3261"/>
        </w:tabs>
      </w:pPr>
      <w:r w:rsidRPr="00E5449D">
        <w:rPr>
          <w:b/>
        </w:rPr>
        <w:t>CPI increases</w:t>
      </w:r>
      <w:r w:rsidRPr="0030448F">
        <w:tab/>
        <w:t xml:space="preserve">2.5% pa </w:t>
      </w:r>
    </w:p>
    <w:p w14:paraId="4489470E" w14:textId="77777777" w:rsidR="003164F9" w:rsidRPr="0030448F" w:rsidRDefault="003164F9" w:rsidP="002973D9">
      <w:pPr>
        <w:pStyle w:val="BodyText-Appendix"/>
      </w:pPr>
      <w:r w:rsidRPr="0030448F">
        <w:t xml:space="preserve">In addition, the </w:t>
      </w:r>
      <w:r w:rsidR="002D01D4" w:rsidRPr="0030448F">
        <w:t>impacts of a 100% pension take-up rate</w:t>
      </w:r>
      <w:r w:rsidR="001549EF">
        <w:t xml:space="preserve"> for MSBS</w:t>
      </w:r>
      <w:r w:rsidR="002D01D4" w:rsidRPr="0030448F">
        <w:t xml:space="preserve"> and increased </w:t>
      </w:r>
      <w:r w:rsidR="00437E74" w:rsidRPr="0030448F">
        <w:t xml:space="preserve">MSBS </w:t>
      </w:r>
      <w:r w:rsidR="002D01D4" w:rsidRPr="0030448F">
        <w:t>invalidity rates</w:t>
      </w:r>
      <w:r w:rsidRPr="0030448F">
        <w:t xml:space="preserve"> </w:t>
      </w:r>
      <w:r w:rsidR="00CA1601" w:rsidRPr="0030448F">
        <w:t>on the unfunded liabilities of all schemes have been modelled.</w:t>
      </w:r>
      <w:r w:rsidRPr="0030448F">
        <w:t xml:space="preserve"> </w:t>
      </w:r>
    </w:p>
    <w:p w14:paraId="6177BC33" w14:textId="058292D8" w:rsidR="00437E74" w:rsidRPr="0030448F" w:rsidRDefault="00CA1601" w:rsidP="002973D9">
      <w:pPr>
        <w:pStyle w:val="BodyText-Appendix"/>
      </w:pPr>
      <w:r w:rsidRPr="0030448F">
        <w:lastRenderedPageBreak/>
        <w:t xml:space="preserve">It is highly unlikely that a situation will ever be reached where 100 per cent of employer financed benefits </w:t>
      </w:r>
      <w:r w:rsidR="001549EF">
        <w:t xml:space="preserve">for MSBS </w:t>
      </w:r>
      <w:r w:rsidRPr="0030448F">
        <w:t>are converted to a pension.</w:t>
      </w:r>
      <w:r w:rsidR="00212C90">
        <w:t xml:space="preserve"> </w:t>
      </w:r>
      <w:r w:rsidRPr="0030448F">
        <w:t>However, this scenario represents an upper bound on the costs and is therefore included to provide a measure of how much further costs might rise</w:t>
      </w:r>
      <w:r w:rsidR="001549EF">
        <w:t xml:space="preserve"> from this source</w:t>
      </w:r>
      <w:r w:rsidRPr="0030448F">
        <w:t>.</w:t>
      </w:r>
    </w:p>
    <w:p w14:paraId="497BE1BE" w14:textId="2E3BE989" w:rsidR="00437E74" w:rsidRPr="0030448F" w:rsidRDefault="00437E74" w:rsidP="002973D9">
      <w:pPr>
        <w:pStyle w:val="BodyText-Appendix"/>
      </w:pPr>
      <w:r w:rsidRPr="0030448F">
        <w:t>As noted earlier in the report, MSBS invalidity rates have significantly increased in recent years. In this sensitivity analysis, it is assumed that invalidity exit experience remains at its currently high observed levels into the future, with around 600 new invalidity pensions commencing each year.</w:t>
      </w:r>
      <w:r w:rsidR="00212C90">
        <w:t xml:space="preserve"> </w:t>
      </w:r>
      <w:r w:rsidR="005A44F8">
        <w:t>A summary of t</w:t>
      </w:r>
      <w:r w:rsidR="00C175EF">
        <w:t xml:space="preserve">he </w:t>
      </w:r>
      <w:r w:rsidR="005A44F8">
        <w:t xml:space="preserve">invalidity A and B exit </w:t>
      </w:r>
      <w:r w:rsidR="00C175EF">
        <w:t xml:space="preserve">assumptions </w:t>
      </w:r>
      <w:r w:rsidR="005A44F8">
        <w:t xml:space="preserve">for MSBS </w:t>
      </w:r>
      <w:r w:rsidR="00C175EF">
        <w:t xml:space="preserve">underlying </w:t>
      </w:r>
      <w:r w:rsidR="005A44F8">
        <w:t>this analysis are set out at the end of this Appendix.</w:t>
      </w:r>
    </w:p>
    <w:p w14:paraId="30902179" w14:textId="5A7F45EE" w:rsidR="00E77F7B" w:rsidRPr="0030448F" w:rsidRDefault="00E77F7B" w:rsidP="00ED6DDC">
      <w:pPr>
        <w:pStyle w:val="BodyText-Appendix"/>
      </w:pPr>
      <w:r w:rsidRPr="0030448F">
        <w:t>The results of the analyses are as follows:</w:t>
      </w:r>
    </w:p>
    <w:tbl>
      <w:tblPr>
        <w:tblStyle w:val="StdTable"/>
        <w:tblW w:w="7188" w:type="dxa"/>
        <w:tblInd w:w="675"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560"/>
        <w:gridCol w:w="992"/>
        <w:gridCol w:w="992"/>
        <w:gridCol w:w="1223"/>
        <w:gridCol w:w="236"/>
        <w:gridCol w:w="951"/>
        <w:gridCol w:w="1234"/>
      </w:tblGrid>
      <w:tr w:rsidR="005C615C" w:rsidRPr="00025C75" w14:paraId="7418E0D6" w14:textId="77777777" w:rsidTr="00AE6A8D">
        <w:trPr>
          <w:cnfStyle w:val="100000000000" w:firstRow="1" w:lastRow="0" w:firstColumn="0" w:lastColumn="0" w:oddVBand="0" w:evenVBand="0" w:oddHBand="0" w:evenHBand="0" w:firstRowFirstColumn="0" w:firstRowLastColumn="0" w:lastRowFirstColumn="0" w:lastRowLastColumn="0"/>
          <w:trHeight w:val="338"/>
        </w:trPr>
        <w:tc>
          <w:tcPr>
            <w:tcW w:w="1560" w:type="dxa"/>
            <w:tcBorders>
              <w:top w:val="single" w:sz="4" w:space="0" w:color="auto"/>
            </w:tcBorders>
            <w:shd w:val="clear" w:color="auto" w:fill="E6E6E6"/>
            <w:vAlign w:val="center"/>
          </w:tcPr>
          <w:p w14:paraId="2460E491" w14:textId="77777777" w:rsidR="005C615C" w:rsidRPr="00025C75" w:rsidRDefault="005C615C" w:rsidP="00E7622E">
            <w:pPr>
              <w:pStyle w:val="TableColumnHeadingCentred"/>
              <w:ind w:left="-31"/>
              <w:rPr>
                <w:b/>
              </w:rPr>
            </w:pPr>
          </w:p>
        </w:tc>
        <w:tc>
          <w:tcPr>
            <w:tcW w:w="3207" w:type="dxa"/>
            <w:gridSpan w:val="3"/>
            <w:tcBorders>
              <w:top w:val="single" w:sz="4" w:space="0" w:color="auto"/>
              <w:bottom w:val="single" w:sz="4" w:space="0" w:color="auto"/>
            </w:tcBorders>
            <w:shd w:val="clear" w:color="auto" w:fill="E6E6E6"/>
            <w:vAlign w:val="center"/>
          </w:tcPr>
          <w:p w14:paraId="342D5EB3" w14:textId="253C8EA1" w:rsidR="005C615C" w:rsidRPr="00025C75" w:rsidRDefault="005C615C" w:rsidP="00E7622E">
            <w:pPr>
              <w:pStyle w:val="TableColumnHeadingCentred"/>
              <w:rPr>
                <w:b/>
              </w:rPr>
            </w:pPr>
            <w:r w:rsidRPr="00025C75">
              <w:rPr>
                <w:b/>
              </w:rPr>
              <w:t>DFRB &amp; DFRDB</w:t>
            </w:r>
          </w:p>
        </w:tc>
        <w:tc>
          <w:tcPr>
            <w:tcW w:w="236" w:type="dxa"/>
            <w:tcBorders>
              <w:top w:val="single" w:sz="4" w:space="0" w:color="auto"/>
            </w:tcBorders>
            <w:shd w:val="clear" w:color="auto" w:fill="E6E6E6"/>
            <w:vAlign w:val="center"/>
          </w:tcPr>
          <w:p w14:paraId="34EE3EE7" w14:textId="77777777" w:rsidR="005C615C" w:rsidRPr="00025C75" w:rsidRDefault="005C615C" w:rsidP="00E5449D">
            <w:pPr>
              <w:pStyle w:val="TableColumnHeadingCentred"/>
              <w:ind w:left="-57" w:right="-57"/>
              <w:rPr>
                <w:b/>
              </w:rPr>
            </w:pPr>
          </w:p>
        </w:tc>
        <w:tc>
          <w:tcPr>
            <w:tcW w:w="2185" w:type="dxa"/>
            <w:gridSpan w:val="2"/>
            <w:tcBorders>
              <w:top w:val="single" w:sz="4" w:space="0" w:color="auto"/>
              <w:bottom w:val="single" w:sz="4" w:space="0" w:color="auto"/>
            </w:tcBorders>
            <w:shd w:val="clear" w:color="auto" w:fill="E6E6E6"/>
            <w:vAlign w:val="center"/>
          </w:tcPr>
          <w:p w14:paraId="4B96D291" w14:textId="00C23CAA" w:rsidR="005C615C" w:rsidRPr="00025C75" w:rsidRDefault="005C615C" w:rsidP="00E7622E">
            <w:pPr>
              <w:pStyle w:val="TableColumnHeadingCentred"/>
              <w:rPr>
                <w:b/>
              </w:rPr>
            </w:pPr>
            <w:r w:rsidRPr="00025C75">
              <w:rPr>
                <w:b/>
              </w:rPr>
              <w:t>MSBS</w:t>
            </w:r>
          </w:p>
        </w:tc>
      </w:tr>
      <w:tr w:rsidR="005C615C" w:rsidRPr="0030448F" w14:paraId="58923520" w14:textId="77777777" w:rsidTr="00AE6A8D">
        <w:trPr>
          <w:trHeight w:val="526"/>
        </w:trPr>
        <w:tc>
          <w:tcPr>
            <w:tcW w:w="1560" w:type="dxa"/>
            <w:tcBorders>
              <w:bottom w:val="single" w:sz="4" w:space="0" w:color="auto"/>
            </w:tcBorders>
            <w:shd w:val="clear" w:color="auto" w:fill="E6E6E6"/>
          </w:tcPr>
          <w:p w14:paraId="79765B9D" w14:textId="77777777" w:rsidR="00025C75" w:rsidRPr="0030448F" w:rsidRDefault="00025C75" w:rsidP="002F1A98">
            <w:pPr>
              <w:pStyle w:val="NoNumber"/>
              <w:keepNext/>
              <w:tabs>
                <w:tab w:val="left" w:pos="1650"/>
                <w:tab w:val="left" w:pos="4510"/>
              </w:tabs>
              <w:ind w:left="-31"/>
              <w:rPr>
                <w:sz w:val="24"/>
              </w:rPr>
            </w:pPr>
          </w:p>
        </w:tc>
        <w:tc>
          <w:tcPr>
            <w:tcW w:w="992" w:type="dxa"/>
            <w:tcBorders>
              <w:top w:val="single" w:sz="4" w:space="0" w:color="auto"/>
              <w:bottom w:val="single" w:sz="4" w:space="0" w:color="auto"/>
            </w:tcBorders>
            <w:shd w:val="clear" w:color="auto" w:fill="E6E6E6"/>
          </w:tcPr>
          <w:p w14:paraId="4CA58933" w14:textId="06330CB2" w:rsidR="00025C75" w:rsidRPr="0030448F" w:rsidRDefault="00025C75" w:rsidP="00FB694C">
            <w:pPr>
              <w:pStyle w:val="TableColumnHeadingCentred"/>
              <w:ind w:left="-57" w:right="-57"/>
              <w:jc w:val="right"/>
            </w:pPr>
            <w:r w:rsidRPr="0030448F">
              <w:t>DFRB</w:t>
            </w:r>
            <w:r w:rsidR="00E5449D">
              <w:br/>
            </w:r>
            <w:r w:rsidRPr="0030448F">
              <w:t>Unfunded</w:t>
            </w:r>
            <w:r w:rsidR="00E5449D">
              <w:br/>
            </w:r>
            <w:r w:rsidRPr="0030448F">
              <w:t>Liability</w:t>
            </w:r>
            <w:r w:rsidRPr="0030448F">
              <w:br/>
              <w:t>$m</w:t>
            </w:r>
          </w:p>
        </w:tc>
        <w:tc>
          <w:tcPr>
            <w:tcW w:w="992" w:type="dxa"/>
            <w:tcBorders>
              <w:top w:val="single" w:sz="4" w:space="0" w:color="auto"/>
              <w:bottom w:val="single" w:sz="4" w:space="0" w:color="auto"/>
            </w:tcBorders>
            <w:shd w:val="clear" w:color="auto" w:fill="E6E6E6"/>
          </w:tcPr>
          <w:p w14:paraId="058D4A6A" w14:textId="3EFE911E" w:rsidR="00025C75" w:rsidRPr="0030448F" w:rsidRDefault="00025C75" w:rsidP="00FB694C">
            <w:pPr>
              <w:pStyle w:val="TableColumnHeadingCentred"/>
              <w:ind w:left="-57" w:right="-57"/>
              <w:jc w:val="right"/>
            </w:pPr>
            <w:r w:rsidRPr="0030448F">
              <w:t>DFRDB</w:t>
            </w:r>
            <w:r w:rsidR="00E5449D">
              <w:br/>
            </w:r>
            <w:r w:rsidRPr="0030448F">
              <w:t>Unfunded</w:t>
            </w:r>
            <w:r w:rsidR="00E5449D">
              <w:br/>
            </w:r>
            <w:r w:rsidRPr="0030448F">
              <w:t xml:space="preserve"> Liability</w:t>
            </w:r>
            <w:r w:rsidRPr="0030448F">
              <w:br/>
              <w:t>$m</w:t>
            </w:r>
          </w:p>
        </w:tc>
        <w:tc>
          <w:tcPr>
            <w:tcW w:w="1223" w:type="dxa"/>
            <w:tcBorders>
              <w:top w:val="single" w:sz="4" w:space="0" w:color="auto"/>
              <w:bottom w:val="single" w:sz="4" w:space="0" w:color="auto"/>
            </w:tcBorders>
            <w:shd w:val="clear" w:color="auto" w:fill="E6E6E6"/>
          </w:tcPr>
          <w:p w14:paraId="186C72AB" w14:textId="5BCACB5D" w:rsidR="00025C75" w:rsidRPr="0030448F" w:rsidRDefault="00E5449D" w:rsidP="00FB694C">
            <w:pPr>
              <w:pStyle w:val="TableColumnHeadingCentred"/>
              <w:ind w:left="-57" w:right="-57"/>
              <w:jc w:val="right"/>
            </w:pPr>
            <w:r>
              <w:t>Notional</w:t>
            </w:r>
            <w:r>
              <w:br/>
              <w:t>Employer</w:t>
            </w:r>
            <w:r>
              <w:br/>
            </w:r>
            <w:r w:rsidR="00025C75" w:rsidRPr="0030448F">
              <w:t>Contribution</w:t>
            </w:r>
            <w:r>
              <w:br/>
            </w:r>
            <w:r w:rsidR="00025C75" w:rsidRPr="0030448F">
              <w:t>Rate %</w:t>
            </w:r>
          </w:p>
        </w:tc>
        <w:tc>
          <w:tcPr>
            <w:tcW w:w="236" w:type="dxa"/>
            <w:tcBorders>
              <w:bottom w:val="single" w:sz="4" w:space="0" w:color="auto"/>
            </w:tcBorders>
            <w:shd w:val="clear" w:color="auto" w:fill="E6E6E6"/>
          </w:tcPr>
          <w:p w14:paraId="161DF642" w14:textId="77777777" w:rsidR="00025C75" w:rsidRDefault="00025C75" w:rsidP="00ED6DDC">
            <w:pPr>
              <w:pStyle w:val="TableColumnHeadingCentred"/>
            </w:pPr>
          </w:p>
        </w:tc>
        <w:tc>
          <w:tcPr>
            <w:tcW w:w="951" w:type="dxa"/>
            <w:tcBorders>
              <w:top w:val="single" w:sz="4" w:space="0" w:color="auto"/>
              <w:bottom w:val="single" w:sz="4" w:space="0" w:color="auto"/>
            </w:tcBorders>
            <w:shd w:val="clear" w:color="auto" w:fill="E6E6E6"/>
          </w:tcPr>
          <w:p w14:paraId="1377B967" w14:textId="4B06AD77" w:rsidR="00025C75" w:rsidRPr="0030448F" w:rsidRDefault="00025C75" w:rsidP="00FB694C">
            <w:pPr>
              <w:pStyle w:val="TableColumnHeadingCentred"/>
              <w:ind w:left="-57" w:right="-57"/>
              <w:jc w:val="right"/>
            </w:pPr>
            <w:r w:rsidRPr="0030448F">
              <w:t>MSBS</w:t>
            </w:r>
            <w:r w:rsidR="00E5449D">
              <w:br/>
              <w:t>Unfunded</w:t>
            </w:r>
            <w:r w:rsidR="00E5449D">
              <w:br/>
            </w:r>
            <w:r w:rsidRPr="0030448F">
              <w:t>Liability</w:t>
            </w:r>
            <w:r w:rsidRPr="0030448F">
              <w:br/>
              <w:t>$m</w:t>
            </w:r>
          </w:p>
        </w:tc>
        <w:tc>
          <w:tcPr>
            <w:tcW w:w="1234" w:type="dxa"/>
            <w:tcBorders>
              <w:top w:val="single" w:sz="4" w:space="0" w:color="auto"/>
              <w:bottom w:val="single" w:sz="4" w:space="0" w:color="auto"/>
            </w:tcBorders>
            <w:shd w:val="clear" w:color="auto" w:fill="E6E6E6"/>
          </w:tcPr>
          <w:p w14:paraId="73106F7E" w14:textId="07344EE5" w:rsidR="00025C75" w:rsidRPr="0030448F" w:rsidRDefault="00E5449D" w:rsidP="00FB694C">
            <w:pPr>
              <w:pStyle w:val="TableColumnHeadingCentred"/>
              <w:ind w:left="-57" w:right="-57"/>
              <w:jc w:val="right"/>
            </w:pPr>
            <w:r>
              <w:t>Notional</w:t>
            </w:r>
            <w:r>
              <w:br/>
            </w:r>
            <w:r w:rsidR="00025C75" w:rsidRPr="0030448F">
              <w:t>Employer</w:t>
            </w:r>
            <w:r>
              <w:br/>
              <w:t>Contribution</w:t>
            </w:r>
            <w:r>
              <w:br/>
            </w:r>
            <w:r w:rsidR="00025C75" w:rsidRPr="0030448F">
              <w:t>Rate</w:t>
            </w:r>
            <w:r w:rsidR="00025C75">
              <w:t xml:space="preserve"> </w:t>
            </w:r>
            <w:r w:rsidR="00025C75" w:rsidRPr="0030448F">
              <w:t>%</w:t>
            </w:r>
          </w:p>
        </w:tc>
      </w:tr>
      <w:tr w:rsidR="005C615C" w:rsidRPr="0030448F" w14:paraId="547BC5EA" w14:textId="77777777" w:rsidTr="00D23D34">
        <w:tc>
          <w:tcPr>
            <w:tcW w:w="1560" w:type="dxa"/>
            <w:tcBorders>
              <w:top w:val="single" w:sz="4" w:space="0" w:color="auto"/>
            </w:tcBorders>
          </w:tcPr>
          <w:p w14:paraId="7C0CEC4E" w14:textId="1E8004C6" w:rsidR="00025C75" w:rsidRPr="0030448F" w:rsidRDefault="00025C75" w:rsidP="002F1A98">
            <w:pPr>
              <w:pStyle w:val="Tabletextleft0"/>
              <w:ind w:left="-31"/>
            </w:pPr>
            <w:r w:rsidRPr="0030448F">
              <w:t>2014</w:t>
            </w:r>
            <w:r>
              <w:t xml:space="preserve"> Long-Term</w:t>
            </w:r>
            <w:r>
              <w:br/>
            </w:r>
            <w:r w:rsidRPr="0030448F">
              <w:t>Cost Report</w:t>
            </w:r>
          </w:p>
        </w:tc>
        <w:tc>
          <w:tcPr>
            <w:tcW w:w="992" w:type="dxa"/>
            <w:tcBorders>
              <w:top w:val="single" w:sz="4" w:space="0" w:color="auto"/>
            </w:tcBorders>
            <w:vAlign w:val="center"/>
          </w:tcPr>
          <w:p w14:paraId="16D26AD1" w14:textId="77777777" w:rsidR="00025C75" w:rsidRPr="0030448F" w:rsidRDefault="00025C75" w:rsidP="00D23D34">
            <w:pPr>
              <w:pStyle w:val="TableTextLeft"/>
              <w:jc w:val="right"/>
            </w:pPr>
            <w:r w:rsidRPr="0030448F">
              <w:t>479</w:t>
            </w:r>
          </w:p>
        </w:tc>
        <w:tc>
          <w:tcPr>
            <w:tcW w:w="992" w:type="dxa"/>
            <w:tcBorders>
              <w:top w:val="single" w:sz="4" w:space="0" w:color="auto"/>
            </w:tcBorders>
            <w:vAlign w:val="center"/>
          </w:tcPr>
          <w:p w14:paraId="21589EC8" w14:textId="77777777" w:rsidR="00025C75" w:rsidRPr="0030448F" w:rsidRDefault="00025C75" w:rsidP="00D23D34">
            <w:pPr>
              <w:pStyle w:val="TableTextLeft"/>
              <w:jc w:val="right"/>
            </w:pPr>
            <w:r w:rsidRPr="0030448F">
              <w:t>30,314</w:t>
            </w:r>
          </w:p>
        </w:tc>
        <w:tc>
          <w:tcPr>
            <w:tcW w:w="1223" w:type="dxa"/>
            <w:tcBorders>
              <w:top w:val="single" w:sz="4" w:space="0" w:color="auto"/>
            </w:tcBorders>
            <w:vAlign w:val="center"/>
          </w:tcPr>
          <w:p w14:paraId="5FD023BD" w14:textId="77777777" w:rsidR="00025C75" w:rsidRPr="0030448F" w:rsidRDefault="00025C75" w:rsidP="00D23D34">
            <w:pPr>
              <w:pStyle w:val="TableTextLeft"/>
              <w:jc w:val="right"/>
            </w:pPr>
            <w:r w:rsidRPr="0030448F">
              <w:t>35.9</w:t>
            </w:r>
          </w:p>
        </w:tc>
        <w:tc>
          <w:tcPr>
            <w:tcW w:w="236" w:type="dxa"/>
            <w:tcBorders>
              <w:top w:val="single" w:sz="4" w:space="0" w:color="auto"/>
            </w:tcBorders>
            <w:vAlign w:val="center"/>
          </w:tcPr>
          <w:p w14:paraId="5A42E006" w14:textId="77777777" w:rsidR="00025C75" w:rsidRPr="0030448F" w:rsidRDefault="00025C75" w:rsidP="00D23D34">
            <w:pPr>
              <w:pStyle w:val="TableTextLeft"/>
              <w:jc w:val="right"/>
            </w:pPr>
          </w:p>
        </w:tc>
        <w:tc>
          <w:tcPr>
            <w:tcW w:w="951" w:type="dxa"/>
            <w:tcBorders>
              <w:top w:val="single" w:sz="4" w:space="0" w:color="auto"/>
            </w:tcBorders>
            <w:vAlign w:val="center"/>
          </w:tcPr>
          <w:p w14:paraId="4EF7F5A2" w14:textId="5818E452" w:rsidR="00025C75" w:rsidRPr="0030448F" w:rsidRDefault="00025C75" w:rsidP="00D23D34">
            <w:pPr>
              <w:pStyle w:val="TableTextLeft"/>
              <w:jc w:val="right"/>
            </w:pPr>
            <w:r w:rsidRPr="0030448F">
              <w:t>26,74</w:t>
            </w:r>
            <w:r>
              <w:t>6</w:t>
            </w:r>
          </w:p>
        </w:tc>
        <w:tc>
          <w:tcPr>
            <w:tcW w:w="1234" w:type="dxa"/>
            <w:tcBorders>
              <w:top w:val="single" w:sz="4" w:space="0" w:color="auto"/>
            </w:tcBorders>
            <w:vAlign w:val="center"/>
          </w:tcPr>
          <w:p w14:paraId="199717E1" w14:textId="77777777" w:rsidR="00025C75" w:rsidRPr="0030448F" w:rsidRDefault="00025C75" w:rsidP="00D23D34">
            <w:pPr>
              <w:pStyle w:val="TableTextLeft"/>
              <w:jc w:val="right"/>
            </w:pPr>
            <w:r w:rsidRPr="0030448F">
              <w:t>33.2</w:t>
            </w:r>
          </w:p>
        </w:tc>
      </w:tr>
      <w:tr w:rsidR="005C615C" w:rsidRPr="0030448F" w14:paraId="3883B53A" w14:textId="77777777" w:rsidTr="00D23D34">
        <w:tc>
          <w:tcPr>
            <w:tcW w:w="1560" w:type="dxa"/>
            <w:shd w:val="clear" w:color="auto" w:fill="F2F2F2" w:themeFill="background1" w:themeFillShade="F2"/>
          </w:tcPr>
          <w:p w14:paraId="2B647E2C" w14:textId="4B521DAA" w:rsidR="00025C75" w:rsidRPr="0030448F" w:rsidRDefault="00025C75" w:rsidP="002F1A98">
            <w:pPr>
              <w:pStyle w:val="Tabletextleft0"/>
              <w:ind w:left="-31"/>
            </w:pPr>
            <w:r w:rsidRPr="0030448F">
              <w:t>Interest rate</w:t>
            </w:r>
            <w:r>
              <w:br/>
            </w:r>
            <w:r w:rsidRPr="0030448F">
              <w:t>(5% pa)</w:t>
            </w:r>
          </w:p>
        </w:tc>
        <w:tc>
          <w:tcPr>
            <w:tcW w:w="992" w:type="dxa"/>
            <w:shd w:val="clear" w:color="auto" w:fill="F2F2F2" w:themeFill="background1" w:themeFillShade="F2"/>
            <w:vAlign w:val="center"/>
          </w:tcPr>
          <w:p w14:paraId="4949217F" w14:textId="77777777" w:rsidR="00025C75" w:rsidRPr="0030448F" w:rsidRDefault="00025C75" w:rsidP="00D23D34">
            <w:pPr>
              <w:pStyle w:val="TableTextLeft"/>
              <w:jc w:val="right"/>
            </w:pPr>
            <w:r w:rsidRPr="0030448F">
              <w:t>519</w:t>
            </w:r>
          </w:p>
        </w:tc>
        <w:tc>
          <w:tcPr>
            <w:tcW w:w="992" w:type="dxa"/>
            <w:shd w:val="clear" w:color="auto" w:fill="F2F2F2" w:themeFill="background1" w:themeFillShade="F2"/>
            <w:vAlign w:val="center"/>
          </w:tcPr>
          <w:p w14:paraId="1596D1DE" w14:textId="77777777" w:rsidR="00025C75" w:rsidRPr="0030448F" w:rsidRDefault="00025C75" w:rsidP="00D23D34">
            <w:pPr>
              <w:pStyle w:val="TableTextLeft"/>
              <w:jc w:val="right"/>
            </w:pPr>
            <w:r w:rsidRPr="0030448F">
              <w:t>3</w:t>
            </w:r>
            <w:r>
              <w:t>5,059</w:t>
            </w:r>
          </w:p>
        </w:tc>
        <w:tc>
          <w:tcPr>
            <w:tcW w:w="1223" w:type="dxa"/>
            <w:shd w:val="clear" w:color="auto" w:fill="F2F2F2" w:themeFill="background1" w:themeFillShade="F2"/>
            <w:vAlign w:val="center"/>
          </w:tcPr>
          <w:p w14:paraId="55FDE520" w14:textId="77777777" w:rsidR="00025C75" w:rsidRPr="0030448F" w:rsidRDefault="00025C75" w:rsidP="00D23D34">
            <w:pPr>
              <w:pStyle w:val="TableTextLeft"/>
              <w:jc w:val="right"/>
            </w:pPr>
            <w:r>
              <w:t>43.8</w:t>
            </w:r>
          </w:p>
        </w:tc>
        <w:tc>
          <w:tcPr>
            <w:tcW w:w="236" w:type="dxa"/>
            <w:shd w:val="clear" w:color="auto" w:fill="F2F2F2" w:themeFill="background1" w:themeFillShade="F2"/>
            <w:vAlign w:val="center"/>
          </w:tcPr>
          <w:p w14:paraId="408FFCE0" w14:textId="77777777" w:rsidR="00025C75" w:rsidRPr="0030448F" w:rsidRDefault="00025C75" w:rsidP="00D23D34">
            <w:pPr>
              <w:pStyle w:val="TableTextLeft"/>
              <w:jc w:val="right"/>
            </w:pPr>
          </w:p>
        </w:tc>
        <w:tc>
          <w:tcPr>
            <w:tcW w:w="951" w:type="dxa"/>
            <w:shd w:val="clear" w:color="auto" w:fill="F2F2F2" w:themeFill="background1" w:themeFillShade="F2"/>
            <w:vAlign w:val="center"/>
          </w:tcPr>
          <w:p w14:paraId="084BCE4D" w14:textId="1190DBEC" w:rsidR="00025C75" w:rsidRPr="0030448F" w:rsidRDefault="00025C75" w:rsidP="00D23D34">
            <w:pPr>
              <w:pStyle w:val="TableTextLeft"/>
              <w:jc w:val="right"/>
            </w:pPr>
            <w:r w:rsidRPr="0030448F">
              <w:t>3</w:t>
            </w:r>
            <w:r>
              <w:t>3</w:t>
            </w:r>
            <w:r w:rsidRPr="0030448F">
              <w:t>,</w:t>
            </w:r>
            <w:r>
              <w:t>950</w:t>
            </w:r>
          </w:p>
        </w:tc>
        <w:tc>
          <w:tcPr>
            <w:tcW w:w="1234" w:type="dxa"/>
            <w:shd w:val="clear" w:color="auto" w:fill="F2F2F2" w:themeFill="background1" w:themeFillShade="F2"/>
            <w:vAlign w:val="center"/>
          </w:tcPr>
          <w:p w14:paraId="5F3612FF" w14:textId="77777777" w:rsidR="00025C75" w:rsidRPr="0030448F" w:rsidRDefault="00025C75" w:rsidP="00D23D34">
            <w:pPr>
              <w:pStyle w:val="TableTextLeft"/>
              <w:jc w:val="right"/>
            </w:pPr>
            <w:r w:rsidRPr="0030448F">
              <w:t>43.</w:t>
            </w:r>
            <w:r>
              <w:t>9</w:t>
            </w:r>
          </w:p>
        </w:tc>
      </w:tr>
      <w:tr w:rsidR="005C615C" w:rsidRPr="0030448F" w14:paraId="0D4684D6" w14:textId="77777777" w:rsidTr="00D23D34">
        <w:tc>
          <w:tcPr>
            <w:tcW w:w="1560" w:type="dxa"/>
          </w:tcPr>
          <w:p w14:paraId="2FCC3DD3" w14:textId="763F6C82" w:rsidR="00025C75" w:rsidRPr="0030448F" w:rsidRDefault="00025C75" w:rsidP="002F1A98">
            <w:pPr>
              <w:pStyle w:val="Tabletextleft0"/>
              <w:ind w:left="-31"/>
            </w:pPr>
            <w:r>
              <w:t>Interest rate</w:t>
            </w:r>
            <w:r>
              <w:br/>
            </w:r>
            <w:r w:rsidRPr="0030448F">
              <w:t>(7% pa)</w:t>
            </w:r>
          </w:p>
        </w:tc>
        <w:tc>
          <w:tcPr>
            <w:tcW w:w="992" w:type="dxa"/>
            <w:vAlign w:val="center"/>
          </w:tcPr>
          <w:p w14:paraId="496C93A1" w14:textId="77777777" w:rsidR="00025C75" w:rsidRPr="0030448F" w:rsidRDefault="00025C75" w:rsidP="00D23D34">
            <w:pPr>
              <w:pStyle w:val="TableTextLeft"/>
              <w:jc w:val="right"/>
            </w:pPr>
            <w:r w:rsidRPr="0030448F">
              <w:t>444</w:t>
            </w:r>
          </w:p>
        </w:tc>
        <w:tc>
          <w:tcPr>
            <w:tcW w:w="992" w:type="dxa"/>
            <w:vAlign w:val="center"/>
          </w:tcPr>
          <w:p w14:paraId="6568685E" w14:textId="77777777" w:rsidR="00025C75" w:rsidRPr="0030448F" w:rsidRDefault="00025C75" w:rsidP="00D23D34">
            <w:pPr>
              <w:pStyle w:val="TableTextLeft"/>
              <w:jc w:val="right"/>
            </w:pPr>
            <w:r w:rsidRPr="0030448F">
              <w:t>26,55</w:t>
            </w:r>
            <w:r>
              <w:t>7</w:t>
            </w:r>
          </w:p>
        </w:tc>
        <w:tc>
          <w:tcPr>
            <w:tcW w:w="1223" w:type="dxa"/>
            <w:vAlign w:val="center"/>
          </w:tcPr>
          <w:p w14:paraId="7178D907" w14:textId="77777777" w:rsidR="00025C75" w:rsidRPr="0030448F" w:rsidRDefault="00025C75" w:rsidP="00D23D34">
            <w:pPr>
              <w:pStyle w:val="TableTextLeft"/>
              <w:jc w:val="right"/>
            </w:pPr>
            <w:r w:rsidRPr="0030448F">
              <w:t>29.9</w:t>
            </w:r>
          </w:p>
        </w:tc>
        <w:tc>
          <w:tcPr>
            <w:tcW w:w="236" w:type="dxa"/>
            <w:vAlign w:val="center"/>
          </w:tcPr>
          <w:p w14:paraId="26CD9C59" w14:textId="77777777" w:rsidR="00025C75" w:rsidRPr="0030448F" w:rsidRDefault="00025C75" w:rsidP="00D23D34">
            <w:pPr>
              <w:pStyle w:val="TableTextLeft"/>
              <w:jc w:val="right"/>
            </w:pPr>
          </w:p>
        </w:tc>
        <w:tc>
          <w:tcPr>
            <w:tcW w:w="951" w:type="dxa"/>
            <w:vAlign w:val="center"/>
          </w:tcPr>
          <w:p w14:paraId="442ADD8D" w14:textId="757E9834" w:rsidR="00025C75" w:rsidRPr="0030448F" w:rsidRDefault="00025C75" w:rsidP="00D23D34">
            <w:pPr>
              <w:pStyle w:val="TableTextLeft"/>
              <w:jc w:val="right"/>
            </w:pPr>
            <w:r w:rsidRPr="0030448F">
              <w:t>21,</w:t>
            </w:r>
            <w:r>
              <w:t>514</w:t>
            </w:r>
          </w:p>
        </w:tc>
        <w:tc>
          <w:tcPr>
            <w:tcW w:w="1234" w:type="dxa"/>
            <w:vAlign w:val="center"/>
          </w:tcPr>
          <w:p w14:paraId="3B823560" w14:textId="77777777" w:rsidR="00025C75" w:rsidRPr="0030448F" w:rsidRDefault="00025C75" w:rsidP="00D23D34">
            <w:pPr>
              <w:pStyle w:val="TableTextLeft"/>
              <w:jc w:val="right"/>
            </w:pPr>
            <w:r w:rsidRPr="0030448F">
              <w:t>25.</w:t>
            </w:r>
            <w:r>
              <w:t>9</w:t>
            </w:r>
          </w:p>
        </w:tc>
      </w:tr>
      <w:tr w:rsidR="005C615C" w:rsidRPr="0030448F" w14:paraId="36D5221D" w14:textId="77777777" w:rsidTr="00D23D34">
        <w:tc>
          <w:tcPr>
            <w:tcW w:w="1560" w:type="dxa"/>
            <w:shd w:val="clear" w:color="auto" w:fill="F2F2F2" w:themeFill="background1" w:themeFillShade="F2"/>
          </w:tcPr>
          <w:p w14:paraId="6562BADD" w14:textId="470314E1" w:rsidR="00025C75" w:rsidRPr="0030448F" w:rsidRDefault="00025C75" w:rsidP="002F1A98">
            <w:pPr>
              <w:pStyle w:val="Tabletextleft0"/>
              <w:ind w:left="-31"/>
            </w:pPr>
            <w:r>
              <w:t>Salary increases</w:t>
            </w:r>
            <w:r>
              <w:br/>
            </w:r>
            <w:r w:rsidRPr="0030448F">
              <w:t>(3% pa)</w:t>
            </w:r>
          </w:p>
        </w:tc>
        <w:tc>
          <w:tcPr>
            <w:tcW w:w="992" w:type="dxa"/>
            <w:shd w:val="clear" w:color="auto" w:fill="F2F2F2" w:themeFill="background1" w:themeFillShade="F2"/>
            <w:vAlign w:val="center"/>
          </w:tcPr>
          <w:p w14:paraId="17A7A82C" w14:textId="77777777" w:rsidR="00025C75" w:rsidRPr="0030448F" w:rsidRDefault="00025C75" w:rsidP="00D23D34">
            <w:pPr>
              <w:pStyle w:val="TableTextLeft"/>
              <w:jc w:val="right"/>
            </w:pPr>
            <w:r w:rsidRPr="0030448F">
              <w:t>445</w:t>
            </w:r>
          </w:p>
        </w:tc>
        <w:tc>
          <w:tcPr>
            <w:tcW w:w="992" w:type="dxa"/>
            <w:shd w:val="clear" w:color="auto" w:fill="F2F2F2" w:themeFill="background1" w:themeFillShade="F2"/>
            <w:vAlign w:val="center"/>
          </w:tcPr>
          <w:p w14:paraId="15EB6B71" w14:textId="77777777" w:rsidR="00025C75" w:rsidRPr="0030448F" w:rsidRDefault="00025C75" w:rsidP="00D23D34">
            <w:pPr>
              <w:pStyle w:val="TableTextLeft"/>
              <w:jc w:val="right"/>
            </w:pPr>
            <w:r w:rsidRPr="0030448F">
              <w:t>26,84</w:t>
            </w:r>
            <w:r>
              <w:t>1</w:t>
            </w:r>
          </w:p>
        </w:tc>
        <w:tc>
          <w:tcPr>
            <w:tcW w:w="1223" w:type="dxa"/>
            <w:shd w:val="clear" w:color="auto" w:fill="F2F2F2" w:themeFill="background1" w:themeFillShade="F2"/>
            <w:vAlign w:val="center"/>
          </w:tcPr>
          <w:p w14:paraId="03857E29" w14:textId="77777777" w:rsidR="00025C75" w:rsidRPr="0030448F" w:rsidRDefault="00025C75" w:rsidP="00D23D34">
            <w:pPr>
              <w:pStyle w:val="TableTextLeft"/>
              <w:jc w:val="right"/>
            </w:pPr>
            <w:r w:rsidRPr="0030448F">
              <w:t>30.2</w:t>
            </w:r>
          </w:p>
        </w:tc>
        <w:tc>
          <w:tcPr>
            <w:tcW w:w="236" w:type="dxa"/>
            <w:shd w:val="clear" w:color="auto" w:fill="F2F2F2" w:themeFill="background1" w:themeFillShade="F2"/>
            <w:vAlign w:val="center"/>
          </w:tcPr>
          <w:p w14:paraId="4DCA1B9D" w14:textId="77777777" w:rsidR="00025C75" w:rsidRPr="0030448F" w:rsidRDefault="00025C75" w:rsidP="00D23D34">
            <w:pPr>
              <w:pStyle w:val="TableTextLeft"/>
              <w:jc w:val="right"/>
            </w:pPr>
          </w:p>
        </w:tc>
        <w:tc>
          <w:tcPr>
            <w:tcW w:w="951" w:type="dxa"/>
            <w:shd w:val="clear" w:color="auto" w:fill="F2F2F2" w:themeFill="background1" w:themeFillShade="F2"/>
            <w:vAlign w:val="center"/>
          </w:tcPr>
          <w:p w14:paraId="33458F89" w14:textId="59584CAE" w:rsidR="00025C75" w:rsidRPr="0030448F" w:rsidRDefault="00025C75" w:rsidP="00D23D34">
            <w:pPr>
              <w:pStyle w:val="TableTextLeft"/>
              <w:jc w:val="right"/>
            </w:pPr>
            <w:r w:rsidRPr="0030448F">
              <w:t>25,</w:t>
            </w:r>
            <w:r>
              <w:t>695</w:t>
            </w:r>
          </w:p>
        </w:tc>
        <w:tc>
          <w:tcPr>
            <w:tcW w:w="1234" w:type="dxa"/>
            <w:shd w:val="clear" w:color="auto" w:fill="F2F2F2" w:themeFill="background1" w:themeFillShade="F2"/>
            <w:vAlign w:val="center"/>
          </w:tcPr>
          <w:p w14:paraId="0EA04DCB" w14:textId="77777777" w:rsidR="00025C75" w:rsidRPr="0030448F" w:rsidRDefault="00025C75" w:rsidP="00D23D34">
            <w:pPr>
              <w:pStyle w:val="TableTextLeft"/>
              <w:jc w:val="right"/>
            </w:pPr>
            <w:r w:rsidRPr="0030448F">
              <w:t>30.7</w:t>
            </w:r>
          </w:p>
        </w:tc>
      </w:tr>
      <w:tr w:rsidR="005C615C" w:rsidRPr="0030448F" w14:paraId="0D79EAEF" w14:textId="77777777" w:rsidTr="00D23D34">
        <w:tc>
          <w:tcPr>
            <w:tcW w:w="1560" w:type="dxa"/>
          </w:tcPr>
          <w:p w14:paraId="298A834F" w14:textId="7275189C" w:rsidR="00025C75" w:rsidRPr="0030448F" w:rsidRDefault="00025C75" w:rsidP="002F1A98">
            <w:pPr>
              <w:pStyle w:val="Tabletextleft0"/>
              <w:ind w:left="-31"/>
            </w:pPr>
            <w:r>
              <w:t>Salary increases</w:t>
            </w:r>
            <w:r>
              <w:br/>
            </w:r>
            <w:r w:rsidRPr="0030448F">
              <w:t>(5% pa)</w:t>
            </w:r>
          </w:p>
        </w:tc>
        <w:tc>
          <w:tcPr>
            <w:tcW w:w="992" w:type="dxa"/>
            <w:vAlign w:val="center"/>
          </w:tcPr>
          <w:p w14:paraId="41DC4032" w14:textId="77777777" w:rsidR="00025C75" w:rsidRPr="0030448F" w:rsidRDefault="00025C75" w:rsidP="00D23D34">
            <w:pPr>
              <w:pStyle w:val="TableTextLeft"/>
              <w:jc w:val="right"/>
            </w:pPr>
            <w:r w:rsidRPr="0030448F">
              <w:t>517</w:t>
            </w:r>
          </w:p>
        </w:tc>
        <w:tc>
          <w:tcPr>
            <w:tcW w:w="992" w:type="dxa"/>
            <w:vAlign w:val="center"/>
          </w:tcPr>
          <w:p w14:paraId="3997977B" w14:textId="77777777" w:rsidR="00025C75" w:rsidRPr="0030448F" w:rsidRDefault="00025C75" w:rsidP="00D23D34">
            <w:pPr>
              <w:pStyle w:val="TableTextLeft"/>
              <w:jc w:val="right"/>
            </w:pPr>
            <w:r w:rsidRPr="0030448F">
              <w:t>34,58</w:t>
            </w:r>
            <w:r>
              <w:t>4</w:t>
            </w:r>
          </w:p>
        </w:tc>
        <w:tc>
          <w:tcPr>
            <w:tcW w:w="1223" w:type="dxa"/>
            <w:vAlign w:val="center"/>
          </w:tcPr>
          <w:p w14:paraId="079B10F2" w14:textId="77777777" w:rsidR="00025C75" w:rsidRPr="0030448F" w:rsidRDefault="00025C75" w:rsidP="00D23D34">
            <w:pPr>
              <w:pStyle w:val="TableTextLeft"/>
              <w:jc w:val="right"/>
            </w:pPr>
            <w:r w:rsidRPr="0030448F">
              <w:t>43.1</w:t>
            </w:r>
          </w:p>
        </w:tc>
        <w:tc>
          <w:tcPr>
            <w:tcW w:w="236" w:type="dxa"/>
            <w:vAlign w:val="center"/>
          </w:tcPr>
          <w:p w14:paraId="3D5FB132" w14:textId="77777777" w:rsidR="00025C75" w:rsidRPr="0030448F" w:rsidRDefault="00025C75" w:rsidP="00D23D34">
            <w:pPr>
              <w:pStyle w:val="TableTextLeft"/>
              <w:jc w:val="right"/>
            </w:pPr>
          </w:p>
        </w:tc>
        <w:tc>
          <w:tcPr>
            <w:tcW w:w="951" w:type="dxa"/>
            <w:vAlign w:val="center"/>
          </w:tcPr>
          <w:p w14:paraId="62E5BD6C" w14:textId="35943DF0" w:rsidR="00025C75" w:rsidRPr="0030448F" w:rsidRDefault="00025C75" w:rsidP="00D23D34">
            <w:pPr>
              <w:pStyle w:val="TableTextLeft"/>
              <w:jc w:val="right"/>
            </w:pPr>
            <w:r w:rsidRPr="0030448F">
              <w:t>27,</w:t>
            </w:r>
            <w:r>
              <w:t>949</w:t>
            </w:r>
          </w:p>
        </w:tc>
        <w:tc>
          <w:tcPr>
            <w:tcW w:w="1234" w:type="dxa"/>
            <w:vAlign w:val="center"/>
          </w:tcPr>
          <w:p w14:paraId="22A0CA34" w14:textId="77777777" w:rsidR="00025C75" w:rsidRPr="0030448F" w:rsidRDefault="00025C75" w:rsidP="00D23D34">
            <w:pPr>
              <w:pStyle w:val="TableTextLeft"/>
              <w:jc w:val="right"/>
            </w:pPr>
            <w:r w:rsidRPr="0030448F">
              <w:t>36.1</w:t>
            </w:r>
          </w:p>
        </w:tc>
      </w:tr>
      <w:tr w:rsidR="005C615C" w:rsidRPr="0030448F" w14:paraId="25CED547" w14:textId="77777777" w:rsidTr="00D23D34">
        <w:tc>
          <w:tcPr>
            <w:tcW w:w="1560" w:type="dxa"/>
            <w:shd w:val="clear" w:color="auto" w:fill="F2F2F2" w:themeFill="background1" w:themeFillShade="F2"/>
          </w:tcPr>
          <w:p w14:paraId="19369597" w14:textId="3567E634" w:rsidR="00025C75" w:rsidRPr="0030448F" w:rsidRDefault="00025C75" w:rsidP="002F1A98">
            <w:pPr>
              <w:pStyle w:val="Tabletextleft0"/>
              <w:ind w:left="-31"/>
            </w:pPr>
            <w:r>
              <w:t>Inflation</w:t>
            </w:r>
            <w:r>
              <w:br/>
            </w:r>
            <w:r w:rsidRPr="0030448F">
              <w:t>(1.5% pa)</w:t>
            </w:r>
          </w:p>
        </w:tc>
        <w:tc>
          <w:tcPr>
            <w:tcW w:w="992" w:type="dxa"/>
            <w:shd w:val="clear" w:color="auto" w:fill="F2F2F2" w:themeFill="background1" w:themeFillShade="F2"/>
            <w:vAlign w:val="center"/>
          </w:tcPr>
          <w:p w14:paraId="5E156F43" w14:textId="77777777" w:rsidR="00025C75" w:rsidRPr="0030448F" w:rsidRDefault="00025C75" w:rsidP="00D23D34">
            <w:pPr>
              <w:pStyle w:val="TableTextLeft"/>
              <w:jc w:val="right"/>
            </w:pPr>
            <w:r w:rsidRPr="0030448F">
              <w:t>479</w:t>
            </w:r>
          </w:p>
        </w:tc>
        <w:tc>
          <w:tcPr>
            <w:tcW w:w="992" w:type="dxa"/>
            <w:shd w:val="clear" w:color="auto" w:fill="F2F2F2" w:themeFill="background1" w:themeFillShade="F2"/>
            <w:vAlign w:val="center"/>
          </w:tcPr>
          <w:p w14:paraId="775A3A06" w14:textId="77777777" w:rsidR="00025C75" w:rsidRPr="0030448F" w:rsidRDefault="00025C75" w:rsidP="00D23D34">
            <w:pPr>
              <w:pStyle w:val="TableTextLeft"/>
              <w:jc w:val="right"/>
            </w:pPr>
            <w:r>
              <w:t>30,014</w:t>
            </w:r>
          </w:p>
        </w:tc>
        <w:tc>
          <w:tcPr>
            <w:tcW w:w="1223" w:type="dxa"/>
            <w:shd w:val="clear" w:color="auto" w:fill="F2F2F2" w:themeFill="background1" w:themeFillShade="F2"/>
            <w:vAlign w:val="center"/>
          </w:tcPr>
          <w:p w14:paraId="5B70EC78" w14:textId="77777777" w:rsidR="00025C75" w:rsidRPr="0030448F" w:rsidRDefault="00025C75" w:rsidP="00D23D34">
            <w:pPr>
              <w:pStyle w:val="TableTextLeft"/>
              <w:jc w:val="right"/>
            </w:pPr>
            <w:r w:rsidRPr="0030448F">
              <w:t>35.4</w:t>
            </w:r>
          </w:p>
        </w:tc>
        <w:tc>
          <w:tcPr>
            <w:tcW w:w="236" w:type="dxa"/>
            <w:shd w:val="clear" w:color="auto" w:fill="F2F2F2" w:themeFill="background1" w:themeFillShade="F2"/>
            <w:vAlign w:val="center"/>
          </w:tcPr>
          <w:p w14:paraId="3460BB8B" w14:textId="77777777" w:rsidR="00025C75" w:rsidRPr="0030448F" w:rsidRDefault="00025C75" w:rsidP="00D23D34">
            <w:pPr>
              <w:pStyle w:val="TableTextLeft"/>
              <w:jc w:val="right"/>
            </w:pPr>
          </w:p>
        </w:tc>
        <w:tc>
          <w:tcPr>
            <w:tcW w:w="951" w:type="dxa"/>
            <w:shd w:val="clear" w:color="auto" w:fill="F2F2F2" w:themeFill="background1" w:themeFillShade="F2"/>
            <w:vAlign w:val="center"/>
          </w:tcPr>
          <w:p w14:paraId="162C8DD7" w14:textId="167AB852" w:rsidR="00025C75" w:rsidRPr="0030448F" w:rsidRDefault="00025C75" w:rsidP="00D23D34">
            <w:pPr>
              <w:pStyle w:val="TableTextLeft"/>
              <w:jc w:val="right"/>
            </w:pPr>
            <w:r w:rsidRPr="0030448F">
              <w:t>22,</w:t>
            </w:r>
            <w:r>
              <w:t>431</w:t>
            </w:r>
          </w:p>
        </w:tc>
        <w:tc>
          <w:tcPr>
            <w:tcW w:w="1234" w:type="dxa"/>
            <w:shd w:val="clear" w:color="auto" w:fill="F2F2F2" w:themeFill="background1" w:themeFillShade="F2"/>
            <w:vAlign w:val="center"/>
          </w:tcPr>
          <w:p w14:paraId="464A2734" w14:textId="77777777" w:rsidR="00025C75" w:rsidRPr="0030448F" w:rsidRDefault="00025C75" w:rsidP="00D23D34">
            <w:pPr>
              <w:pStyle w:val="TableTextLeft"/>
              <w:jc w:val="right"/>
            </w:pPr>
            <w:r w:rsidRPr="0030448F">
              <w:t>28.1</w:t>
            </w:r>
          </w:p>
        </w:tc>
      </w:tr>
      <w:tr w:rsidR="005C615C" w:rsidRPr="0030448F" w14:paraId="4909E90E" w14:textId="77777777" w:rsidTr="00D23D34">
        <w:tc>
          <w:tcPr>
            <w:tcW w:w="1560" w:type="dxa"/>
          </w:tcPr>
          <w:p w14:paraId="0AD8C10A" w14:textId="6DF9AD93" w:rsidR="00025C75" w:rsidRPr="0030448F" w:rsidRDefault="00025C75" w:rsidP="002F1A98">
            <w:pPr>
              <w:pStyle w:val="Tabletextleft0"/>
              <w:ind w:left="-31"/>
            </w:pPr>
            <w:r>
              <w:t>Inflation</w:t>
            </w:r>
            <w:r>
              <w:br/>
            </w:r>
            <w:r w:rsidRPr="0030448F">
              <w:t>(3.5% pa)</w:t>
            </w:r>
          </w:p>
        </w:tc>
        <w:tc>
          <w:tcPr>
            <w:tcW w:w="992" w:type="dxa"/>
            <w:vAlign w:val="center"/>
          </w:tcPr>
          <w:p w14:paraId="3872519C" w14:textId="77777777" w:rsidR="00025C75" w:rsidRPr="0030448F" w:rsidRDefault="00025C75" w:rsidP="00D23D34">
            <w:pPr>
              <w:pStyle w:val="TableTextLeft"/>
              <w:jc w:val="right"/>
            </w:pPr>
            <w:r w:rsidRPr="0030448F">
              <w:t>479</w:t>
            </w:r>
          </w:p>
        </w:tc>
        <w:tc>
          <w:tcPr>
            <w:tcW w:w="992" w:type="dxa"/>
            <w:vAlign w:val="center"/>
          </w:tcPr>
          <w:p w14:paraId="14B19143" w14:textId="77777777" w:rsidR="00025C75" w:rsidRPr="0030448F" w:rsidRDefault="00025C75" w:rsidP="00D23D34">
            <w:pPr>
              <w:pStyle w:val="TableTextLeft"/>
              <w:jc w:val="right"/>
            </w:pPr>
            <w:r w:rsidRPr="0030448F">
              <w:t>30,63</w:t>
            </w:r>
            <w:r>
              <w:t>2</w:t>
            </w:r>
          </w:p>
        </w:tc>
        <w:tc>
          <w:tcPr>
            <w:tcW w:w="1223" w:type="dxa"/>
            <w:vAlign w:val="center"/>
          </w:tcPr>
          <w:p w14:paraId="7B1E64AB" w14:textId="77777777" w:rsidR="00025C75" w:rsidRPr="0030448F" w:rsidRDefault="00025C75" w:rsidP="00D23D34">
            <w:pPr>
              <w:pStyle w:val="TableTextLeft"/>
              <w:jc w:val="right"/>
            </w:pPr>
            <w:r w:rsidRPr="0030448F">
              <w:t>36.4</w:t>
            </w:r>
          </w:p>
        </w:tc>
        <w:tc>
          <w:tcPr>
            <w:tcW w:w="236" w:type="dxa"/>
            <w:vAlign w:val="center"/>
          </w:tcPr>
          <w:p w14:paraId="2F2F4B76" w14:textId="77777777" w:rsidR="00025C75" w:rsidRPr="0030448F" w:rsidRDefault="00025C75" w:rsidP="00D23D34">
            <w:pPr>
              <w:pStyle w:val="TableTextLeft"/>
              <w:jc w:val="right"/>
            </w:pPr>
          </w:p>
        </w:tc>
        <w:tc>
          <w:tcPr>
            <w:tcW w:w="951" w:type="dxa"/>
            <w:vAlign w:val="center"/>
          </w:tcPr>
          <w:p w14:paraId="5808F034" w14:textId="7060E4DD" w:rsidR="00025C75" w:rsidRPr="0030448F" w:rsidRDefault="00025C75" w:rsidP="00D23D34">
            <w:pPr>
              <w:pStyle w:val="TableTextLeft"/>
              <w:jc w:val="right"/>
            </w:pPr>
            <w:r w:rsidRPr="0030448F">
              <w:t>32,</w:t>
            </w:r>
            <w:r>
              <w:t>376</w:t>
            </w:r>
          </w:p>
        </w:tc>
        <w:tc>
          <w:tcPr>
            <w:tcW w:w="1234" w:type="dxa"/>
            <w:vAlign w:val="center"/>
          </w:tcPr>
          <w:p w14:paraId="69F3CCEF" w14:textId="77777777" w:rsidR="00025C75" w:rsidRPr="0030448F" w:rsidRDefault="00025C75" w:rsidP="00D23D34">
            <w:pPr>
              <w:pStyle w:val="TableTextLeft"/>
              <w:jc w:val="right"/>
            </w:pPr>
            <w:r w:rsidRPr="0030448F">
              <w:t>40.0</w:t>
            </w:r>
          </w:p>
        </w:tc>
      </w:tr>
      <w:tr w:rsidR="005C615C" w:rsidRPr="0030448F" w14:paraId="0026FB0F" w14:textId="77777777" w:rsidTr="00D23D34">
        <w:tc>
          <w:tcPr>
            <w:tcW w:w="1560" w:type="dxa"/>
            <w:shd w:val="clear" w:color="auto" w:fill="F2F2F2" w:themeFill="background1" w:themeFillShade="F2"/>
          </w:tcPr>
          <w:p w14:paraId="1C3E9E12" w14:textId="2C2C88EB" w:rsidR="00025C75" w:rsidRPr="0030448F" w:rsidRDefault="00025C75" w:rsidP="002F1A98">
            <w:pPr>
              <w:pStyle w:val="Tabletextleft0"/>
              <w:ind w:left="-31"/>
            </w:pPr>
            <w:r w:rsidRPr="0030448F">
              <w:t>100% pension</w:t>
            </w:r>
            <w:r>
              <w:br/>
            </w:r>
            <w:r w:rsidRPr="0030448F">
              <w:t>take up</w:t>
            </w:r>
          </w:p>
        </w:tc>
        <w:tc>
          <w:tcPr>
            <w:tcW w:w="992" w:type="dxa"/>
            <w:shd w:val="clear" w:color="auto" w:fill="F2F2F2" w:themeFill="background1" w:themeFillShade="F2"/>
            <w:vAlign w:val="center"/>
          </w:tcPr>
          <w:p w14:paraId="2942E62B" w14:textId="77777777" w:rsidR="00025C75" w:rsidRPr="0030448F" w:rsidRDefault="00025C75" w:rsidP="00D23D34">
            <w:pPr>
              <w:pStyle w:val="TableTextLeft"/>
              <w:jc w:val="right"/>
            </w:pPr>
            <w:r w:rsidRPr="0030448F">
              <w:t>479</w:t>
            </w:r>
          </w:p>
        </w:tc>
        <w:tc>
          <w:tcPr>
            <w:tcW w:w="992" w:type="dxa"/>
            <w:shd w:val="clear" w:color="auto" w:fill="F2F2F2" w:themeFill="background1" w:themeFillShade="F2"/>
            <w:vAlign w:val="center"/>
          </w:tcPr>
          <w:p w14:paraId="0684B9FE" w14:textId="77777777" w:rsidR="00025C75" w:rsidRPr="0030448F" w:rsidRDefault="00025C75" w:rsidP="00D23D34">
            <w:pPr>
              <w:pStyle w:val="TableTextLeft"/>
              <w:jc w:val="right"/>
            </w:pPr>
            <w:r w:rsidRPr="0030448F">
              <w:t>30,314</w:t>
            </w:r>
          </w:p>
        </w:tc>
        <w:tc>
          <w:tcPr>
            <w:tcW w:w="1223" w:type="dxa"/>
            <w:shd w:val="clear" w:color="auto" w:fill="F2F2F2" w:themeFill="background1" w:themeFillShade="F2"/>
            <w:vAlign w:val="center"/>
          </w:tcPr>
          <w:p w14:paraId="2CE00BDB" w14:textId="77777777" w:rsidR="00025C75" w:rsidRPr="0030448F" w:rsidRDefault="00025C75" w:rsidP="00D23D34">
            <w:pPr>
              <w:pStyle w:val="TableTextLeft"/>
              <w:jc w:val="right"/>
            </w:pPr>
            <w:r w:rsidRPr="0030448F">
              <w:t>35.9</w:t>
            </w:r>
          </w:p>
        </w:tc>
        <w:tc>
          <w:tcPr>
            <w:tcW w:w="236" w:type="dxa"/>
            <w:shd w:val="clear" w:color="auto" w:fill="F2F2F2" w:themeFill="background1" w:themeFillShade="F2"/>
            <w:vAlign w:val="center"/>
          </w:tcPr>
          <w:p w14:paraId="258547E6" w14:textId="77777777" w:rsidR="00025C75" w:rsidRPr="0030448F" w:rsidRDefault="00025C75" w:rsidP="00D23D34">
            <w:pPr>
              <w:pStyle w:val="TableTextLeft"/>
              <w:jc w:val="right"/>
            </w:pPr>
          </w:p>
        </w:tc>
        <w:tc>
          <w:tcPr>
            <w:tcW w:w="951" w:type="dxa"/>
            <w:shd w:val="clear" w:color="auto" w:fill="F2F2F2" w:themeFill="background1" w:themeFillShade="F2"/>
            <w:vAlign w:val="center"/>
          </w:tcPr>
          <w:p w14:paraId="2A33AE72" w14:textId="520DD94E" w:rsidR="00025C75" w:rsidRPr="0030448F" w:rsidRDefault="00025C75" w:rsidP="00D23D34">
            <w:pPr>
              <w:pStyle w:val="TableTextLeft"/>
              <w:jc w:val="right"/>
            </w:pPr>
            <w:r w:rsidRPr="0030448F">
              <w:t>28,</w:t>
            </w:r>
            <w:r>
              <w:t>561</w:t>
            </w:r>
          </w:p>
        </w:tc>
        <w:tc>
          <w:tcPr>
            <w:tcW w:w="1234" w:type="dxa"/>
            <w:shd w:val="clear" w:color="auto" w:fill="F2F2F2" w:themeFill="background1" w:themeFillShade="F2"/>
            <w:vAlign w:val="center"/>
          </w:tcPr>
          <w:p w14:paraId="1BB815BF" w14:textId="77777777" w:rsidR="00025C75" w:rsidRPr="0030448F" w:rsidRDefault="00025C75" w:rsidP="00D23D34">
            <w:pPr>
              <w:pStyle w:val="TableTextLeft"/>
              <w:jc w:val="right"/>
            </w:pPr>
            <w:r w:rsidRPr="0030448F">
              <w:t>35.4</w:t>
            </w:r>
          </w:p>
        </w:tc>
      </w:tr>
      <w:tr w:rsidR="005C615C" w:rsidRPr="0030448F" w14:paraId="4DC4E9A1" w14:textId="77777777" w:rsidTr="00D23D34">
        <w:tc>
          <w:tcPr>
            <w:tcW w:w="1560" w:type="dxa"/>
            <w:tcBorders>
              <w:bottom w:val="single" w:sz="4" w:space="0" w:color="auto"/>
            </w:tcBorders>
          </w:tcPr>
          <w:p w14:paraId="727A2A8A" w14:textId="6C620377" w:rsidR="00025C75" w:rsidRPr="0030448F" w:rsidRDefault="00025C75" w:rsidP="002F1A98">
            <w:pPr>
              <w:pStyle w:val="Tabletextleft0"/>
              <w:ind w:left="-31" w:right="-68"/>
            </w:pPr>
            <w:r w:rsidRPr="0030448F">
              <w:t>Higher invalidity</w:t>
            </w:r>
            <w:r w:rsidR="002F1A98">
              <w:t xml:space="preserve"> </w:t>
            </w:r>
            <w:r w:rsidRPr="0030448F">
              <w:t>rates</w:t>
            </w:r>
          </w:p>
        </w:tc>
        <w:tc>
          <w:tcPr>
            <w:tcW w:w="992" w:type="dxa"/>
            <w:tcBorders>
              <w:bottom w:val="single" w:sz="4" w:space="0" w:color="auto"/>
            </w:tcBorders>
            <w:vAlign w:val="center"/>
          </w:tcPr>
          <w:p w14:paraId="53BEE3E6" w14:textId="77777777" w:rsidR="00025C75" w:rsidRPr="0030448F" w:rsidRDefault="00025C75" w:rsidP="00D23D34">
            <w:pPr>
              <w:pStyle w:val="TableTextLeft"/>
              <w:jc w:val="right"/>
            </w:pPr>
            <w:r w:rsidRPr="0030448F">
              <w:t>479</w:t>
            </w:r>
          </w:p>
        </w:tc>
        <w:tc>
          <w:tcPr>
            <w:tcW w:w="992" w:type="dxa"/>
            <w:tcBorders>
              <w:bottom w:val="single" w:sz="4" w:space="0" w:color="auto"/>
            </w:tcBorders>
            <w:vAlign w:val="center"/>
          </w:tcPr>
          <w:p w14:paraId="5D39C8B1" w14:textId="77777777" w:rsidR="00025C75" w:rsidRPr="0030448F" w:rsidRDefault="00025C75" w:rsidP="00D23D34">
            <w:pPr>
              <w:pStyle w:val="TableTextLeft"/>
              <w:jc w:val="right"/>
            </w:pPr>
            <w:r w:rsidRPr="0030448F">
              <w:t>30,314</w:t>
            </w:r>
          </w:p>
        </w:tc>
        <w:tc>
          <w:tcPr>
            <w:tcW w:w="1223" w:type="dxa"/>
            <w:tcBorders>
              <w:bottom w:val="single" w:sz="4" w:space="0" w:color="auto"/>
            </w:tcBorders>
            <w:vAlign w:val="center"/>
          </w:tcPr>
          <w:p w14:paraId="0CD51BD9" w14:textId="77777777" w:rsidR="00025C75" w:rsidRPr="0030448F" w:rsidRDefault="00025C75" w:rsidP="00D23D34">
            <w:pPr>
              <w:pStyle w:val="TableTextLeft"/>
              <w:jc w:val="right"/>
            </w:pPr>
            <w:r w:rsidRPr="0030448F">
              <w:t>35.9</w:t>
            </w:r>
          </w:p>
        </w:tc>
        <w:tc>
          <w:tcPr>
            <w:tcW w:w="236" w:type="dxa"/>
            <w:tcBorders>
              <w:bottom w:val="single" w:sz="4" w:space="0" w:color="auto"/>
            </w:tcBorders>
            <w:vAlign w:val="center"/>
          </w:tcPr>
          <w:p w14:paraId="40F070EC" w14:textId="77777777" w:rsidR="00025C75" w:rsidRPr="0030448F" w:rsidRDefault="00025C75" w:rsidP="00D23D34">
            <w:pPr>
              <w:pStyle w:val="TableTextLeft"/>
              <w:jc w:val="right"/>
            </w:pPr>
          </w:p>
        </w:tc>
        <w:tc>
          <w:tcPr>
            <w:tcW w:w="951" w:type="dxa"/>
            <w:tcBorders>
              <w:bottom w:val="single" w:sz="4" w:space="0" w:color="auto"/>
            </w:tcBorders>
            <w:vAlign w:val="center"/>
          </w:tcPr>
          <w:p w14:paraId="669A1CBC" w14:textId="0D4B772C" w:rsidR="00025C75" w:rsidRPr="0030448F" w:rsidRDefault="00025C75" w:rsidP="00D23D34">
            <w:pPr>
              <w:pStyle w:val="TableTextLeft"/>
              <w:jc w:val="right"/>
            </w:pPr>
            <w:r w:rsidRPr="0030448F">
              <w:t>27,</w:t>
            </w:r>
            <w:r>
              <w:t>226</w:t>
            </w:r>
          </w:p>
        </w:tc>
        <w:tc>
          <w:tcPr>
            <w:tcW w:w="1234" w:type="dxa"/>
            <w:tcBorders>
              <w:bottom w:val="single" w:sz="4" w:space="0" w:color="auto"/>
            </w:tcBorders>
            <w:vAlign w:val="center"/>
          </w:tcPr>
          <w:p w14:paraId="414D4E62" w14:textId="77777777" w:rsidR="00025C75" w:rsidRPr="0030448F" w:rsidRDefault="00025C75" w:rsidP="00D23D34">
            <w:pPr>
              <w:pStyle w:val="TableTextLeft"/>
              <w:jc w:val="right"/>
            </w:pPr>
            <w:r w:rsidRPr="0030448F">
              <w:t>35.3</w:t>
            </w:r>
          </w:p>
        </w:tc>
      </w:tr>
    </w:tbl>
    <w:p w14:paraId="311D858F" w14:textId="77777777" w:rsidR="000D5E26" w:rsidRDefault="000D5E26" w:rsidP="000D5E26">
      <w:pPr>
        <w:pStyle w:val="ChartorTableNote"/>
      </w:pPr>
      <w:r>
        <w:t>Note: These sensitivity analysis scenarios do not represent upper or lower bounds of the unfunded liabilities or notional employer contribution rates, with the exception of the 100% pension take-up rate scenario for MSBS.</w:t>
      </w:r>
    </w:p>
    <w:p w14:paraId="5E22A885" w14:textId="77777777" w:rsidR="00025C75" w:rsidRDefault="00025C75" w:rsidP="000D5E26">
      <w:pPr>
        <w:pStyle w:val="ChartorTableNote"/>
      </w:pPr>
    </w:p>
    <w:p w14:paraId="601552E7" w14:textId="77777777" w:rsidR="00AE6A8D" w:rsidRDefault="00AE6A8D">
      <w:pPr>
        <w:spacing w:before="0" w:after="0" w:line="240" w:lineRule="auto"/>
        <w:jc w:val="left"/>
      </w:pPr>
      <w:r>
        <w:br w:type="page"/>
      </w:r>
    </w:p>
    <w:p w14:paraId="1643B223" w14:textId="349C0269" w:rsidR="00E77F7B" w:rsidRPr="0030448F" w:rsidRDefault="00E77F7B" w:rsidP="002973D9">
      <w:pPr>
        <w:pStyle w:val="BodyText-Appendix"/>
      </w:pPr>
      <w:r w:rsidRPr="0030448F">
        <w:lastRenderedPageBreak/>
        <w:t>The first six analyses highlight the sensitivity of the estimates of the unfunded liability and the notional employer contribution rates to changes in economic assumptions.</w:t>
      </w:r>
      <w:r w:rsidR="00212C90">
        <w:t xml:space="preserve"> </w:t>
      </w:r>
      <w:r w:rsidR="001549EF">
        <w:t>As</w:t>
      </w:r>
      <w:r w:rsidR="00437E74" w:rsidRPr="0030448F">
        <w:t xml:space="preserve"> DFRB and DFRDB pensions are now linked to salary </w:t>
      </w:r>
      <w:r w:rsidR="001549EF">
        <w:t xml:space="preserve">(MTAWE) </w:t>
      </w:r>
      <w:r w:rsidR="00437E74" w:rsidRPr="0030448F">
        <w:t>inflation</w:t>
      </w:r>
      <w:r w:rsidR="001549EF">
        <w:t xml:space="preserve"> for most of the period while in payment</w:t>
      </w:r>
      <w:r w:rsidR="00437E74" w:rsidRPr="0030448F">
        <w:t xml:space="preserve">, these schemes are much more sensitive to the salary </w:t>
      </w:r>
      <w:r w:rsidR="001549EF">
        <w:t xml:space="preserve">(MTAWE) </w:t>
      </w:r>
      <w:r w:rsidR="00437E74" w:rsidRPr="0030448F">
        <w:t>increase assum</w:t>
      </w:r>
      <w:r w:rsidR="001549EF">
        <w:t xml:space="preserve">ption than the CPI </w:t>
      </w:r>
      <w:r w:rsidR="004F4006">
        <w:t xml:space="preserve">increase </w:t>
      </w:r>
      <w:r w:rsidR="001549EF">
        <w:t xml:space="preserve">assumption which only applies </w:t>
      </w:r>
      <w:r w:rsidR="004F4006">
        <w:t>to pension indexation for those under age 55</w:t>
      </w:r>
      <w:r w:rsidR="001549EF">
        <w:t>.</w:t>
      </w:r>
      <w:r w:rsidR="00212C90">
        <w:t xml:space="preserve"> </w:t>
      </w:r>
      <w:r w:rsidR="004F4006">
        <w:t>For the MSBS, the large unfunded components</w:t>
      </w:r>
      <w:r w:rsidRPr="0030448F">
        <w:t xml:space="preserve"> of </w:t>
      </w:r>
      <w:r w:rsidR="004F4006">
        <w:t xml:space="preserve">the </w:t>
      </w:r>
      <w:r w:rsidRPr="0030448F">
        <w:t xml:space="preserve">preserved benefits as well as pensions are </w:t>
      </w:r>
      <w:r w:rsidR="004F4006">
        <w:t>CPI inflation linked.</w:t>
      </w:r>
      <w:r w:rsidR="00212C90">
        <w:t xml:space="preserve"> </w:t>
      </w:r>
      <w:r w:rsidR="004F4006">
        <w:t>M</w:t>
      </w:r>
      <w:r w:rsidRPr="0030448F">
        <w:t>ost contributors will end up with a preserved benefit</w:t>
      </w:r>
      <w:r w:rsidR="004F4006">
        <w:t xml:space="preserve"> on exit from the ADF</w:t>
      </w:r>
      <w:r w:rsidR="005A44F8">
        <w:t xml:space="preserve"> and are likely to take a pension on eventual retirement</w:t>
      </w:r>
      <w:r w:rsidRPr="0030448F">
        <w:t>.</w:t>
      </w:r>
      <w:r w:rsidR="00212C90">
        <w:t xml:space="preserve"> </w:t>
      </w:r>
      <w:r w:rsidRPr="0030448F">
        <w:t xml:space="preserve">As a result, MSBS costs are </w:t>
      </w:r>
      <w:r w:rsidR="00437E74" w:rsidRPr="0030448F">
        <w:t xml:space="preserve">much more </w:t>
      </w:r>
      <w:r w:rsidRPr="0030448F">
        <w:t xml:space="preserve">sensitive to the </w:t>
      </w:r>
      <w:r w:rsidR="004F4006">
        <w:t xml:space="preserve">CPI </w:t>
      </w:r>
      <w:r w:rsidRPr="0030448F">
        <w:t>inflation assumption</w:t>
      </w:r>
      <w:r w:rsidR="00437E74" w:rsidRPr="0030448F">
        <w:t xml:space="preserve"> than the salary increase assumption</w:t>
      </w:r>
      <w:r w:rsidRPr="0030448F">
        <w:t>.</w:t>
      </w:r>
    </w:p>
    <w:p w14:paraId="3E15AABA" w14:textId="1C4E0E3D" w:rsidR="00E77F7B" w:rsidRPr="0030448F" w:rsidRDefault="00E77F7B" w:rsidP="002973D9">
      <w:pPr>
        <w:pStyle w:val="BodyText-Appendix"/>
      </w:pPr>
      <w:r w:rsidRPr="0030448F">
        <w:t xml:space="preserve">The </w:t>
      </w:r>
      <w:r w:rsidR="00437E74" w:rsidRPr="0030448F">
        <w:t xml:space="preserve">pension take up </w:t>
      </w:r>
      <w:r w:rsidRPr="0030448F">
        <w:t xml:space="preserve">scenario affects only the MSBS and involves a </w:t>
      </w:r>
      <w:r w:rsidR="0030448F">
        <w:t xml:space="preserve">lower </w:t>
      </w:r>
      <w:r w:rsidRPr="0030448F">
        <w:t xml:space="preserve">cost </w:t>
      </w:r>
      <w:r w:rsidR="0030448F" w:rsidRPr="0030448F">
        <w:t>t</w:t>
      </w:r>
      <w:r w:rsidR="0030448F">
        <w:t xml:space="preserve">han the </w:t>
      </w:r>
      <w:r w:rsidR="0030448F" w:rsidRPr="0030448F">
        <w:t>hi</w:t>
      </w:r>
      <w:r w:rsidR="004F4006">
        <w:t>gher salary</w:t>
      </w:r>
      <w:r w:rsidRPr="0030448F">
        <w:t xml:space="preserve"> growth </w:t>
      </w:r>
      <w:r w:rsidR="0030448F">
        <w:t>or</w:t>
      </w:r>
      <w:r w:rsidR="004F4006">
        <w:t xml:space="preserve"> CPI</w:t>
      </w:r>
      <w:r w:rsidR="0030448F">
        <w:t xml:space="preserve"> inflation </w:t>
      </w:r>
      <w:r w:rsidR="0030448F" w:rsidRPr="0030448F">
        <w:t>assumption</w:t>
      </w:r>
      <w:r w:rsidR="0030448F">
        <w:t>s</w:t>
      </w:r>
      <w:r w:rsidRPr="0030448F">
        <w:t>.</w:t>
      </w:r>
      <w:r w:rsidR="004F4006">
        <w:t xml:space="preserve"> </w:t>
      </w:r>
      <w:r w:rsidRPr="0030448F">
        <w:t>This provides a theoretical upper bound on the cost impact from this process.</w:t>
      </w:r>
      <w:r w:rsidR="005A44F8">
        <w:t xml:space="preserve"> </w:t>
      </w:r>
      <w:r w:rsidRPr="0030448F">
        <w:t>In practice, a more realistic upper bound is probably around half the increase in costs reported h</w:t>
      </w:r>
      <w:r w:rsidR="005F4377">
        <w:t>ere as there are likely to always</w:t>
      </w:r>
      <w:r w:rsidRPr="0030448F">
        <w:t xml:space="preserve"> be some individuals who </w:t>
      </w:r>
      <w:r w:rsidR="005F4377">
        <w:t xml:space="preserve">will </w:t>
      </w:r>
      <w:r w:rsidRPr="0030448F">
        <w:t>prefer the lump sum over the alternative pension</w:t>
      </w:r>
      <w:r w:rsidR="002C342A" w:rsidRPr="0030448F">
        <w:t>.</w:t>
      </w:r>
    </w:p>
    <w:p w14:paraId="60437C62" w14:textId="77777777" w:rsidR="005F4377" w:rsidRDefault="0030448F" w:rsidP="002973D9">
      <w:pPr>
        <w:pStyle w:val="BodyText-Appendix"/>
      </w:pPr>
      <w:r w:rsidRPr="0030448F">
        <w:t xml:space="preserve">The increased invalidity exit rates (for MSBS contributors) scenario involves a cost </w:t>
      </w:r>
      <w:r>
        <w:t>approximately equal to the 100% pension take up rate assumption.</w:t>
      </w:r>
    </w:p>
    <w:p w14:paraId="18079B23" w14:textId="77777777" w:rsidR="0030448F" w:rsidRDefault="005F4377" w:rsidP="002973D9">
      <w:pPr>
        <w:pStyle w:val="BodyText-Appendix"/>
      </w:pPr>
      <w:r>
        <w:t>Both of the latter two scenarios involve a proportionately higher impact on the notional employer contribution rate going forward than on the unfunded liability.</w:t>
      </w:r>
      <w:r w:rsidR="0030448F">
        <w:t xml:space="preserve"> </w:t>
      </w:r>
    </w:p>
    <w:p w14:paraId="76D757E4" w14:textId="727B9973" w:rsidR="005A44F8" w:rsidRPr="0030448F" w:rsidRDefault="005A44F8" w:rsidP="002973D9">
      <w:pPr>
        <w:pStyle w:val="BodyText-Appendix"/>
      </w:pPr>
      <w:r>
        <w:t>A summary of the invalidity A and B exits rates used for the higher invalidity rates scenario are set out in the table below:</w:t>
      </w:r>
    </w:p>
    <w:p w14:paraId="3E53BF4A" w14:textId="77777777" w:rsidR="005A44F8" w:rsidRPr="00ED6DDC" w:rsidRDefault="00D05783" w:rsidP="00ED6DDC">
      <w:pPr>
        <w:pStyle w:val="TableMainHeading"/>
      </w:pPr>
      <w:r w:rsidRPr="00ED6DDC">
        <w:t xml:space="preserve">MSBS </w:t>
      </w:r>
      <w:r w:rsidR="005A44F8" w:rsidRPr="00ED6DDC">
        <w:t>invalidity rates (per 1,000 contributors)</w:t>
      </w:r>
    </w:p>
    <w:tbl>
      <w:tblPr>
        <w:tblW w:w="0" w:type="auto"/>
        <w:tblInd w:w="675" w:type="dxa"/>
        <w:tblBorders>
          <w:top w:val="single" w:sz="2" w:space="0" w:color="auto"/>
          <w:bottom w:val="single" w:sz="2" w:space="0" w:color="auto"/>
        </w:tblBorders>
        <w:tblLook w:val="01E0" w:firstRow="1" w:lastRow="1" w:firstColumn="1" w:lastColumn="1" w:noHBand="0" w:noVBand="0"/>
      </w:tblPr>
      <w:tblGrid>
        <w:gridCol w:w="664"/>
        <w:gridCol w:w="1527"/>
        <w:gridCol w:w="1526"/>
        <w:gridCol w:w="340"/>
        <w:gridCol w:w="1525"/>
        <w:gridCol w:w="1526"/>
      </w:tblGrid>
      <w:tr w:rsidR="005C615C" w14:paraId="4A757C33" w14:textId="77777777" w:rsidTr="00AE6A8D">
        <w:tc>
          <w:tcPr>
            <w:tcW w:w="664" w:type="dxa"/>
            <w:tcBorders>
              <w:top w:val="single" w:sz="4" w:space="0" w:color="auto"/>
              <w:bottom w:val="nil"/>
            </w:tcBorders>
            <w:shd w:val="clear" w:color="auto" w:fill="E6E6E6"/>
          </w:tcPr>
          <w:p w14:paraId="2DDE3E4B" w14:textId="77777777" w:rsidR="005C615C" w:rsidRDefault="005C615C" w:rsidP="00D05783">
            <w:pPr>
              <w:pStyle w:val="TableColumnHeadingCentred"/>
            </w:pPr>
          </w:p>
        </w:tc>
        <w:tc>
          <w:tcPr>
            <w:tcW w:w="3053" w:type="dxa"/>
            <w:gridSpan w:val="2"/>
            <w:tcBorders>
              <w:top w:val="single" w:sz="4" w:space="0" w:color="auto"/>
              <w:bottom w:val="single" w:sz="2" w:space="0" w:color="auto"/>
            </w:tcBorders>
            <w:shd w:val="clear" w:color="auto" w:fill="E6E6E6"/>
          </w:tcPr>
          <w:p w14:paraId="420896DE" w14:textId="54DE12B6" w:rsidR="005C615C" w:rsidRDefault="005C615C" w:rsidP="00D05783">
            <w:pPr>
              <w:pStyle w:val="TableColumnHeadingCentred"/>
            </w:pPr>
            <w:r>
              <w:t>Invalidity ‘A’</w:t>
            </w:r>
          </w:p>
        </w:tc>
        <w:tc>
          <w:tcPr>
            <w:tcW w:w="340" w:type="dxa"/>
            <w:tcBorders>
              <w:top w:val="single" w:sz="4" w:space="0" w:color="auto"/>
              <w:bottom w:val="nil"/>
            </w:tcBorders>
            <w:shd w:val="clear" w:color="auto" w:fill="E6E6E6"/>
          </w:tcPr>
          <w:p w14:paraId="5E909166" w14:textId="77777777" w:rsidR="005C615C" w:rsidRDefault="005C615C" w:rsidP="00D05783">
            <w:pPr>
              <w:pStyle w:val="TableColumnHeadingCentred"/>
            </w:pPr>
          </w:p>
        </w:tc>
        <w:tc>
          <w:tcPr>
            <w:tcW w:w="3051" w:type="dxa"/>
            <w:gridSpan w:val="2"/>
            <w:tcBorders>
              <w:top w:val="single" w:sz="4" w:space="0" w:color="auto"/>
              <w:bottom w:val="single" w:sz="2" w:space="0" w:color="auto"/>
            </w:tcBorders>
            <w:shd w:val="clear" w:color="auto" w:fill="E6E6E6"/>
          </w:tcPr>
          <w:p w14:paraId="6B26CC38" w14:textId="21881B7F" w:rsidR="005C615C" w:rsidRDefault="005C615C" w:rsidP="00D05783">
            <w:pPr>
              <w:pStyle w:val="TableColumnHeadingCentred"/>
            </w:pPr>
            <w:r>
              <w:t>Invalidity ‘B’</w:t>
            </w:r>
          </w:p>
        </w:tc>
      </w:tr>
      <w:tr w:rsidR="00245B96" w14:paraId="63C67F81" w14:textId="77777777" w:rsidTr="00AE6A8D">
        <w:tc>
          <w:tcPr>
            <w:tcW w:w="664" w:type="dxa"/>
            <w:tcBorders>
              <w:top w:val="nil"/>
              <w:bottom w:val="single" w:sz="4" w:space="0" w:color="auto"/>
            </w:tcBorders>
            <w:shd w:val="clear" w:color="auto" w:fill="E6E6E6"/>
          </w:tcPr>
          <w:p w14:paraId="182A941C" w14:textId="77777777" w:rsidR="005A44F8" w:rsidRDefault="005A44F8" w:rsidP="00D05783">
            <w:pPr>
              <w:pStyle w:val="TableColumnHeadingLeft"/>
            </w:pPr>
            <w:r>
              <w:t>Age</w:t>
            </w:r>
          </w:p>
        </w:tc>
        <w:tc>
          <w:tcPr>
            <w:tcW w:w="1527" w:type="dxa"/>
            <w:tcBorders>
              <w:top w:val="single" w:sz="2" w:space="0" w:color="auto"/>
              <w:bottom w:val="single" w:sz="4" w:space="0" w:color="auto"/>
            </w:tcBorders>
            <w:shd w:val="clear" w:color="auto" w:fill="E6E6E6"/>
          </w:tcPr>
          <w:p w14:paraId="3480B902" w14:textId="77777777" w:rsidR="005A44F8" w:rsidRDefault="005A44F8" w:rsidP="00D05783">
            <w:pPr>
              <w:pStyle w:val="TableColumnHeadingRight"/>
            </w:pPr>
            <w:r>
              <w:t>Officers and cadets</w:t>
            </w:r>
          </w:p>
        </w:tc>
        <w:tc>
          <w:tcPr>
            <w:tcW w:w="1526" w:type="dxa"/>
            <w:tcBorders>
              <w:top w:val="single" w:sz="2" w:space="0" w:color="auto"/>
              <w:bottom w:val="single" w:sz="4" w:space="0" w:color="auto"/>
            </w:tcBorders>
            <w:shd w:val="clear" w:color="auto" w:fill="E6E6E6"/>
          </w:tcPr>
          <w:p w14:paraId="49465C77" w14:textId="77777777" w:rsidR="005A44F8" w:rsidRDefault="005A44F8" w:rsidP="00D05783">
            <w:pPr>
              <w:pStyle w:val="TableColumnHeadingRight"/>
            </w:pPr>
            <w:r>
              <w:t>Other ranks</w:t>
            </w:r>
          </w:p>
        </w:tc>
        <w:tc>
          <w:tcPr>
            <w:tcW w:w="340" w:type="dxa"/>
            <w:tcBorders>
              <w:top w:val="nil"/>
              <w:bottom w:val="single" w:sz="4" w:space="0" w:color="auto"/>
            </w:tcBorders>
            <w:shd w:val="clear" w:color="auto" w:fill="E6E6E6"/>
          </w:tcPr>
          <w:p w14:paraId="2B5619CC" w14:textId="77777777" w:rsidR="005A44F8" w:rsidRDefault="005A44F8" w:rsidP="00D05783">
            <w:pPr>
              <w:pStyle w:val="TableColumnHeadingRight"/>
            </w:pPr>
          </w:p>
        </w:tc>
        <w:tc>
          <w:tcPr>
            <w:tcW w:w="1525" w:type="dxa"/>
            <w:tcBorders>
              <w:top w:val="single" w:sz="2" w:space="0" w:color="auto"/>
              <w:bottom w:val="single" w:sz="4" w:space="0" w:color="auto"/>
            </w:tcBorders>
            <w:shd w:val="clear" w:color="auto" w:fill="E6E6E6"/>
          </w:tcPr>
          <w:p w14:paraId="21287569" w14:textId="77777777" w:rsidR="005A44F8" w:rsidRDefault="005A44F8" w:rsidP="00D05783">
            <w:pPr>
              <w:pStyle w:val="TableColumnHeadingRight"/>
            </w:pPr>
            <w:r>
              <w:t>Officers and cadets</w:t>
            </w:r>
          </w:p>
        </w:tc>
        <w:tc>
          <w:tcPr>
            <w:tcW w:w="1526" w:type="dxa"/>
            <w:tcBorders>
              <w:top w:val="single" w:sz="2" w:space="0" w:color="auto"/>
              <w:bottom w:val="single" w:sz="4" w:space="0" w:color="auto"/>
            </w:tcBorders>
            <w:shd w:val="clear" w:color="auto" w:fill="E6E6E6"/>
          </w:tcPr>
          <w:p w14:paraId="282D0FDE" w14:textId="77777777" w:rsidR="005A44F8" w:rsidRDefault="005A44F8" w:rsidP="00D05783">
            <w:pPr>
              <w:pStyle w:val="TableColumnHeadingRight"/>
            </w:pPr>
            <w:r>
              <w:t>Other ranks</w:t>
            </w:r>
          </w:p>
        </w:tc>
      </w:tr>
      <w:tr w:rsidR="00245B96" w14:paraId="34ED921E" w14:textId="77777777" w:rsidTr="00AE6A8D">
        <w:tc>
          <w:tcPr>
            <w:tcW w:w="664" w:type="dxa"/>
            <w:tcBorders>
              <w:top w:val="single" w:sz="4" w:space="0" w:color="auto"/>
            </w:tcBorders>
            <w:shd w:val="clear" w:color="auto" w:fill="auto"/>
          </w:tcPr>
          <w:p w14:paraId="5116591F" w14:textId="77777777" w:rsidR="005A44F8" w:rsidRDefault="005A44F8" w:rsidP="00D05783">
            <w:pPr>
              <w:pStyle w:val="TableColumnHeadingLeft"/>
            </w:pPr>
            <w:r>
              <w:t>20</w:t>
            </w:r>
          </w:p>
        </w:tc>
        <w:tc>
          <w:tcPr>
            <w:tcW w:w="1527" w:type="dxa"/>
            <w:tcBorders>
              <w:top w:val="single" w:sz="4" w:space="0" w:color="auto"/>
            </w:tcBorders>
            <w:shd w:val="clear" w:color="auto" w:fill="auto"/>
          </w:tcPr>
          <w:p w14:paraId="6165CB42" w14:textId="77777777" w:rsidR="005A44F8" w:rsidRPr="004B33AF" w:rsidRDefault="005A44F8" w:rsidP="00D05783">
            <w:pPr>
              <w:pStyle w:val="TableTextRight"/>
            </w:pPr>
            <w:r w:rsidRPr="004B33AF">
              <w:t>0.</w:t>
            </w:r>
            <w:r w:rsidR="00D05783" w:rsidRPr="004B33AF">
              <w:t>31</w:t>
            </w:r>
          </w:p>
        </w:tc>
        <w:tc>
          <w:tcPr>
            <w:tcW w:w="1526" w:type="dxa"/>
            <w:tcBorders>
              <w:top w:val="single" w:sz="4" w:space="0" w:color="auto"/>
            </w:tcBorders>
            <w:shd w:val="clear" w:color="auto" w:fill="auto"/>
          </w:tcPr>
          <w:p w14:paraId="19338A61" w14:textId="77777777" w:rsidR="005A44F8" w:rsidRPr="004B33AF" w:rsidRDefault="001926CD" w:rsidP="001926CD">
            <w:pPr>
              <w:pStyle w:val="TableTextRight"/>
            </w:pPr>
            <w:r w:rsidRPr="004B33AF">
              <w:t>1</w:t>
            </w:r>
            <w:r w:rsidR="005A44F8" w:rsidRPr="004B33AF">
              <w:t>.</w:t>
            </w:r>
            <w:r w:rsidRPr="004B33AF">
              <w:t>10</w:t>
            </w:r>
          </w:p>
        </w:tc>
        <w:tc>
          <w:tcPr>
            <w:tcW w:w="340" w:type="dxa"/>
            <w:tcBorders>
              <w:top w:val="single" w:sz="4" w:space="0" w:color="auto"/>
            </w:tcBorders>
            <w:shd w:val="clear" w:color="auto" w:fill="auto"/>
          </w:tcPr>
          <w:p w14:paraId="69507830" w14:textId="77777777" w:rsidR="005A44F8" w:rsidRPr="004B33AF" w:rsidRDefault="005A44F8" w:rsidP="00D05783">
            <w:pPr>
              <w:pStyle w:val="TableTextRight"/>
            </w:pPr>
          </w:p>
        </w:tc>
        <w:tc>
          <w:tcPr>
            <w:tcW w:w="1525" w:type="dxa"/>
            <w:tcBorders>
              <w:top w:val="single" w:sz="4" w:space="0" w:color="auto"/>
            </w:tcBorders>
            <w:shd w:val="clear" w:color="auto" w:fill="auto"/>
          </w:tcPr>
          <w:p w14:paraId="4F1FB82E" w14:textId="77777777" w:rsidR="005A44F8" w:rsidRPr="004B33AF" w:rsidRDefault="001926CD" w:rsidP="001926CD">
            <w:pPr>
              <w:pStyle w:val="TableTextRight"/>
            </w:pPr>
            <w:r w:rsidRPr="004B33AF">
              <w:t>5</w:t>
            </w:r>
            <w:r w:rsidR="005A44F8" w:rsidRPr="004B33AF">
              <w:t>.</w:t>
            </w:r>
            <w:r w:rsidRPr="004B33AF">
              <w:t>85</w:t>
            </w:r>
          </w:p>
        </w:tc>
        <w:tc>
          <w:tcPr>
            <w:tcW w:w="1526" w:type="dxa"/>
            <w:tcBorders>
              <w:top w:val="single" w:sz="4" w:space="0" w:color="auto"/>
            </w:tcBorders>
            <w:shd w:val="clear" w:color="auto" w:fill="auto"/>
          </w:tcPr>
          <w:p w14:paraId="0EE9A863" w14:textId="77777777" w:rsidR="005A44F8" w:rsidRPr="004B33AF" w:rsidRDefault="005A44F8" w:rsidP="001926CD">
            <w:pPr>
              <w:pStyle w:val="TableTextRight"/>
            </w:pPr>
            <w:r w:rsidRPr="004B33AF">
              <w:t>3.</w:t>
            </w:r>
            <w:r w:rsidR="001926CD" w:rsidRPr="004B33AF">
              <w:t>9</w:t>
            </w:r>
            <w:r w:rsidRPr="004B33AF">
              <w:t>0</w:t>
            </w:r>
          </w:p>
        </w:tc>
      </w:tr>
      <w:tr w:rsidR="00245B96" w14:paraId="765C0EFB" w14:textId="77777777" w:rsidTr="00AE6A8D">
        <w:tc>
          <w:tcPr>
            <w:tcW w:w="664" w:type="dxa"/>
            <w:shd w:val="clear" w:color="auto" w:fill="F2F2F2" w:themeFill="background1" w:themeFillShade="F2"/>
          </w:tcPr>
          <w:p w14:paraId="190B4C90" w14:textId="77777777" w:rsidR="005A44F8" w:rsidRDefault="005A44F8" w:rsidP="00D05783">
            <w:pPr>
              <w:pStyle w:val="TableColumnHeadingLeft"/>
            </w:pPr>
            <w:r>
              <w:t>25</w:t>
            </w:r>
          </w:p>
        </w:tc>
        <w:tc>
          <w:tcPr>
            <w:tcW w:w="1527" w:type="dxa"/>
            <w:shd w:val="clear" w:color="auto" w:fill="F2F2F2" w:themeFill="background1" w:themeFillShade="F2"/>
          </w:tcPr>
          <w:p w14:paraId="6184E49C" w14:textId="77777777" w:rsidR="005A44F8" w:rsidRPr="004B33AF" w:rsidRDefault="005A44F8" w:rsidP="00D05783">
            <w:pPr>
              <w:pStyle w:val="TableTextRight"/>
            </w:pPr>
            <w:r w:rsidRPr="004B33AF">
              <w:t>1.</w:t>
            </w:r>
            <w:r w:rsidR="00D05783" w:rsidRPr="004B33AF">
              <w:t>42</w:t>
            </w:r>
          </w:p>
        </w:tc>
        <w:tc>
          <w:tcPr>
            <w:tcW w:w="1526" w:type="dxa"/>
            <w:shd w:val="clear" w:color="auto" w:fill="F2F2F2" w:themeFill="background1" w:themeFillShade="F2"/>
          </w:tcPr>
          <w:p w14:paraId="42432CA2" w14:textId="77777777" w:rsidR="005A44F8" w:rsidRPr="004B33AF" w:rsidRDefault="001926CD" w:rsidP="001926CD">
            <w:pPr>
              <w:pStyle w:val="TableTextRight"/>
            </w:pPr>
            <w:r w:rsidRPr="004B33AF">
              <w:t>5</w:t>
            </w:r>
            <w:r w:rsidR="005A44F8" w:rsidRPr="004B33AF">
              <w:t>.</w:t>
            </w:r>
            <w:r w:rsidRPr="004B33AF">
              <w:t>80</w:t>
            </w:r>
          </w:p>
        </w:tc>
        <w:tc>
          <w:tcPr>
            <w:tcW w:w="340" w:type="dxa"/>
            <w:shd w:val="clear" w:color="auto" w:fill="F2F2F2" w:themeFill="background1" w:themeFillShade="F2"/>
          </w:tcPr>
          <w:p w14:paraId="26141546" w14:textId="77777777" w:rsidR="005A44F8" w:rsidRPr="004B33AF" w:rsidRDefault="005A44F8" w:rsidP="00D05783">
            <w:pPr>
              <w:pStyle w:val="TableTextRight"/>
            </w:pPr>
          </w:p>
        </w:tc>
        <w:tc>
          <w:tcPr>
            <w:tcW w:w="1525" w:type="dxa"/>
            <w:shd w:val="clear" w:color="auto" w:fill="F2F2F2" w:themeFill="background1" w:themeFillShade="F2"/>
          </w:tcPr>
          <w:p w14:paraId="6B80F0C6" w14:textId="77777777" w:rsidR="005A44F8" w:rsidRPr="004B33AF" w:rsidRDefault="001926CD" w:rsidP="001926CD">
            <w:pPr>
              <w:pStyle w:val="TableTextRight"/>
            </w:pPr>
            <w:r w:rsidRPr="004B33AF">
              <w:t>1</w:t>
            </w:r>
            <w:r w:rsidR="005A44F8" w:rsidRPr="004B33AF">
              <w:t>.</w:t>
            </w:r>
            <w:r w:rsidRPr="004B33AF">
              <w:t>11</w:t>
            </w:r>
          </w:p>
        </w:tc>
        <w:tc>
          <w:tcPr>
            <w:tcW w:w="1526" w:type="dxa"/>
            <w:shd w:val="clear" w:color="auto" w:fill="F2F2F2" w:themeFill="background1" w:themeFillShade="F2"/>
          </w:tcPr>
          <w:p w14:paraId="4CA1CDAC" w14:textId="77777777" w:rsidR="005A44F8" w:rsidRPr="004B33AF" w:rsidRDefault="001926CD" w:rsidP="001926CD">
            <w:pPr>
              <w:pStyle w:val="TableTextRight"/>
            </w:pPr>
            <w:r w:rsidRPr="004B33AF">
              <w:t>7</w:t>
            </w:r>
            <w:r w:rsidR="005A44F8" w:rsidRPr="004B33AF">
              <w:t>.</w:t>
            </w:r>
            <w:r w:rsidRPr="004B33AF">
              <w:t>24</w:t>
            </w:r>
          </w:p>
        </w:tc>
      </w:tr>
      <w:tr w:rsidR="00245B96" w14:paraId="795BA6D3" w14:textId="77777777" w:rsidTr="00AE6A8D">
        <w:tc>
          <w:tcPr>
            <w:tcW w:w="664" w:type="dxa"/>
            <w:shd w:val="clear" w:color="auto" w:fill="auto"/>
          </w:tcPr>
          <w:p w14:paraId="44B7A8AC" w14:textId="77777777" w:rsidR="005A44F8" w:rsidRDefault="005A44F8" w:rsidP="00D05783">
            <w:pPr>
              <w:pStyle w:val="TableColumnHeadingLeft"/>
            </w:pPr>
            <w:r>
              <w:t>30</w:t>
            </w:r>
          </w:p>
        </w:tc>
        <w:tc>
          <w:tcPr>
            <w:tcW w:w="1527" w:type="dxa"/>
            <w:shd w:val="clear" w:color="auto" w:fill="auto"/>
          </w:tcPr>
          <w:p w14:paraId="54CEA121" w14:textId="77777777" w:rsidR="005A44F8" w:rsidRPr="004B33AF" w:rsidRDefault="001926CD" w:rsidP="00D05783">
            <w:pPr>
              <w:pStyle w:val="TableTextRight"/>
            </w:pPr>
            <w:r w:rsidRPr="004B33AF">
              <w:t>2.41</w:t>
            </w:r>
          </w:p>
        </w:tc>
        <w:tc>
          <w:tcPr>
            <w:tcW w:w="1526" w:type="dxa"/>
            <w:shd w:val="clear" w:color="auto" w:fill="auto"/>
          </w:tcPr>
          <w:p w14:paraId="1608563E" w14:textId="77777777" w:rsidR="005A44F8" w:rsidRPr="004B33AF" w:rsidRDefault="001926CD" w:rsidP="001926CD">
            <w:pPr>
              <w:pStyle w:val="TableTextRight"/>
            </w:pPr>
            <w:r w:rsidRPr="004B33AF">
              <w:t>7</w:t>
            </w:r>
            <w:r w:rsidR="005A44F8" w:rsidRPr="004B33AF">
              <w:t>.</w:t>
            </w:r>
            <w:r w:rsidRPr="004B33AF">
              <w:t>40</w:t>
            </w:r>
          </w:p>
        </w:tc>
        <w:tc>
          <w:tcPr>
            <w:tcW w:w="340" w:type="dxa"/>
            <w:shd w:val="clear" w:color="auto" w:fill="auto"/>
          </w:tcPr>
          <w:p w14:paraId="58E14789" w14:textId="77777777" w:rsidR="005A44F8" w:rsidRPr="004B33AF" w:rsidRDefault="005A44F8" w:rsidP="00D05783">
            <w:pPr>
              <w:pStyle w:val="TableTextRight"/>
            </w:pPr>
          </w:p>
        </w:tc>
        <w:tc>
          <w:tcPr>
            <w:tcW w:w="1525" w:type="dxa"/>
            <w:shd w:val="clear" w:color="auto" w:fill="auto"/>
          </w:tcPr>
          <w:p w14:paraId="558249C1" w14:textId="77777777" w:rsidR="005A44F8" w:rsidRPr="004B33AF" w:rsidRDefault="005A44F8" w:rsidP="001926CD">
            <w:pPr>
              <w:pStyle w:val="TableTextRight"/>
            </w:pPr>
            <w:r w:rsidRPr="004B33AF">
              <w:t>1.</w:t>
            </w:r>
            <w:r w:rsidR="001926CD" w:rsidRPr="004B33AF">
              <w:t>76</w:t>
            </w:r>
          </w:p>
        </w:tc>
        <w:tc>
          <w:tcPr>
            <w:tcW w:w="1526" w:type="dxa"/>
            <w:shd w:val="clear" w:color="auto" w:fill="auto"/>
          </w:tcPr>
          <w:p w14:paraId="02545C0A" w14:textId="77777777" w:rsidR="005A44F8" w:rsidRPr="004B33AF" w:rsidRDefault="001926CD" w:rsidP="001926CD">
            <w:pPr>
              <w:pStyle w:val="TableTextRight"/>
            </w:pPr>
            <w:r w:rsidRPr="004B33AF">
              <w:t>7</w:t>
            </w:r>
            <w:r w:rsidR="005A44F8" w:rsidRPr="004B33AF">
              <w:t>.</w:t>
            </w:r>
            <w:r w:rsidRPr="004B33AF">
              <w:t>42</w:t>
            </w:r>
          </w:p>
        </w:tc>
      </w:tr>
      <w:tr w:rsidR="00245B96" w14:paraId="247EAE10" w14:textId="77777777" w:rsidTr="00AE6A8D">
        <w:tc>
          <w:tcPr>
            <w:tcW w:w="664" w:type="dxa"/>
            <w:shd w:val="clear" w:color="auto" w:fill="F2F2F2" w:themeFill="background1" w:themeFillShade="F2"/>
          </w:tcPr>
          <w:p w14:paraId="4C1BD986" w14:textId="77777777" w:rsidR="005A44F8" w:rsidRDefault="005A44F8" w:rsidP="00D05783">
            <w:pPr>
              <w:pStyle w:val="TableColumnHeadingLeft"/>
            </w:pPr>
            <w:r>
              <w:t>35</w:t>
            </w:r>
          </w:p>
        </w:tc>
        <w:tc>
          <w:tcPr>
            <w:tcW w:w="1527" w:type="dxa"/>
            <w:shd w:val="clear" w:color="auto" w:fill="F2F2F2" w:themeFill="background1" w:themeFillShade="F2"/>
          </w:tcPr>
          <w:p w14:paraId="6374D799" w14:textId="77777777" w:rsidR="005A44F8" w:rsidRPr="004B33AF" w:rsidRDefault="001926CD" w:rsidP="001926CD">
            <w:pPr>
              <w:pStyle w:val="TableTextRight"/>
            </w:pPr>
            <w:r w:rsidRPr="004B33AF">
              <w:t>3</w:t>
            </w:r>
            <w:r w:rsidR="005A44F8" w:rsidRPr="004B33AF">
              <w:t>.</w:t>
            </w:r>
            <w:r w:rsidRPr="004B33AF">
              <w:t>09</w:t>
            </w:r>
          </w:p>
        </w:tc>
        <w:tc>
          <w:tcPr>
            <w:tcW w:w="1526" w:type="dxa"/>
            <w:shd w:val="clear" w:color="auto" w:fill="F2F2F2" w:themeFill="background1" w:themeFillShade="F2"/>
          </w:tcPr>
          <w:p w14:paraId="147FF455" w14:textId="77777777" w:rsidR="005A44F8" w:rsidRPr="004B33AF" w:rsidRDefault="001926CD" w:rsidP="001926CD">
            <w:pPr>
              <w:pStyle w:val="TableTextRight"/>
            </w:pPr>
            <w:r w:rsidRPr="004B33AF">
              <w:t>8</w:t>
            </w:r>
            <w:r w:rsidR="005A44F8" w:rsidRPr="004B33AF">
              <w:t>.</w:t>
            </w:r>
            <w:r w:rsidRPr="004B33AF">
              <w:t>60</w:t>
            </w:r>
          </w:p>
        </w:tc>
        <w:tc>
          <w:tcPr>
            <w:tcW w:w="340" w:type="dxa"/>
            <w:shd w:val="clear" w:color="auto" w:fill="F2F2F2" w:themeFill="background1" w:themeFillShade="F2"/>
          </w:tcPr>
          <w:p w14:paraId="0BCD1C00" w14:textId="77777777" w:rsidR="005A44F8" w:rsidRPr="004B33AF" w:rsidRDefault="005A44F8" w:rsidP="00D05783">
            <w:pPr>
              <w:pStyle w:val="TableTextRight"/>
            </w:pPr>
          </w:p>
        </w:tc>
        <w:tc>
          <w:tcPr>
            <w:tcW w:w="1525" w:type="dxa"/>
            <w:shd w:val="clear" w:color="auto" w:fill="F2F2F2" w:themeFill="background1" w:themeFillShade="F2"/>
          </w:tcPr>
          <w:p w14:paraId="56B7EB8A" w14:textId="77777777" w:rsidR="005A44F8" w:rsidRPr="004B33AF" w:rsidRDefault="001926CD" w:rsidP="001926CD">
            <w:pPr>
              <w:pStyle w:val="TableTextRight"/>
            </w:pPr>
            <w:r w:rsidRPr="004B33AF">
              <w:t>2</w:t>
            </w:r>
            <w:r w:rsidR="005A44F8" w:rsidRPr="004B33AF">
              <w:t>.</w:t>
            </w:r>
            <w:r w:rsidRPr="004B33AF">
              <w:t>41</w:t>
            </w:r>
          </w:p>
        </w:tc>
        <w:tc>
          <w:tcPr>
            <w:tcW w:w="1526" w:type="dxa"/>
            <w:shd w:val="clear" w:color="auto" w:fill="F2F2F2" w:themeFill="background1" w:themeFillShade="F2"/>
          </w:tcPr>
          <w:p w14:paraId="68D3E82B" w14:textId="77777777" w:rsidR="005A44F8" w:rsidRPr="004B33AF" w:rsidRDefault="001926CD" w:rsidP="001926CD">
            <w:pPr>
              <w:pStyle w:val="TableTextRight"/>
            </w:pPr>
            <w:r w:rsidRPr="004B33AF">
              <w:t>7</w:t>
            </w:r>
            <w:r w:rsidR="005A44F8" w:rsidRPr="004B33AF">
              <w:t>.</w:t>
            </w:r>
            <w:r w:rsidRPr="004B33AF">
              <w:t>42</w:t>
            </w:r>
          </w:p>
        </w:tc>
      </w:tr>
      <w:tr w:rsidR="00245B96" w14:paraId="1F907BCA" w14:textId="77777777" w:rsidTr="00AE6A8D">
        <w:tc>
          <w:tcPr>
            <w:tcW w:w="664" w:type="dxa"/>
            <w:shd w:val="clear" w:color="auto" w:fill="auto"/>
          </w:tcPr>
          <w:p w14:paraId="2AE859A1" w14:textId="77777777" w:rsidR="005A44F8" w:rsidRDefault="005A44F8" w:rsidP="00D05783">
            <w:pPr>
              <w:pStyle w:val="TableColumnHeadingLeft"/>
            </w:pPr>
            <w:r>
              <w:t>40</w:t>
            </w:r>
          </w:p>
        </w:tc>
        <w:tc>
          <w:tcPr>
            <w:tcW w:w="1527" w:type="dxa"/>
            <w:shd w:val="clear" w:color="auto" w:fill="auto"/>
          </w:tcPr>
          <w:p w14:paraId="2EC349B6" w14:textId="77777777" w:rsidR="005A44F8" w:rsidRPr="004B33AF" w:rsidRDefault="00D05783" w:rsidP="001926CD">
            <w:pPr>
              <w:pStyle w:val="TableTextRight"/>
            </w:pPr>
            <w:r w:rsidRPr="004B33AF">
              <w:t>3</w:t>
            </w:r>
            <w:r w:rsidR="005A44F8" w:rsidRPr="004B33AF">
              <w:t>.</w:t>
            </w:r>
            <w:r w:rsidR="001926CD" w:rsidRPr="004B33AF">
              <w:t>68</w:t>
            </w:r>
          </w:p>
        </w:tc>
        <w:tc>
          <w:tcPr>
            <w:tcW w:w="1526" w:type="dxa"/>
            <w:shd w:val="clear" w:color="auto" w:fill="auto"/>
          </w:tcPr>
          <w:p w14:paraId="14EF84E4" w14:textId="77777777" w:rsidR="005A44F8" w:rsidRPr="004B33AF" w:rsidRDefault="001926CD" w:rsidP="001926CD">
            <w:pPr>
              <w:pStyle w:val="TableTextRight"/>
            </w:pPr>
            <w:r w:rsidRPr="004B33AF">
              <w:t>9</w:t>
            </w:r>
            <w:r w:rsidR="005A44F8" w:rsidRPr="004B33AF">
              <w:t>.</w:t>
            </w:r>
            <w:r w:rsidRPr="004B33AF">
              <w:t>33</w:t>
            </w:r>
          </w:p>
        </w:tc>
        <w:tc>
          <w:tcPr>
            <w:tcW w:w="340" w:type="dxa"/>
            <w:shd w:val="clear" w:color="auto" w:fill="auto"/>
          </w:tcPr>
          <w:p w14:paraId="43C9D407" w14:textId="77777777" w:rsidR="005A44F8" w:rsidRPr="004B33AF" w:rsidRDefault="005A44F8" w:rsidP="00D05783">
            <w:pPr>
              <w:pStyle w:val="TableTextRight"/>
            </w:pPr>
          </w:p>
        </w:tc>
        <w:tc>
          <w:tcPr>
            <w:tcW w:w="1525" w:type="dxa"/>
            <w:shd w:val="clear" w:color="auto" w:fill="auto"/>
          </w:tcPr>
          <w:p w14:paraId="30D7E909" w14:textId="77777777" w:rsidR="005A44F8" w:rsidRPr="004B33AF" w:rsidRDefault="001926CD" w:rsidP="00D05783">
            <w:pPr>
              <w:pStyle w:val="TableTextRight"/>
            </w:pPr>
            <w:r w:rsidRPr="004B33AF">
              <w:t>3.06</w:t>
            </w:r>
          </w:p>
        </w:tc>
        <w:tc>
          <w:tcPr>
            <w:tcW w:w="1526" w:type="dxa"/>
            <w:shd w:val="clear" w:color="auto" w:fill="auto"/>
          </w:tcPr>
          <w:p w14:paraId="6613C599" w14:textId="77777777" w:rsidR="005A44F8" w:rsidRPr="004B33AF" w:rsidRDefault="001926CD" w:rsidP="001926CD">
            <w:pPr>
              <w:pStyle w:val="TableTextRight"/>
            </w:pPr>
            <w:r w:rsidRPr="004B33AF">
              <w:t>7</w:t>
            </w:r>
            <w:r w:rsidR="005A44F8" w:rsidRPr="004B33AF">
              <w:t>.</w:t>
            </w:r>
            <w:r w:rsidRPr="004B33AF">
              <w:t>42</w:t>
            </w:r>
          </w:p>
        </w:tc>
      </w:tr>
      <w:tr w:rsidR="00245B96" w14:paraId="62F795F8" w14:textId="77777777" w:rsidTr="00AE6A8D">
        <w:tc>
          <w:tcPr>
            <w:tcW w:w="664" w:type="dxa"/>
            <w:shd w:val="clear" w:color="auto" w:fill="F2F2F2" w:themeFill="background1" w:themeFillShade="F2"/>
          </w:tcPr>
          <w:p w14:paraId="04E9BBDE" w14:textId="77777777" w:rsidR="005A44F8" w:rsidRDefault="005A44F8" w:rsidP="00D05783">
            <w:pPr>
              <w:pStyle w:val="TableColumnHeadingLeft"/>
            </w:pPr>
            <w:r>
              <w:t>45</w:t>
            </w:r>
          </w:p>
        </w:tc>
        <w:tc>
          <w:tcPr>
            <w:tcW w:w="1527" w:type="dxa"/>
            <w:shd w:val="clear" w:color="auto" w:fill="F2F2F2" w:themeFill="background1" w:themeFillShade="F2"/>
          </w:tcPr>
          <w:p w14:paraId="15D8F211" w14:textId="77777777" w:rsidR="005A44F8" w:rsidRPr="004B33AF" w:rsidRDefault="005A44F8" w:rsidP="001926CD">
            <w:pPr>
              <w:pStyle w:val="TableTextRight"/>
            </w:pPr>
            <w:r w:rsidRPr="004B33AF">
              <w:t>3.</w:t>
            </w:r>
            <w:r w:rsidR="001926CD" w:rsidRPr="004B33AF">
              <w:t>97</w:t>
            </w:r>
          </w:p>
        </w:tc>
        <w:tc>
          <w:tcPr>
            <w:tcW w:w="1526" w:type="dxa"/>
            <w:shd w:val="clear" w:color="auto" w:fill="F2F2F2" w:themeFill="background1" w:themeFillShade="F2"/>
          </w:tcPr>
          <w:p w14:paraId="3ECB356A" w14:textId="77777777" w:rsidR="005A44F8" w:rsidRPr="004B33AF" w:rsidRDefault="001926CD" w:rsidP="001926CD">
            <w:pPr>
              <w:pStyle w:val="TableTextRight"/>
            </w:pPr>
            <w:r w:rsidRPr="004B33AF">
              <w:t>9</w:t>
            </w:r>
            <w:r w:rsidR="005A44F8" w:rsidRPr="004B33AF">
              <w:t>.</w:t>
            </w:r>
            <w:r w:rsidRPr="004B33AF">
              <w:t>78</w:t>
            </w:r>
          </w:p>
        </w:tc>
        <w:tc>
          <w:tcPr>
            <w:tcW w:w="340" w:type="dxa"/>
            <w:shd w:val="clear" w:color="auto" w:fill="F2F2F2" w:themeFill="background1" w:themeFillShade="F2"/>
          </w:tcPr>
          <w:p w14:paraId="14CD090A" w14:textId="77777777" w:rsidR="005A44F8" w:rsidRPr="004B33AF" w:rsidRDefault="005A44F8" w:rsidP="00D05783">
            <w:pPr>
              <w:pStyle w:val="TableTextRight"/>
            </w:pPr>
          </w:p>
        </w:tc>
        <w:tc>
          <w:tcPr>
            <w:tcW w:w="1525" w:type="dxa"/>
            <w:shd w:val="clear" w:color="auto" w:fill="F2F2F2" w:themeFill="background1" w:themeFillShade="F2"/>
          </w:tcPr>
          <w:p w14:paraId="18E07CD5" w14:textId="77777777" w:rsidR="005A44F8" w:rsidRPr="004B33AF" w:rsidRDefault="001926CD" w:rsidP="001926CD">
            <w:pPr>
              <w:pStyle w:val="TableTextRight"/>
            </w:pPr>
            <w:r w:rsidRPr="004B33AF">
              <w:t>3</w:t>
            </w:r>
            <w:r w:rsidR="005A44F8" w:rsidRPr="004B33AF">
              <w:t>.</w:t>
            </w:r>
            <w:r w:rsidRPr="004B33AF">
              <w:t>71</w:t>
            </w:r>
          </w:p>
        </w:tc>
        <w:tc>
          <w:tcPr>
            <w:tcW w:w="1526" w:type="dxa"/>
            <w:shd w:val="clear" w:color="auto" w:fill="F2F2F2" w:themeFill="background1" w:themeFillShade="F2"/>
          </w:tcPr>
          <w:p w14:paraId="7721B3B1" w14:textId="77777777" w:rsidR="005A44F8" w:rsidRPr="004B33AF" w:rsidRDefault="004B33AF" w:rsidP="004B33AF">
            <w:pPr>
              <w:pStyle w:val="TableTextRight"/>
            </w:pPr>
            <w:r w:rsidRPr="004B33AF">
              <w:t>7</w:t>
            </w:r>
            <w:r w:rsidR="005A44F8" w:rsidRPr="004B33AF">
              <w:t>.</w:t>
            </w:r>
            <w:r w:rsidRPr="004B33AF">
              <w:t>42</w:t>
            </w:r>
          </w:p>
        </w:tc>
      </w:tr>
      <w:tr w:rsidR="00245B96" w14:paraId="6857CC2B" w14:textId="77777777" w:rsidTr="00AE6A8D">
        <w:tc>
          <w:tcPr>
            <w:tcW w:w="664" w:type="dxa"/>
            <w:shd w:val="clear" w:color="auto" w:fill="auto"/>
          </w:tcPr>
          <w:p w14:paraId="4F4130EC" w14:textId="77777777" w:rsidR="005A44F8" w:rsidRDefault="005A44F8" w:rsidP="00D05783">
            <w:pPr>
              <w:pStyle w:val="TableColumnHeadingLeft"/>
            </w:pPr>
            <w:r>
              <w:t>50</w:t>
            </w:r>
          </w:p>
        </w:tc>
        <w:tc>
          <w:tcPr>
            <w:tcW w:w="1527" w:type="dxa"/>
            <w:shd w:val="clear" w:color="auto" w:fill="auto"/>
          </w:tcPr>
          <w:p w14:paraId="12FEA1CF" w14:textId="77777777" w:rsidR="005A44F8" w:rsidRPr="004B33AF" w:rsidRDefault="005A44F8" w:rsidP="00D05783">
            <w:pPr>
              <w:pStyle w:val="TableTextRight"/>
            </w:pPr>
            <w:r w:rsidRPr="004B33AF">
              <w:t>3.</w:t>
            </w:r>
            <w:r w:rsidR="00D05783" w:rsidRPr="004B33AF">
              <w:t>9</w:t>
            </w:r>
            <w:r w:rsidR="001926CD" w:rsidRPr="004B33AF">
              <w:t>4</w:t>
            </w:r>
          </w:p>
        </w:tc>
        <w:tc>
          <w:tcPr>
            <w:tcW w:w="1526" w:type="dxa"/>
            <w:shd w:val="clear" w:color="auto" w:fill="auto"/>
          </w:tcPr>
          <w:p w14:paraId="4D922E08" w14:textId="77777777" w:rsidR="005A44F8" w:rsidRPr="004B33AF" w:rsidRDefault="001926CD" w:rsidP="001926CD">
            <w:pPr>
              <w:pStyle w:val="TableTextRight"/>
            </w:pPr>
            <w:r w:rsidRPr="004B33AF">
              <w:t>9</w:t>
            </w:r>
            <w:r w:rsidR="005A44F8" w:rsidRPr="004B33AF">
              <w:t>.</w:t>
            </w:r>
            <w:r w:rsidRPr="004B33AF">
              <w:t>78</w:t>
            </w:r>
          </w:p>
        </w:tc>
        <w:tc>
          <w:tcPr>
            <w:tcW w:w="340" w:type="dxa"/>
            <w:shd w:val="clear" w:color="auto" w:fill="auto"/>
          </w:tcPr>
          <w:p w14:paraId="7BFCCCB5" w14:textId="77777777" w:rsidR="005A44F8" w:rsidRPr="004B33AF" w:rsidRDefault="005A44F8" w:rsidP="00D05783">
            <w:pPr>
              <w:pStyle w:val="TableTextRight"/>
            </w:pPr>
          </w:p>
        </w:tc>
        <w:tc>
          <w:tcPr>
            <w:tcW w:w="1525" w:type="dxa"/>
            <w:shd w:val="clear" w:color="auto" w:fill="auto"/>
          </w:tcPr>
          <w:p w14:paraId="2C4639DC" w14:textId="77777777" w:rsidR="005A44F8" w:rsidRPr="004B33AF" w:rsidRDefault="001926CD" w:rsidP="001926CD">
            <w:pPr>
              <w:pStyle w:val="TableTextRight"/>
            </w:pPr>
            <w:r w:rsidRPr="004B33AF">
              <w:t>4.36</w:t>
            </w:r>
          </w:p>
        </w:tc>
        <w:tc>
          <w:tcPr>
            <w:tcW w:w="1526" w:type="dxa"/>
            <w:shd w:val="clear" w:color="auto" w:fill="auto"/>
          </w:tcPr>
          <w:p w14:paraId="1D267B60" w14:textId="77777777" w:rsidR="005A44F8" w:rsidRPr="004B33AF" w:rsidRDefault="004B33AF" w:rsidP="004B33AF">
            <w:pPr>
              <w:pStyle w:val="TableTextRight"/>
            </w:pPr>
            <w:r w:rsidRPr="004B33AF">
              <w:t>7</w:t>
            </w:r>
            <w:r w:rsidR="005A44F8" w:rsidRPr="004B33AF">
              <w:t>.</w:t>
            </w:r>
            <w:r w:rsidRPr="004B33AF">
              <w:t>42</w:t>
            </w:r>
          </w:p>
        </w:tc>
      </w:tr>
      <w:tr w:rsidR="00245B96" w14:paraId="449C9BCB" w14:textId="77777777" w:rsidTr="00AE6A8D">
        <w:tc>
          <w:tcPr>
            <w:tcW w:w="664" w:type="dxa"/>
            <w:shd w:val="clear" w:color="auto" w:fill="F2F2F2" w:themeFill="background1" w:themeFillShade="F2"/>
          </w:tcPr>
          <w:p w14:paraId="0B40739A" w14:textId="77777777" w:rsidR="005A44F8" w:rsidRDefault="005A44F8" w:rsidP="00D05783">
            <w:pPr>
              <w:pStyle w:val="TableColumnHeadingLeft"/>
            </w:pPr>
            <w:r>
              <w:t>55</w:t>
            </w:r>
          </w:p>
        </w:tc>
        <w:tc>
          <w:tcPr>
            <w:tcW w:w="1527" w:type="dxa"/>
            <w:shd w:val="clear" w:color="auto" w:fill="F2F2F2" w:themeFill="background1" w:themeFillShade="F2"/>
          </w:tcPr>
          <w:p w14:paraId="429F9697" w14:textId="77777777" w:rsidR="005A44F8" w:rsidRPr="004B33AF" w:rsidRDefault="005A44F8" w:rsidP="001926CD">
            <w:pPr>
              <w:pStyle w:val="TableTextRight"/>
            </w:pPr>
            <w:r w:rsidRPr="004B33AF">
              <w:t>3.</w:t>
            </w:r>
            <w:r w:rsidR="00D05783" w:rsidRPr="004B33AF">
              <w:t>9</w:t>
            </w:r>
            <w:r w:rsidR="001926CD" w:rsidRPr="004B33AF">
              <w:t>9</w:t>
            </w:r>
          </w:p>
        </w:tc>
        <w:tc>
          <w:tcPr>
            <w:tcW w:w="1526" w:type="dxa"/>
            <w:shd w:val="clear" w:color="auto" w:fill="F2F2F2" w:themeFill="background1" w:themeFillShade="F2"/>
          </w:tcPr>
          <w:p w14:paraId="7F60E8CE" w14:textId="77777777" w:rsidR="005A44F8" w:rsidRPr="004B33AF" w:rsidRDefault="001926CD" w:rsidP="001926CD">
            <w:pPr>
              <w:pStyle w:val="TableTextRight"/>
            </w:pPr>
            <w:r w:rsidRPr="004B33AF">
              <w:t>9</w:t>
            </w:r>
            <w:r w:rsidR="005A44F8" w:rsidRPr="004B33AF">
              <w:t>.</w:t>
            </w:r>
            <w:r w:rsidRPr="004B33AF">
              <w:t>78</w:t>
            </w:r>
          </w:p>
        </w:tc>
        <w:tc>
          <w:tcPr>
            <w:tcW w:w="340" w:type="dxa"/>
            <w:shd w:val="clear" w:color="auto" w:fill="F2F2F2" w:themeFill="background1" w:themeFillShade="F2"/>
          </w:tcPr>
          <w:p w14:paraId="43D031C1" w14:textId="77777777" w:rsidR="005A44F8" w:rsidRPr="004B33AF" w:rsidRDefault="005A44F8" w:rsidP="00D05783">
            <w:pPr>
              <w:pStyle w:val="TableTextRight"/>
            </w:pPr>
          </w:p>
        </w:tc>
        <w:tc>
          <w:tcPr>
            <w:tcW w:w="1525" w:type="dxa"/>
            <w:shd w:val="clear" w:color="auto" w:fill="F2F2F2" w:themeFill="background1" w:themeFillShade="F2"/>
          </w:tcPr>
          <w:p w14:paraId="251189D0" w14:textId="77777777" w:rsidR="005A44F8" w:rsidRPr="004B33AF" w:rsidRDefault="001926CD" w:rsidP="001926CD">
            <w:pPr>
              <w:pStyle w:val="TableTextRight"/>
            </w:pPr>
            <w:r w:rsidRPr="004B33AF">
              <w:t>4</w:t>
            </w:r>
            <w:r w:rsidR="005A44F8" w:rsidRPr="004B33AF">
              <w:t>.</w:t>
            </w:r>
            <w:r w:rsidRPr="004B33AF">
              <w:t>94</w:t>
            </w:r>
          </w:p>
        </w:tc>
        <w:tc>
          <w:tcPr>
            <w:tcW w:w="1526" w:type="dxa"/>
            <w:shd w:val="clear" w:color="auto" w:fill="F2F2F2" w:themeFill="background1" w:themeFillShade="F2"/>
          </w:tcPr>
          <w:p w14:paraId="2CE0BC17" w14:textId="77777777" w:rsidR="005A44F8" w:rsidRPr="004B33AF" w:rsidRDefault="004B33AF" w:rsidP="004B33AF">
            <w:pPr>
              <w:pStyle w:val="TableTextRight"/>
            </w:pPr>
            <w:r w:rsidRPr="004B33AF">
              <w:t>7</w:t>
            </w:r>
            <w:r w:rsidR="005A44F8" w:rsidRPr="004B33AF">
              <w:t>.</w:t>
            </w:r>
            <w:r w:rsidRPr="004B33AF">
              <w:t>42</w:t>
            </w:r>
          </w:p>
        </w:tc>
      </w:tr>
      <w:tr w:rsidR="00245B96" w14:paraId="69F6EDB4" w14:textId="77777777" w:rsidTr="00AE6A8D">
        <w:tc>
          <w:tcPr>
            <w:tcW w:w="664" w:type="dxa"/>
            <w:shd w:val="clear" w:color="auto" w:fill="auto"/>
          </w:tcPr>
          <w:p w14:paraId="471181A1" w14:textId="77777777" w:rsidR="005A44F8" w:rsidRDefault="005A44F8" w:rsidP="00D05783">
            <w:pPr>
              <w:pStyle w:val="TableColumnHeadingLeft"/>
            </w:pPr>
            <w:r>
              <w:t>59</w:t>
            </w:r>
          </w:p>
        </w:tc>
        <w:tc>
          <w:tcPr>
            <w:tcW w:w="1527" w:type="dxa"/>
            <w:shd w:val="clear" w:color="auto" w:fill="auto"/>
          </w:tcPr>
          <w:p w14:paraId="05A6D0E3" w14:textId="77777777" w:rsidR="005A44F8" w:rsidRPr="004B33AF" w:rsidRDefault="001926CD" w:rsidP="001926CD">
            <w:pPr>
              <w:pStyle w:val="TableTextRight"/>
            </w:pPr>
            <w:r w:rsidRPr="004B33AF">
              <w:t>4</w:t>
            </w:r>
            <w:r w:rsidR="005A44F8" w:rsidRPr="004B33AF">
              <w:t>.</w:t>
            </w:r>
            <w:r w:rsidRPr="004B33AF">
              <w:t>20</w:t>
            </w:r>
          </w:p>
        </w:tc>
        <w:tc>
          <w:tcPr>
            <w:tcW w:w="1526" w:type="dxa"/>
            <w:shd w:val="clear" w:color="auto" w:fill="auto"/>
          </w:tcPr>
          <w:p w14:paraId="6BA84E4F" w14:textId="77777777" w:rsidR="005A44F8" w:rsidRPr="004B33AF" w:rsidRDefault="001926CD" w:rsidP="001926CD">
            <w:pPr>
              <w:pStyle w:val="TableTextRight"/>
            </w:pPr>
            <w:r w:rsidRPr="004B33AF">
              <w:t>9</w:t>
            </w:r>
            <w:r w:rsidR="005A44F8" w:rsidRPr="004B33AF">
              <w:t>.</w:t>
            </w:r>
            <w:r w:rsidRPr="004B33AF">
              <w:t>78</w:t>
            </w:r>
          </w:p>
        </w:tc>
        <w:tc>
          <w:tcPr>
            <w:tcW w:w="340" w:type="dxa"/>
            <w:shd w:val="clear" w:color="auto" w:fill="auto"/>
          </w:tcPr>
          <w:p w14:paraId="32D10F3B" w14:textId="77777777" w:rsidR="005A44F8" w:rsidRPr="004B33AF" w:rsidRDefault="005A44F8" w:rsidP="00D05783">
            <w:pPr>
              <w:pStyle w:val="TableTextRight"/>
            </w:pPr>
          </w:p>
        </w:tc>
        <w:tc>
          <w:tcPr>
            <w:tcW w:w="1525" w:type="dxa"/>
            <w:shd w:val="clear" w:color="auto" w:fill="auto"/>
          </w:tcPr>
          <w:p w14:paraId="19421EE1" w14:textId="77777777" w:rsidR="005A44F8" w:rsidRPr="004B33AF" w:rsidRDefault="001926CD" w:rsidP="001926CD">
            <w:pPr>
              <w:pStyle w:val="TableTextRight"/>
            </w:pPr>
            <w:r w:rsidRPr="004B33AF">
              <w:t>5</w:t>
            </w:r>
            <w:r w:rsidR="005A44F8" w:rsidRPr="004B33AF">
              <w:t>.</w:t>
            </w:r>
            <w:r w:rsidRPr="004B33AF">
              <w:t>20</w:t>
            </w:r>
          </w:p>
        </w:tc>
        <w:tc>
          <w:tcPr>
            <w:tcW w:w="1526" w:type="dxa"/>
            <w:shd w:val="clear" w:color="auto" w:fill="auto"/>
          </w:tcPr>
          <w:p w14:paraId="18A76C6A" w14:textId="77777777" w:rsidR="005A44F8" w:rsidRPr="004B33AF" w:rsidRDefault="004B33AF" w:rsidP="004B33AF">
            <w:pPr>
              <w:pStyle w:val="TableTextRight"/>
            </w:pPr>
            <w:r w:rsidRPr="004B33AF">
              <w:t>7</w:t>
            </w:r>
            <w:r w:rsidR="005A44F8" w:rsidRPr="004B33AF">
              <w:t>.</w:t>
            </w:r>
            <w:r w:rsidRPr="004B33AF">
              <w:t>42</w:t>
            </w:r>
          </w:p>
        </w:tc>
      </w:tr>
    </w:tbl>
    <w:p w14:paraId="410A125E" w14:textId="77777777" w:rsidR="005A44F8" w:rsidRPr="00245B96" w:rsidRDefault="005A44F8" w:rsidP="00245B96"/>
    <w:sectPr w:rsidR="005A44F8" w:rsidRPr="00245B96" w:rsidSect="000E6C41">
      <w:headerReference w:type="even" r:id="rId76"/>
      <w:headerReference w:type="default" r:id="rId77"/>
      <w:headerReference w:type="first" r:id="rId78"/>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B80F" w14:textId="77777777" w:rsidR="00260AE7" w:rsidRDefault="00260AE7">
      <w:r>
        <w:separator/>
      </w:r>
    </w:p>
  </w:endnote>
  <w:endnote w:type="continuationSeparator" w:id="0">
    <w:p w14:paraId="50EF5DA5" w14:textId="77777777" w:rsidR="00260AE7" w:rsidRDefault="0026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810C" w14:textId="77777777" w:rsidR="00B82BC4" w:rsidRDefault="00B82BC4" w:rsidP="004C1F8D">
    <w:pPr>
      <w:pStyle w:val="Footer"/>
      <w:jc w:val="right"/>
    </w:pPr>
    <w:r>
      <w:t>Australian Government Actuary</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5E28" w14:textId="77777777" w:rsidR="00B82BC4" w:rsidRPr="00772B05" w:rsidRDefault="00B82BC4" w:rsidP="00772B05">
    <w:pPr>
      <w:pStyle w:val="FooterEven"/>
    </w:pPr>
    <w:r w:rsidRPr="00772B05">
      <w:fldChar w:fldCharType="begin"/>
    </w:r>
    <w:r w:rsidRPr="00772B05">
      <w:instrText xml:space="preserve"> PAGE </w:instrText>
    </w:r>
    <w:r w:rsidRPr="00772B05">
      <w:fldChar w:fldCharType="separate"/>
    </w:r>
    <w:r w:rsidR="00B151B2">
      <w:rPr>
        <w:noProof/>
      </w:rPr>
      <w:t>50</w:t>
    </w:r>
    <w:r w:rsidRPr="00772B05">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3503" w14:textId="77777777" w:rsidR="00B82BC4" w:rsidRPr="00772B05" w:rsidRDefault="00B82BC4" w:rsidP="00772B05">
    <w:pPr>
      <w:pStyle w:val="HeaderOdd"/>
    </w:pPr>
    <w:r w:rsidRPr="00772B05">
      <w:rPr>
        <w:rStyle w:val="PageNumber"/>
      </w:rPr>
      <w:fldChar w:fldCharType="begin"/>
    </w:r>
    <w:r w:rsidRPr="00772B05">
      <w:rPr>
        <w:rStyle w:val="PageNumber"/>
      </w:rPr>
      <w:instrText xml:space="preserve"> PAGE </w:instrText>
    </w:r>
    <w:r w:rsidRPr="00772B05">
      <w:rPr>
        <w:rStyle w:val="PageNumber"/>
      </w:rPr>
      <w:fldChar w:fldCharType="separate"/>
    </w:r>
    <w:r w:rsidR="00B151B2">
      <w:rPr>
        <w:rStyle w:val="PageNumber"/>
        <w:noProof/>
      </w:rPr>
      <w:t>40</w:t>
    </w:r>
    <w:r w:rsidRPr="00772B05">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EA424" w14:textId="4FD1EF73" w:rsidR="00B82BC4" w:rsidRPr="00556353" w:rsidRDefault="00B82BC4" w:rsidP="00556353">
    <w:pPr>
      <w:pStyle w:val="FooterOdd"/>
      <w:rPr>
        <w:rStyle w:val="PageNumber"/>
      </w:rPr>
    </w:pPr>
    <w:r>
      <w:rPr>
        <w:rStyle w:val="PageNumber"/>
        <w:noProof/>
        <w:color w:val="943634" w:themeColor="accent2" w:themeShade="BF"/>
      </w:rPr>
      <w:fldChar w:fldCharType="begin"/>
    </w:r>
    <w:r>
      <w:rPr>
        <w:rStyle w:val="PageNumber"/>
        <w:noProof/>
        <w:color w:val="943634" w:themeColor="accent2" w:themeShade="BF"/>
      </w:rPr>
      <w:instrText xml:space="preserve"> PAGE   \* MERGEFORMAT </w:instrText>
    </w:r>
    <w:r>
      <w:rPr>
        <w:rStyle w:val="PageNumber"/>
        <w:noProof/>
        <w:color w:val="943634" w:themeColor="accent2" w:themeShade="BF"/>
      </w:rPr>
      <w:fldChar w:fldCharType="separate"/>
    </w:r>
    <w:r w:rsidR="00B151B2">
      <w:rPr>
        <w:rStyle w:val="PageNumber"/>
        <w:noProof/>
        <w:color w:val="943634" w:themeColor="accent2" w:themeShade="BF"/>
      </w:rPr>
      <w:t>43</w:t>
    </w:r>
    <w:r>
      <w:rPr>
        <w:rStyle w:val="PageNumber"/>
        <w:noProof/>
        <w:color w:val="943634" w:themeColor="accent2" w:themeShade="B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F8AF" w14:textId="77777777" w:rsidR="00B82BC4" w:rsidRPr="00772B05" w:rsidRDefault="00B82BC4" w:rsidP="00772B05">
    <w:pPr>
      <w:pStyle w:val="FooterOdd"/>
    </w:pPr>
    <w:r w:rsidRPr="00772B05">
      <w:fldChar w:fldCharType="begin"/>
    </w:r>
    <w:r w:rsidRPr="00772B05">
      <w:instrText xml:space="preserve"> PAGE </w:instrText>
    </w:r>
    <w:r w:rsidRPr="00772B05">
      <w:fldChar w:fldCharType="separate"/>
    </w:r>
    <w:r w:rsidR="00B151B2">
      <w:rPr>
        <w:noProof/>
      </w:rPr>
      <w:t>47</w:t>
    </w:r>
    <w:r w:rsidRPr="00772B05">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2F41" w14:textId="77777777" w:rsidR="00B82BC4" w:rsidRPr="00AC71E3" w:rsidRDefault="00B82BC4" w:rsidP="00AC71E3">
    <w:pPr>
      <w:pStyle w:val="FooterEven"/>
    </w:pPr>
    <w:r w:rsidRPr="00AC71E3">
      <w:fldChar w:fldCharType="begin"/>
    </w:r>
    <w:r w:rsidRPr="00AC71E3">
      <w:instrText xml:space="preserve"> PAGE </w:instrText>
    </w:r>
    <w:r w:rsidRPr="00AC71E3">
      <w:fldChar w:fldCharType="separate"/>
    </w:r>
    <w:r w:rsidR="00B151B2">
      <w:rPr>
        <w:noProof/>
      </w:rPr>
      <w:t>56</w:t>
    </w:r>
    <w:r w:rsidRPr="00AC71E3">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3C56" w14:textId="77777777" w:rsidR="00B82BC4" w:rsidRPr="00AC71E3" w:rsidRDefault="00B82BC4" w:rsidP="00AC71E3">
    <w:pPr>
      <w:pStyle w:val="FooterOdd"/>
    </w:pPr>
    <w:r w:rsidRPr="00AC71E3">
      <w:fldChar w:fldCharType="begin"/>
    </w:r>
    <w:r w:rsidRPr="00AC71E3">
      <w:instrText xml:space="preserve"> PAGE </w:instrText>
    </w:r>
    <w:r w:rsidRPr="00AC71E3">
      <w:fldChar w:fldCharType="separate"/>
    </w:r>
    <w:r w:rsidR="00B151B2">
      <w:rPr>
        <w:noProof/>
      </w:rPr>
      <w:t>57</w:t>
    </w:r>
    <w:r w:rsidRPr="00AC71E3">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6EF6" w14:textId="444B5CD8" w:rsidR="00B82BC4" w:rsidRPr="00DB65C7" w:rsidRDefault="00B82BC4" w:rsidP="00DB65C7">
    <w:pPr>
      <w:pStyle w:val="FooterOdd"/>
    </w:pPr>
    <w:r>
      <w:fldChar w:fldCharType="begin"/>
    </w:r>
    <w:r>
      <w:instrText xml:space="preserve"> PAGE   \* MERGEFORMAT </w:instrText>
    </w:r>
    <w:r>
      <w:fldChar w:fldCharType="separate"/>
    </w:r>
    <w:r w:rsidR="00B151B2">
      <w:rPr>
        <w:noProof/>
      </w:rPr>
      <w:t>52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101A" w14:textId="77777777" w:rsidR="00B82BC4" w:rsidRPr="00AC71E3" w:rsidRDefault="00B82BC4" w:rsidP="00AC71E3">
    <w:pPr>
      <w:pStyle w:val="FooterEven"/>
    </w:pPr>
    <w:r w:rsidRPr="00AC71E3">
      <w:fldChar w:fldCharType="begin"/>
    </w:r>
    <w:r w:rsidRPr="00AC71E3">
      <w:instrText xml:space="preserve"> PAGE </w:instrText>
    </w:r>
    <w:r w:rsidRPr="00AC71E3">
      <w:fldChar w:fldCharType="separate"/>
    </w:r>
    <w:r w:rsidR="00B151B2">
      <w:rPr>
        <w:noProof/>
      </w:rPr>
      <w:t>74</w:t>
    </w:r>
    <w:r w:rsidRPr="00AC71E3">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856E" w14:textId="77777777" w:rsidR="00B82BC4" w:rsidRPr="00AC71E3" w:rsidRDefault="00B82BC4" w:rsidP="00AC71E3">
    <w:pPr>
      <w:pStyle w:val="FooterOdd"/>
    </w:pPr>
    <w:r w:rsidRPr="00AC71E3">
      <w:fldChar w:fldCharType="begin"/>
    </w:r>
    <w:r w:rsidRPr="00AC71E3">
      <w:instrText xml:space="preserve"> PAGE </w:instrText>
    </w:r>
    <w:r w:rsidRPr="00AC71E3">
      <w:fldChar w:fldCharType="separate"/>
    </w:r>
    <w:r w:rsidR="00B151B2">
      <w:rPr>
        <w:noProof/>
      </w:rPr>
      <w:t>75</w:t>
    </w:r>
    <w:r w:rsidRPr="00AC71E3">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0BC3" w14:textId="77777777" w:rsidR="00B82BC4" w:rsidRPr="00AC71E3" w:rsidRDefault="00B82BC4" w:rsidP="00AC71E3">
    <w:pPr>
      <w:pStyle w:val="FooterOdd"/>
    </w:pPr>
    <w:r w:rsidRPr="00AC71E3">
      <w:fldChar w:fldCharType="begin"/>
    </w:r>
    <w:r w:rsidRPr="00AC71E3">
      <w:instrText xml:space="preserve"> PAGE </w:instrText>
    </w:r>
    <w:r w:rsidRPr="00AC71E3">
      <w:fldChar w:fldCharType="separate"/>
    </w:r>
    <w:r w:rsidR="00B151B2">
      <w:rPr>
        <w:noProof/>
      </w:rPr>
      <w:t>73</w:t>
    </w:r>
    <w:r w:rsidRPr="00AC71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3FDB" w14:textId="77777777" w:rsidR="00B82BC4" w:rsidRPr="003E658F" w:rsidRDefault="00B82BC4" w:rsidP="004C1F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1C6F" w14:textId="77777777" w:rsidR="00B82BC4" w:rsidRPr="001973A3" w:rsidRDefault="00B82BC4" w:rsidP="001973A3">
    <w:pPr>
      <w:pStyle w:val="FooterEven"/>
    </w:pPr>
    <w:r w:rsidRPr="001973A3">
      <w:fldChar w:fldCharType="begin"/>
    </w:r>
    <w:r w:rsidRPr="001973A3">
      <w:instrText xml:space="preserve"> PAGE   \* MERGEFORMAT </w:instrText>
    </w:r>
    <w:r w:rsidRPr="001973A3">
      <w:fldChar w:fldCharType="separate"/>
    </w:r>
    <w:r w:rsidR="00B151B2">
      <w:rPr>
        <w:noProof/>
      </w:rPr>
      <w:t>38</w:t>
    </w:r>
    <w:r w:rsidRPr="001973A3">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35AD" w14:textId="77777777" w:rsidR="00B82BC4" w:rsidRDefault="00B82BC4" w:rsidP="001C502B">
    <w:pPr>
      <w:pStyle w:val="FooterOdd"/>
    </w:pPr>
    <w:r w:rsidRPr="004B0841">
      <w:rPr>
        <w:rStyle w:val="PageNumber"/>
        <w:color w:val="943634" w:themeColor="accent2" w:themeShade="BF"/>
      </w:rPr>
      <w:fldChar w:fldCharType="begin"/>
    </w:r>
    <w:r w:rsidRPr="004B0841">
      <w:rPr>
        <w:rStyle w:val="PageNumber"/>
        <w:color w:val="943634" w:themeColor="accent2" w:themeShade="BF"/>
      </w:rPr>
      <w:instrText xml:space="preserve"> PAGE </w:instrText>
    </w:r>
    <w:r w:rsidRPr="004B0841">
      <w:rPr>
        <w:rStyle w:val="PageNumber"/>
        <w:color w:val="943634" w:themeColor="accent2" w:themeShade="BF"/>
      </w:rPr>
      <w:fldChar w:fldCharType="separate"/>
    </w:r>
    <w:r>
      <w:rPr>
        <w:rStyle w:val="PageNumber"/>
        <w:noProof/>
        <w:color w:val="943634" w:themeColor="accent2" w:themeShade="BF"/>
      </w:rPr>
      <w:t>v</w:t>
    </w:r>
    <w:r w:rsidRPr="004B0841">
      <w:rPr>
        <w:rStyle w:val="PageNumber"/>
        <w:color w:val="943634" w:themeColor="accent2" w:themeShade="B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FB04" w14:textId="6C1F051C" w:rsidR="00B82BC4" w:rsidRPr="00557FDC" w:rsidRDefault="00B82BC4" w:rsidP="00557FDC">
    <w:pPr>
      <w:pStyle w:val="FooterOd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510D" w14:textId="6847E1D9" w:rsidR="00B82BC4" w:rsidRPr="00557FDC" w:rsidRDefault="00B82BC4" w:rsidP="00557FDC">
    <w:pPr>
      <w:pStyle w:val="FooterOdd"/>
    </w:pPr>
    <w:r>
      <w:fldChar w:fldCharType="begin"/>
    </w:r>
    <w:r>
      <w:instrText xml:space="preserve"> PAGE  \* roman  \* MERGEFORMAT </w:instrText>
    </w:r>
    <w:r>
      <w:fldChar w:fldCharType="separate"/>
    </w:r>
    <w:r w:rsidR="00B151B2">
      <w:rPr>
        <w:noProof/>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9A6B" w14:textId="77777777" w:rsidR="00B82BC4" w:rsidRPr="001C502B" w:rsidRDefault="00B82BC4" w:rsidP="001C502B">
    <w:pPr>
      <w:pStyle w:val="FooterOdd"/>
    </w:pPr>
    <w:r w:rsidRPr="001C502B">
      <w:fldChar w:fldCharType="begin"/>
    </w:r>
    <w:r w:rsidRPr="001C502B">
      <w:instrText xml:space="preserve"> PAGE   \* MERGEFORMAT </w:instrText>
    </w:r>
    <w:r w:rsidRPr="001C502B">
      <w:fldChar w:fldCharType="separate"/>
    </w:r>
    <w:r w:rsidR="00B151B2">
      <w:rPr>
        <w:noProof/>
      </w:rPr>
      <w:t>51</w:t>
    </w:r>
    <w:r w:rsidRPr="001C502B">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D56DD" w14:textId="77777777" w:rsidR="00B82BC4" w:rsidRPr="004C1F8D" w:rsidRDefault="00B82BC4" w:rsidP="001973A3">
    <w:pPr>
      <w:pStyle w:val="FooterOdd"/>
    </w:pPr>
    <w:r>
      <w:fldChar w:fldCharType="begin"/>
    </w:r>
    <w:r>
      <w:instrText xml:space="preserve"> PAGE   \* MERGEFORMAT </w:instrText>
    </w:r>
    <w:r>
      <w:fldChar w:fldCharType="separate"/>
    </w:r>
    <w:r w:rsidR="00B151B2">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D5335" w14:textId="77777777" w:rsidR="00B82BC4" w:rsidRPr="004C1F8D" w:rsidRDefault="00B82BC4" w:rsidP="001C502B">
    <w:pPr>
      <w:pStyle w:val="FooterOdd"/>
    </w:pPr>
    <w:r w:rsidRPr="00617E85">
      <w:fldChar w:fldCharType="begin"/>
    </w:r>
    <w:r w:rsidRPr="00617E85">
      <w:instrText xml:space="preserve"> PAGE   \* MERGEFORMAT </w:instrText>
    </w:r>
    <w:r w:rsidRPr="00617E85">
      <w:fldChar w:fldCharType="separate"/>
    </w:r>
    <w:r w:rsidR="00B151B2">
      <w:rPr>
        <w:noProof/>
      </w:rPr>
      <w:t>25</w:t>
    </w:r>
    <w:r w:rsidRPr="00617E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F69D3" w14:textId="77777777" w:rsidR="00260AE7" w:rsidRDefault="00260AE7">
      <w:r>
        <w:separator/>
      </w:r>
    </w:p>
  </w:footnote>
  <w:footnote w:type="continuationSeparator" w:id="0">
    <w:p w14:paraId="1F6716A1" w14:textId="77777777" w:rsidR="00260AE7" w:rsidRDefault="0026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B60F1" w14:textId="77777777" w:rsidR="00B82BC4" w:rsidRDefault="00260AE7">
    <w:pPr>
      <w:pStyle w:val="Header"/>
    </w:pPr>
    <w:r>
      <w:rPr>
        <w:noProof/>
      </w:rPr>
      <w:pict w14:anchorId="2EB96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5.25pt;height:166.1pt;z-index:-251660288;mso-position-horizontal:center;mso-position-horizontal-relative:margin;mso-position-vertical:center;mso-position-vertical-relative:margin" wrapcoords="11385 2346 78 2541 39 2932 624 3910 663 14856 351 16420 117 16420 39 16518 39 16811 20547 16811 20586 16615 20430 16420 20235 16420 19962 14856 19923 7037 20352 7037 21444 5962 21444 2541 11619 2346 11385 2346" fillcolor="#d5d000"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E137" w14:textId="64B4E3F3" w:rsidR="00B82BC4" w:rsidRPr="001C502B" w:rsidRDefault="00B82BC4" w:rsidP="001C502B">
    <w:pPr>
      <w:pStyle w:val="HeaderOdd"/>
    </w:pPr>
    <w:r w:rsidRPr="001C502B">
      <w:fldChar w:fldCharType="begin"/>
    </w:r>
    <w:r w:rsidRPr="001C502B">
      <w:instrText xml:space="preserve"> REF _Ref324519302 \w \h  \* MERGEFORMAT </w:instrText>
    </w:r>
    <w:r w:rsidRPr="001C502B">
      <w:fldChar w:fldCharType="separate"/>
    </w:r>
    <w:r>
      <w:t>Chapter 2:</w:t>
    </w:r>
    <w:r w:rsidRPr="001C502B">
      <w:fldChar w:fldCharType="end"/>
    </w:r>
    <w:r>
      <w:t xml:space="preserve"> </w:t>
    </w:r>
    <w:r w:rsidRPr="001C502B">
      <w:fldChar w:fldCharType="begin"/>
    </w:r>
    <w:r w:rsidRPr="001C502B">
      <w:instrText xml:space="preserve"> REF _Ref324519302 \h  \* MERGEFORMAT </w:instrText>
    </w:r>
    <w:r w:rsidRPr="001C502B">
      <w:fldChar w:fldCharType="separate"/>
    </w:r>
    <w:r w:rsidRPr="00DA1A26">
      <w:t xml:space="preserve">The </w:t>
    </w:r>
    <w:r>
      <w:t>Military Superannuation Schemes</w:t>
    </w:r>
    <w:r w:rsidRPr="001C502B">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49B6" w14:textId="77777777" w:rsidR="00B82BC4" w:rsidRPr="00191F84" w:rsidRDefault="00260AE7" w:rsidP="00126289">
    <w:pPr>
      <w:pStyle w:val="HeaderOdd"/>
    </w:pPr>
    <w:r>
      <w:fldChar w:fldCharType="begin"/>
    </w:r>
    <w:r>
      <w:instrText xml:space="preserve"> STYLEREF  "Heading 1" \n  \* MERGEFORMAT </w:instrText>
    </w:r>
    <w:r>
      <w:fldChar w:fldCharType="separate"/>
    </w:r>
    <w:r w:rsidR="00B151B2">
      <w:rPr>
        <w:noProof/>
      </w:rPr>
      <w:t>Chapter 4:</w:t>
    </w:r>
    <w:r>
      <w:rPr>
        <w:noProof/>
      </w:rPr>
      <w:fldChar w:fldCharType="end"/>
    </w:r>
    <w:r w:rsidR="00B82BC4">
      <w:t xml:space="preserve"> </w:t>
    </w:r>
    <w:r>
      <w:fldChar w:fldCharType="begin"/>
    </w:r>
    <w:r>
      <w:instrText xml:space="preserve"> STYLEREF</w:instrText>
    </w:r>
    <w:r>
      <w:instrText xml:space="preserve">  "Heading 1"  \* MERGEFORMAT </w:instrText>
    </w:r>
    <w:r>
      <w:fldChar w:fldCharType="separate"/>
    </w:r>
    <w:r w:rsidR="00B151B2">
      <w:rPr>
        <w:noProof/>
      </w:rPr>
      <w:t>Assumptions</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B606" w14:textId="77777777" w:rsidR="00B82BC4" w:rsidRDefault="00B82BC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74A6" w14:textId="77777777" w:rsidR="00B82BC4" w:rsidRDefault="00B82BC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EBA6" w14:textId="77777777" w:rsidR="00B82BC4" w:rsidRPr="00402C6D" w:rsidRDefault="00B82BC4" w:rsidP="00402C6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1EF3" w14:textId="4CDCDC2E" w:rsidR="00B82BC4" w:rsidRPr="00107010" w:rsidRDefault="00B82BC4" w:rsidP="00107010">
    <w:pPr>
      <w:pStyle w:val="HeaderOdd"/>
    </w:pPr>
    <w:r>
      <w:t xml:space="preserve">Chapter 6: </w:t>
    </w:r>
    <w:r w:rsidR="00260AE7">
      <w:fldChar w:fldCharType="begin"/>
    </w:r>
    <w:r w:rsidR="00260AE7">
      <w:instrText xml:space="preserve"> STYLEREF  "Heading 1"  \* MERGEFORMAT </w:instrText>
    </w:r>
    <w:r w:rsidR="00260AE7">
      <w:fldChar w:fldCharType="separate"/>
    </w:r>
    <w:r w:rsidR="00B151B2">
      <w:rPr>
        <w:noProof/>
      </w:rPr>
      <w:t>Projection of outlays</w:t>
    </w:r>
    <w:r w:rsidR="00260AE7">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3635" w14:textId="77777777" w:rsidR="00B82BC4" w:rsidRDefault="00B82BC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4AB5" w14:textId="77777777" w:rsidR="00B82BC4" w:rsidRPr="00126289" w:rsidRDefault="00B82BC4" w:rsidP="00126289">
    <w:pPr>
      <w:pStyle w:val="HeaderOdd"/>
    </w:pPr>
    <w:r w:rsidRPr="00126289">
      <w:t>Chapter 7: Unfunded liabilities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9D16" w14:textId="77777777" w:rsidR="00B82BC4" w:rsidRDefault="00B82BC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62C2" w14:textId="3A246B02" w:rsidR="00B82BC4" w:rsidRPr="00206BBB" w:rsidRDefault="00260AE7" w:rsidP="00206BBB">
    <w:pPr>
      <w:pStyle w:val="HeaderEven"/>
    </w:pPr>
    <w:r>
      <w:fldChar w:fldCharType="begin"/>
    </w:r>
    <w:r>
      <w:instrText xml:space="preserve"> TITLE   \* MERGEFORMAT </w:instrText>
    </w:r>
    <w:r>
      <w:fldChar w:fldCharType="separate"/>
    </w:r>
    <w:r w:rsidR="00B82BC4">
      <w:t>Military Superannuation Schemes Review of Long-term Costs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67A3" w14:textId="77777777" w:rsidR="00B82BC4" w:rsidRDefault="00260AE7" w:rsidP="00ED706E">
    <w:pPr>
      <w:pStyle w:val="Header"/>
      <w:pBdr>
        <w:bottom w:val="single" w:sz="24" w:space="1" w:color="auto"/>
      </w:pBdr>
      <w:jc w:val="right"/>
    </w:pPr>
    <w:r>
      <w:fldChar w:fldCharType="begin"/>
    </w:r>
    <w:r>
      <w:instrText xml:space="preserve"> STYLEREF  "Report Title"  \* MERGEFORMAT </w:instrText>
    </w:r>
    <w:r>
      <w:fldChar w:fldCharType="separate"/>
    </w:r>
    <w:r w:rsidR="00B82BC4">
      <w:rPr>
        <w:noProof/>
      </w:rPr>
      <w:t>as at 30 June 2014</w:t>
    </w:r>
    <w:r>
      <w:rPr>
        <w:noProof/>
      </w:rPr>
      <w:fldChar w:fldCharType="end"/>
    </w:r>
    <w:r>
      <w:fldChar w:fldCharType="begin"/>
    </w:r>
    <w:r>
      <w:instrText xml:space="preserve"> STYLEREF  "Report Title"  \* MERGEFORMAT </w:instrText>
    </w:r>
    <w:r>
      <w:fldChar w:fldCharType="separate"/>
    </w:r>
    <w:r w:rsidR="00B82BC4">
      <w:rPr>
        <w:noProof/>
      </w:rPr>
      <w:t>as at 30 June 2014</w:t>
    </w:r>
    <w:r>
      <w:rPr>
        <w:noProof/>
      </w:rPr>
      <w:fldChar w:fldCharType="end"/>
    </w:r>
    <w:r w:rsidR="00B82BC4">
      <w:fldChar w:fldCharType="begin"/>
    </w:r>
    <w:r w:rsidR="00B82BC4">
      <w:instrText xml:space="preserve"> REF ReportTitle \h </w:instrText>
    </w:r>
    <w:r w:rsidR="00B82BC4">
      <w:fldChar w:fldCharType="separate"/>
    </w:r>
    <w:r w:rsidR="00B82BC4">
      <w:rPr>
        <w:b w:val="0"/>
        <w:bCs/>
        <w:lang w:val="en-US"/>
      </w:rPr>
      <w:t>Error! Reference source not found.</w:t>
    </w:r>
    <w:r w:rsidR="00B82BC4">
      <w:fldChar w:fldCharType="end"/>
    </w:r>
    <w:r>
      <w:rPr>
        <w:noProof/>
      </w:rPr>
      <w:pict w14:anchorId="1AC72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15.25pt;height:166.1pt;z-index:-251659264;mso-position-horizontal:center;mso-position-horizontal-relative:margin;mso-position-vertical:center;mso-position-vertical-relative:margin" wrapcoords="11385 2346 78 2541 39 2932 624 3910 663 14856 351 16420 117 16420 39 16518 39 16811 20547 16811 20586 16615 20430 16420 20235 16420 19962 14856 19923 7037 20352 7037 21444 5962 21444 2541 11619 2346 11385 2346" fillcolor="#d5d000" stroked="f">
          <v:fill opacity=".5"/>
          <v:textpath style="font-family:&quot;Times New Roman&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AE6D" w14:textId="77777777" w:rsidR="00B82BC4" w:rsidRPr="002D7C4B" w:rsidRDefault="00B82BC4" w:rsidP="00206BBB">
    <w:pPr>
      <w:pStyle w:val="HeaderOdd"/>
    </w:pPr>
    <w:r w:rsidRPr="002D7C4B">
      <w:t xml:space="preserve">Appendix </w:t>
    </w:r>
    <w:r>
      <w:t>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E7D0" w14:textId="77777777" w:rsidR="00B82BC4" w:rsidRDefault="00B82BC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62F1" w14:textId="573A1AA6" w:rsidR="00B82BC4" w:rsidRPr="00206BBB" w:rsidRDefault="00260AE7" w:rsidP="00206BBB">
    <w:pPr>
      <w:pStyle w:val="HeaderOdd"/>
    </w:pPr>
    <w:r>
      <w:fldChar w:fldCharType="begin"/>
    </w:r>
    <w:r>
      <w:instrText xml:space="preserve"> STYLEREF  "Appendix Heading"  \* MERGEFORMAT </w:instrText>
    </w:r>
    <w:r>
      <w:fldChar w:fldCharType="separate"/>
    </w:r>
    <w:r w:rsidR="00B151B2">
      <w:rPr>
        <w:noProof/>
      </w:rPr>
      <w:t>Appendix B</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1443" w14:textId="77777777" w:rsidR="00B82BC4" w:rsidRDefault="00B82BC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8A90" w14:textId="7961A244" w:rsidR="00B82BC4" w:rsidRPr="00772B05" w:rsidRDefault="00260AE7" w:rsidP="00772B05">
    <w:pPr>
      <w:pStyle w:val="HeaderOdd"/>
    </w:pPr>
    <w:r>
      <w:fldChar w:fldCharType="begin"/>
    </w:r>
    <w:r>
      <w:instrText xml:space="preserve"> STYLEREF  "Appendix Heading"  \* MERGEFORMAT </w:instrText>
    </w:r>
    <w:r>
      <w:fldChar w:fldCharType="separate"/>
    </w:r>
    <w:r w:rsidR="00B151B2">
      <w:rPr>
        <w:noProof/>
      </w:rPr>
      <w:t>Appendix C</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E1FE" w14:textId="77777777" w:rsidR="00B82BC4" w:rsidRDefault="00B82BC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A776" w14:textId="627D3253" w:rsidR="00B82BC4" w:rsidRPr="00772B05" w:rsidRDefault="00260AE7" w:rsidP="00772B05">
    <w:pPr>
      <w:pStyle w:val="HeaderEven"/>
    </w:pPr>
    <w:r>
      <w:fldChar w:fldCharType="begin"/>
    </w:r>
    <w:r>
      <w:instrText xml:space="preserve"> TITLE   \* MERGEFORMAT </w:instrText>
    </w:r>
    <w:r>
      <w:fldChar w:fldCharType="separate"/>
    </w:r>
    <w:r w:rsidR="00B82BC4">
      <w:t>Military Superannuation Schemes Review of Long-term Costs</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E636" w14:textId="4B24EE04" w:rsidR="00B82BC4" w:rsidRPr="00772B05" w:rsidRDefault="00260AE7" w:rsidP="00772B05">
    <w:pPr>
      <w:pStyle w:val="HeaderOdd"/>
    </w:pPr>
    <w:r>
      <w:fldChar w:fldCharType="begin"/>
    </w:r>
    <w:r>
      <w:instrText xml:space="preserve"> STYLEREF  "Appendix Heading"  \* MERGEFORMAT </w:instrText>
    </w:r>
    <w:r>
      <w:fldChar w:fldCharType="separate"/>
    </w:r>
    <w:r w:rsidR="00B151B2">
      <w:rPr>
        <w:noProof/>
      </w:rPr>
      <w:t>Appendix D</w:t>
    </w:r>
    <w:r>
      <w:rPr>
        <w:noProof/>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BE5C" w14:textId="77777777" w:rsidR="00B82BC4" w:rsidRDefault="00B82B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E29D" w14:textId="77777777" w:rsidR="00B82BC4" w:rsidRDefault="00B82BC4" w:rsidP="00B24731">
    <w:pPr>
      <w:pStyle w:val="Header"/>
      <w:jc w:val="center"/>
    </w:pPr>
    <w:r>
      <w:rPr>
        <w:noProof/>
        <w:lang w:val="en-US"/>
      </w:rPr>
      <w:drawing>
        <wp:inline distT="0" distB="0" distL="0" distR="0" wp14:anchorId="65423CD3" wp14:editId="39244BC3">
          <wp:extent cx="1838325" cy="971550"/>
          <wp:effectExtent l="19050" t="0" r="9525" b="0"/>
          <wp:docPr id="1" name="Picture 1" descr="Austrlian%20Governmnet%20Actu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lian%20Governmnet%20Actuary_stacked"/>
                  <pic:cNvPicPr>
                    <a:picLocks noChangeAspect="1" noChangeArrowheads="1"/>
                  </pic:cNvPicPr>
                </pic:nvPicPr>
                <pic:blipFill>
                  <a:blip r:embed="rId1"/>
                  <a:srcRect/>
                  <a:stretch>
                    <a:fillRect/>
                  </a:stretch>
                </pic:blipFill>
                <pic:spPr bwMode="auto">
                  <a:xfrm>
                    <a:off x="0" y="0"/>
                    <a:ext cx="1838325" cy="9715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FEEDD" w14:textId="77777777" w:rsidR="00B82BC4" w:rsidRPr="001C502B" w:rsidRDefault="00260AE7" w:rsidP="001C502B">
    <w:pPr>
      <w:pStyle w:val="HeaderEven"/>
    </w:pPr>
    <w:r>
      <w:fldChar w:fldCharType="begin"/>
    </w:r>
    <w:r>
      <w:instrText xml:space="preserve"> TITLE   \* MERGEFORMAT </w:instrText>
    </w:r>
    <w:r>
      <w:fldChar w:fldCharType="separate"/>
    </w:r>
    <w:r w:rsidR="00B82BC4">
      <w:t>Military Superannuation Schemes Review of Long-term Costs</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99439" w14:textId="77777777" w:rsidR="00B82BC4" w:rsidRPr="001C502B" w:rsidRDefault="00B82BC4" w:rsidP="001C502B">
    <w:pPr>
      <w:pStyle w:val="HeaderOdd"/>
    </w:pPr>
    <w:r>
      <w:fldChar w:fldCharType="begin"/>
    </w:r>
    <w:r>
      <w:instrText xml:space="preserve"> STYLEREF  "Heading 1"  \* MERGEFORMAT </w:instrText>
    </w:r>
    <w:r>
      <w:fldChar w:fldCharType="end"/>
    </w:r>
    <w:r w:rsidR="00260AE7">
      <w:fldChar w:fldCharType="begin"/>
    </w:r>
    <w:r w:rsidR="00260AE7">
      <w:instrText xml:space="preserve"> STYLEREF  "Heading 1 no number"  \* MERGEFORMAT </w:instrText>
    </w:r>
    <w:r w:rsidR="00260AE7">
      <w:fldChar w:fldCharType="separate"/>
    </w:r>
    <w:r>
      <w:rPr>
        <w:noProof/>
      </w:rPr>
      <w:t>Summary</w:t>
    </w:r>
    <w:r w:rsidR="00260AE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6887" w14:textId="77777777" w:rsidR="00B82BC4" w:rsidRDefault="00B82BC4" w:rsidP="00490A07">
    <w:pPr>
      <w:pStyle w:val="HeaderOdd"/>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E8DC" w14:textId="77777777" w:rsidR="00B82BC4" w:rsidRPr="001C502B" w:rsidRDefault="00260AE7" w:rsidP="001C502B">
    <w:pPr>
      <w:pStyle w:val="HeaderEven"/>
    </w:pPr>
    <w:r>
      <w:fldChar w:fldCharType="begin"/>
    </w:r>
    <w:r>
      <w:instrText xml:space="preserve"> TITLE   \* MERGEFORMAT </w:instrText>
    </w:r>
    <w:r>
      <w:fldChar w:fldCharType="separate"/>
    </w:r>
    <w:r w:rsidR="00B82BC4">
      <w:t>Military Superannuation Schemes Review of Long-term Costs</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9CFC" w14:textId="2C9774B2" w:rsidR="00B82BC4" w:rsidRPr="00491D58" w:rsidRDefault="00260AE7" w:rsidP="00491D58">
    <w:pPr>
      <w:pStyle w:val="HeaderOdd"/>
    </w:pPr>
    <w:r>
      <w:fldChar w:fldCharType="begin"/>
    </w:r>
    <w:r>
      <w:instrText xml:space="preserve"> STYLEREF  "Heading 1 no number"  \* MERGEFORMAT </w:instrText>
    </w:r>
    <w:r>
      <w:fldChar w:fldCharType="separate"/>
    </w:r>
    <w:r w:rsidR="00B151B2">
      <w:rPr>
        <w:noProof/>
      </w:rPr>
      <w:t>Summary</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F6F6" w14:textId="77777777" w:rsidR="00B82BC4" w:rsidRPr="00191F84" w:rsidRDefault="00B82BC4" w:rsidP="001C502B">
    <w:pPr>
      <w:pStyle w:val="HeaderOdd"/>
    </w:pPr>
    <w:r>
      <w:fldChar w:fldCharType="begin"/>
    </w:r>
    <w:r>
      <w:instrText xml:space="preserve"> REF _Ref421614430 \r \h  \* MERGEFORMAT </w:instrText>
    </w:r>
    <w:r>
      <w:fldChar w:fldCharType="separate"/>
    </w:r>
    <w:r>
      <w:t>Chapter 1:</w:t>
    </w:r>
    <w:r>
      <w:fldChar w:fldCharType="end"/>
    </w:r>
    <w:r>
      <w:t xml:space="preserve"> </w:t>
    </w:r>
    <w:r>
      <w:fldChar w:fldCharType="begin"/>
    </w:r>
    <w:r>
      <w:instrText xml:space="preserve"> REF _Ref421614436 \h  \* MERGEFORMAT </w:instrText>
    </w:r>
    <w:r>
      <w:fldChar w:fldCharType="separate"/>
    </w:r>
    <w:r w:rsidRPr="001F546B">
      <w:t>Introduction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E3"/>
    <w:multiLevelType w:val="multilevel"/>
    <w:tmpl w:val="B344C9A8"/>
    <w:lvl w:ilvl="0">
      <w:start w:val="1"/>
      <w:numFmt w:val="decimal"/>
      <w:lvlText w:val="%1."/>
      <w:lvlJc w:val="left"/>
      <w:pPr>
        <w:tabs>
          <w:tab w:val="num" w:pos="284"/>
        </w:tabs>
        <w:ind w:left="284" w:hanging="284"/>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C960FD"/>
    <w:multiLevelType w:val="multilevel"/>
    <w:tmpl w:val="4D9CCDFA"/>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nsid w:val="1E502031"/>
    <w:multiLevelType w:val="multilevel"/>
    <w:tmpl w:val="4BCC4C8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DD0F5A"/>
    <w:multiLevelType w:val="singleLevel"/>
    <w:tmpl w:val="6F14EA2A"/>
    <w:name w:val="StandardNumberedParagraphList"/>
    <w:lvl w:ilvl="0">
      <w:start w:val="2"/>
      <w:numFmt w:val="decimal"/>
      <w:pStyle w:val="NumberedParagraph"/>
      <w:lvlText w:val="%1"/>
      <w:lvlJc w:val="left"/>
      <w:pPr>
        <w:tabs>
          <w:tab w:val="num" w:pos="850"/>
        </w:tabs>
        <w:ind w:left="850" w:hanging="850"/>
      </w:pPr>
    </w:lvl>
  </w:abstractNum>
  <w:abstractNum w:abstractNumId="4">
    <w:nsid w:val="2140509D"/>
    <w:multiLevelType w:val="multilevel"/>
    <w:tmpl w:val="548C04AA"/>
    <w:lvl w:ilvl="0">
      <w:start w:val="1"/>
      <w:numFmt w:val="decimal"/>
      <w:lvlText w:val="%1"/>
      <w:lvlJc w:val="left"/>
      <w:pPr>
        <w:tabs>
          <w:tab w:val="num" w:pos="850"/>
        </w:tabs>
        <w:ind w:left="850" w:hanging="850"/>
      </w:pPr>
      <w:rPr>
        <w:rFonts w:ascii="Arial" w:hAnsi="Arial" w:cs="Arial" w:hint="default"/>
        <w:b/>
        <w:i w:val="0"/>
        <w:sz w:val="28"/>
        <w:szCs w:val="28"/>
      </w:rPr>
    </w:lvl>
    <w:lvl w:ilvl="1">
      <w:start w:val="1"/>
      <w:numFmt w:val="decimal"/>
      <w:pStyle w:val="NormalnumberedChar"/>
      <w:lvlText w:val="%1.%2"/>
      <w:lvlJc w:val="left"/>
      <w:pPr>
        <w:tabs>
          <w:tab w:val="num" w:pos="850"/>
        </w:tabs>
        <w:ind w:left="850" w:hanging="850"/>
      </w:pPr>
      <w:rPr>
        <w:rFonts w:ascii="Arial" w:hAnsi="Arial" w:cs="Arial" w:hint="default"/>
        <w:b/>
        <w:i/>
        <w:sz w:val="24"/>
        <w:szCs w:val="24"/>
      </w:rPr>
    </w:lvl>
    <w:lvl w:ilvl="2">
      <w:start w:val="1"/>
      <w:numFmt w:val="decimal"/>
      <w:pStyle w:val="BodyText-Appendix"/>
      <w:lvlText w:val="%3."/>
      <w:lvlJc w:val="left"/>
      <w:pPr>
        <w:tabs>
          <w:tab w:val="num" w:pos="850"/>
        </w:tabs>
        <w:ind w:left="850" w:hanging="850"/>
      </w:pPr>
      <w:rPr>
        <w:rFonts w:hint="default"/>
        <w:b w:val="0"/>
        <w:i w:val="0"/>
        <w:sz w:val="20"/>
        <w:szCs w:val="20"/>
      </w:rPr>
    </w:lvl>
    <w:lvl w:ilvl="3">
      <w:start w:val="1"/>
      <w:numFmt w:val="decimal"/>
      <w:pStyle w:val="BodyText2"/>
      <w:lvlText w:val="%1.%2.%4"/>
      <w:lvlJc w:val="left"/>
      <w:pPr>
        <w:tabs>
          <w:tab w:val="num" w:pos="850"/>
        </w:tabs>
        <w:ind w:left="850" w:hanging="850"/>
      </w:pPr>
      <w:rPr>
        <w:rFonts w:ascii="Arial" w:hAnsi="Arial" w:cs="Arial" w:hint="default"/>
        <w:b w:val="0"/>
        <w:i w:val="0"/>
        <w:sz w:val="20"/>
        <w:szCs w:val="20"/>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2E0501"/>
    <w:multiLevelType w:val="hybridMultilevel"/>
    <w:tmpl w:val="2460FF1A"/>
    <w:lvl w:ilvl="0" w:tplc="EF1800EE">
      <w:start w:val="1"/>
      <w:numFmt w:val="decimal"/>
      <w:pStyle w:val="Note"/>
      <w:lvlText w:val="%1."/>
      <w:lvlJc w:val="left"/>
      <w:pPr>
        <w:tabs>
          <w:tab w:val="num" w:pos="284"/>
        </w:tabs>
        <w:ind w:left="284" w:hanging="284"/>
      </w:pPr>
      <w:rPr>
        <w:rFonts w:ascii="Arial" w:hAnsi="Arial" w:hint="default"/>
        <w:b w:val="0"/>
        <w:i w:val="0"/>
        <w:sz w:val="16"/>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4811932"/>
    <w:multiLevelType w:val="hybridMultilevel"/>
    <w:tmpl w:val="EF02B812"/>
    <w:lvl w:ilvl="0" w:tplc="6C1002C0">
      <w:start w:val="1"/>
      <w:numFmt w:val="bullet"/>
      <w:pStyle w:val="-Dashindented"/>
      <w:lvlText w:val="-"/>
      <w:lvlJc w:val="left"/>
      <w:pPr>
        <w:tabs>
          <w:tab w:val="num" w:pos="1418"/>
        </w:tabs>
        <w:ind w:left="1418" w:hanging="284"/>
      </w:pPr>
      <w:rPr>
        <w:rFonts w:ascii="Courier New" w:hAnsi="Courier New" w:hint="default"/>
      </w:rPr>
    </w:lvl>
    <w:lvl w:ilvl="1" w:tplc="D86C5660" w:tentative="1">
      <w:start w:val="1"/>
      <w:numFmt w:val="bullet"/>
      <w:lvlText w:val="o"/>
      <w:lvlJc w:val="left"/>
      <w:pPr>
        <w:tabs>
          <w:tab w:val="num" w:pos="1440"/>
        </w:tabs>
        <w:ind w:left="1440" w:hanging="360"/>
      </w:pPr>
      <w:rPr>
        <w:rFonts w:ascii="Courier New" w:hAnsi="Courier New" w:cs="Courier New" w:hint="default"/>
      </w:rPr>
    </w:lvl>
    <w:lvl w:ilvl="2" w:tplc="1902BA80" w:tentative="1">
      <w:start w:val="1"/>
      <w:numFmt w:val="bullet"/>
      <w:lvlText w:val=""/>
      <w:lvlJc w:val="left"/>
      <w:pPr>
        <w:tabs>
          <w:tab w:val="num" w:pos="2160"/>
        </w:tabs>
        <w:ind w:left="2160" w:hanging="360"/>
      </w:pPr>
      <w:rPr>
        <w:rFonts w:ascii="Wingdings" w:hAnsi="Wingdings" w:hint="default"/>
      </w:rPr>
    </w:lvl>
    <w:lvl w:ilvl="3" w:tplc="7A9419BA" w:tentative="1">
      <w:start w:val="1"/>
      <w:numFmt w:val="bullet"/>
      <w:lvlText w:val=""/>
      <w:lvlJc w:val="left"/>
      <w:pPr>
        <w:tabs>
          <w:tab w:val="num" w:pos="2880"/>
        </w:tabs>
        <w:ind w:left="2880" w:hanging="360"/>
      </w:pPr>
      <w:rPr>
        <w:rFonts w:ascii="Symbol" w:hAnsi="Symbol" w:hint="default"/>
      </w:rPr>
    </w:lvl>
    <w:lvl w:ilvl="4" w:tplc="6DFE1CD8" w:tentative="1">
      <w:start w:val="1"/>
      <w:numFmt w:val="bullet"/>
      <w:lvlText w:val="o"/>
      <w:lvlJc w:val="left"/>
      <w:pPr>
        <w:tabs>
          <w:tab w:val="num" w:pos="3600"/>
        </w:tabs>
        <w:ind w:left="3600" w:hanging="360"/>
      </w:pPr>
      <w:rPr>
        <w:rFonts w:ascii="Courier New" w:hAnsi="Courier New" w:cs="Courier New" w:hint="default"/>
      </w:rPr>
    </w:lvl>
    <w:lvl w:ilvl="5" w:tplc="00200F4E" w:tentative="1">
      <w:start w:val="1"/>
      <w:numFmt w:val="bullet"/>
      <w:lvlText w:val=""/>
      <w:lvlJc w:val="left"/>
      <w:pPr>
        <w:tabs>
          <w:tab w:val="num" w:pos="4320"/>
        </w:tabs>
        <w:ind w:left="4320" w:hanging="360"/>
      </w:pPr>
      <w:rPr>
        <w:rFonts w:ascii="Wingdings" w:hAnsi="Wingdings" w:hint="default"/>
      </w:rPr>
    </w:lvl>
    <w:lvl w:ilvl="6" w:tplc="865A9650" w:tentative="1">
      <w:start w:val="1"/>
      <w:numFmt w:val="bullet"/>
      <w:lvlText w:val=""/>
      <w:lvlJc w:val="left"/>
      <w:pPr>
        <w:tabs>
          <w:tab w:val="num" w:pos="5040"/>
        </w:tabs>
        <w:ind w:left="5040" w:hanging="360"/>
      </w:pPr>
      <w:rPr>
        <w:rFonts w:ascii="Symbol" w:hAnsi="Symbol" w:hint="default"/>
      </w:rPr>
    </w:lvl>
    <w:lvl w:ilvl="7" w:tplc="E806F660" w:tentative="1">
      <w:start w:val="1"/>
      <w:numFmt w:val="bullet"/>
      <w:lvlText w:val="o"/>
      <w:lvlJc w:val="left"/>
      <w:pPr>
        <w:tabs>
          <w:tab w:val="num" w:pos="5760"/>
        </w:tabs>
        <w:ind w:left="5760" w:hanging="360"/>
      </w:pPr>
      <w:rPr>
        <w:rFonts w:ascii="Courier New" w:hAnsi="Courier New" w:cs="Courier New" w:hint="default"/>
      </w:rPr>
    </w:lvl>
    <w:lvl w:ilvl="8" w:tplc="6AFCD32E" w:tentative="1">
      <w:start w:val="1"/>
      <w:numFmt w:val="bullet"/>
      <w:lvlText w:val=""/>
      <w:lvlJc w:val="left"/>
      <w:pPr>
        <w:tabs>
          <w:tab w:val="num" w:pos="6480"/>
        </w:tabs>
        <w:ind w:left="6480" w:hanging="360"/>
      </w:pPr>
      <w:rPr>
        <w:rFonts w:ascii="Wingdings" w:hAnsi="Wingdings" w:hint="default"/>
      </w:rPr>
    </w:lvl>
  </w:abstractNum>
  <w:abstractNum w:abstractNumId="7">
    <w:nsid w:val="2ACB602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E64CAB"/>
    <w:multiLevelType w:val="multilevel"/>
    <w:tmpl w:val="925654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pStyle w:val="Heading5"/>
      <w:lvlText w:val=""/>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D665DFA"/>
    <w:multiLevelType w:val="singleLevel"/>
    <w:tmpl w:val="66ECCB6A"/>
    <w:name w:val="OneLevelAlphaParagraphList"/>
    <w:lvl w:ilvl="0">
      <w:start w:val="1"/>
      <w:numFmt w:val="lowerLetter"/>
      <w:lvlRestart w:val="0"/>
      <w:pStyle w:val="AlphaParagraph"/>
      <w:lvlText w:val="(%1)"/>
      <w:lvlJc w:val="left"/>
      <w:pPr>
        <w:tabs>
          <w:tab w:val="num" w:pos="567"/>
        </w:tabs>
        <w:ind w:left="567" w:hanging="567"/>
      </w:pPr>
      <w:rPr>
        <w:rFonts w:ascii="Univers 55" w:hAnsi="Univers 55"/>
        <w:b w:val="0"/>
        <w:i w:val="0"/>
        <w:sz w:val="20"/>
      </w:rPr>
    </w:lvl>
  </w:abstractNum>
  <w:abstractNum w:abstractNumId="10">
    <w:nsid w:val="2EF93CEC"/>
    <w:multiLevelType w:val="hybridMultilevel"/>
    <w:tmpl w:val="30441F60"/>
    <w:lvl w:ilvl="0" w:tplc="A104AFA2">
      <w:start w:val="1"/>
      <w:numFmt w:val="bullet"/>
      <w:pStyle w:val="Tabledash"/>
      <w:lvlText w:val="-"/>
      <w:lvlJc w:val="left"/>
      <w:pPr>
        <w:tabs>
          <w:tab w:val="num" w:pos="1418"/>
        </w:tabs>
        <w:ind w:left="1418" w:hanging="284"/>
      </w:pPr>
      <w:rPr>
        <w:rFonts w:ascii="Courier New" w:hAnsi="Courier New" w:hint="default"/>
        <w:sz w:val="20"/>
        <w:szCs w:val="20"/>
      </w:rPr>
    </w:lvl>
    <w:lvl w:ilvl="1" w:tplc="526C62BC" w:tentative="1">
      <w:start w:val="1"/>
      <w:numFmt w:val="bullet"/>
      <w:lvlText w:val="o"/>
      <w:lvlJc w:val="left"/>
      <w:pPr>
        <w:tabs>
          <w:tab w:val="num" w:pos="1440"/>
        </w:tabs>
        <w:ind w:left="1440" w:hanging="360"/>
      </w:pPr>
      <w:rPr>
        <w:rFonts w:ascii="Courier New" w:hAnsi="Courier New" w:cs="Courier New" w:hint="default"/>
      </w:rPr>
    </w:lvl>
    <w:lvl w:ilvl="2" w:tplc="1E0894AA" w:tentative="1">
      <w:start w:val="1"/>
      <w:numFmt w:val="bullet"/>
      <w:lvlText w:val=""/>
      <w:lvlJc w:val="left"/>
      <w:pPr>
        <w:tabs>
          <w:tab w:val="num" w:pos="2160"/>
        </w:tabs>
        <w:ind w:left="2160" w:hanging="360"/>
      </w:pPr>
      <w:rPr>
        <w:rFonts w:ascii="Wingdings" w:hAnsi="Wingdings" w:hint="default"/>
      </w:rPr>
    </w:lvl>
    <w:lvl w:ilvl="3" w:tplc="CB027F70" w:tentative="1">
      <w:start w:val="1"/>
      <w:numFmt w:val="bullet"/>
      <w:lvlText w:val=""/>
      <w:lvlJc w:val="left"/>
      <w:pPr>
        <w:tabs>
          <w:tab w:val="num" w:pos="2880"/>
        </w:tabs>
        <w:ind w:left="2880" w:hanging="360"/>
      </w:pPr>
      <w:rPr>
        <w:rFonts w:ascii="Symbol" w:hAnsi="Symbol" w:hint="default"/>
      </w:rPr>
    </w:lvl>
    <w:lvl w:ilvl="4" w:tplc="6E702018" w:tentative="1">
      <w:start w:val="1"/>
      <w:numFmt w:val="bullet"/>
      <w:lvlText w:val="o"/>
      <w:lvlJc w:val="left"/>
      <w:pPr>
        <w:tabs>
          <w:tab w:val="num" w:pos="3600"/>
        </w:tabs>
        <w:ind w:left="3600" w:hanging="360"/>
      </w:pPr>
      <w:rPr>
        <w:rFonts w:ascii="Courier New" w:hAnsi="Courier New" w:cs="Courier New" w:hint="default"/>
      </w:rPr>
    </w:lvl>
    <w:lvl w:ilvl="5" w:tplc="B3C0758C" w:tentative="1">
      <w:start w:val="1"/>
      <w:numFmt w:val="bullet"/>
      <w:lvlText w:val=""/>
      <w:lvlJc w:val="left"/>
      <w:pPr>
        <w:tabs>
          <w:tab w:val="num" w:pos="4320"/>
        </w:tabs>
        <w:ind w:left="4320" w:hanging="360"/>
      </w:pPr>
      <w:rPr>
        <w:rFonts w:ascii="Wingdings" w:hAnsi="Wingdings" w:hint="default"/>
      </w:rPr>
    </w:lvl>
    <w:lvl w:ilvl="6" w:tplc="17B00CD4" w:tentative="1">
      <w:start w:val="1"/>
      <w:numFmt w:val="bullet"/>
      <w:lvlText w:val=""/>
      <w:lvlJc w:val="left"/>
      <w:pPr>
        <w:tabs>
          <w:tab w:val="num" w:pos="5040"/>
        </w:tabs>
        <w:ind w:left="5040" w:hanging="360"/>
      </w:pPr>
      <w:rPr>
        <w:rFonts w:ascii="Symbol" w:hAnsi="Symbol" w:hint="default"/>
      </w:rPr>
    </w:lvl>
    <w:lvl w:ilvl="7" w:tplc="6E565090" w:tentative="1">
      <w:start w:val="1"/>
      <w:numFmt w:val="bullet"/>
      <w:lvlText w:val="o"/>
      <w:lvlJc w:val="left"/>
      <w:pPr>
        <w:tabs>
          <w:tab w:val="num" w:pos="5760"/>
        </w:tabs>
        <w:ind w:left="5760" w:hanging="360"/>
      </w:pPr>
      <w:rPr>
        <w:rFonts w:ascii="Courier New" w:hAnsi="Courier New" w:cs="Courier New" w:hint="default"/>
      </w:rPr>
    </w:lvl>
    <w:lvl w:ilvl="8" w:tplc="13004B96" w:tentative="1">
      <w:start w:val="1"/>
      <w:numFmt w:val="bullet"/>
      <w:lvlText w:val=""/>
      <w:lvlJc w:val="left"/>
      <w:pPr>
        <w:tabs>
          <w:tab w:val="num" w:pos="6480"/>
        </w:tabs>
        <w:ind w:left="6480" w:hanging="360"/>
      </w:pPr>
      <w:rPr>
        <w:rFonts w:ascii="Wingdings" w:hAnsi="Wingdings" w:hint="default"/>
      </w:rPr>
    </w:lvl>
  </w:abstractNum>
  <w:abstractNum w:abstractNumId="11">
    <w:nsid w:val="31DD364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C6671B"/>
    <w:multiLevelType w:val="multilevel"/>
    <w:tmpl w:val="1DEA1C5A"/>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FE5266"/>
    <w:multiLevelType w:val="multilevel"/>
    <w:tmpl w:val="049E660A"/>
    <w:name w:val="AGALettterBulletedList"/>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63D66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E06931"/>
    <w:multiLevelType w:val="singleLevel"/>
    <w:tmpl w:val="43A6CBF2"/>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nsid w:val="504D7167"/>
    <w:multiLevelType w:val="multilevel"/>
    <w:tmpl w:val="21622140"/>
    <w:name w:val="ChartTableFootnoteAlpha"/>
    <w:lvl w:ilvl="0">
      <w:start w:val="1"/>
      <w:numFmt w:val="bullet"/>
      <w:pStyle w:val="Bullet"/>
      <w:lvlText w:val="•"/>
      <w:lvlJc w:val="left"/>
      <w:pPr>
        <w:tabs>
          <w:tab w:val="num" w:pos="1418"/>
        </w:tabs>
        <w:ind w:left="1418" w:hanging="567"/>
      </w:pPr>
      <w:rPr>
        <w:rFonts w:hint="default"/>
      </w:rPr>
    </w:lvl>
    <w:lvl w:ilvl="1">
      <w:start w:val="1"/>
      <w:numFmt w:val="bullet"/>
      <w:pStyle w:val="Dash"/>
      <w:lvlText w:val="–"/>
      <w:lvlJc w:val="left"/>
      <w:pPr>
        <w:tabs>
          <w:tab w:val="num" w:pos="1985"/>
        </w:tabs>
        <w:ind w:left="1985" w:hanging="567"/>
      </w:pPr>
      <w:rPr>
        <w:rFonts w:hint="default"/>
      </w:rPr>
    </w:lvl>
    <w:lvl w:ilvl="2">
      <w:start w:val="1"/>
      <w:numFmt w:val="bullet"/>
      <w:pStyle w:val="DoubleDot"/>
      <w:lvlText w:val=":"/>
      <w:lvlJc w:val="left"/>
      <w:pPr>
        <w:tabs>
          <w:tab w:val="num" w:pos="2552"/>
        </w:tabs>
        <w:ind w:left="2552" w:hanging="567"/>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58101827"/>
    <w:multiLevelType w:val="multilevel"/>
    <w:tmpl w:val="072C6E52"/>
    <w:name w:val="StandardNumberedList_"/>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nsid w:val="5B5F0507"/>
    <w:multiLevelType w:val="hybridMultilevel"/>
    <w:tmpl w:val="46BAD628"/>
    <w:name w:val="BoxBulletedList"/>
    <w:lvl w:ilvl="0" w:tplc="48AECA4A">
      <w:start w:val="1"/>
      <w:numFmt w:val="bullet"/>
      <w:pStyle w:val="Tablebullet"/>
      <w:lvlText w:val=""/>
      <w:lvlJc w:val="left"/>
      <w:pPr>
        <w:tabs>
          <w:tab w:val="num" w:pos="1134"/>
        </w:tabs>
        <w:ind w:left="1134" w:hanging="567"/>
      </w:pPr>
      <w:rPr>
        <w:rFonts w:ascii="Symbol" w:hAnsi="Symbol" w:hint="default"/>
        <w:sz w:val="18"/>
        <w:szCs w:val="20"/>
      </w:rPr>
    </w:lvl>
    <w:lvl w:ilvl="1" w:tplc="1CF07842" w:tentative="1">
      <w:start w:val="1"/>
      <w:numFmt w:val="bullet"/>
      <w:lvlText w:val="o"/>
      <w:lvlJc w:val="left"/>
      <w:pPr>
        <w:tabs>
          <w:tab w:val="num" w:pos="1440"/>
        </w:tabs>
        <w:ind w:left="1440" w:hanging="360"/>
      </w:pPr>
      <w:rPr>
        <w:rFonts w:ascii="Courier New" w:hAnsi="Courier New" w:cs="Courier New" w:hint="default"/>
      </w:rPr>
    </w:lvl>
    <w:lvl w:ilvl="2" w:tplc="FF68DA7E" w:tentative="1">
      <w:start w:val="1"/>
      <w:numFmt w:val="bullet"/>
      <w:lvlText w:val=""/>
      <w:lvlJc w:val="left"/>
      <w:pPr>
        <w:tabs>
          <w:tab w:val="num" w:pos="2160"/>
        </w:tabs>
        <w:ind w:left="2160" w:hanging="360"/>
      </w:pPr>
      <w:rPr>
        <w:rFonts w:ascii="Wingdings" w:hAnsi="Wingdings" w:hint="default"/>
      </w:rPr>
    </w:lvl>
    <w:lvl w:ilvl="3" w:tplc="D338CAB4" w:tentative="1">
      <w:start w:val="1"/>
      <w:numFmt w:val="bullet"/>
      <w:lvlText w:val=""/>
      <w:lvlJc w:val="left"/>
      <w:pPr>
        <w:tabs>
          <w:tab w:val="num" w:pos="2880"/>
        </w:tabs>
        <w:ind w:left="2880" w:hanging="360"/>
      </w:pPr>
      <w:rPr>
        <w:rFonts w:ascii="Symbol" w:hAnsi="Symbol" w:hint="default"/>
      </w:rPr>
    </w:lvl>
    <w:lvl w:ilvl="4" w:tplc="06B23468" w:tentative="1">
      <w:start w:val="1"/>
      <w:numFmt w:val="bullet"/>
      <w:lvlText w:val="o"/>
      <w:lvlJc w:val="left"/>
      <w:pPr>
        <w:tabs>
          <w:tab w:val="num" w:pos="3600"/>
        </w:tabs>
        <w:ind w:left="3600" w:hanging="360"/>
      </w:pPr>
      <w:rPr>
        <w:rFonts w:ascii="Courier New" w:hAnsi="Courier New" w:cs="Courier New" w:hint="default"/>
      </w:rPr>
    </w:lvl>
    <w:lvl w:ilvl="5" w:tplc="DA684420" w:tentative="1">
      <w:start w:val="1"/>
      <w:numFmt w:val="bullet"/>
      <w:lvlText w:val=""/>
      <w:lvlJc w:val="left"/>
      <w:pPr>
        <w:tabs>
          <w:tab w:val="num" w:pos="4320"/>
        </w:tabs>
        <w:ind w:left="4320" w:hanging="360"/>
      </w:pPr>
      <w:rPr>
        <w:rFonts w:ascii="Wingdings" w:hAnsi="Wingdings" w:hint="default"/>
      </w:rPr>
    </w:lvl>
    <w:lvl w:ilvl="6" w:tplc="CDE6A4E2" w:tentative="1">
      <w:start w:val="1"/>
      <w:numFmt w:val="bullet"/>
      <w:lvlText w:val=""/>
      <w:lvlJc w:val="left"/>
      <w:pPr>
        <w:tabs>
          <w:tab w:val="num" w:pos="5040"/>
        </w:tabs>
        <w:ind w:left="5040" w:hanging="360"/>
      </w:pPr>
      <w:rPr>
        <w:rFonts w:ascii="Symbol" w:hAnsi="Symbol" w:hint="default"/>
      </w:rPr>
    </w:lvl>
    <w:lvl w:ilvl="7" w:tplc="F8461A92" w:tentative="1">
      <w:start w:val="1"/>
      <w:numFmt w:val="bullet"/>
      <w:lvlText w:val="o"/>
      <w:lvlJc w:val="left"/>
      <w:pPr>
        <w:tabs>
          <w:tab w:val="num" w:pos="5760"/>
        </w:tabs>
        <w:ind w:left="5760" w:hanging="360"/>
      </w:pPr>
      <w:rPr>
        <w:rFonts w:ascii="Courier New" w:hAnsi="Courier New" w:cs="Courier New" w:hint="default"/>
      </w:rPr>
    </w:lvl>
    <w:lvl w:ilvl="8" w:tplc="A4AA8E94" w:tentative="1">
      <w:start w:val="1"/>
      <w:numFmt w:val="bullet"/>
      <w:lvlText w:val=""/>
      <w:lvlJc w:val="left"/>
      <w:pPr>
        <w:tabs>
          <w:tab w:val="num" w:pos="6480"/>
        </w:tabs>
        <w:ind w:left="6480" w:hanging="360"/>
      </w:pPr>
      <w:rPr>
        <w:rFonts w:ascii="Wingdings" w:hAnsi="Wingdings" w:hint="default"/>
      </w:rPr>
    </w:lvl>
  </w:abstractNum>
  <w:abstractNum w:abstractNumId="19">
    <w:nsid w:val="5D3E658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0A6F8D"/>
    <w:multiLevelType w:val="multilevel"/>
    <w:tmpl w:val="51941ED6"/>
    <w:name w:val="StandardBulletedList_"/>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63644759"/>
    <w:multiLevelType w:val="multilevel"/>
    <w:tmpl w:val="9926BBD0"/>
    <w:name w:val="RecommendationBulletedList"/>
    <w:lvl w:ilvl="0">
      <w:start w:val="1"/>
      <w:numFmt w:val="decimal"/>
      <w:lvlRestart w:val="0"/>
      <w:lvlText w:val="Chapter %1:  "/>
      <w:lvlJc w:val="left"/>
      <w:pPr>
        <w:tabs>
          <w:tab w:val="num" w:pos="567"/>
        </w:tabs>
        <w:ind w:left="567" w:hanging="567"/>
      </w:pPr>
      <w:rPr>
        <w:rFonts w:ascii="Arial Bold" w:hAnsi="Arial Bold" w:cs="Arial" w:hint="default"/>
        <w:b/>
        <w:i w:val="0"/>
        <w:caps/>
        <w:smallCaps w:val="0"/>
        <w:vanish w:val="0"/>
        <w:color w:val="9B0014"/>
        <w:sz w:val="28"/>
        <w:szCs w:val="28"/>
      </w:rPr>
    </w:lvl>
    <w:lvl w:ilvl="1">
      <w:start w:val="1"/>
      <w:numFmt w:val="decimal"/>
      <w:lvlText w:val="%1.%2"/>
      <w:lvlJc w:val="left"/>
      <w:pPr>
        <w:tabs>
          <w:tab w:val="num" w:pos="567"/>
        </w:tabs>
        <w:ind w:left="567" w:hanging="567"/>
      </w:pPr>
      <w:rPr>
        <w:rFonts w:ascii="Arial" w:hAnsi="Arial" w:cs="Arial" w:hint="default"/>
        <w:b w:val="0"/>
        <w:i w:val="0"/>
        <w:color w:val="000000"/>
        <w:sz w:val="20"/>
      </w:rPr>
    </w:lvl>
    <w:lvl w:ilvl="2">
      <w:start w:val="1"/>
      <w:numFmt w:val="decimal"/>
      <w:lvlRestart w:val="1"/>
      <w:lvlText w:val="%1.%2"/>
      <w:lvlJc w:val="left"/>
      <w:pPr>
        <w:tabs>
          <w:tab w:val="num" w:pos="567"/>
        </w:tabs>
        <w:ind w:left="567" w:hanging="567"/>
      </w:pPr>
      <w:rPr>
        <w:rFonts w:ascii="Arial" w:hAnsi="Arial" w:cs="Arial" w:hint="default"/>
        <w:b w:val="0"/>
        <w:i w:val="0"/>
        <w:color w:val="000000"/>
        <w:sz w:val="2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22">
    <w:nsid w:val="67EB7CD2"/>
    <w:multiLevelType w:val="multilevel"/>
    <w:tmpl w:val="94726B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1134"/>
        </w:tabs>
        <w:ind w:left="1134" w:hanging="1134"/>
      </w:pPr>
      <w:rPr>
        <w:rFonts w:ascii="Univers 55" w:hAnsi="Univers 55" w:hint="default"/>
      </w:rPr>
    </w:lvl>
    <w:lvl w:ilvl="3">
      <w:start w:val="1"/>
      <w:numFmt w:val="decimal"/>
      <w:isLgl/>
      <w:lvlText w:val="%1.%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296CC7"/>
    <w:multiLevelType w:val="hybridMultilevel"/>
    <w:tmpl w:val="F7A64294"/>
    <w:name w:val="StandardHeadingList7"/>
    <w:lvl w:ilvl="0" w:tplc="718EB9FC">
      <w:start w:val="1"/>
      <w:numFmt w:val="lowerRoman"/>
      <w:pStyle w:val="numberingindented"/>
      <w:lvlText w:val="(%1)"/>
      <w:lvlJc w:val="left"/>
      <w:pPr>
        <w:tabs>
          <w:tab w:val="num" w:pos="1134"/>
        </w:tabs>
        <w:ind w:left="1134" w:hanging="567"/>
      </w:pPr>
      <w:rPr>
        <w:rFonts w:ascii="Arial" w:hAnsi="Arial" w:hint="default"/>
        <w:b w:val="0"/>
        <w:i w:val="0"/>
        <w:sz w:val="20"/>
        <w:szCs w:val="20"/>
      </w:rPr>
    </w:lvl>
    <w:lvl w:ilvl="1" w:tplc="6AC81722" w:tentative="1">
      <w:start w:val="1"/>
      <w:numFmt w:val="bullet"/>
      <w:lvlText w:val="o"/>
      <w:lvlJc w:val="left"/>
      <w:pPr>
        <w:tabs>
          <w:tab w:val="num" w:pos="1440"/>
        </w:tabs>
        <w:ind w:left="1440" w:hanging="360"/>
      </w:pPr>
      <w:rPr>
        <w:rFonts w:ascii="Courier New" w:hAnsi="Courier New" w:cs="Courier New" w:hint="default"/>
      </w:rPr>
    </w:lvl>
    <w:lvl w:ilvl="2" w:tplc="B8B693A8" w:tentative="1">
      <w:start w:val="1"/>
      <w:numFmt w:val="bullet"/>
      <w:lvlText w:val=""/>
      <w:lvlJc w:val="left"/>
      <w:pPr>
        <w:tabs>
          <w:tab w:val="num" w:pos="2160"/>
        </w:tabs>
        <w:ind w:left="2160" w:hanging="360"/>
      </w:pPr>
      <w:rPr>
        <w:rFonts w:ascii="Wingdings" w:hAnsi="Wingdings" w:hint="default"/>
      </w:rPr>
    </w:lvl>
    <w:lvl w:ilvl="3" w:tplc="1264EEB4">
      <w:start w:val="1"/>
      <w:numFmt w:val="bullet"/>
      <w:lvlText w:val=""/>
      <w:lvlJc w:val="left"/>
      <w:pPr>
        <w:tabs>
          <w:tab w:val="num" w:pos="2880"/>
        </w:tabs>
        <w:ind w:left="2880" w:hanging="360"/>
      </w:pPr>
      <w:rPr>
        <w:rFonts w:ascii="Symbol" w:hAnsi="Symbol" w:hint="default"/>
      </w:rPr>
    </w:lvl>
    <w:lvl w:ilvl="4" w:tplc="FBE2ADCC" w:tentative="1">
      <w:start w:val="1"/>
      <w:numFmt w:val="bullet"/>
      <w:lvlText w:val="o"/>
      <w:lvlJc w:val="left"/>
      <w:pPr>
        <w:tabs>
          <w:tab w:val="num" w:pos="3600"/>
        </w:tabs>
        <w:ind w:left="3600" w:hanging="360"/>
      </w:pPr>
      <w:rPr>
        <w:rFonts w:ascii="Courier New" w:hAnsi="Courier New" w:cs="Courier New" w:hint="default"/>
      </w:rPr>
    </w:lvl>
    <w:lvl w:ilvl="5" w:tplc="03BCBFB8" w:tentative="1">
      <w:start w:val="1"/>
      <w:numFmt w:val="bullet"/>
      <w:lvlText w:val=""/>
      <w:lvlJc w:val="left"/>
      <w:pPr>
        <w:tabs>
          <w:tab w:val="num" w:pos="4320"/>
        </w:tabs>
        <w:ind w:left="4320" w:hanging="360"/>
      </w:pPr>
      <w:rPr>
        <w:rFonts w:ascii="Wingdings" w:hAnsi="Wingdings" w:hint="default"/>
      </w:rPr>
    </w:lvl>
    <w:lvl w:ilvl="6" w:tplc="78F610D8" w:tentative="1">
      <w:start w:val="1"/>
      <w:numFmt w:val="bullet"/>
      <w:lvlText w:val=""/>
      <w:lvlJc w:val="left"/>
      <w:pPr>
        <w:tabs>
          <w:tab w:val="num" w:pos="5040"/>
        </w:tabs>
        <w:ind w:left="5040" w:hanging="360"/>
      </w:pPr>
      <w:rPr>
        <w:rFonts w:ascii="Symbol" w:hAnsi="Symbol" w:hint="default"/>
      </w:rPr>
    </w:lvl>
    <w:lvl w:ilvl="7" w:tplc="A2BC9864" w:tentative="1">
      <w:start w:val="1"/>
      <w:numFmt w:val="bullet"/>
      <w:lvlText w:val="o"/>
      <w:lvlJc w:val="left"/>
      <w:pPr>
        <w:tabs>
          <w:tab w:val="num" w:pos="5760"/>
        </w:tabs>
        <w:ind w:left="5760" w:hanging="360"/>
      </w:pPr>
      <w:rPr>
        <w:rFonts w:ascii="Courier New" w:hAnsi="Courier New" w:cs="Courier New" w:hint="default"/>
      </w:rPr>
    </w:lvl>
    <w:lvl w:ilvl="8" w:tplc="B148CDAE" w:tentative="1">
      <w:start w:val="1"/>
      <w:numFmt w:val="bullet"/>
      <w:lvlText w:val=""/>
      <w:lvlJc w:val="left"/>
      <w:pPr>
        <w:tabs>
          <w:tab w:val="num" w:pos="6480"/>
        </w:tabs>
        <w:ind w:left="6480" w:hanging="360"/>
      </w:pPr>
      <w:rPr>
        <w:rFonts w:ascii="Wingdings" w:hAnsi="Wingdings" w:hint="default"/>
      </w:rPr>
    </w:lvl>
  </w:abstractNum>
  <w:abstractNum w:abstractNumId="24">
    <w:nsid w:val="6B8D4A65"/>
    <w:multiLevelType w:val="multilevel"/>
    <w:tmpl w:val="3C3A09E4"/>
    <w:lvl w:ilvl="0">
      <w:start w:val="6"/>
      <w:numFmt w:val="decimal"/>
      <w:pStyle w:val="Heading1"/>
      <w:lvlText w:val="Chapter %1:"/>
      <w:lvlJc w:val="left"/>
      <w:pPr>
        <w:ind w:left="720" w:hanging="720"/>
      </w:pPr>
      <w:rPr>
        <w:rFonts w:hint="default"/>
      </w:rPr>
    </w:lvl>
    <w:lvl w:ilvl="1">
      <w:start w:val="1"/>
      <w:numFmt w:val="none"/>
      <w:pStyle w:val="Heading2"/>
      <w:lvlText w:val=""/>
      <w:lvlJc w:val="left"/>
      <w:pPr>
        <w:ind w:left="1440" w:hanging="360"/>
      </w:pPr>
      <w:rPr>
        <w:rFonts w:hint="default"/>
      </w:rPr>
    </w:lvl>
    <w:lvl w:ilvl="2">
      <w:start w:val="1"/>
      <w:numFmt w:val="decimal"/>
      <w:lvlRestart w:val="1"/>
      <w:pStyle w:val="BodyText"/>
      <w:lvlText w:val="%1.%3"/>
      <w:lvlJc w:val="left"/>
      <w:pPr>
        <w:ind w:left="993" w:hanging="851"/>
      </w:pPr>
      <w:rPr>
        <w:rFonts w:ascii="Arial" w:hAnsi="Arial" w:hint="default"/>
        <w:b w:val="0"/>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0F64B38"/>
    <w:multiLevelType w:val="hybridMultilevel"/>
    <w:tmpl w:val="BE3EFB32"/>
    <w:lvl w:ilvl="0" w:tplc="3536AB00">
      <w:start w:val="1"/>
      <w:numFmt w:val="decimal"/>
      <w:pStyle w:val="ChartandTableFootnoteNumeral"/>
      <w:lvlText w:val="%1."/>
      <w:lvlJc w:val="left"/>
      <w:pPr>
        <w:ind w:left="851" w:hanging="284"/>
      </w:pPr>
      <w:rPr>
        <w:rFonts w:ascii="Arial" w:hAnsi="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9A449E7"/>
    <w:multiLevelType w:val="multilevel"/>
    <w:tmpl w:val="21AC0DA8"/>
    <w:lvl w:ilvl="0">
      <w:start w:val="1"/>
      <w:numFmt w:val="decimal"/>
      <w:lvlText w:val="%1"/>
      <w:lvlJc w:val="left"/>
      <w:pPr>
        <w:tabs>
          <w:tab w:val="num" w:pos="850"/>
        </w:tabs>
        <w:ind w:left="850" w:hanging="850"/>
      </w:pPr>
      <w:rPr>
        <w:rFonts w:ascii="Trebuchet MS" w:hAnsi="Trebuchet MS" w:hint="default"/>
        <w:b/>
        <w:i w:val="0"/>
        <w:sz w:val="28"/>
      </w:rPr>
    </w:lvl>
    <w:lvl w:ilvl="1">
      <w:start w:val="1"/>
      <w:numFmt w:val="decimal"/>
      <w:lvlText w:val="%1.%2"/>
      <w:lvlJc w:val="left"/>
      <w:pPr>
        <w:tabs>
          <w:tab w:val="num" w:pos="850"/>
        </w:tabs>
        <w:ind w:left="850" w:hanging="850"/>
      </w:pPr>
      <w:rPr>
        <w:rFonts w:ascii="Trebuchet MS" w:hAnsi="Trebuchet MS" w:hint="default"/>
        <w:b/>
        <w:i/>
        <w:sz w:val="24"/>
      </w:rPr>
    </w:lvl>
    <w:lvl w:ilvl="2">
      <w:start w:val="1"/>
      <w:numFmt w:val="decimal"/>
      <w:lvlText w:val="%1.%2.%3"/>
      <w:lvlJc w:val="left"/>
      <w:pPr>
        <w:tabs>
          <w:tab w:val="num" w:pos="1134"/>
        </w:tabs>
        <w:ind w:left="1134" w:hanging="1134"/>
      </w:pPr>
      <w:rPr>
        <w:rFonts w:ascii="Trebuchet MS" w:hAnsi="Trebuchet MS" w:hint="default"/>
        <w:b w:val="0"/>
        <w:i w:val="0"/>
        <w:sz w:val="22"/>
      </w:rPr>
    </w:lvl>
    <w:lvl w:ilvl="3">
      <w:start w:val="1"/>
      <w:numFmt w:val="bullet"/>
      <w:lvlText w:val=""/>
      <w:lvlJc w:val="left"/>
      <w:pPr>
        <w:tabs>
          <w:tab w:val="num" w:pos="851"/>
        </w:tabs>
        <w:ind w:left="851" w:hanging="851"/>
      </w:pPr>
      <w:rPr>
        <w:rFonts w:ascii="Symbol" w:hAnsi="Symbol" w:hint="default"/>
        <w:sz w:val="28"/>
      </w:rPr>
    </w:lvl>
    <w:lvl w:ilvl="4">
      <w:start w:val="1"/>
      <w:numFmt w:val="bullet"/>
      <w:lvlText w:val=""/>
      <w:lvlJc w:val="left"/>
      <w:pPr>
        <w:tabs>
          <w:tab w:val="num" w:pos="1418"/>
        </w:tabs>
        <w:ind w:left="1418" w:hanging="567"/>
      </w:pPr>
      <w:rPr>
        <w:rFonts w:ascii="Symbol" w:hAnsi="Symbol" w:hint="default"/>
        <w:sz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8"/>
  </w:num>
  <w:num w:numId="4">
    <w:abstractNumId w:val="4"/>
  </w:num>
  <w:num w:numId="5">
    <w:abstractNumId w:val="4"/>
  </w:num>
  <w:num w:numId="6">
    <w:abstractNumId w:val="4"/>
  </w:num>
  <w:num w:numId="7">
    <w:abstractNumId w:val="8"/>
  </w:num>
  <w:num w:numId="8">
    <w:abstractNumId w:val="4"/>
  </w:num>
  <w:num w:numId="9">
    <w:abstractNumId w:val="4"/>
  </w:num>
  <w:num w:numId="10">
    <w:abstractNumId w:val="5"/>
  </w:num>
  <w:num w:numId="11">
    <w:abstractNumId w:val="4"/>
  </w:num>
  <w:num w:numId="12">
    <w:abstractNumId w:val="23"/>
  </w:num>
  <w:num w:numId="13">
    <w:abstractNumId w:val="5"/>
  </w:num>
  <w:num w:numId="14">
    <w:abstractNumId w:val="24"/>
  </w:num>
  <w:num w:numId="15">
    <w:abstractNumId w:val="21"/>
  </w:num>
  <w:num w:numId="16">
    <w:abstractNumId w:val="6"/>
  </w:num>
  <w:num w:numId="17">
    <w:abstractNumId w:val="10"/>
  </w:num>
  <w:num w:numId="18">
    <w:abstractNumId w:val="18"/>
  </w:num>
  <w:num w:numId="19">
    <w:abstractNumId w:val="9"/>
  </w:num>
  <w:num w:numId="20">
    <w:abstractNumId w:val="15"/>
  </w:num>
  <w:num w:numId="21">
    <w:abstractNumId w:val="17"/>
  </w:num>
  <w:num w:numId="22">
    <w:abstractNumId w:val="1"/>
  </w:num>
  <w:num w:numId="23">
    <w:abstractNumId w:val="20"/>
  </w:num>
  <w:num w:numId="24">
    <w:abstractNumId w:val="23"/>
    <w:lvlOverride w:ilvl="0">
      <w:startOverride w:val="1"/>
    </w:lvlOverride>
  </w:num>
  <w:num w:numId="25">
    <w:abstractNumId w:val="2"/>
  </w:num>
  <w:num w:numId="26">
    <w:abstractNumId w:val="0"/>
  </w:num>
  <w:num w:numId="27">
    <w:abstractNumId w:val="5"/>
    <w:lvlOverride w:ilvl="0">
      <w:startOverride w:val="1"/>
    </w:lvlOverride>
  </w:num>
  <w:num w:numId="28">
    <w:abstractNumId w:val="5"/>
    <w:lvlOverride w:ilvl="0">
      <w:startOverride w:val="1"/>
    </w:lvlOverride>
  </w:num>
  <w:num w:numId="29">
    <w:abstractNumId w:val="24"/>
  </w:num>
  <w:num w:numId="30">
    <w:abstractNumId w:val="24"/>
  </w:num>
  <w:num w:numId="31">
    <w:abstractNumId w:val="16"/>
  </w:num>
  <w:num w:numId="32">
    <w:abstractNumId w:val="24"/>
  </w:num>
  <w:num w:numId="33">
    <w:abstractNumId w:val="16"/>
  </w:num>
  <w:num w:numId="34">
    <w:abstractNumId w:val="24"/>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2E"/>
    <w:rsid w:val="0000070E"/>
    <w:rsid w:val="00002FD3"/>
    <w:rsid w:val="000035B2"/>
    <w:rsid w:val="00004D12"/>
    <w:rsid w:val="000062B3"/>
    <w:rsid w:val="0000715C"/>
    <w:rsid w:val="00010670"/>
    <w:rsid w:val="000138C3"/>
    <w:rsid w:val="00015117"/>
    <w:rsid w:val="00015843"/>
    <w:rsid w:val="00021528"/>
    <w:rsid w:val="00023903"/>
    <w:rsid w:val="00023F89"/>
    <w:rsid w:val="00025348"/>
    <w:rsid w:val="00025C75"/>
    <w:rsid w:val="00025F58"/>
    <w:rsid w:val="00032729"/>
    <w:rsid w:val="00033EA7"/>
    <w:rsid w:val="00034A64"/>
    <w:rsid w:val="00036101"/>
    <w:rsid w:val="00043375"/>
    <w:rsid w:val="00047F3E"/>
    <w:rsid w:val="00052A87"/>
    <w:rsid w:val="00054085"/>
    <w:rsid w:val="00054A14"/>
    <w:rsid w:val="0005760D"/>
    <w:rsid w:val="00057763"/>
    <w:rsid w:val="00060498"/>
    <w:rsid w:val="000612D1"/>
    <w:rsid w:val="00061EF1"/>
    <w:rsid w:val="00064A44"/>
    <w:rsid w:val="00064EB6"/>
    <w:rsid w:val="00071B70"/>
    <w:rsid w:val="00075F33"/>
    <w:rsid w:val="000766BE"/>
    <w:rsid w:val="00080613"/>
    <w:rsid w:val="00081F9E"/>
    <w:rsid w:val="00083411"/>
    <w:rsid w:val="00084B29"/>
    <w:rsid w:val="00085DB4"/>
    <w:rsid w:val="0008790B"/>
    <w:rsid w:val="00090229"/>
    <w:rsid w:val="00094377"/>
    <w:rsid w:val="0009519F"/>
    <w:rsid w:val="000952B6"/>
    <w:rsid w:val="000973F7"/>
    <w:rsid w:val="00097BBB"/>
    <w:rsid w:val="000A0548"/>
    <w:rsid w:val="000A12C9"/>
    <w:rsid w:val="000A13B7"/>
    <w:rsid w:val="000A2DB0"/>
    <w:rsid w:val="000A35B7"/>
    <w:rsid w:val="000B3A11"/>
    <w:rsid w:val="000B7F94"/>
    <w:rsid w:val="000C044F"/>
    <w:rsid w:val="000C14AE"/>
    <w:rsid w:val="000C1542"/>
    <w:rsid w:val="000C206B"/>
    <w:rsid w:val="000C32BA"/>
    <w:rsid w:val="000D4722"/>
    <w:rsid w:val="000D4BE7"/>
    <w:rsid w:val="000D4C93"/>
    <w:rsid w:val="000D55BB"/>
    <w:rsid w:val="000D5E26"/>
    <w:rsid w:val="000D62B8"/>
    <w:rsid w:val="000D67D0"/>
    <w:rsid w:val="000E13F8"/>
    <w:rsid w:val="000E145A"/>
    <w:rsid w:val="000E153B"/>
    <w:rsid w:val="000E1EEE"/>
    <w:rsid w:val="000E6C41"/>
    <w:rsid w:val="000E6E68"/>
    <w:rsid w:val="000F044F"/>
    <w:rsid w:val="000F1040"/>
    <w:rsid w:val="000F4E5B"/>
    <w:rsid w:val="000F4EF5"/>
    <w:rsid w:val="000F5B48"/>
    <w:rsid w:val="001009E0"/>
    <w:rsid w:val="0010408F"/>
    <w:rsid w:val="00107010"/>
    <w:rsid w:val="00112B88"/>
    <w:rsid w:val="001133E6"/>
    <w:rsid w:val="00113889"/>
    <w:rsid w:val="00114918"/>
    <w:rsid w:val="00115369"/>
    <w:rsid w:val="001166B3"/>
    <w:rsid w:val="001167ED"/>
    <w:rsid w:val="00116A5B"/>
    <w:rsid w:val="001212F4"/>
    <w:rsid w:val="0012169A"/>
    <w:rsid w:val="001221EF"/>
    <w:rsid w:val="00126289"/>
    <w:rsid w:val="001302C6"/>
    <w:rsid w:val="0013056A"/>
    <w:rsid w:val="00130C7C"/>
    <w:rsid w:val="00132198"/>
    <w:rsid w:val="00132A1F"/>
    <w:rsid w:val="001336C8"/>
    <w:rsid w:val="001344AE"/>
    <w:rsid w:val="00136A95"/>
    <w:rsid w:val="00143EBF"/>
    <w:rsid w:val="00144256"/>
    <w:rsid w:val="00145C7A"/>
    <w:rsid w:val="00152264"/>
    <w:rsid w:val="00152B71"/>
    <w:rsid w:val="001549EF"/>
    <w:rsid w:val="001575FF"/>
    <w:rsid w:val="001608FA"/>
    <w:rsid w:val="00163B29"/>
    <w:rsid w:val="001710E3"/>
    <w:rsid w:val="001773E7"/>
    <w:rsid w:val="00177F92"/>
    <w:rsid w:val="00182CCB"/>
    <w:rsid w:val="001869BE"/>
    <w:rsid w:val="00190D6C"/>
    <w:rsid w:val="00191F84"/>
    <w:rsid w:val="001926CD"/>
    <w:rsid w:val="0019529A"/>
    <w:rsid w:val="001973A3"/>
    <w:rsid w:val="001A110A"/>
    <w:rsid w:val="001A6BFE"/>
    <w:rsid w:val="001B26C9"/>
    <w:rsid w:val="001B2B11"/>
    <w:rsid w:val="001B6C61"/>
    <w:rsid w:val="001C1F72"/>
    <w:rsid w:val="001C3BA2"/>
    <w:rsid w:val="001C4309"/>
    <w:rsid w:val="001C502B"/>
    <w:rsid w:val="001C548A"/>
    <w:rsid w:val="001C5C43"/>
    <w:rsid w:val="001C60AC"/>
    <w:rsid w:val="001C6647"/>
    <w:rsid w:val="001D1E98"/>
    <w:rsid w:val="001D4DC3"/>
    <w:rsid w:val="001D62EA"/>
    <w:rsid w:val="001D780C"/>
    <w:rsid w:val="001E079E"/>
    <w:rsid w:val="001E1F78"/>
    <w:rsid w:val="001E429D"/>
    <w:rsid w:val="001E6D20"/>
    <w:rsid w:val="001E7B1D"/>
    <w:rsid w:val="001F1354"/>
    <w:rsid w:val="001F1CF7"/>
    <w:rsid w:val="001F31B5"/>
    <w:rsid w:val="001F40FE"/>
    <w:rsid w:val="001F546B"/>
    <w:rsid w:val="001F71F0"/>
    <w:rsid w:val="002030C5"/>
    <w:rsid w:val="00203FD2"/>
    <w:rsid w:val="0020416A"/>
    <w:rsid w:val="0020498A"/>
    <w:rsid w:val="00206BBB"/>
    <w:rsid w:val="00207959"/>
    <w:rsid w:val="002100D8"/>
    <w:rsid w:val="00210738"/>
    <w:rsid w:val="00212C90"/>
    <w:rsid w:val="00214898"/>
    <w:rsid w:val="00216422"/>
    <w:rsid w:val="00217E3A"/>
    <w:rsid w:val="002213AE"/>
    <w:rsid w:val="002215BC"/>
    <w:rsid w:val="00230733"/>
    <w:rsid w:val="00232313"/>
    <w:rsid w:val="0023556B"/>
    <w:rsid w:val="00235B96"/>
    <w:rsid w:val="00236AEA"/>
    <w:rsid w:val="00236FAD"/>
    <w:rsid w:val="0023729F"/>
    <w:rsid w:val="00245B96"/>
    <w:rsid w:val="00251FD6"/>
    <w:rsid w:val="00252CC8"/>
    <w:rsid w:val="00253A33"/>
    <w:rsid w:val="0025562D"/>
    <w:rsid w:val="00255731"/>
    <w:rsid w:val="0025671D"/>
    <w:rsid w:val="00257130"/>
    <w:rsid w:val="00257420"/>
    <w:rsid w:val="00257928"/>
    <w:rsid w:val="00260AE7"/>
    <w:rsid w:val="00260F19"/>
    <w:rsid w:val="00261024"/>
    <w:rsid w:val="002611EB"/>
    <w:rsid w:val="002615B9"/>
    <w:rsid w:val="00276F91"/>
    <w:rsid w:val="00281D5E"/>
    <w:rsid w:val="002829F0"/>
    <w:rsid w:val="00283B06"/>
    <w:rsid w:val="002842FB"/>
    <w:rsid w:val="00286EAA"/>
    <w:rsid w:val="00287303"/>
    <w:rsid w:val="002949A5"/>
    <w:rsid w:val="00295984"/>
    <w:rsid w:val="002973D9"/>
    <w:rsid w:val="002A2808"/>
    <w:rsid w:val="002A3112"/>
    <w:rsid w:val="002A60D2"/>
    <w:rsid w:val="002A66B8"/>
    <w:rsid w:val="002A74A4"/>
    <w:rsid w:val="002B0133"/>
    <w:rsid w:val="002B48B1"/>
    <w:rsid w:val="002B679E"/>
    <w:rsid w:val="002C342A"/>
    <w:rsid w:val="002C50B3"/>
    <w:rsid w:val="002C7D0D"/>
    <w:rsid w:val="002D01D4"/>
    <w:rsid w:val="002D2737"/>
    <w:rsid w:val="002D3CC8"/>
    <w:rsid w:val="002D78E9"/>
    <w:rsid w:val="002D7C4B"/>
    <w:rsid w:val="002E06EC"/>
    <w:rsid w:val="002E2D9F"/>
    <w:rsid w:val="002E4FE4"/>
    <w:rsid w:val="002F13D1"/>
    <w:rsid w:val="002F13EB"/>
    <w:rsid w:val="002F15D7"/>
    <w:rsid w:val="002F1A98"/>
    <w:rsid w:val="002F3949"/>
    <w:rsid w:val="002F3DC3"/>
    <w:rsid w:val="002F60E9"/>
    <w:rsid w:val="002F6A2B"/>
    <w:rsid w:val="002F7A40"/>
    <w:rsid w:val="002F7F89"/>
    <w:rsid w:val="0030281C"/>
    <w:rsid w:val="00303EB5"/>
    <w:rsid w:val="0030448F"/>
    <w:rsid w:val="003059C3"/>
    <w:rsid w:val="003115A7"/>
    <w:rsid w:val="00313922"/>
    <w:rsid w:val="00313D04"/>
    <w:rsid w:val="0031604F"/>
    <w:rsid w:val="003164F9"/>
    <w:rsid w:val="00322A71"/>
    <w:rsid w:val="00323D85"/>
    <w:rsid w:val="00332CA4"/>
    <w:rsid w:val="00337E40"/>
    <w:rsid w:val="00340A7A"/>
    <w:rsid w:val="00340EDA"/>
    <w:rsid w:val="003423DB"/>
    <w:rsid w:val="00352194"/>
    <w:rsid w:val="003542AE"/>
    <w:rsid w:val="003546ED"/>
    <w:rsid w:val="00362286"/>
    <w:rsid w:val="003640E3"/>
    <w:rsid w:val="00364418"/>
    <w:rsid w:val="00366966"/>
    <w:rsid w:val="00366BB3"/>
    <w:rsid w:val="00370121"/>
    <w:rsid w:val="003727A1"/>
    <w:rsid w:val="00374393"/>
    <w:rsid w:val="00382116"/>
    <w:rsid w:val="00385F4E"/>
    <w:rsid w:val="003948D9"/>
    <w:rsid w:val="00394AD7"/>
    <w:rsid w:val="00395586"/>
    <w:rsid w:val="00396885"/>
    <w:rsid w:val="003968FE"/>
    <w:rsid w:val="003A1C0E"/>
    <w:rsid w:val="003A241E"/>
    <w:rsid w:val="003A454A"/>
    <w:rsid w:val="003A7CC6"/>
    <w:rsid w:val="003B40B9"/>
    <w:rsid w:val="003B5792"/>
    <w:rsid w:val="003B7C74"/>
    <w:rsid w:val="003C2757"/>
    <w:rsid w:val="003C2A8C"/>
    <w:rsid w:val="003C50FA"/>
    <w:rsid w:val="003D3BC3"/>
    <w:rsid w:val="003E0E21"/>
    <w:rsid w:val="003E3175"/>
    <w:rsid w:val="003E453F"/>
    <w:rsid w:val="003E658F"/>
    <w:rsid w:val="003F00FE"/>
    <w:rsid w:val="003F02CE"/>
    <w:rsid w:val="003F0EAF"/>
    <w:rsid w:val="003F3038"/>
    <w:rsid w:val="003F7F02"/>
    <w:rsid w:val="004023C2"/>
    <w:rsid w:val="00402C6D"/>
    <w:rsid w:val="004036D8"/>
    <w:rsid w:val="00403BCD"/>
    <w:rsid w:val="00403C27"/>
    <w:rsid w:val="00411660"/>
    <w:rsid w:val="0041174A"/>
    <w:rsid w:val="00420784"/>
    <w:rsid w:val="00420B66"/>
    <w:rsid w:val="00421326"/>
    <w:rsid w:val="00421CEC"/>
    <w:rsid w:val="004229BF"/>
    <w:rsid w:val="0042376A"/>
    <w:rsid w:val="00426B00"/>
    <w:rsid w:val="004271AA"/>
    <w:rsid w:val="004278A5"/>
    <w:rsid w:val="00427D05"/>
    <w:rsid w:val="004320A3"/>
    <w:rsid w:val="00434572"/>
    <w:rsid w:val="004346FE"/>
    <w:rsid w:val="00437CFD"/>
    <w:rsid w:val="00437E74"/>
    <w:rsid w:val="00440BD0"/>
    <w:rsid w:val="004433DC"/>
    <w:rsid w:val="00443759"/>
    <w:rsid w:val="004440F5"/>
    <w:rsid w:val="004445E3"/>
    <w:rsid w:val="00444E41"/>
    <w:rsid w:val="00446F91"/>
    <w:rsid w:val="004474A6"/>
    <w:rsid w:val="00447649"/>
    <w:rsid w:val="00450E21"/>
    <w:rsid w:val="00451328"/>
    <w:rsid w:val="0045232E"/>
    <w:rsid w:val="00452F1E"/>
    <w:rsid w:val="00460C0E"/>
    <w:rsid w:val="00461603"/>
    <w:rsid w:val="00463B69"/>
    <w:rsid w:val="004645D7"/>
    <w:rsid w:val="00465ECE"/>
    <w:rsid w:val="00473ED7"/>
    <w:rsid w:val="00476A06"/>
    <w:rsid w:val="0048020A"/>
    <w:rsid w:val="00480FAB"/>
    <w:rsid w:val="004908DB"/>
    <w:rsid w:val="00490A07"/>
    <w:rsid w:val="00491D58"/>
    <w:rsid w:val="00494815"/>
    <w:rsid w:val="00494D8A"/>
    <w:rsid w:val="004963FB"/>
    <w:rsid w:val="00496477"/>
    <w:rsid w:val="004968AD"/>
    <w:rsid w:val="004A4018"/>
    <w:rsid w:val="004A43F1"/>
    <w:rsid w:val="004A44EA"/>
    <w:rsid w:val="004A5526"/>
    <w:rsid w:val="004B0841"/>
    <w:rsid w:val="004B1083"/>
    <w:rsid w:val="004B33AF"/>
    <w:rsid w:val="004B4176"/>
    <w:rsid w:val="004B4A73"/>
    <w:rsid w:val="004C09AD"/>
    <w:rsid w:val="004C0DA4"/>
    <w:rsid w:val="004C175E"/>
    <w:rsid w:val="004C1F8D"/>
    <w:rsid w:val="004D29B5"/>
    <w:rsid w:val="004D4BD1"/>
    <w:rsid w:val="004D6DCC"/>
    <w:rsid w:val="004D7599"/>
    <w:rsid w:val="004E1113"/>
    <w:rsid w:val="004E36E9"/>
    <w:rsid w:val="004F1182"/>
    <w:rsid w:val="004F11B2"/>
    <w:rsid w:val="004F4006"/>
    <w:rsid w:val="004F45A9"/>
    <w:rsid w:val="004F6F30"/>
    <w:rsid w:val="004F739B"/>
    <w:rsid w:val="004F7B53"/>
    <w:rsid w:val="00501C86"/>
    <w:rsid w:val="00503EAE"/>
    <w:rsid w:val="00506820"/>
    <w:rsid w:val="00510749"/>
    <w:rsid w:val="00511EAA"/>
    <w:rsid w:val="00512614"/>
    <w:rsid w:val="005126B2"/>
    <w:rsid w:val="005136FD"/>
    <w:rsid w:val="00514A0A"/>
    <w:rsid w:val="00514DE6"/>
    <w:rsid w:val="00516010"/>
    <w:rsid w:val="00516097"/>
    <w:rsid w:val="0051624C"/>
    <w:rsid w:val="00517B6F"/>
    <w:rsid w:val="00520EE0"/>
    <w:rsid w:val="00527B27"/>
    <w:rsid w:val="00532B49"/>
    <w:rsid w:val="00534029"/>
    <w:rsid w:val="0054656B"/>
    <w:rsid w:val="00551AD3"/>
    <w:rsid w:val="00551BDF"/>
    <w:rsid w:val="0055249F"/>
    <w:rsid w:val="00552CB1"/>
    <w:rsid w:val="00556353"/>
    <w:rsid w:val="00557CF0"/>
    <w:rsid w:val="00557FDC"/>
    <w:rsid w:val="00561EBC"/>
    <w:rsid w:val="00564058"/>
    <w:rsid w:val="00564FD2"/>
    <w:rsid w:val="0057021F"/>
    <w:rsid w:val="00571E7B"/>
    <w:rsid w:val="00573637"/>
    <w:rsid w:val="0057379F"/>
    <w:rsid w:val="00574A1E"/>
    <w:rsid w:val="00587561"/>
    <w:rsid w:val="005877BF"/>
    <w:rsid w:val="00593C36"/>
    <w:rsid w:val="005957A1"/>
    <w:rsid w:val="005968DE"/>
    <w:rsid w:val="005A043F"/>
    <w:rsid w:val="005A0AB1"/>
    <w:rsid w:val="005A0C41"/>
    <w:rsid w:val="005A18C7"/>
    <w:rsid w:val="005A3BFA"/>
    <w:rsid w:val="005A44F8"/>
    <w:rsid w:val="005A4F99"/>
    <w:rsid w:val="005A584D"/>
    <w:rsid w:val="005B01CB"/>
    <w:rsid w:val="005B0ABD"/>
    <w:rsid w:val="005B2659"/>
    <w:rsid w:val="005B2E5A"/>
    <w:rsid w:val="005B7CF2"/>
    <w:rsid w:val="005C089B"/>
    <w:rsid w:val="005C1A45"/>
    <w:rsid w:val="005C4AB4"/>
    <w:rsid w:val="005C5B77"/>
    <w:rsid w:val="005C615C"/>
    <w:rsid w:val="005C7A28"/>
    <w:rsid w:val="005D08EB"/>
    <w:rsid w:val="005D0953"/>
    <w:rsid w:val="005D09B1"/>
    <w:rsid w:val="005D0F31"/>
    <w:rsid w:val="005D10CF"/>
    <w:rsid w:val="005D2D11"/>
    <w:rsid w:val="005D3941"/>
    <w:rsid w:val="005D4E4C"/>
    <w:rsid w:val="005D5F6C"/>
    <w:rsid w:val="005D6853"/>
    <w:rsid w:val="005E1615"/>
    <w:rsid w:val="005E259F"/>
    <w:rsid w:val="005E3E6A"/>
    <w:rsid w:val="005E504B"/>
    <w:rsid w:val="005E598D"/>
    <w:rsid w:val="005F07AD"/>
    <w:rsid w:val="005F1139"/>
    <w:rsid w:val="005F1D98"/>
    <w:rsid w:val="005F2146"/>
    <w:rsid w:val="005F3F4D"/>
    <w:rsid w:val="005F4377"/>
    <w:rsid w:val="005F627E"/>
    <w:rsid w:val="005F7161"/>
    <w:rsid w:val="005F7704"/>
    <w:rsid w:val="00600521"/>
    <w:rsid w:val="006023A0"/>
    <w:rsid w:val="00604980"/>
    <w:rsid w:val="00605BD7"/>
    <w:rsid w:val="00606616"/>
    <w:rsid w:val="00606E56"/>
    <w:rsid w:val="00607BF7"/>
    <w:rsid w:val="00613D09"/>
    <w:rsid w:val="006160EE"/>
    <w:rsid w:val="00617E85"/>
    <w:rsid w:val="006217C8"/>
    <w:rsid w:val="006217CC"/>
    <w:rsid w:val="0062476A"/>
    <w:rsid w:val="00624BC3"/>
    <w:rsid w:val="00624C0E"/>
    <w:rsid w:val="00624DAE"/>
    <w:rsid w:val="0062522E"/>
    <w:rsid w:val="00625482"/>
    <w:rsid w:val="00632A55"/>
    <w:rsid w:val="006338E9"/>
    <w:rsid w:val="006402A1"/>
    <w:rsid w:val="00641234"/>
    <w:rsid w:val="00641589"/>
    <w:rsid w:val="00642AA9"/>
    <w:rsid w:val="00642B91"/>
    <w:rsid w:val="006442B2"/>
    <w:rsid w:val="00645F6D"/>
    <w:rsid w:val="00646A9B"/>
    <w:rsid w:val="00647650"/>
    <w:rsid w:val="0065055E"/>
    <w:rsid w:val="00651942"/>
    <w:rsid w:val="006529FB"/>
    <w:rsid w:val="006549D6"/>
    <w:rsid w:val="00654A62"/>
    <w:rsid w:val="00656BFD"/>
    <w:rsid w:val="006573EA"/>
    <w:rsid w:val="006601D4"/>
    <w:rsid w:val="006612D2"/>
    <w:rsid w:val="0066497C"/>
    <w:rsid w:val="006738DD"/>
    <w:rsid w:val="00682E21"/>
    <w:rsid w:val="00692CC9"/>
    <w:rsid w:val="00695A93"/>
    <w:rsid w:val="00696111"/>
    <w:rsid w:val="006968F4"/>
    <w:rsid w:val="006A47E8"/>
    <w:rsid w:val="006A64C0"/>
    <w:rsid w:val="006A76D6"/>
    <w:rsid w:val="006B2144"/>
    <w:rsid w:val="006B5344"/>
    <w:rsid w:val="006B5D86"/>
    <w:rsid w:val="006C41EB"/>
    <w:rsid w:val="006C6C82"/>
    <w:rsid w:val="006D0760"/>
    <w:rsid w:val="006D2A70"/>
    <w:rsid w:val="006D3EF3"/>
    <w:rsid w:val="006D4E58"/>
    <w:rsid w:val="006E0E79"/>
    <w:rsid w:val="006E1039"/>
    <w:rsid w:val="006E35FA"/>
    <w:rsid w:val="006E5D56"/>
    <w:rsid w:val="006E770C"/>
    <w:rsid w:val="006F0DFE"/>
    <w:rsid w:val="006F144F"/>
    <w:rsid w:val="006F604B"/>
    <w:rsid w:val="006F6194"/>
    <w:rsid w:val="006F6819"/>
    <w:rsid w:val="00705CC1"/>
    <w:rsid w:val="00710572"/>
    <w:rsid w:val="0071141B"/>
    <w:rsid w:val="00711F0D"/>
    <w:rsid w:val="0071376B"/>
    <w:rsid w:val="00713E8E"/>
    <w:rsid w:val="00716292"/>
    <w:rsid w:val="007210F8"/>
    <w:rsid w:val="00721718"/>
    <w:rsid w:val="00730AEE"/>
    <w:rsid w:val="0073244B"/>
    <w:rsid w:val="007365B6"/>
    <w:rsid w:val="00736B6A"/>
    <w:rsid w:val="00737FAB"/>
    <w:rsid w:val="0074243B"/>
    <w:rsid w:val="00747D0E"/>
    <w:rsid w:val="00756340"/>
    <w:rsid w:val="00756970"/>
    <w:rsid w:val="00757432"/>
    <w:rsid w:val="0076057A"/>
    <w:rsid w:val="0076139A"/>
    <w:rsid w:val="00761FCF"/>
    <w:rsid w:val="00762743"/>
    <w:rsid w:val="00762972"/>
    <w:rsid w:val="00762D3F"/>
    <w:rsid w:val="007637AB"/>
    <w:rsid w:val="00763C0D"/>
    <w:rsid w:val="007673A3"/>
    <w:rsid w:val="00772B05"/>
    <w:rsid w:val="0077368B"/>
    <w:rsid w:val="007742D5"/>
    <w:rsid w:val="0077659B"/>
    <w:rsid w:val="00783D26"/>
    <w:rsid w:val="00784954"/>
    <w:rsid w:val="007864F5"/>
    <w:rsid w:val="007879EC"/>
    <w:rsid w:val="00790163"/>
    <w:rsid w:val="007912EC"/>
    <w:rsid w:val="0079156A"/>
    <w:rsid w:val="007A0203"/>
    <w:rsid w:val="007A0CC6"/>
    <w:rsid w:val="007A3E29"/>
    <w:rsid w:val="007A443D"/>
    <w:rsid w:val="007A493B"/>
    <w:rsid w:val="007A5EB1"/>
    <w:rsid w:val="007A61FF"/>
    <w:rsid w:val="007B01F4"/>
    <w:rsid w:val="007B02CD"/>
    <w:rsid w:val="007B055E"/>
    <w:rsid w:val="007B090E"/>
    <w:rsid w:val="007B272A"/>
    <w:rsid w:val="007B2A34"/>
    <w:rsid w:val="007B3DE9"/>
    <w:rsid w:val="007B599A"/>
    <w:rsid w:val="007B66F9"/>
    <w:rsid w:val="007B6C2F"/>
    <w:rsid w:val="007C386F"/>
    <w:rsid w:val="007C3F28"/>
    <w:rsid w:val="007D0393"/>
    <w:rsid w:val="007D1267"/>
    <w:rsid w:val="007D2C81"/>
    <w:rsid w:val="007D7583"/>
    <w:rsid w:val="007E2E9B"/>
    <w:rsid w:val="007E4D1D"/>
    <w:rsid w:val="007E5995"/>
    <w:rsid w:val="007E5FE6"/>
    <w:rsid w:val="007E6875"/>
    <w:rsid w:val="007E6898"/>
    <w:rsid w:val="007E6AC2"/>
    <w:rsid w:val="007E6BCF"/>
    <w:rsid w:val="007E73D1"/>
    <w:rsid w:val="007F01BE"/>
    <w:rsid w:val="007F0622"/>
    <w:rsid w:val="007F104C"/>
    <w:rsid w:val="007F3E0B"/>
    <w:rsid w:val="008019C9"/>
    <w:rsid w:val="00803C2D"/>
    <w:rsid w:val="008058E2"/>
    <w:rsid w:val="00807714"/>
    <w:rsid w:val="0081174C"/>
    <w:rsid w:val="008143D1"/>
    <w:rsid w:val="00814C36"/>
    <w:rsid w:val="0081524A"/>
    <w:rsid w:val="008203BC"/>
    <w:rsid w:val="00824F21"/>
    <w:rsid w:val="00831923"/>
    <w:rsid w:val="00832FCB"/>
    <w:rsid w:val="00840B42"/>
    <w:rsid w:val="008419AA"/>
    <w:rsid w:val="008437B6"/>
    <w:rsid w:val="00843E6F"/>
    <w:rsid w:val="00845C30"/>
    <w:rsid w:val="00845D8D"/>
    <w:rsid w:val="008505A2"/>
    <w:rsid w:val="00850814"/>
    <w:rsid w:val="00850FF4"/>
    <w:rsid w:val="00852ECA"/>
    <w:rsid w:val="008533CA"/>
    <w:rsid w:val="00854C9F"/>
    <w:rsid w:val="00857E90"/>
    <w:rsid w:val="00862B3A"/>
    <w:rsid w:val="00866D2F"/>
    <w:rsid w:val="00866F16"/>
    <w:rsid w:val="00867D8B"/>
    <w:rsid w:val="00872795"/>
    <w:rsid w:val="0087657F"/>
    <w:rsid w:val="008839F1"/>
    <w:rsid w:val="00884457"/>
    <w:rsid w:val="008846F3"/>
    <w:rsid w:val="00891D95"/>
    <w:rsid w:val="0089231A"/>
    <w:rsid w:val="00893A31"/>
    <w:rsid w:val="00893F06"/>
    <w:rsid w:val="00894543"/>
    <w:rsid w:val="008A14B8"/>
    <w:rsid w:val="008A589C"/>
    <w:rsid w:val="008B1152"/>
    <w:rsid w:val="008B3489"/>
    <w:rsid w:val="008B5267"/>
    <w:rsid w:val="008B6281"/>
    <w:rsid w:val="008C4516"/>
    <w:rsid w:val="008C700A"/>
    <w:rsid w:val="008C7902"/>
    <w:rsid w:val="008C7BC7"/>
    <w:rsid w:val="008D099A"/>
    <w:rsid w:val="008D1B08"/>
    <w:rsid w:val="008D2B45"/>
    <w:rsid w:val="008D2DA9"/>
    <w:rsid w:val="008D2E94"/>
    <w:rsid w:val="008D431D"/>
    <w:rsid w:val="008D4AF2"/>
    <w:rsid w:val="008D506E"/>
    <w:rsid w:val="008D7616"/>
    <w:rsid w:val="008E2AD3"/>
    <w:rsid w:val="008E46B6"/>
    <w:rsid w:val="008F0670"/>
    <w:rsid w:val="008F2DBF"/>
    <w:rsid w:val="00903C43"/>
    <w:rsid w:val="009040D3"/>
    <w:rsid w:val="00904B46"/>
    <w:rsid w:val="00905B79"/>
    <w:rsid w:val="00910FCC"/>
    <w:rsid w:val="0091111E"/>
    <w:rsid w:val="0091294A"/>
    <w:rsid w:val="00914FEB"/>
    <w:rsid w:val="00915158"/>
    <w:rsid w:val="00915776"/>
    <w:rsid w:val="00920010"/>
    <w:rsid w:val="009232B3"/>
    <w:rsid w:val="009300E0"/>
    <w:rsid w:val="0093331E"/>
    <w:rsid w:val="009338B4"/>
    <w:rsid w:val="009346B5"/>
    <w:rsid w:val="00943323"/>
    <w:rsid w:val="00943420"/>
    <w:rsid w:val="00945A6E"/>
    <w:rsid w:val="00946F2D"/>
    <w:rsid w:val="00951515"/>
    <w:rsid w:val="00953737"/>
    <w:rsid w:val="009538D6"/>
    <w:rsid w:val="00953FB8"/>
    <w:rsid w:val="009612FF"/>
    <w:rsid w:val="009616A2"/>
    <w:rsid w:val="00961906"/>
    <w:rsid w:val="0096766D"/>
    <w:rsid w:val="00973366"/>
    <w:rsid w:val="00973FB4"/>
    <w:rsid w:val="00976409"/>
    <w:rsid w:val="0097778E"/>
    <w:rsid w:val="0098181D"/>
    <w:rsid w:val="00983C54"/>
    <w:rsid w:val="00984214"/>
    <w:rsid w:val="00984E59"/>
    <w:rsid w:val="00984FB6"/>
    <w:rsid w:val="0098752F"/>
    <w:rsid w:val="0098782E"/>
    <w:rsid w:val="00993F18"/>
    <w:rsid w:val="009940C0"/>
    <w:rsid w:val="009A2400"/>
    <w:rsid w:val="009A4957"/>
    <w:rsid w:val="009A519E"/>
    <w:rsid w:val="009A5490"/>
    <w:rsid w:val="009A56A9"/>
    <w:rsid w:val="009A7266"/>
    <w:rsid w:val="009B1A3E"/>
    <w:rsid w:val="009B2E8E"/>
    <w:rsid w:val="009B3E0D"/>
    <w:rsid w:val="009B5BAE"/>
    <w:rsid w:val="009C00F3"/>
    <w:rsid w:val="009C1487"/>
    <w:rsid w:val="009C69A4"/>
    <w:rsid w:val="009C69FD"/>
    <w:rsid w:val="009D3021"/>
    <w:rsid w:val="009D3133"/>
    <w:rsid w:val="009D4A72"/>
    <w:rsid w:val="009D5532"/>
    <w:rsid w:val="009D66D5"/>
    <w:rsid w:val="009D689D"/>
    <w:rsid w:val="009D730D"/>
    <w:rsid w:val="009E5856"/>
    <w:rsid w:val="009E5A4D"/>
    <w:rsid w:val="009E6ADE"/>
    <w:rsid w:val="009F09E2"/>
    <w:rsid w:val="009F106E"/>
    <w:rsid w:val="009F42C3"/>
    <w:rsid w:val="009F65AE"/>
    <w:rsid w:val="009F68D2"/>
    <w:rsid w:val="00A0157E"/>
    <w:rsid w:val="00A118CF"/>
    <w:rsid w:val="00A129C1"/>
    <w:rsid w:val="00A14330"/>
    <w:rsid w:val="00A16B0C"/>
    <w:rsid w:val="00A17DC2"/>
    <w:rsid w:val="00A22C5D"/>
    <w:rsid w:val="00A26841"/>
    <w:rsid w:val="00A319E6"/>
    <w:rsid w:val="00A31B6E"/>
    <w:rsid w:val="00A320C7"/>
    <w:rsid w:val="00A335D6"/>
    <w:rsid w:val="00A35F0D"/>
    <w:rsid w:val="00A43E79"/>
    <w:rsid w:val="00A44210"/>
    <w:rsid w:val="00A45784"/>
    <w:rsid w:val="00A47395"/>
    <w:rsid w:val="00A50A98"/>
    <w:rsid w:val="00A54D08"/>
    <w:rsid w:val="00A55BAD"/>
    <w:rsid w:val="00A568FC"/>
    <w:rsid w:val="00A61D5D"/>
    <w:rsid w:val="00A6524F"/>
    <w:rsid w:val="00A66127"/>
    <w:rsid w:val="00A67AC7"/>
    <w:rsid w:val="00A7117E"/>
    <w:rsid w:val="00A72EA9"/>
    <w:rsid w:val="00A73EE1"/>
    <w:rsid w:val="00A760DD"/>
    <w:rsid w:val="00A77A9B"/>
    <w:rsid w:val="00A8384B"/>
    <w:rsid w:val="00A85292"/>
    <w:rsid w:val="00A917FA"/>
    <w:rsid w:val="00A93B94"/>
    <w:rsid w:val="00A95357"/>
    <w:rsid w:val="00A97D77"/>
    <w:rsid w:val="00AA055D"/>
    <w:rsid w:val="00AA2E3F"/>
    <w:rsid w:val="00AA4C9F"/>
    <w:rsid w:val="00AB1DDA"/>
    <w:rsid w:val="00AB5BB9"/>
    <w:rsid w:val="00AB5BD7"/>
    <w:rsid w:val="00AB607F"/>
    <w:rsid w:val="00AB6383"/>
    <w:rsid w:val="00AC1FF3"/>
    <w:rsid w:val="00AC3871"/>
    <w:rsid w:val="00AC584D"/>
    <w:rsid w:val="00AC71E3"/>
    <w:rsid w:val="00AD1BAB"/>
    <w:rsid w:val="00AD2EF7"/>
    <w:rsid w:val="00AD7CA1"/>
    <w:rsid w:val="00AE133F"/>
    <w:rsid w:val="00AE1D32"/>
    <w:rsid w:val="00AE2ACF"/>
    <w:rsid w:val="00AE31C0"/>
    <w:rsid w:val="00AE6428"/>
    <w:rsid w:val="00AE6A8D"/>
    <w:rsid w:val="00AE728C"/>
    <w:rsid w:val="00AE7800"/>
    <w:rsid w:val="00AF03A3"/>
    <w:rsid w:val="00AF386A"/>
    <w:rsid w:val="00AF3F21"/>
    <w:rsid w:val="00AF4952"/>
    <w:rsid w:val="00B00527"/>
    <w:rsid w:val="00B10112"/>
    <w:rsid w:val="00B11B10"/>
    <w:rsid w:val="00B120C4"/>
    <w:rsid w:val="00B1488A"/>
    <w:rsid w:val="00B14A53"/>
    <w:rsid w:val="00B150D6"/>
    <w:rsid w:val="00B151B2"/>
    <w:rsid w:val="00B15A8E"/>
    <w:rsid w:val="00B15EDE"/>
    <w:rsid w:val="00B1781D"/>
    <w:rsid w:val="00B2240A"/>
    <w:rsid w:val="00B22D15"/>
    <w:rsid w:val="00B232CA"/>
    <w:rsid w:val="00B24731"/>
    <w:rsid w:val="00B24C6D"/>
    <w:rsid w:val="00B265D9"/>
    <w:rsid w:val="00B32097"/>
    <w:rsid w:val="00B320D8"/>
    <w:rsid w:val="00B33340"/>
    <w:rsid w:val="00B34AEB"/>
    <w:rsid w:val="00B35979"/>
    <w:rsid w:val="00B3778D"/>
    <w:rsid w:val="00B46CB9"/>
    <w:rsid w:val="00B50B56"/>
    <w:rsid w:val="00B54474"/>
    <w:rsid w:val="00B54F41"/>
    <w:rsid w:val="00B55DCB"/>
    <w:rsid w:val="00B55EFC"/>
    <w:rsid w:val="00B639CD"/>
    <w:rsid w:val="00B63D69"/>
    <w:rsid w:val="00B63EA8"/>
    <w:rsid w:val="00B652C1"/>
    <w:rsid w:val="00B65927"/>
    <w:rsid w:val="00B65942"/>
    <w:rsid w:val="00B66220"/>
    <w:rsid w:val="00B666F0"/>
    <w:rsid w:val="00B711E8"/>
    <w:rsid w:val="00B75925"/>
    <w:rsid w:val="00B76586"/>
    <w:rsid w:val="00B766FB"/>
    <w:rsid w:val="00B8180C"/>
    <w:rsid w:val="00B82349"/>
    <w:rsid w:val="00B82BC4"/>
    <w:rsid w:val="00B83056"/>
    <w:rsid w:val="00B84B49"/>
    <w:rsid w:val="00B872E0"/>
    <w:rsid w:val="00B874DF"/>
    <w:rsid w:val="00B90B22"/>
    <w:rsid w:val="00B90D7B"/>
    <w:rsid w:val="00B91FEA"/>
    <w:rsid w:val="00B93E46"/>
    <w:rsid w:val="00B94FB4"/>
    <w:rsid w:val="00B95627"/>
    <w:rsid w:val="00B96613"/>
    <w:rsid w:val="00B968EB"/>
    <w:rsid w:val="00B96B0D"/>
    <w:rsid w:val="00BA0CF5"/>
    <w:rsid w:val="00BA1AA1"/>
    <w:rsid w:val="00BA26C3"/>
    <w:rsid w:val="00BA5137"/>
    <w:rsid w:val="00BA56CF"/>
    <w:rsid w:val="00BA67C8"/>
    <w:rsid w:val="00BA7C3A"/>
    <w:rsid w:val="00BB6BDD"/>
    <w:rsid w:val="00BC2105"/>
    <w:rsid w:val="00BC51FA"/>
    <w:rsid w:val="00BD1524"/>
    <w:rsid w:val="00BD3446"/>
    <w:rsid w:val="00BD46E7"/>
    <w:rsid w:val="00BE257F"/>
    <w:rsid w:val="00BE49B3"/>
    <w:rsid w:val="00BE6B0B"/>
    <w:rsid w:val="00BF2D5D"/>
    <w:rsid w:val="00BF3233"/>
    <w:rsid w:val="00BF521A"/>
    <w:rsid w:val="00BF5A97"/>
    <w:rsid w:val="00C00C2F"/>
    <w:rsid w:val="00C01307"/>
    <w:rsid w:val="00C04D88"/>
    <w:rsid w:val="00C07E8C"/>
    <w:rsid w:val="00C11AA6"/>
    <w:rsid w:val="00C12D13"/>
    <w:rsid w:val="00C13352"/>
    <w:rsid w:val="00C14494"/>
    <w:rsid w:val="00C1566A"/>
    <w:rsid w:val="00C1754B"/>
    <w:rsid w:val="00C175EF"/>
    <w:rsid w:val="00C17B1B"/>
    <w:rsid w:val="00C211BF"/>
    <w:rsid w:val="00C21343"/>
    <w:rsid w:val="00C21838"/>
    <w:rsid w:val="00C23552"/>
    <w:rsid w:val="00C24B75"/>
    <w:rsid w:val="00C25463"/>
    <w:rsid w:val="00C309C7"/>
    <w:rsid w:val="00C336F4"/>
    <w:rsid w:val="00C33BCF"/>
    <w:rsid w:val="00C34522"/>
    <w:rsid w:val="00C345CB"/>
    <w:rsid w:val="00C35462"/>
    <w:rsid w:val="00C3705F"/>
    <w:rsid w:val="00C40369"/>
    <w:rsid w:val="00C41931"/>
    <w:rsid w:val="00C42EBC"/>
    <w:rsid w:val="00C448AF"/>
    <w:rsid w:val="00C4543D"/>
    <w:rsid w:val="00C457E0"/>
    <w:rsid w:val="00C52707"/>
    <w:rsid w:val="00C62A71"/>
    <w:rsid w:val="00C661D4"/>
    <w:rsid w:val="00C66B9D"/>
    <w:rsid w:val="00C674B9"/>
    <w:rsid w:val="00C7105C"/>
    <w:rsid w:val="00C72256"/>
    <w:rsid w:val="00C72DF9"/>
    <w:rsid w:val="00C74596"/>
    <w:rsid w:val="00C81922"/>
    <w:rsid w:val="00C81B76"/>
    <w:rsid w:val="00C829B7"/>
    <w:rsid w:val="00C8430F"/>
    <w:rsid w:val="00C86F0E"/>
    <w:rsid w:val="00C905F7"/>
    <w:rsid w:val="00C93FE7"/>
    <w:rsid w:val="00C95E2B"/>
    <w:rsid w:val="00C95F78"/>
    <w:rsid w:val="00CA109A"/>
    <w:rsid w:val="00CA1601"/>
    <w:rsid w:val="00CA3144"/>
    <w:rsid w:val="00CA3B31"/>
    <w:rsid w:val="00CA3CEF"/>
    <w:rsid w:val="00CA4113"/>
    <w:rsid w:val="00CA435F"/>
    <w:rsid w:val="00CA513B"/>
    <w:rsid w:val="00CA5437"/>
    <w:rsid w:val="00CB1912"/>
    <w:rsid w:val="00CB3A39"/>
    <w:rsid w:val="00CB46B1"/>
    <w:rsid w:val="00CB738B"/>
    <w:rsid w:val="00CB73F0"/>
    <w:rsid w:val="00CB7E60"/>
    <w:rsid w:val="00CC2399"/>
    <w:rsid w:val="00CC26BA"/>
    <w:rsid w:val="00CC2736"/>
    <w:rsid w:val="00CC3B35"/>
    <w:rsid w:val="00CC4723"/>
    <w:rsid w:val="00CD175A"/>
    <w:rsid w:val="00CE00F6"/>
    <w:rsid w:val="00CE3DE8"/>
    <w:rsid w:val="00CF0D7E"/>
    <w:rsid w:val="00CF2A06"/>
    <w:rsid w:val="00CF32C4"/>
    <w:rsid w:val="00CF51F7"/>
    <w:rsid w:val="00CF5248"/>
    <w:rsid w:val="00D003CA"/>
    <w:rsid w:val="00D01D62"/>
    <w:rsid w:val="00D05783"/>
    <w:rsid w:val="00D0671E"/>
    <w:rsid w:val="00D1063F"/>
    <w:rsid w:val="00D12B75"/>
    <w:rsid w:val="00D14C24"/>
    <w:rsid w:val="00D15423"/>
    <w:rsid w:val="00D17B19"/>
    <w:rsid w:val="00D209EF"/>
    <w:rsid w:val="00D21BC0"/>
    <w:rsid w:val="00D22941"/>
    <w:rsid w:val="00D22A16"/>
    <w:rsid w:val="00D23D34"/>
    <w:rsid w:val="00D23F1C"/>
    <w:rsid w:val="00D25744"/>
    <w:rsid w:val="00D25AA3"/>
    <w:rsid w:val="00D26518"/>
    <w:rsid w:val="00D3248F"/>
    <w:rsid w:val="00D32608"/>
    <w:rsid w:val="00D33039"/>
    <w:rsid w:val="00D336A5"/>
    <w:rsid w:val="00D33811"/>
    <w:rsid w:val="00D34F95"/>
    <w:rsid w:val="00D35453"/>
    <w:rsid w:val="00D35F37"/>
    <w:rsid w:val="00D36B9D"/>
    <w:rsid w:val="00D37022"/>
    <w:rsid w:val="00D41340"/>
    <w:rsid w:val="00D41E1E"/>
    <w:rsid w:val="00D443D2"/>
    <w:rsid w:val="00D4463B"/>
    <w:rsid w:val="00D44BD6"/>
    <w:rsid w:val="00D45B4C"/>
    <w:rsid w:val="00D51A58"/>
    <w:rsid w:val="00D53D62"/>
    <w:rsid w:val="00D54822"/>
    <w:rsid w:val="00D55CDB"/>
    <w:rsid w:val="00D564FB"/>
    <w:rsid w:val="00D570DB"/>
    <w:rsid w:val="00D57F8C"/>
    <w:rsid w:val="00D67059"/>
    <w:rsid w:val="00D71A30"/>
    <w:rsid w:val="00D71C34"/>
    <w:rsid w:val="00D72669"/>
    <w:rsid w:val="00D7285D"/>
    <w:rsid w:val="00D72B83"/>
    <w:rsid w:val="00D72EB4"/>
    <w:rsid w:val="00D80B6D"/>
    <w:rsid w:val="00D83CA2"/>
    <w:rsid w:val="00D84B75"/>
    <w:rsid w:val="00D851F3"/>
    <w:rsid w:val="00D85361"/>
    <w:rsid w:val="00D90D86"/>
    <w:rsid w:val="00D91AA7"/>
    <w:rsid w:val="00D91D4C"/>
    <w:rsid w:val="00D94C29"/>
    <w:rsid w:val="00D95262"/>
    <w:rsid w:val="00DA0041"/>
    <w:rsid w:val="00DA265A"/>
    <w:rsid w:val="00DA2ED0"/>
    <w:rsid w:val="00DA315D"/>
    <w:rsid w:val="00DA35E1"/>
    <w:rsid w:val="00DA3865"/>
    <w:rsid w:val="00DA48E6"/>
    <w:rsid w:val="00DA6425"/>
    <w:rsid w:val="00DB65C7"/>
    <w:rsid w:val="00DC142A"/>
    <w:rsid w:val="00DC1514"/>
    <w:rsid w:val="00DC15E1"/>
    <w:rsid w:val="00DC325A"/>
    <w:rsid w:val="00DC3733"/>
    <w:rsid w:val="00DC3F30"/>
    <w:rsid w:val="00DC4264"/>
    <w:rsid w:val="00DC5CAB"/>
    <w:rsid w:val="00DC7CDE"/>
    <w:rsid w:val="00DD5008"/>
    <w:rsid w:val="00DD6E5F"/>
    <w:rsid w:val="00DD70BB"/>
    <w:rsid w:val="00DD714D"/>
    <w:rsid w:val="00DE19C8"/>
    <w:rsid w:val="00DE2E06"/>
    <w:rsid w:val="00DF18A6"/>
    <w:rsid w:val="00DF4AD2"/>
    <w:rsid w:val="00DF5BA6"/>
    <w:rsid w:val="00DF6772"/>
    <w:rsid w:val="00E018F0"/>
    <w:rsid w:val="00E03417"/>
    <w:rsid w:val="00E03BD5"/>
    <w:rsid w:val="00E05C66"/>
    <w:rsid w:val="00E106D9"/>
    <w:rsid w:val="00E1224E"/>
    <w:rsid w:val="00E12703"/>
    <w:rsid w:val="00E128EC"/>
    <w:rsid w:val="00E149D1"/>
    <w:rsid w:val="00E21E38"/>
    <w:rsid w:val="00E23BAE"/>
    <w:rsid w:val="00E245C0"/>
    <w:rsid w:val="00E2478D"/>
    <w:rsid w:val="00E26873"/>
    <w:rsid w:val="00E27038"/>
    <w:rsid w:val="00E30837"/>
    <w:rsid w:val="00E31EFE"/>
    <w:rsid w:val="00E331EC"/>
    <w:rsid w:val="00E33C15"/>
    <w:rsid w:val="00E367BB"/>
    <w:rsid w:val="00E40CBD"/>
    <w:rsid w:val="00E4213B"/>
    <w:rsid w:val="00E43DD1"/>
    <w:rsid w:val="00E46EF3"/>
    <w:rsid w:val="00E52F60"/>
    <w:rsid w:val="00E5449D"/>
    <w:rsid w:val="00E55A30"/>
    <w:rsid w:val="00E5749F"/>
    <w:rsid w:val="00E6557A"/>
    <w:rsid w:val="00E6609B"/>
    <w:rsid w:val="00E70926"/>
    <w:rsid w:val="00E722DD"/>
    <w:rsid w:val="00E72D2A"/>
    <w:rsid w:val="00E73CE9"/>
    <w:rsid w:val="00E7622E"/>
    <w:rsid w:val="00E763E4"/>
    <w:rsid w:val="00E764AA"/>
    <w:rsid w:val="00E77F7B"/>
    <w:rsid w:val="00E80C7A"/>
    <w:rsid w:val="00E82951"/>
    <w:rsid w:val="00E82C97"/>
    <w:rsid w:val="00E82CC9"/>
    <w:rsid w:val="00E83785"/>
    <w:rsid w:val="00E84FCA"/>
    <w:rsid w:val="00E85101"/>
    <w:rsid w:val="00E8788B"/>
    <w:rsid w:val="00E87E74"/>
    <w:rsid w:val="00E9379F"/>
    <w:rsid w:val="00E9414D"/>
    <w:rsid w:val="00E94D96"/>
    <w:rsid w:val="00EA12FA"/>
    <w:rsid w:val="00EA183A"/>
    <w:rsid w:val="00EA2B20"/>
    <w:rsid w:val="00EA3A9B"/>
    <w:rsid w:val="00EA4791"/>
    <w:rsid w:val="00EA656B"/>
    <w:rsid w:val="00EA672E"/>
    <w:rsid w:val="00EA79D9"/>
    <w:rsid w:val="00EB2380"/>
    <w:rsid w:val="00EB2452"/>
    <w:rsid w:val="00EB253C"/>
    <w:rsid w:val="00EB28DD"/>
    <w:rsid w:val="00EB4835"/>
    <w:rsid w:val="00EB4E02"/>
    <w:rsid w:val="00EC1FDE"/>
    <w:rsid w:val="00EC2F94"/>
    <w:rsid w:val="00EC492C"/>
    <w:rsid w:val="00EC4CE0"/>
    <w:rsid w:val="00EC5393"/>
    <w:rsid w:val="00EC5965"/>
    <w:rsid w:val="00EC6085"/>
    <w:rsid w:val="00EC71E9"/>
    <w:rsid w:val="00ED3782"/>
    <w:rsid w:val="00ED38A1"/>
    <w:rsid w:val="00ED5CBE"/>
    <w:rsid w:val="00ED6DDC"/>
    <w:rsid w:val="00ED706E"/>
    <w:rsid w:val="00EE09F0"/>
    <w:rsid w:val="00EE22F6"/>
    <w:rsid w:val="00EE424B"/>
    <w:rsid w:val="00EE49FC"/>
    <w:rsid w:val="00EE555C"/>
    <w:rsid w:val="00EE7300"/>
    <w:rsid w:val="00EF0EE5"/>
    <w:rsid w:val="00EF1201"/>
    <w:rsid w:val="00EF2293"/>
    <w:rsid w:val="00EF59D0"/>
    <w:rsid w:val="00EF5D81"/>
    <w:rsid w:val="00F01842"/>
    <w:rsid w:val="00F02958"/>
    <w:rsid w:val="00F10B3D"/>
    <w:rsid w:val="00F11991"/>
    <w:rsid w:val="00F12E73"/>
    <w:rsid w:val="00F13A2D"/>
    <w:rsid w:val="00F14018"/>
    <w:rsid w:val="00F140BF"/>
    <w:rsid w:val="00F14CCF"/>
    <w:rsid w:val="00F14D76"/>
    <w:rsid w:val="00F16893"/>
    <w:rsid w:val="00F2156B"/>
    <w:rsid w:val="00F2203D"/>
    <w:rsid w:val="00F231E3"/>
    <w:rsid w:val="00F25B73"/>
    <w:rsid w:val="00F265DF"/>
    <w:rsid w:val="00F310DA"/>
    <w:rsid w:val="00F32D79"/>
    <w:rsid w:val="00F33081"/>
    <w:rsid w:val="00F359DA"/>
    <w:rsid w:val="00F401A4"/>
    <w:rsid w:val="00F40ADB"/>
    <w:rsid w:val="00F43481"/>
    <w:rsid w:val="00F451CD"/>
    <w:rsid w:val="00F452BE"/>
    <w:rsid w:val="00F46A63"/>
    <w:rsid w:val="00F52FBF"/>
    <w:rsid w:val="00F5344C"/>
    <w:rsid w:val="00F55CC0"/>
    <w:rsid w:val="00F62372"/>
    <w:rsid w:val="00F62DE5"/>
    <w:rsid w:val="00F632CA"/>
    <w:rsid w:val="00F72061"/>
    <w:rsid w:val="00F729B0"/>
    <w:rsid w:val="00F740C9"/>
    <w:rsid w:val="00F7551F"/>
    <w:rsid w:val="00F772A5"/>
    <w:rsid w:val="00F82CEF"/>
    <w:rsid w:val="00F83FA0"/>
    <w:rsid w:val="00F87974"/>
    <w:rsid w:val="00F87DBE"/>
    <w:rsid w:val="00F931E3"/>
    <w:rsid w:val="00F9375B"/>
    <w:rsid w:val="00F9678D"/>
    <w:rsid w:val="00FA04A1"/>
    <w:rsid w:val="00FA39C4"/>
    <w:rsid w:val="00FA445D"/>
    <w:rsid w:val="00FA769D"/>
    <w:rsid w:val="00FA7942"/>
    <w:rsid w:val="00FB01C8"/>
    <w:rsid w:val="00FB115C"/>
    <w:rsid w:val="00FB1825"/>
    <w:rsid w:val="00FB1911"/>
    <w:rsid w:val="00FB2363"/>
    <w:rsid w:val="00FB694C"/>
    <w:rsid w:val="00FB7D1A"/>
    <w:rsid w:val="00FB7FD4"/>
    <w:rsid w:val="00FC259B"/>
    <w:rsid w:val="00FC331D"/>
    <w:rsid w:val="00FC758F"/>
    <w:rsid w:val="00FC76FD"/>
    <w:rsid w:val="00FD1112"/>
    <w:rsid w:val="00FD2A41"/>
    <w:rsid w:val="00FD45C6"/>
    <w:rsid w:val="00FD46CC"/>
    <w:rsid w:val="00FE0687"/>
    <w:rsid w:val="00FE0B58"/>
    <w:rsid w:val="00FE338C"/>
    <w:rsid w:val="00FE3858"/>
    <w:rsid w:val="00FE6BCA"/>
    <w:rsid w:val="00FE7EEB"/>
    <w:rsid w:val="00FF0A0B"/>
    <w:rsid w:val="00FF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8F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7C8"/>
    <w:pPr>
      <w:spacing w:before="160" w:after="160" w:line="300" w:lineRule="atLeast"/>
      <w:jc w:val="both"/>
    </w:pPr>
    <w:rPr>
      <w:rFonts w:ascii="Arial" w:hAnsi="Arial"/>
      <w:lang w:eastAsia="en-US"/>
    </w:rPr>
  </w:style>
  <w:style w:type="paragraph" w:styleId="Heading1">
    <w:name w:val="heading 1"/>
    <w:basedOn w:val="BodyText"/>
    <w:next w:val="BodyText"/>
    <w:qFormat/>
    <w:rsid w:val="00510749"/>
    <w:pPr>
      <w:keepNext/>
      <w:pageBreakBefore/>
      <w:numPr>
        <w:ilvl w:val="0"/>
      </w:numPr>
      <w:tabs>
        <w:tab w:val="clear" w:pos="567"/>
        <w:tab w:val="left" w:pos="2127"/>
      </w:tabs>
      <w:spacing w:before="0" w:after="240"/>
      <w:ind w:left="2126" w:hanging="2126"/>
      <w:jc w:val="left"/>
      <w:outlineLvl w:val="0"/>
    </w:pPr>
    <w:rPr>
      <w:rFonts w:ascii="Arial Bold" w:hAnsi="Arial Bold"/>
      <w:b/>
      <w:caps/>
      <w:color w:val="9B0014"/>
      <w:sz w:val="32"/>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qFormat/>
    <w:rsid w:val="00B150D6"/>
    <w:pPr>
      <w:keepNext/>
      <w:numPr>
        <w:ilvl w:val="0"/>
        <w:numId w:val="0"/>
      </w:numPr>
      <w:spacing w:before="40" w:after="40" w:line="240" w:lineRule="auto"/>
      <w:outlineLvl w:val="3"/>
    </w:pPr>
    <w:rPr>
      <w:rFonts w:ascii="Arial Bold" w:hAnsi="Arial Bold"/>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FD46CC"/>
    <w:pPr>
      <w:spacing w:before="0" w:after="0" w:line="240" w:lineRule="auto"/>
    </w:pPr>
  </w:style>
  <w:style w:type="paragraph" w:customStyle="1" w:styleId="ChartMainHeading">
    <w:name w:val="Chart Main Heading"/>
    <w:basedOn w:val="SingleParagraph"/>
    <w:next w:val="Normal"/>
    <w:rsid w:val="00FB694C"/>
    <w:pPr>
      <w:spacing w:before="240" w:after="40"/>
      <w:ind w:left="567"/>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460C0E"/>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link w:val="FooterChar"/>
    <w:uiPriority w:val="99"/>
    <w:rsid w:val="005D3941"/>
    <w:pPr>
      <w:tabs>
        <w:tab w:val="center" w:pos="4153"/>
        <w:tab w:val="right" w:pos="8306"/>
      </w:tabs>
    </w:pPr>
  </w:style>
  <w:style w:type="paragraph" w:styleId="BodyText">
    <w:name w:val="Body Text"/>
    <w:aliases w:val="Body Text Char"/>
    <w:basedOn w:val="Normal"/>
    <w:rsid w:val="00AB6383"/>
    <w:pPr>
      <w:numPr>
        <w:ilvl w:val="2"/>
        <w:numId w:val="14"/>
      </w:numPr>
      <w:tabs>
        <w:tab w:val="left" w:pos="567"/>
      </w:tabs>
      <w:ind w:left="567" w:hanging="567"/>
    </w:pPr>
  </w:style>
  <w:style w:type="paragraph" w:customStyle="1" w:styleId="Bullet">
    <w:name w:val="Bullet"/>
    <w:basedOn w:val="Normal"/>
    <w:rsid w:val="00FD46CC"/>
    <w:pPr>
      <w:numPr>
        <w:numId w:val="1"/>
      </w:numPr>
      <w:tabs>
        <w:tab w:val="clear" w:pos="1418"/>
        <w:tab w:val="num" w:pos="567"/>
      </w:tabs>
      <w:ind w:left="567"/>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rsid w:val="005D3941"/>
    <w:rPr>
      <w:vertAlign w:val="superscript"/>
    </w:rPr>
  </w:style>
  <w:style w:type="paragraph" w:styleId="FootnoteText">
    <w:name w:val="footnote text"/>
    <w:basedOn w:val="Normal"/>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1F31B5"/>
    <w:pPr>
      <w:spacing w:before="0" w:after="720"/>
      <w:jc w:val="center"/>
    </w:pPr>
    <w:rPr>
      <w:b/>
      <w:caps/>
      <w:color w:val="943634" w:themeColor="accent2" w:themeShade="BF"/>
      <w:sz w:val="4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0A35B7"/>
    <w:pPr>
      <w:tabs>
        <w:tab w:val="left" w:pos="1134"/>
        <w:tab w:val="right" w:leader="dot" w:pos="7711"/>
      </w:tabs>
      <w:spacing w:before="120" w:after="40"/>
    </w:pPr>
    <w:rPr>
      <w:rFonts w:ascii="Arial Bold" w:hAnsi="Arial Bold" w:cs="Arial"/>
      <w:b/>
      <w:bCs/>
      <w:color w:val="000000" w:themeColor="text1"/>
      <w:szCs w:val="24"/>
    </w:rPr>
  </w:style>
  <w:style w:type="paragraph" w:styleId="TOC2">
    <w:name w:val="toc 2"/>
    <w:basedOn w:val="Normal"/>
    <w:next w:val="Normal"/>
    <w:uiPriority w:val="39"/>
    <w:rsid w:val="000A35B7"/>
    <w:pPr>
      <w:tabs>
        <w:tab w:val="right" w:leader="dot" w:pos="7711"/>
      </w:tabs>
      <w:spacing w:before="60" w:after="60" w:line="260" w:lineRule="atLeast"/>
      <w:ind w:left="397" w:right="1134"/>
    </w:pPr>
    <w:rPr>
      <w:bCs/>
      <w:color w:val="943634" w:themeColor="accent2" w:themeShade="BF"/>
    </w:rPr>
  </w:style>
  <w:style w:type="paragraph" w:styleId="TOC3">
    <w:name w:val="toc 3"/>
    <w:basedOn w:val="Normal"/>
    <w:next w:val="Normal"/>
    <w:rsid w:val="005D3941"/>
    <w:pPr>
      <w:spacing w:before="0" w:after="0"/>
      <w:ind w:left="220"/>
    </w:pPr>
    <w:rPr>
      <w:rFonts w:ascii="Times New Roman" w:hAnsi="Times New Roman"/>
    </w:rPr>
  </w:style>
  <w:style w:type="paragraph" w:styleId="TOC4">
    <w:name w:val="toc 4"/>
    <w:basedOn w:val="Normal"/>
    <w:next w:val="Normal"/>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Table">
    <w:name w:val="Std Table"/>
    <w:basedOn w:val="TableNormal"/>
    <w:rsid w:val="00D72B83"/>
    <w:pPr>
      <w:spacing w:before="120" w:after="120"/>
    </w:pPr>
    <w:rPr>
      <w:rFonts w:ascii="Trebuchet MS" w:hAnsi="Trebuchet MS"/>
    </w:rPr>
    <w:tblPr>
      <w:tblBorders>
        <w:top w:val="double" w:sz="4" w:space="0" w:color="auto"/>
        <w:left w:val="double" w:sz="4" w:space="0" w:color="auto"/>
        <w:bottom w:val="double" w:sz="4" w:space="0" w:color="auto"/>
        <w:right w:val="double" w:sz="4" w:space="0" w:color="auto"/>
      </w:tblBorders>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paragraph" w:customStyle="1" w:styleId="Heading2nonumbering">
    <w:name w:val="Heading 2 no numbering"/>
    <w:basedOn w:val="Heading2"/>
    <w:rsid w:val="00B65927"/>
    <w:pPr>
      <w:numPr>
        <w:ilvl w:val="0"/>
        <w:numId w:val="0"/>
      </w:numPr>
      <w:spacing w:before="360" w:after="180" w:line="240" w:lineRule="auto"/>
      <w:jc w:val="left"/>
    </w:pPr>
    <w:rPr>
      <w:rFonts w:ascii="Arial Bold" w:hAnsi="Arial Bold" w:cs="Arial"/>
      <w:bCs/>
      <w:i w:val="0"/>
      <w:iCs/>
      <w:color w:val="9B0014"/>
      <w:spacing w:val="-4"/>
      <w:sz w:val="27"/>
      <w:szCs w:val="22"/>
      <w:lang w:eastAsia="en-AU"/>
    </w:rPr>
  </w:style>
  <w:style w:type="paragraph" w:customStyle="1" w:styleId="Bulletindent">
    <w:name w:val="Bullet indent"/>
    <w:basedOn w:val="Bullet"/>
    <w:rsid w:val="00AB6383"/>
    <w:pPr>
      <w:tabs>
        <w:tab w:val="clear" w:pos="567"/>
        <w:tab w:val="left" w:pos="964"/>
      </w:tabs>
      <w:spacing w:line="300" w:lineRule="exact"/>
      <w:ind w:left="964" w:hanging="397"/>
    </w:pPr>
    <w:rPr>
      <w:color w:val="000000"/>
      <w:lang w:eastAsia="en-AU"/>
    </w:rPr>
  </w:style>
  <w:style w:type="paragraph" w:customStyle="1" w:styleId="Note">
    <w:name w:val="Note"/>
    <w:basedOn w:val="Normal"/>
    <w:rsid w:val="00943323"/>
    <w:pPr>
      <w:numPr>
        <w:numId w:val="13"/>
      </w:numPr>
      <w:spacing w:before="0" w:after="0" w:line="240" w:lineRule="auto"/>
    </w:pPr>
    <w:rPr>
      <w:color w:val="000000"/>
      <w:sz w:val="16"/>
      <w:lang w:eastAsia="en-AU"/>
    </w:rPr>
  </w:style>
  <w:style w:type="paragraph" w:customStyle="1" w:styleId="TableColumnHeadingLeft">
    <w:name w:val="Table Column Heading Left"/>
    <w:basedOn w:val="Normal"/>
    <w:rsid w:val="009616A2"/>
    <w:pPr>
      <w:spacing w:before="40" w:after="40" w:line="240" w:lineRule="auto"/>
      <w:jc w:val="left"/>
    </w:pPr>
    <w:rPr>
      <w:b/>
      <w:color w:val="000000"/>
      <w:sz w:val="18"/>
      <w:lang w:eastAsia="en-AU"/>
    </w:rPr>
  </w:style>
  <w:style w:type="paragraph" w:customStyle="1" w:styleId="TableColumnHeadingRight">
    <w:name w:val="Table Column Heading Right"/>
    <w:basedOn w:val="Normal"/>
    <w:rsid w:val="009616A2"/>
    <w:pPr>
      <w:spacing w:before="40" w:after="40" w:line="240" w:lineRule="auto"/>
      <w:jc w:val="right"/>
    </w:pPr>
    <w:rPr>
      <w:b/>
      <w:color w:val="000000"/>
      <w:sz w:val="18"/>
      <w:lang w:eastAsia="en-AU"/>
    </w:rPr>
  </w:style>
  <w:style w:type="paragraph" w:customStyle="1" w:styleId="TableTextLeft">
    <w:name w:val="Table Text Left"/>
    <w:basedOn w:val="Normal"/>
    <w:rsid w:val="009616A2"/>
    <w:pPr>
      <w:spacing w:before="40" w:after="40" w:line="240" w:lineRule="auto"/>
      <w:jc w:val="left"/>
    </w:pPr>
    <w:rPr>
      <w:color w:val="000000"/>
      <w:sz w:val="18"/>
      <w:lang w:eastAsia="en-AU"/>
    </w:rPr>
  </w:style>
  <w:style w:type="paragraph" w:customStyle="1" w:styleId="TableTextRight">
    <w:name w:val="Table Text Right"/>
    <w:basedOn w:val="Normal"/>
    <w:rsid w:val="009616A2"/>
    <w:pPr>
      <w:spacing w:before="40" w:after="40" w:line="240" w:lineRule="auto"/>
      <w:jc w:val="right"/>
    </w:pPr>
    <w:rPr>
      <w:color w:val="000000"/>
      <w:sz w:val="18"/>
      <w:lang w:eastAsia="en-AU"/>
    </w:rPr>
  </w:style>
  <w:style w:type="paragraph" w:customStyle="1" w:styleId="ChartGraphic">
    <w:name w:val="Chart Graphic"/>
    <w:basedOn w:val="Normal"/>
    <w:rsid w:val="00943323"/>
    <w:pPr>
      <w:keepNext/>
      <w:spacing w:before="0" w:after="0" w:line="240" w:lineRule="auto"/>
      <w:jc w:val="center"/>
    </w:pPr>
    <w:rPr>
      <w:color w:val="9B0014"/>
      <w:lang w:eastAsia="en-AU"/>
    </w:rPr>
  </w:style>
  <w:style w:type="paragraph" w:customStyle="1" w:styleId="Normalnumbering">
    <w:name w:val="Normal numbering"/>
    <w:basedOn w:val="Normal"/>
    <w:rsid w:val="00943323"/>
    <w:pPr>
      <w:tabs>
        <w:tab w:val="num" w:pos="567"/>
      </w:tabs>
      <w:spacing w:before="0" w:after="240" w:line="260" w:lineRule="exact"/>
      <w:ind w:left="567" w:hanging="567"/>
    </w:pPr>
    <w:rPr>
      <w:color w:val="000000"/>
      <w:lang w:eastAsia="en-AU"/>
    </w:rPr>
  </w:style>
  <w:style w:type="paragraph" w:customStyle="1" w:styleId="Heading2nonumber">
    <w:name w:val="Heading 2 no number"/>
    <w:basedOn w:val="Normal"/>
    <w:semiHidden/>
    <w:rsid w:val="00943323"/>
    <w:pPr>
      <w:tabs>
        <w:tab w:val="num" w:pos="960"/>
      </w:tabs>
      <w:spacing w:after="240" w:line="260" w:lineRule="exact"/>
      <w:ind w:left="960" w:hanging="850"/>
    </w:pPr>
    <w:rPr>
      <w:rFonts w:ascii="Arial Bold" w:hAnsi="Arial Bold"/>
      <w:b/>
      <w:i/>
      <w:color w:val="9B0014"/>
      <w:sz w:val="24"/>
      <w:szCs w:val="24"/>
      <w:lang w:eastAsia="en-AU"/>
    </w:rPr>
  </w:style>
  <w:style w:type="paragraph" w:customStyle="1" w:styleId="NormalIndent2">
    <w:name w:val="Normal Indent 2"/>
    <w:basedOn w:val="NormalIndent"/>
    <w:rsid w:val="00B1781D"/>
    <w:pPr>
      <w:spacing w:before="0" w:after="240" w:line="300" w:lineRule="exact"/>
      <w:ind w:left="964"/>
    </w:pPr>
    <w:rPr>
      <w:color w:val="000000"/>
      <w:lang w:eastAsia="en-AU"/>
    </w:rPr>
  </w:style>
  <w:style w:type="paragraph" w:styleId="NormalIndent">
    <w:name w:val="Normal Indent"/>
    <w:basedOn w:val="Normal"/>
    <w:rsid w:val="00943323"/>
    <w:pPr>
      <w:ind w:left="720"/>
    </w:pPr>
  </w:style>
  <w:style w:type="paragraph" w:customStyle="1" w:styleId="numberingindented">
    <w:name w:val="numbering indented"/>
    <w:basedOn w:val="Normal"/>
    <w:rsid w:val="00532B49"/>
    <w:pPr>
      <w:numPr>
        <w:numId w:val="12"/>
      </w:numPr>
      <w:spacing w:before="0" w:line="260" w:lineRule="exact"/>
    </w:pPr>
    <w:rPr>
      <w:color w:val="000000"/>
      <w:lang w:eastAsia="en-AU"/>
    </w:rPr>
  </w:style>
  <w:style w:type="paragraph" w:customStyle="1" w:styleId="TableColumnHeadingCentred">
    <w:name w:val="Table Column Heading Centred"/>
    <w:basedOn w:val="Normal"/>
    <w:rsid w:val="009616A2"/>
    <w:pPr>
      <w:spacing w:before="40" w:after="40" w:line="240" w:lineRule="auto"/>
      <w:jc w:val="center"/>
    </w:pPr>
    <w:rPr>
      <w:b/>
      <w:color w:val="000000"/>
      <w:sz w:val="18"/>
      <w:lang w:eastAsia="en-AU"/>
    </w:rPr>
  </w:style>
  <w:style w:type="paragraph" w:customStyle="1" w:styleId="Heading3nonumbering">
    <w:name w:val="Heading 3 no numbering"/>
    <w:basedOn w:val="Normal"/>
    <w:link w:val="Heading3nonumberingChar"/>
    <w:rsid w:val="00B65927"/>
    <w:pPr>
      <w:spacing w:before="360" w:after="180" w:line="260" w:lineRule="exact"/>
      <w:jc w:val="left"/>
      <w:outlineLvl w:val="2"/>
    </w:pPr>
    <w:rPr>
      <w:rFonts w:ascii="Arial Bold" w:hAnsi="Arial Bold"/>
      <w:b/>
      <w:color w:val="9B0014"/>
      <w:sz w:val="23"/>
      <w:szCs w:val="24"/>
      <w:lang w:eastAsia="en-AU"/>
    </w:rPr>
  </w:style>
  <w:style w:type="paragraph" w:styleId="List">
    <w:name w:val="List"/>
    <w:basedOn w:val="Normal"/>
    <w:rsid w:val="00052A87"/>
    <w:pPr>
      <w:spacing w:before="0" w:after="240" w:line="240" w:lineRule="auto"/>
      <w:ind w:left="360" w:hanging="360"/>
      <w:jc w:val="left"/>
    </w:pPr>
    <w:rPr>
      <w:rFonts w:ascii="Times New Roman" w:hAnsi="Times New Roman"/>
      <w:color w:val="000000"/>
      <w:sz w:val="24"/>
      <w:lang w:val="en-GB" w:eastAsia="en-AU"/>
    </w:rPr>
  </w:style>
  <w:style w:type="paragraph" w:styleId="List2">
    <w:name w:val="List 2"/>
    <w:basedOn w:val="Normal"/>
    <w:rsid w:val="00052A87"/>
    <w:pPr>
      <w:spacing w:before="0" w:after="240" w:line="240" w:lineRule="auto"/>
      <w:ind w:left="720" w:hanging="360"/>
      <w:jc w:val="left"/>
    </w:pPr>
    <w:rPr>
      <w:rFonts w:ascii="Times New Roman" w:hAnsi="Times New Roman"/>
      <w:color w:val="000000"/>
      <w:sz w:val="24"/>
      <w:lang w:val="en-GB" w:eastAsia="en-AU"/>
    </w:rPr>
  </w:style>
  <w:style w:type="paragraph" w:styleId="List3">
    <w:name w:val="List 3"/>
    <w:basedOn w:val="Normal"/>
    <w:rsid w:val="00052A87"/>
    <w:pPr>
      <w:spacing w:before="0" w:after="240" w:line="240" w:lineRule="auto"/>
      <w:ind w:left="1080" w:hanging="360"/>
      <w:jc w:val="left"/>
    </w:pPr>
    <w:rPr>
      <w:rFonts w:ascii="Times New Roman" w:hAnsi="Times New Roman"/>
      <w:color w:val="000000"/>
      <w:sz w:val="24"/>
      <w:lang w:val="en-GB" w:eastAsia="en-AU"/>
    </w:rPr>
  </w:style>
  <w:style w:type="paragraph" w:styleId="List4">
    <w:name w:val="List 4"/>
    <w:basedOn w:val="Normal"/>
    <w:rsid w:val="00052A87"/>
    <w:pPr>
      <w:spacing w:before="0" w:after="240" w:line="240" w:lineRule="auto"/>
      <w:ind w:left="1440" w:hanging="360"/>
      <w:jc w:val="left"/>
    </w:pPr>
    <w:rPr>
      <w:rFonts w:ascii="Times New Roman" w:hAnsi="Times New Roman"/>
      <w:color w:val="000000"/>
      <w:sz w:val="24"/>
      <w:lang w:val="en-GB" w:eastAsia="en-AU"/>
    </w:rPr>
  </w:style>
  <w:style w:type="paragraph" w:styleId="ListBullet">
    <w:name w:val="List Bullet"/>
    <w:basedOn w:val="Normal"/>
    <w:autoRedefine/>
    <w:rsid w:val="00052A87"/>
    <w:pPr>
      <w:tabs>
        <w:tab w:val="num" w:pos="360"/>
      </w:tabs>
      <w:spacing w:before="0" w:after="240" w:line="240" w:lineRule="auto"/>
      <w:ind w:left="360" w:hanging="360"/>
      <w:jc w:val="left"/>
    </w:pPr>
    <w:rPr>
      <w:rFonts w:ascii="Times New Roman" w:hAnsi="Times New Roman"/>
      <w:color w:val="000000"/>
      <w:sz w:val="24"/>
      <w:lang w:val="en-GB" w:eastAsia="en-AU"/>
    </w:rPr>
  </w:style>
  <w:style w:type="paragraph" w:styleId="ListBullet2">
    <w:name w:val="List Bullet 2"/>
    <w:basedOn w:val="Normal"/>
    <w:autoRedefine/>
    <w:rsid w:val="00052A87"/>
    <w:pPr>
      <w:tabs>
        <w:tab w:val="num" w:pos="720"/>
      </w:tabs>
      <w:spacing w:before="0" w:after="240" w:line="240" w:lineRule="auto"/>
      <w:ind w:left="720" w:hanging="360"/>
      <w:jc w:val="left"/>
    </w:pPr>
    <w:rPr>
      <w:rFonts w:ascii="Times New Roman" w:hAnsi="Times New Roman"/>
      <w:color w:val="000000"/>
      <w:sz w:val="24"/>
      <w:lang w:val="en-GB" w:eastAsia="en-AU"/>
    </w:rPr>
  </w:style>
  <w:style w:type="paragraph" w:styleId="ListBullet3">
    <w:name w:val="List Bullet 3"/>
    <w:basedOn w:val="Normal"/>
    <w:autoRedefine/>
    <w:rsid w:val="00052A87"/>
    <w:pPr>
      <w:tabs>
        <w:tab w:val="num" w:pos="1080"/>
      </w:tabs>
      <w:spacing w:before="0" w:after="240" w:line="240" w:lineRule="auto"/>
      <w:ind w:left="1080" w:hanging="360"/>
      <w:jc w:val="left"/>
    </w:pPr>
    <w:rPr>
      <w:rFonts w:ascii="Times New Roman" w:hAnsi="Times New Roman"/>
      <w:color w:val="000000"/>
      <w:sz w:val="24"/>
      <w:lang w:val="en-GB" w:eastAsia="en-AU"/>
    </w:rPr>
  </w:style>
  <w:style w:type="paragraph" w:styleId="ListBullet4">
    <w:name w:val="List Bullet 4"/>
    <w:basedOn w:val="Normal"/>
    <w:autoRedefine/>
    <w:rsid w:val="00052A87"/>
    <w:pPr>
      <w:tabs>
        <w:tab w:val="num" w:pos="1440"/>
      </w:tabs>
      <w:spacing w:before="0" w:after="240" w:line="240" w:lineRule="auto"/>
      <w:ind w:left="1440" w:hanging="360"/>
      <w:jc w:val="left"/>
    </w:pPr>
    <w:rPr>
      <w:rFonts w:ascii="Times New Roman" w:hAnsi="Times New Roman"/>
      <w:color w:val="000000"/>
      <w:sz w:val="24"/>
      <w:lang w:val="en-GB" w:eastAsia="en-AU"/>
    </w:rPr>
  </w:style>
  <w:style w:type="paragraph" w:styleId="ListBullet5">
    <w:name w:val="List Bullet 5"/>
    <w:basedOn w:val="Normal"/>
    <w:autoRedefine/>
    <w:rsid w:val="00052A87"/>
    <w:pPr>
      <w:tabs>
        <w:tab w:val="num" w:pos="1800"/>
      </w:tabs>
      <w:spacing w:before="0" w:after="240" w:line="240" w:lineRule="auto"/>
      <w:ind w:left="1800" w:hanging="360"/>
      <w:jc w:val="left"/>
    </w:pPr>
    <w:rPr>
      <w:rFonts w:ascii="Times New Roman" w:hAnsi="Times New Roman"/>
      <w:color w:val="000000"/>
      <w:sz w:val="24"/>
      <w:lang w:val="en-GB" w:eastAsia="en-AU"/>
    </w:rPr>
  </w:style>
  <w:style w:type="paragraph" w:styleId="BodyTextIndent">
    <w:name w:val="Body Text Indent"/>
    <w:basedOn w:val="Normal"/>
    <w:link w:val="BodyTextIndentChar"/>
    <w:rsid w:val="00052A87"/>
    <w:pPr>
      <w:spacing w:before="0" w:line="240" w:lineRule="auto"/>
      <w:ind w:left="284"/>
      <w:jc w:val="left"/>
    </w:pPr>
    <w:rPr>
      <w:color w:val="000000"/>
      <w:lang w:val="en-GB" w:eastAsia="en-AU"/>
    </w:rPr>
  </w:style>
  <w:style w:type="character" w:customStyle="1" w:styleId="BodyTextIndentChar">
    <w:name w:val="Body Text Indent Char"/>
    <w:basedOn w:val="DefaultParagraphFont"/>
    <w:link w:val="BodyTextIndent"/>
    <w:rsid w:val="00052A87"/>
    <w:rPr>
      <w:rFonts w:ascii="Arial" w:hAnsi="Arial"/>
      <w:color w:val="000000"/>
      <w:lang w:val="en-GB"/>
    </w:rPr>
  </w:style>
  <w:style w:type="paragraph" w:customStyle="1" w:styleId="ItalicHeading">
    <w:name w:val="ItalicHeading"/>
    <w:basedOn w:val="Normal"/>
    <w:rsid w:val="00052A87"/>
    <w:pPr>
      <w:keepNext/>
      <w:tabs>
        <w:tab w:val="num" w:pos="1418"/>
      </w:tabs>
      <w:spacing w:before="0" w:line="260" w:lineRule="exact"/>
      <w:ind w:left="108" w:hanging="108"/>
    </w:pPr>
    <w:rPr>
      <w:i/>
      <w:color w:val="9B0014"/>
      <w:lang w:eastAsia="en-AU"/>
    </w:rPr>
  </w:style>
  <w:style w:type="paragraph" w:customStyle="1" w:styleId="TableHeading">
    <w:name w:val="Table Heading"/>
    <w:basedOn w:val="Normal"/>
    <w:rsid w:val="00052A87"/>
    <w:pPr>
      <w:keepNext/>
      <w:spacing w:line="260" w:lineRule="exact"/>
      <w:jc w:val="left"/>
    </w:pPr>
    <w:rPr>
      <w:rFonts w:ascii="Arial Bold" w:hAnsi="Arial Bold" w:cs="Arial"/>
      <w:b/>
      <w:color w:val="9B0014"/>
      <w:lang w:eastAsia="en-AU"/>
    </w:rPr>
  </w:style>
  <w:style w:type="paragraph" w:customStyle="1" w:styleId="Tablecolumnheadings">
    <w:name w:val="Table column headings"/>
    <w:basedOn w:val="TableText"/>
    <w:rsid w:val="00052A87"/>
    <w:pPr>
      <w:spacing w:before="40" w:after="40" w:line="240" w:lineRule="auto"/>
    </w:pPr>
    <w:rPr>
      <w:b/>
      <w:color w:val="000000"/>
      <w:sz w:val="16"/>
      <w:lang w:eastAsia="en-AU"/>
    </w:rPr>
  </w:style>
  <w:style w:type="character" w:styleId="CommentReference">
    <w:name w:val="annotation reference"/>
    <w:basedOn w:val="DefaultParagraphFont"/>
    <w:rsid w:val="00052A87"/>
    <w:rPr>
      <w:sz w:val="16"/>
      <w:szCs w:val="16"/>
    </w:rPr>
  </w:style>
  <w:style w:type="paragraph" w:styleId="CommentText">
    <w:name w:val="annotation text"/>
    <w:basedOn w:val="Normal"/>
    <w:link w:val="CommentTextChar"/>
    <w:rsid w:val="00052A87"/>
    <w:pPr>
      <w:spacing w:before="0" w:after="240" w:line="260" w:lineRule="exact"/>
    </w:pPr>
    <w:rPr>
      <w:color w:val="000000"/>
      <w:lang w:eastAsia="en-AU"/>
    </w:rPr>
  </w:style>
  <w:style w:type="character" w:customStyle="1" w:styleId="CommentTextChar">
    <w:name w:val="Comment Text Char"/>
    <w:basedOn w:val="DefaultParagraphFont"/>
    <w:link w:val="CommentText"/>
    <w:rsid w:val="00052A87"/>
    <w:rPr>
      <w:rFonts w:ascii="Arial" w:hAnsi="Arial"/>
      <w:color w:val="000000"/>
    </w:rPr>
  </w:style>
  <w:style w:type="paragraph" w:styleId="CommentSubject">
    <w:name w:val="annotation subject"/>
    <w:basedOn w:val="CommentText"/>
    <w:next w:val="CommentText"/>
    <w:link w:val="CommentSubjectChar"/>
    <w:rsid w:val="00052A87"/>
    <w:rPr>
      <w:b/>
      <w:bCs/>
    </w:rPr>
  </w:style>
  <w:style w:type="character" w:customStyle="1" w:styleId="CommentSubjectChar">
    <w:name w:val="Comment Subject Char"/>
    <w:basedOn w:val="CommentTextChar"/>
    <w:link w:val="CommentSubject"/>
    <w:rsid w:val="00052A87"/>
    <w:rPr>
      <w:rFonts w:ascii="Arial" w:hAnsi="Arial"/>
      <w:b/>
      <w:bCs/>
      <w:color w:val="000000"/>
    </w:rPr>
  </w:style>
  <w:style w:type="paragraph" w:styleId="NormalWeb">
    <w:name w:val="Normal (Web)"/>
    <w:basedOn w:val="Normal"/>
    <w:rsid w:val="00052A87"/>
    <w:pPr>
      <w:spacing w:before="100" w:beforeAutospacing="1" w:after="100" w:afterAutospacing="1" w:line="240" w:lineRule="auto"/>
      <w:jc w:val="left"/>
    </w:pPr>
    <w:rPr>
      <w:color w:val="9B0014"/>
      <w:szCs w:val="24"/>
      <w:lang w:eastAsia="en-AU"/>
    </w:rPr>
  </w:style>
  <w:style w:type="paragraph" w:customStyle="1" w:styleId="Bulletindented">
    <w:name w:val="Bullet indented"/>
    <w:basedOn w:val="Bullet"/>
    <w:rsid w:val="00052A87"/>
    <w:pPr>
      <w:keepNext/>
      <w:keepLines/>
      <w:tabs>
        <w:tab w:val="num" w:pos="1417"/>
      </w:tabs>
      <w:spacing w:before="0" w:after="240" w:line="260" w:lineRule="exact"/>
      <w:ind w:left="1701"/>
    </w:pPr>
    <w:rPr>
      <w:color w:val="000000"/>
      <w:lang w:eastAsia="en-AU"/>
    </w:rPr>
  </w:style>
  <w:style w:type="paragraph" w:customStyle="1" w:styleId="Headingbase">
    <w:name w:val="Heading base"/>
    <w:basedOn w:val="Normal"/>
    <w:rsid w:val="00052A87"/>
    <w:pPr>
      <w:spacing w:before="0" w:after="240" w:line="260" w:lineRule="exact"/>
    </w:pPr>
    <w:rPr>
      <w:rFonts w:cs="Arial"/>
      <w:color w:val="000000"/>
      <w:lang w:eastAsia="en-AU"/>
    </w:rPr>
  </w:style>
  <w:style w:type="paragraph" w:customStyle="1" w:styleId="NormalnumberedChar">
    <w:name w:val="Normal numbered Char"/>
    <w:basedOn w:val="Normal"/>
    <w:link w:val="NormalnumberedCharChar"/>
    <w:rsid w:val="00052A87"/>
    <w:pPr>
      <w:numPr>
        <w:ilvl w:val="1"/>
        <w:numId w:val="5"/>
      </w:numPr>
      <w:spacing w:line="260" w:lineRule="exact"/>
    </w:pPr>
    <w:rPr>
      <w:color w:val="000000"/>
      <w:lang w:eastAsia="en-AU"/>
    </w:rPr>
  </w:style>
  <w:style w:type="character" w:customStyle="1" w:styleId="NormalnumberedCharChar">
    <w:name w:val="Normal numbered Char Char"/>
    <w:basedOn w:val="DefaultParagraphFont"/>
    <w:link w:val="NormalnumberedChar"/>
    <w:rsid w:val="00052A87"/>
    <w:rPr>
      <w:rFonts w:ascii="Arial" w:hAnsi="Arial"/>
      <w:color w:val="000000"/>
    </w:rPr>
  </w:style>
  <w:style w:type="paragraph" w:customStyle="1" w:styleId="Notes">
    <w:name w:val="Notes"/>
    <w:basedOn w:val="Normal"/>
    <w:next w:val="Normal"/>
    <w:rsid w:val="00052A87"/>
    <w:pPr>
      <w:spacing w:before="20" w:after="20" w:line="240" w:lineRule="auto"/>
      <w:ind w:left="284" w:hanging="284"/>
    </w:pPr>
    <w:rPr>
      <w:rFonts w:cs="Arial"/>
      <w:color w:val="000000"/>
      <w:sz w:val="18"/>
      <w:szCs w:val="18"/>
      <w:lang w:eastAsia="en-AU"/>
    </w:rPr>
  </w:style>
  <w:style w:type="paragraph" w:customStyle="1" w:styleId="Reportsubtitle">
    <w:name w:val="Report sub title"/>
    <w:basedOn w:val="Normal"/>
    <w:link w:val="ReportsubtitleChar"/>
    <w:rsid w:val="00052A87"/>
    <w:pPr>
      <w:spacing w:before="240" w:after="240" w:line="260" w:lineRule="exact"/>
      <w:jc w:val="right"/>
    </w:pPr>
    <w:rPr>
      <w:rFonts w:ascii="Arial Bold" w:hAnsi="Arial Bold"/>
      <w:b/>
      <w:color w:val="9B0014"/>
      <w:sz w:val="32"/>
      <w:szCs w:val="32"/>
      <w:lang w:eastAsia="en-AU"/>
    </w:rPr>
  </w:style>
  <w:style w:type="character" w:customStyle="1" w:styleId="ReportsubtitleChar">
    <w:name w:val="Report sub title Char"/>
    <w:basedOn w:val="DefaultParagraphFont"/>
    <w:link w:val="Reportsubtitle"/>
    <w:rsid w:val="00052A87"/>
    <w:rPr>
      <w:rFonts w:ascii="Arial Bold" w:hAnsi="Arial Bold"/>
      <w:b/>
      <w:color w:val="9B0014"/>
      <w:sz w:val="32"/>
      <w:szCs w:val="32"/>
    </w:rPr>
  </w:style>
  <w:style w:type="paragraph" w:customStyle="1" w:styleId="Indentnormal">
    <w:name w:val="Indent normal"/>
    <w:basedOn w:val="Normal"/>
    <w:rsid w:val="00052A87"/>
    <w:pPr>
      <w:spacing w:after="240" w:line="260" w:lineRule="exact"/>
      <w:ind w:left="567"/>
    </w:pPr>
    <w:rPr>
      <w:color w:val="000000"/>
      <w:lang w:eastAsia="en-AU"/>
    </w:rPr>
  </w:style>
  <w:style w:type="paragraph" w:styleId="Date">
    <w:name w:val="Date"/>
    <w:basedOn w:val="Normal"/>
    <w:next w:val="Normal"/>
    <w:link w:val="DateChar"/>
    <w:rsid w:val="00052A87"/>
    <w:pPr>
      <w:spacing w:before="0" w:after="240" w:line="240" w:lineRule="auto"/>
      <w:jc w:val="left"/>
    </w:pPr>
    <w:rPr>
      <w:rFonts w:ascii="Times New Roman" w:hAnsi="Times New Roman"/>
      <w:color w:val="000000"/>
      <w:sz w:val="24"/>
      <w:lang w:val="en-GB" w:eastAsia="en-AU"/>
    </w:rPr>
  </w:style>
  <w:style w:type="character" w:customStyle="1" w:styleId="DateChar">
    <w:name w:val="Date Char"/>
    <w:basedOn w:val="DefaultParagraphFont"/>
    <w:link w:val="Date"/>
    <w:rsid w:val="00052A87"/>
    <w:rPr>
      <w:color w:val="000000"/>
      <w:sz w:val="24"/>
      <w:lang w:val="en-GB"/>
    </w:rPr>
  </w:style>
  <w:style w:type="paragraph" w:styleId="ListContinue">
    <w:name w:val="List Continue"/>
    <w:basedOn w:val="Normal"/>
    <w:rsid w:val="00052A87"/>
    <w:pPr>
      <w:spacing w:before="0" w:line="240" w:lineRule="auto"/>
      <w:ind w:left="360"/>
      <w:jc w:val="left"/>
    </w:pPr>
    <w:rPr>
      <w:rFonts w:ascii="Times New Roman" w:hAnsi="Times New Roman"/>
      <w:color w:val="000000"/>
      <w:sz w:val="24"/>
      <w:lang w:val="en-GB" w:eastAsia="en-AU"/>
    </w:rPr>
  </w:style>
  <w:style w:type="paragraph" w:styleId="ListContinue5">
    <w:name w:val="List Continue 5"/>
    <w:basedOn w:val="Normal"/>
    <w:rsid w:val="00052A87"/>
    <w:pPr>
      <w:spacing w:before="0" w:line="240" w:lineRule="auto"/>
      <w:ind w:left="1800"/>
      <w:jc w:val="left"/>
    </w:pPr>
    <w:rPr>
      <w:rFonts w:ascii="Times New Roman" w:hAnsi="Times New Roman"/>
      <w:color w:val="000000"/>
      <w:sz w:val="24"/>
      <w:lang w:val="en-GB" w:eastAsia="en-AU"/>
    </w:rPr>
  </w:style>
  <w:style w:type="paragraph" w:styleId="PlainText">
    <w:name w:val="Plain Text"/>
    <w:basedOn w:val="Normal"/>
    <w:link w:val="PlainTextChar"/>
    <w:rsid w:val="00052A87"/>
    <w:pPr>
      <w:spacing w:before="0" w:after="240" w:line="240" w:lineRule="auto"/>
      <w:jc w:val="left"/>
    </w:pPr>
    <w:rPr>
      <w:color w:val="000000"/>
      <w:lang w:eastAsia="en-AU"/>
    </w:rPr>
  </w:style>
  <w:style w:type="character" w:customStyle="1" w:styleId="PlainTextChar">
    <w:name w:val="Plain Text Char"/>
    <w:basedOn w:val="DefaultParagraphFont"/>
    <w:link w:val="PlainText"/>
    <w:rsid w:val="00052A87"/>
    <w:rPr>
      <w:rFonts w:ascii="Arial" w:hAnsi="Arial"/>
      <w:color w:val="000000"/>
    </w:rPr>
  </w:style>
  <w:style w:type="paragraph" w:customStyle="1" w:styleId="defn">
    <w:name w:val="defn"/>
    <w:basedOn w:val="Normal"/>
    <w:rsid w:val="00052A87"/>
    <w:pPr>
      <w:tabs>
        <w:tab w:val="left" w:pos="3080"/>
        <w:tab w:val="left" w:pos="3520"/>
      </w:tabs>
      <w:spacing w:before="0" w:after="240" w:line="260" w:lineRule="exact"/>
      <w:ind w:left="3520" w:hanging="3080"/>
    </w:pPr>
    <w:rPr>
      <w:rFonts w:cs="Arial"/>
      <w:color w:val="000000"/>
      <w:lang w:eastAsia="en-AU"/>
    </w:rPr>
  </w:style>
  <w:style w:type="character" w:styleId="FollowedHyperlink">
    <w:name w:val="FollowedHyperlink"/>
    <w:basedOn w:val="DefaultParagraphFont"/>
    <w:rsid w:val="00052A87"/>
    <w:rPr>
      <w:color w:val="auto"/>
      <w:u w:val="none"/>
    </w:rPr>
  </w:style>
  <w:style w:type="paragraph" w:customStyle="1" w:styleId="-Dashindented">
    <w:name w:val="- Dash indented"/>
    <w:basedOn w:val="Normal"/>
    <w:rsid w:val="00052A87"/>
    <w:pPr>
      <w:numPr>
        <w:numId w:val="16"/>
      </w:numPr>
      <w:spacing w:before="0" w:after="240" w:line="260" w:lineRule="exact"/>
    </w:pPr>
    <w:rPr>
      <w:color w:val="000000"/>
      <w:lang w:eastAsia="en-AU"/>
    </w:rPr>
  </w:style>
  <w:style w:type="paragraph" w:customStyle="1" w:styleId="Dashindented">
    <w:name w:val="Dash indented"/>
    <w:basedOn w:val="Dash"/>
    <w:rsid w:val="00052A87"/>
    <w:pPr>
      <w:tabs>
        <w:tab w:val="clear" w:pos="1985"/>
        <w:tab w:val="left" w:pos="1134"/>
        <w:tab w:val="num" w:pos="1984"/>
      </w:tabs>
      <w:spacing w:before="0" w:after="240" w:line="260" w:lineRule="exact"/>
      <w:ind w:left="1701"/>
    </w:pPr>
    <w:rPr>
      <w:color w:val="000000"/>
      <w:lang w:eastAsia="en-AU"/>
    </w:rPr>
  </w:style>
  <w:style w:type="paragraph" w:customStyle="1" w:styleId="OutlineNumbered1">
    <w:name w:val="Outline Numbered 1"/>
    <w:basedOn w:val="Normal"/>
    <w:rsid w:val="00052A87"/>
    <w:pPr>
      <w:numPr>
        <w:numId w:val="25"/>
      </w:numPr>
      <w:spacing w:before="0" w:after="240" w:line="260" w:lineRule="exact"/>
    </w:pPr>
    <w:rPr>
      <w:color w:val="000000"/>
      <w:lang w:eastAsia="en-AU"/>
    </w:rPr>
  </w:style>
  <w:style w:type="paragraph" w:customStyle="1" w:styleId="Tabletextleft0">
    <w:name w:val="Table text left"/>
    <w:basedOn w:val="Normal"/>
    <w:rsid w:val="00052A87"/>
    <w:pPr>
      <w:spacing w:before="40" w:after="40" w:line="240" w:lineRule="auto"/>
      <w:jc w:val="left"/>
    </w:pPr>
    <w:rPr>
      <w:color w:val="000000"/>
      <w:sz w:val="18"/>
      <w:lang w:eastAsia="en-AU"/>
    </w:rPr>
  </w:style>
  <w:style w:type="paragraph" w:customStyle="1" w:styleId="Tabletextright0">
    <w:name w:val="Table text right"/>
    <w:basedOn w:val="Tabletextleft0"/>
    <w:rsid w:val="00052A87"/>
    <w:pPr>
      <w:jc w:val="right"/>
    </w:pPr>
  </w:style>
  <w:style w:type="paragraph" w:customStyle="1" w:styleId="Tabletextcentre">
    <w:name w:val="Table text centre"/>
    <w:basedOn w:val="Tabletextleft0"/>
    <w:rsid w:val="00052A87"/>
    <w:pPr>
      <w:jc w:val="center"/>
    </w:pPr>
  </w:style>
  <w:style w:type="paragraph" w:customStyle="1" w:styleId="Tablebullet">
    <w:name w:val="Table bullet"/>
    <w:basedOn w:val="Normal"/>
    <w:rsid w:val="00052A87"/>
    <w:pPr>
      <w:numPr>
        <w:numId w:val="18"/>
      </w:numPr>
      <w:spacing w:before="0" w:line="260" w:lineRule="exact"/>
    </w:pPr>
    <w:rPr>
      <w:color w:val="000000"/>
      <w:sz w:val="18"/>
      <w:lang w:eastAsia="en-AU"/>
    </w:rPr>
  </w:style>
  <w:style w:type="paragraph" w:customStyle="1" w:styleId="OutlineNumbered2">
    <w:name w:val="Outline Numbered 2"/>
    <w:basedOn w:val="Normal"/>
    <w:rsid w:val="00052A87"/>
    <w:pPr>
      <w:numPr>
        <w:ilvl w:val="1"/>
        <w:numId w:val="25"/>
      </w:numPr>
      <w:spacing w:before="0" w:after="240" w:line="260" w:lineRule="exact"/>
    </w:pPr>
    <w:rPr>
      <w:color w:val="000000"/>
      <w:lang w:eastAsia="en-AU"/>
    </w:rPr>
  </w:style>
  <w:style w:type="paragraph" w:customStyle="1" w:styleId="OutlineNumbered3">
    <w:name w:val="Outline Numbered 3"/>
    <w:basedOn w:val="Normal"/>
    <w:rsid w:val="00052A87"/>
    <w:pPr>
      <w:spacing w:before="0" w:after="240" w:line="260" w:lineRule="exact"/>
    </w:pPr>
    <w:rPr>
      <w:color w:val="000000"/>
      <w:lang w:eastAsia="en-AU"/>
    </w:rPr>
  </w:style>
  <w:style w:type="paragraph" w:customStyle="1" w:styleId="Tabledash">
    <w:name w:val="Table dash"/>
    <w:basedOn w:val="Tablebullet"/>
    <w:rsid w:val="00052A87"/>
    <w:pPr>
      <w:numPr>
        <w:numId w:val="17"/>
      </w:numPr>
    </w:pPr>
  </w:style>
  <w:style w:type="paragraph" w:customStyle="1" w:styleId="Heading3nonumber">
    <w:name w:val="Heading 3 no number"/>
    <w:basedOn w:val="Header"/>
    <w:semiHidden/>
    <w:rsid w:val="00052A87"/>
    <w:pPr>
      <w:keepNext/>
      <w:tabs>
        <w:tab w:val="clear" w:pos="4153"/>
        <w:tab w:val="clear" w:pos="8306"/>
      </w:tabs>
      <w:spacing w:before="240" w:line="240" w:lineRule="auto"/>
      <w:jc w:val="left"/>
    </w:pPr>
    <w:rPr>
      <w:rFonts w:ascii="Arial Bold" w:hAnsi="Arial Bold"/>
      <w:i/>
      <w:color w:val="9B0014"/>
      <w:sz w:val="22"/>
      <w:szCs w:val="22"/>
      <w:lang w:eastAsia="en-AU"/>
    </w:rPr>
  </w:style>
  <w:style w:type="paragraph" w:customStyle="1" w:styleId="Heading1nonumber">
    <w:name w:val="Heading 1 no number"/>
    <w:basedOn w:val="Heading1"/>
    <w:rsid w:val="00510749"/>
    <w:pPr>
      <w:pageBreakBefore w:val="0"/>
      <w:numPr>
        <w:numId w:val="0"/>
      </w:numPr>
      <w:spacing w:line="240" w:lineRule="auto"/>
    </w:pPr>
    <w:rPr>
      <w:rFonts w:cs="Arial"/>
      <w:bCs/>
      <w:kern w:val="32"/>
      <w:szCs w:val="36"/>
      <w:lang w:eastAsia="en-AU"/>
    </w:rPr>
  </w:style>
  <w:style w:type="paragraph" w:customStyle="1" w:styleId="AlphaParagraph">
    <w:name w:val="Alpha Paragraph"/>
    <w:basedOn w:val="Normal"/>
    <w:rsid w:val="00052A87"/>
    <w:pPr>
      <w:numPr>
        <w:numId w:val="19"/>
      </w:numPr>
      <w:spacing w:before="0" w:after="240" w:line="260" w:lineRule="exact"/>
    </w:pPr>
    <w:rPr>
      <w:color w:val="000000"/>
      <w:lang w:eastAsia="en-AU"/>
    </w:rPr>
  </w:style>
  <w:style w:type="paragraph" w:customStyle="1" w:styleId="HeadingBase0">
    <w:name w:val="Heading Base"/>
    <w:next w:val="Normal"/>
    <w:rsid w:val="00052A87"/>
    <w:pPr>
      <w:keepNext/>
    </w:pPr>
    <w:rPr>
      <w:rFonts w:ascii="Arial" w:hAnsi="Arial"/>
      <w:color w:val="9B0014"/>
    </w:rPr>
  </w:style>
  <w:style w:type="paragraph" w:customStyle="1" w:styleId="AppendixHeading">
    <w:name w:val="Appendix Heading"/>
    <w:basedOn w:val="HeadingBase0"/>
    <w:next w:val="Normal"/>
    <w:rsid w:val="00FD46CC"/>
    <w:pPr>
      <w:spacing w:after="360"/>
      <w:outlineLvl w:val="0"/>
    </w:pPr>
    <w:rPr>
      <w:rFonts w:ascii="Arial Bold" w:hAnsi="Arial Bold"/>
      <w:b/>
      <w:smallCaps/>
      <w:sz w:val="36"/>
      <w:szCs w:val="36"/>
    </w:rPr>
  </w:style>
  <w:style w:type="character" w:customStyle="1" w:styleId="Bold">
    <w:name w:val="Bold"/>
    <w:basedOn w:val="DefaultParagraphFont"/>
    <w:rsid w:val="00052A87"/>
    <w:rPr>
      <w:b/>
    </w:rPr>
  </w:style>
  <w:style w:type="paragraph" w:customStyle="1" w:styleId="BoxHeading">
    <w:name w:val="Box Heading"/>
    <w:basedOn w:val="HeadingBase0"/>
    <w:next w:val="BoxText"/>
    <w:rsid w:val="00052A87"/>
    <w:pPr>
      <w:spacing w:before="120" w:after="120"/>
    </w:pPr>
    <w:rPr>
      <w:b/>
      <w:sz w:val="22"/>
    </w:rPr>
  </w:style>
  <w:style w:type="paragraph" w:customStyle="1" w:styleId="BoxTextBase">
    <w:name w:val="Box Text Base"/>
    <w:basedOn w:val="Normal"/>
    <w:rsid w:val="00052A87"/>
    <w:pPr>
      <w:spacing w:line="240" w:lineRule="auto"/>
    </w:pPr>
    <w:rPr>
      <w:color w:val="000000"/>
      <w:lang w:eastAsia="en-AU"/>
    </w:rPr>
  </w:style>
  <w:style w:type="paragraph" w:customStyle="1" w:styleId="ChartandTableFootnoteAlpha">
    <w:name w:val="Chart and Table Footnote Alpha"/>
    <w:rsid w:val="00052A87"/>
    <w:pPr>
      <w:numPr>
        <w:numId w:val="20"/>
      </w:numPr>
      <w:jc w:val="both"/>
    </w:pPr>
    <w:rPr>
      <w:rFonts w:ascii="Arial" w:hAnsi="Arial"/>
      <w:color w:val="000000"/>
      <w:sz w:val="16"/>
      <w:szCs w:val="16"/>
    </w:rPr>
  </w:style>
  <w:style w:type="paragraph" w:customStyle="1" w:styleId="ChartorTableNote">
    <w:name w:val="Chart or Table Note"/>
    <w:next w:val="Normal"/>
    <w:rsid w:val="006E5D56"/>
    <w:pPr>
      <w:spacing w:before="20"/>
      <w:ind w:left="567"/>
      <w:jc w:val="both"/>
    </w:pPr>
    <w:rPr>
      <w:rFonts w:ascii="Arial" w:hAnsi="Arial"/>
      <w:color w:val="000000"/>
      <w:sz w:val="16"/>
    </w:rPr>
  </w:style>
  <w:style w:type="paragraph" w:customStyle="1" w:styleId="Classification">
    <w:name w:val="Classification"/>
    <w:basedOn w:val="HeadingBase0"/>
    <w:next w:val="Footer"/>
    <w:rsid w:val="00052A87"/>
    <w:pPr>
      <w:spacing w:after="120"/>
      <w:jc w:val="center"/>
    </w:pPr>
    <w:rPr>
      <w:b/>
      <w:smallCaps/>
    </w:rPr>
  </w:style>
  <w:style w:type="paragraph" w:customStyle="1" w:styleId="ContentsHeading">
    <w:name w:val="Contents Heading"/>
    <w:basedOn w:val="HeadingBase0"/>
    <w:next w:val="Normal"/>
    <w:rsid w:val="00052A87"/>
    <w:pPr>
      <w:spacing w:after="360"/>
    </w:pPr>
    <w:rPr>
      <w:rFonts w:ascii="Arial Bold" w:hAnsi="Arial Bold"/>
      <w:b/>
      <w:sz w:val="36"/>
      <w:szCs w:val="36"/>
    </w:rPr>
  </w:style>
  <w:style w:type="paragraph" w:customStyle="1" w:styleId="CoverTitleMain">
    <w:name w:val="Cover Title Main"/>
    <w:basedOn w:val="HeadingBase0"/>
    <w:next w:val="Normal"/>
    <w:rsid w:val="00052A87"/>
    <w:pPr>
      <w:spacing w:after="480"/>
      <w:jc w:val="right"/>
    </w:pPr>
    <w:rPr>
      <w:b/>
      <w:sz w:val="48"/>
    </w:rPr>
  </w:style>
  <w:style w:type="paragraph" w:customStyle="1" w:styleId="CoverTitleSub">
    <w:name w:val="Cover Title Sub"/>
    <w:basedOn w:val="HeadingBase0"/>
    <w:rsid w:val="00052A87"/>
    <w:pPr>
      <w:spacing w:after="360"/>
      <w:jc w:val="right"/>
    </w:pPr>
    <w:rPr>
      <w:sz w:val="36"/>
    </w:rPr>
  </w:style>
  <w:style w:type="paragraph" w:customStyle="1" w:styleId="FooterCentered">
    <w:name w:val="Footer Centered"/>
    <w:basedOn w:val="Footer"/>
    <w:rsid w:val="00052A87"/>
    <w:pPr>
      <w:keepNext/>
      <w:tabs>
        <w:tab w:val="clear" w:pos="4153"/>
        <w:tab w:val="clear" w:pos="8306"/>
      </w:tabs>
      <w:spacing w:before="0" w:after="0" w:line="240" w:lineRule="auto"/>
      <w:jc w:val="center"/>
    </w:pPr>
    <w:rPr>
      <w:color w:val="9B0014"/>
      <w:sz w:val="18"/>
      <w:lang w:eastAsia="en-AU"/>
    </w:rPr>
  </w:style>
  <w:style w:type="paragraph" w:customStyle="1" w:styleId="FooterEven">
    <w:name w:val="Footer Even"/>
    <w:basedOn w:val="Footer"/>
    <w:rsid w:val="00052A87"/>
    <w:pPr>
      <w:keepNext/>
      <w:tabs>
        <w:tab w:val="clear" w:pos="4153"/>
        <w:tab w:val="clear" w:pos="8306"/>
      </w:tabs>
      <w:spacing w:before="0" w:after="0" w:line="240" w:lineRule="auto"/>
      <w:jc w:val="left"/>
    </w:pPr>
    <w:rPr>
      <w:color w:val="9B0014"/>
      <w:sz w:val="18"/>
      <w:lang w:eastAsia="en-AU"/>
    </w:rPr>
  </w:style>
  <w:style w:type="paragraph" w:customStyle="1" w:styleId="FooterOdd">
    <w:name w:val="Footer Odd"/>
    <w:basedOn w:val="Footer"/>
    <w:rsid w:val="00052A87"/>
    <w:pPr>
      <w:keepNext/>
      <w:tabs>
        <w:tab w:val="clear" w:pos="4153"/>
        <w:tab w:val="clear" w:pos="8306"/>
      </w:tabs>
      <w:spacing w:before="0" w:after="0" w:line="240" w:lineRule="auto"/>
      <w:jc w:val="right"/>
    </w:pPr>
    <w:rPr>
      <w:color w:val="9B0014"/>
      <w:sz w:val="18"/>
      <w:lang w:eastAsia="en-AU"/>
    </w:rPr>
  </w:style>
  <w:style w:type="character" w:customStyle="1" w:styleId="FramedFooter">
    <w:name w:val="Framed Footer"/>
    <w:rsid w:val="00052A87"/>
    <w:rPr>
      <w:rFonts w:ascii="Arial" w:hAnsi="Arial"/>
      <w:color w:val="9B0014"/>
      <w:sz w:val="18"/>
    </w:rPr>
  </w:style>
  <w:style w:type="character" w:customStyle="1" w:styleId="FramedHeader">
    <w:name w:val="Framed Header"/>
    <w:basedOn w:val="DefaultParagraphFont"/>
    <w:rsid w:val="00052A87"/>
    <w:rPr>
      <w:rFonts w:ascii="Arial" w:hAnsi="Arial"/>
      <w:dstrike w:val="0"/>
      <w:color w:val="9B0014"/>
      <w:sz w:val="18"/>
      <w:vertAlign w:val="baseline"/>
    </w:rPr>
  </w:style>
  <w:style w:type="paragraph" w:customStyle="1" w:styleId="HeaderEven">
    <w:name w:val="Header Even"/>
    <w:basedOn w:val="Header"/>
    <w:rsid w:val="00052A87"/>
    <w:pPr>
      <w:keepNext/>
      <w:tabs>
        <w:tab w:val="clear" w:pos="4153"/>
        <w:tab w:val="clear" w:pos="8306"/>
      </w:tabs>
      <w:spacing w:before="0" w:after="0" w:line="240" w:lineRule="auto"/>
      <w:jc w:val="left"/>
    </w:pPr>
    <w:rPr>
      <w:b w:val="0"/>
      <w:color w:val="9B0014"/>
      <w:sz w:val="18"/>
      <w:lang w:eastAsia="en-AU"/>
    </w:rPr>
  </w:style>
  <w:style w:type="paragraph" w:customStyle="1" w:styleId="HeaderOdd">
    <w:name w:val="Header Odd"/>
    <w:basedOn w:val="Header"/>
    <w:rsid w:val="00052A87"/>
    <w:pPr>
      <w:keepNext/>
      <w:tabs>
        <w:tab w:val="clear" w:pos="4153"/>
        <w:tab w:val="clear" w:pos="8306"/>
      </w:tabs>
      <w:spacing w:before="0" w:after="0" w:line="240" w:lineRule="auto"/>
      <w:jc w:val="right"/>
    </w:pPr>
    <w:rPr>
      <w:b w:val="0"/>
      <w:color w:val="9B0014"/>
      <w:sz w:val="18"/>
      <w:lang w:eastAsia="en-AU"/>
    </w:rPr>
  </w:style>
  <w:style w:type="paragraph" w:customStyle="1" w:styleId="RecommendationHeading">
    <w:name w:val="Recommendation Heading"/>
    <w:basedOn w:val="HeadingBase0"/>
    <w:next w:val="RecommendationText"/>
    <w:rsid w:val="00052A87"/>
    <w:pPr>
      <w:spacing w:after="240"/>
    </w:pPr>
    <w:rPr>
      <w:b/>
      <w:sz w:val="22"/>
    </w:rPr>
  </w:style>
  <w:style w:type="paragraph" w:customStyle="1" w:styleId="RecommendationBaseText">
    <w:name w:val="Recommendation Base Text"/>
    <w:basedOn w:val="Normal"/>
    <w:rsid w:val="00052A87"/>
    <w:pPr>
      <w:spacing w:before="0" w:after="240" w:line="260" w:lineRule="exact"/>
    </w:pPr>
    <w:rPr>
      <w:color w:val="000000"/>
      <w:lang w:eastAsia="en-AU"/>
    </w:rPr>
  </w:style>
  <w:style w:type="paragraph" w:customStyle="1" w:styleId="RecommendationText">
    <w:name w:val="Recommendation Text"/>
    <w:basedOn w:val="RecommendationBaseText"/>
    <w:rsid w:val="00052A87"/>
  </w:style>
  <w:style w:type="paragraph" w:customStyle="1" w:styleId="TableTextBase">
    <w:name w:val="Table Text Base"/>
    <w:rsid w:val="00052A87"/>
    <w:pPr>
      <w:spacing w:before="40" w:after="40"/>
    </w:pPr>
    <w:rPr>
      <w:rFonts w:ascii="Arial" w:hAnsi="Arial"/>
      <w:color w:val="000000"/>
      <w:sz w:val="16"/>
    </w:rPr>
  </w:style>
  <w:style w:type="paragraph" w:customStyle="1" w:styleId="TableGraphic">
    <w:name w:val="Table Graphic"/>
    <w:basedOn w:val="HeadingBase0"/>
    <w:next w:val="Normal"/>
    <w:rsid w:val="00052A87"/>
    <w:pPr>
      <w:spacing w:after="20"/>
      <w:ind w:right="-113"/>
    </w:pPr>
  </w:style>
  <w:style w:type="paragraph" w:customStyle="1" w:styleId="TableMainHeadingContd">
    <w:name w:val="Table Main Heading Contd"/>
    <w:basedOn w:val="HeadingBase0"/>
    <w:next w:val="TableGraphic"/>
    <w:rsid w:val="00052A87"/>
    <w:pPr>
      <w:spacing w:after="20"/>
    </w:pPr>
    <w:rPr>
      <w:b/>
      <w:sz w:val="22"/>
    </w:rPr>
  </w:style>
  <w:style w:type="paragraph" w:customStyle="1" w:styleId="TableSecondHeading">
    <w:name w:val="Table Second Heading"/>
    <w:basedOn w:val="HeadingBase0"/>
    <w:next w:val="TableGraphic"/>
    <w:rsid w:val="00052A87"/>
    <w:pPr>
      <w:spacing w:after="20"/>
    </w:pPr>
  </w:style>
  <w:style w:type="paragraph" w:customStyle="1" w:styleId="TableTextCentered">
    <w:name w:val="Table Text Centered"/>
    <w:basedOn w:val="TableTextBase"/>
    <w:rsid w:val="00052A87"/>
    <w:pPr>
      <w:jc w:val="center"/>
    </w:pPr>
  </w:style>
  <w:style w:type="paragraph" w:customStyle="1" w:styleId="TableTextIndented">
    <w:name w:val="Table Text Indented"/>
    <w:basedOn w:val="TableTextBase"/>
    <w:rsid w:val="00052A87"/>
    <w:pPr>
      <w:ind w:left="284"/>
    </w:pPr>
  </w:style>
  <w:style w:type="character" w:customStyle="1" w:styleId="Italic">
    <w:name w:val="Italic"/>
    <w:basedOn w:val="DefaultParagraphFont"/>
    <w:rsid w:val="00052A87"/>
    <w:rPr>
      <w:i/>
    </w:rPr>
  </w:style>
  <w:style w:type="paragraph" w:customStyle="1" w:styleId="OneLevelNumberedParagraph">
    <w:name w:val="One Level Numbered Paragraph"/>
    <w:basedOn w:val="Normal"/>
    <w:rsid w:val="00052A87"/>
    <w:pPr>
      <w:numPr>
        <w:numId w:val="22"/>
      </w:numPr>
      <w:spacing w:before="0" w:after="240" w:line="260" w:lineRule="exact"/>
    </w:pPr>
    <w:rPr>
      <w:color w:val="000000"/>
      <w:lang w:eastAsia="en-AU"/>
    </w:rPr>
  </w:style>
  <w:style w:type="paragraph" w:customStyle="1" w:styleId="BoxText">
    <w:name w:val="Box Text"/>
    <w:basedOn w:val="BoxTextBase"/>
    <w:rsid w:val="00052A87"/>
  </w:style>
  <w:style w:type="paragraph" w:customStyle="1" w:styleId="BoxBullet">
    <w:name w:val="Box Bullet"/>
    <w:basedOn w:val="BoxTextBase"/>
    <w:rsid w:val="00052A87"/>
    <w:pPr>
      <w:numPr>
        <w:numId w:val="21"/>
      </w:numPr>
    </w:pPr>
  </w:style>
  <w:style w:type="paragraph" w:customStyle="1" w:styleId="BoxDash">
    <w:name w:val="Box Dash"/>
    <w:basedOn w:val="Normal"/>
    <w:rsid w:val="00052A87"/>
    <w:pPr>
      <w:numPr>
        <w:ilvl w:val="1"/>
        <w:numId w:val="21"/>
      </w:numPr>
      <w:spacing w:before="0" w:after="240" w:line="260" w:lineRule="exact"/>
    </w:pPr>
    <w:rPr>
      <w:color w:val="000000"/>
      <w:lang w:eastAsia="en-AU"/>
    </w:rPr>
  </w:style>
  <w:style w:type="paragraph" w:customStyle="1" w:styleId="BoxDoubleDot">
    <w:name w:val="Box Double Dot"/>
    <w:basedOn w:val="BoxTextBase"/>
    <w:rsid w:val="00052A87"/>
    <w:pPr>
      <w:numPr>
        <w:ilvl w:val="2"/>
        <w:numId w:val="21"/>
      </w:numPr>
    </w:pPr>
  </w:style>
  <w:style w:type="paragraph" w:customStyle="1" w:styleId="RecommendationBullet">
    <w:name w:val="Recommendation Bullet"/>
    <w:basedOn w:val="RecommendationBaseText"/>
    <w:rsid w:val="00052A87"/>
    <w:pPr>
      <w:numPr>
        <w:numId w:val="23"/>
      </w:numPr>
    </w:pPr>
  </w:style>
  <w:style w:type="paragraph" w:customStyle="1" w:styleId="RecommendationDash">
    <w:name w:val="Recommendation Dash"/>
    <w:basedOn w:val="RecommendationBaseText"/>
    <w:rsid w:val="00052A87"/>
    <w:pPr>
      <w:numPr>
        <w:ilvl w:val="1"/>
        <w:numId w:val="23"/>
      </w:numPr>
    </w:pPr>
  </w:style>
  <w:style w:type="paragraph" w:customStyle="1" w:styleId="RecommendationDoubleDot">
    <w:name w:val="Recommendation Double Dot"/>
    <w:basedOn w:val="RecommendationBaseText"/>
    <w:rsid w:val="00052A87"/>
    <w:pPr>
      <w:numPr>
        <w:ilvl w:val="2"/>
        <w:numId w:val="23"/>
      </w:numPr>
    </w:pPr>
  </w:style>
  <w:style w:type="character" w:customStyle="1" w:styleId="Boldanditalic">
    <w:name w:val="Bold and italic"/>
    <w:basedOn w:val="DefaultParagraphFont"/>
    <w:rsid w:val="00052A87"/>
    <w:rPr>
      <w:b/>
      <w:i/>
    </w:rPr>
  </w:style>
  <w:style w:type="character" w:customStyle="1" w:styleId="Italics">
    <w:name w:val="Italics"/>
    <w:basedOn w:val="DefaultParagraphFont"/>
    <w:rsid w:val="00052A87"/>
    <w:rPr>
      <w:i/>
    </w:rPr>
  </w:style>
  <w:style w:type="paragraph" w:customStyle="1" w:styleId="Heading1notnumbered">
    <w:name w:val="Heading 1 not numbered"/>
    <w:basedOn w:val="HeadingBase0"/>
    <w:next w:val="Normal"/>
    <w:semiHidden/>
    <w:rsid w:val="00052A87"/>
    <w:pPr>
      <w:spacing w:before="720" w:after="360"/>
    </w:pPr>
    <w:rPr>
      <w:b/>
      <w:smallCaps/>
      <w:sz w:val="36"/>
      <w:szCs w:val="36"/>
    </w:rPr>
  </w:style>
  <w:style w:type="paragraph" w:customStyle="1" w:styleId="Heading2notnumbered">
    <w:name w:val="Heading 2 not numbered"/>
    <w:basedOn w:val="HeadingBase0"/>
    <w:next w:val="Normal"/>
    <w:semiHidden/>
    <w:rsid w:val="00052A87"/>
    <w:pPr>
      <w:spacing w:before="360" w:after="240"/>
    </w:pPr>
    <w:rPr>
      <w:rFonts w:ascii="Arial Bold" w:hAnsi="Arial Bold"/>
      <w:b/>
      <w:smallCaps/>
      <w:sz w:val="28"/>
      <w:szCs w:val="28"/>
    </w:rPr>
  </w:style>
  <w:style w:type="paragraph" w:customStyle="1" w:styleId="Heading3notnumbered">
    <w:name w:val="Heading 3 not numbered"/>
    <w:basedOn w:val="HeadingBase0"/>
    <w:next w:val="Normal"/>
    <w:semiHidden/>
    <w:rsid w:val="00052A87"/>
    <w:pPr>
      <w:spacing w:before="240" w:after="240"/>
    </w:pPr>
    <w:rPr>
      <w:rFonts w:ascii="Arial Bold" w:hAnsi="Arial Bold"/>
      <w:b/>
      <w:sz w:val="26"/>
      <w:szCs w:val="26"/>
    </w:rPr>
  </w:style>
  <w:style w:type="character" w:customStyle="1" w:styleId="Heading3nonumberingChar">
    <w:name w:val="Heading 3 no numbering Char"/>
    <w:basedOn w:val="DefaultParagraphFont"/>
    <w:link w:val="Heading3nonumbering"/>
    <w:rsid w:val="00B65927"/>
    <w:rPr>
      <w:rFonts w:ascii="Arial Bold" w:hAnsi="Arial Bold"/>
      <w:b/>
      <w:color w:val="9B0014"/>
      <w:sz w:val="23"/>
      <w:szCs w:val="24"/>
    </w:rPr>
  </w:style>
  <w:style w:type="character" w:customStyle="1" w:styleId="FooterChar">
    <w:name w:val="Footer Char"/>
    <w:basedOn w:val="DefaultParagraphFont"/>
    <w:link w:val="Footer"/>
    <w:uiPriority w:val="99"/>
    <w:rsid w:val="003E658F"/>
    <w:rPr>
      <w:rFonts w:ascii="Arial" w:hAnsi="Arial"/>
      <w:lang w:eastAsia="en-US"/>
    </w:rPr>
  </w:style>
  <w:style w:type="paragraph" w:styleId="ListParagraph">
    <w:name w:val="List Paragraph"/>
    <w:basedOn w:val="Normal"/>
    <w:uiPriority w:val="34"/>
    <w:qFormat/>
    <w:rsid w:val="00E77F7B"/>
    <w:pPr>
      <w:ind w:left="720"/>
      <w:contextualSpacing/>
    </w:pPr>
  </w:style>
  <w:style w:type="paragraph" w:styleId="TOCHeading">
    <w:name w:val="TOC Heading"/>
    <w:basedOn w:val="Heading1"/>
    <w:next w:val="Normal"/>
    <w:uiPriority w:val="39"/>
    <w:semiHidden/>
    <w:unhideWhenUsed/>
    <w:qFormat/>
    <w:rsid w:val="00F14018"/>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A5">
    <w:name w:val="A5"/>
    <w:uiPriority w:val="99"/>
    <w:rsid w:val="002C50B3"/>
    <w:rPr>
      <w:rFonts w:cs="Swiss 721 BT"/>
      <w:color w:val="000000"/>
      <w:sz w:val="20"/>
      <w:szCs w:val="20"/>
    </w:rPr>
  </w:style>
  <w:style w:type="paragraph" w:customStyle="1" w:styleId="Heading2-NoTOC">
    <w:name w:val="Heading 2 - No TOC"/>
    <w:basedOn w:val="Heading2nonumbering"/>
    <w:qFormat/>
    <w:rsid w:val="00E43DD1"/>
    <w:pPr>
      <w:outlineLvl w:val="9"/>
    </w:pPr>
  </w:style>
  <w:style w:type="paragraph" w:customStyle="1" w:styleId="StyleHeading1Left0cmFirstline0cm">
    <w:name w:val="Style Heading 1 + Left:  0 cm First line:  0 cm"/>
    <w:basedOn w:val="Heading1"/>
    <w:rsid w:val="00A31B6E"/>
    <w:pPr>
      <w:ind w:left="0" w:firstLine="0"/>
    </w:pPr>
    <w:rPr>
      <w:bCs/>
    </w:rPr>
  </w:style>
  <w:style w:type="paragraph" w:customStyle="1" w:styleId="StyleTableofContentsTitleAccent2">
    <w:name w:val="Style Table of Contents Title + Accent 2"/>
    <w:basedOn w:val="TableofContentsTitle"/>
    <w:rsid w:val="00557FDC"/>
    <w:pPr>
      <w:spacing w:before="0" w:after="360"/>
    </w:pPr>
    <w:rPr>
      <w:bCs/>
      <w:color w:val="943634" w:themeColor="accent2" w:themeShade="BF"/>
      <w:sz w:val="32"/>
    </w:rPr>
  </w:style>
  <w:style w:type="paragraph" w:customStyle="1" w:styleId="StyleNoNumberLeft1cmFirstline075cm">
    <w:name w:val="Style No Number + Left:  1 cm First line:  0.75 cm"/>
    <w:basedOn w:val="NoNumber"/>
    <w:rsid w:val="0098782E"/>
    <w:pPr>
      <w:spacing w:before="0" w:line="260" w:lineRule="atLeast"/>
      <w:ind w:left="1134"/>
    </w:pPr>
  </w:style>
  <w:style w:type="paragraph" w:customStyle="1" w:styleId="StyleNoNumberItalicLeft0cm">
    <w:name w:val="Style No Number + Italic Left:  0 cm"/>
    <w:basedOn w:val="NoNumber"/>
    <w:rsid w:val="009616A2"/>
    <w:pPr>
      <w:spacing w:line="260" w:lineRule="atLeast"/>
      <w:ind w:left="1134"/>
    </w:pPr>
    <w:rPr>
      <w:i/>
      <w:iCs/>
    </w:rPr>
  </w:style>
  <w:style w:type="paragraph" w:customStyle="1" w:styleId="StylenumberingindentedBold">
    <w:name w:val="Style numbering indented + Bold"/>
    <w:basedOn w:val="numberingindented"/>
    <w:rsid w:val="0098782E"/>
    <w:pPr>
      <w:spacing w:before="240"/>
    </w:pPr>
    <w:rPr>
      <w:b/>
      <w:bCs/>
    </w:rPr>
  </w:style>
  <w:style w:type="paragraph" w:customStyle="1" w:styleId="ChartandTableFootnoteNumeral">
    <w:name w:val="Chart and Table Footnote Numeral"/>
    <w:basedOn w:val="ChartandTableFootnoteAlpha"/>
    <w:qFormat/>
    <w:rsid w:val="00411660"/>
    <w:pPr>
      <w:numPr>
        <w:numId w:val="40"/>
      </w:numPr>
      <w:tabs>
        <w:tab w:val="left" w:pos="851"/>
      </w:tabs>
    </w:pPr>
  </w:style>
  <w:style w:type="paragraph" w:customStyle="1" w:styleId="StyleNormalIndentLeft1cmHanging2cm">
    <w:name w:val="Style Normal Indent + Left:  1 cm Hanging:  2 cm"/>
    <w:basedOn w:val="NormalIndent"/>
    <w:rsid w:val="00AE7800"/>
    <w:pPr>
      <w:ind w:left="1701" w:hanging="1134"/>
    </w:pPr>
  </w:style>
  <w:style w:type="paragraph" w:customStyle="1" w:styleId="TableMainHeading-Appendix">
    <w:name w:val="Table Main Heading - Appendix"/>
    <w:basedOn w:val="TableMainHeading"/>
    <w:qFormat/>
    <w:rsid w:val="00D1063F"/>
    <w:pPr>
      <w:ind w:left="0"/>
    </w:pPr>
  </w:style>
  <w:style w:type="paragraph" w:customStyle="1" w:styleId="BodyText-Appendix">
    <w:name w:val="Body Text - Appendix"/>
    <w:basedOn w:val="BodyText"/>
    <w:qFormat/>
    <w:rsid w:val="002973D9"/>
    <w:pPr>
      <w:numPr>
        <w:numId w:val="4"/>
      </w:numPr>
      <w:tabs>
        <w:tab w:val="clear" w:pos="850"/>
      </w:tabs>
      <w:ind w:left="567" w:hanging="567"/>
    </w:pPr>
  </w:style>
  <w:style w:type="paragraph" w:customStyle="1" w:styleId="NoNumberIndent-Appendix">
    <w:name w:val="No Number Indent - Appendix"/>
    <w:basedOn w:val="NoNumber"/>
    <w:qFormat/>
    <w:rsid w:val="002973D9"/>
    <w:pPr>
      <w:ind w:left="567"/>
    </w:pPr>
  </w:style>
  <w:style w:type="paragraph" w:customStyle="1" w:styleId="StyleReportTitle19pt">
    <w:name w:val="Style Report Title + 19 pt"/>
    <w:basedOn w:val="ReportTitle"/>
    <w:rsid w:val="000E6C41"/>
    <w:rPr>
      <w:bCs/>
      <w:sz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7C8"/>
    <w:pPr>
      <w:spacing w:before="160" w:after="160" w:line="300" w:lineRule="atLeast"/>
      <w:jc w:val="both"/>
    </w:pPr>
    <w:rPr>
      <w:rFonts w:ascii="Arial" w:hAnsi="Arial"/>
      <w:lang w:eastAsia="en-US"/>
    </w:rPr>
  </w:style>
  <w:style w:type="paragraph" w:styleId="Heading1">
    <w:name w:val="heading 1"/>
    <w:basedOn w:val="BodyText"/>
    <w:next w:val="BodyText"/>
    <w:qFormat/>
    <w:rsid w:val="00510749"/>
    <w:pPr>
      <w:keepNext/>
      <w:pageBreakBefore/>
      <w:numPr>
        <w:ilvl w:val="0"/>
      </w:numPr>
      <w:tabs>
        <w:tab w:val="clear" w:pos="567"/>
        <w:tab w:val="left" w:pos="2127"/>
      </w:tabs>
      <w:spacing w:before="0" w:after="240"/>
      <w:ind w:left="2126" w:hanging="2126"/>
      <w:jc w:val="left"/>
      <w:outlineLvl w:val="0"/>
    </w:pPr>
    <w:rPr>
      <w:rFonts w:ascii="Arial Bold" w:hAnsi="Arial Bold"/>
      <w:b/>
      <w:caps/>
      <w:color w:val="9B0014"/>
      <w:sz w:val="32"/>
    </w:rPr>
  </w:style>
  <w:style w:type="paragraph" w:styleId="Heading2">
    <w:name w:val="heading 2"/>
    <w:basedOn w:val="BodyText"/>
    <w:next w:val="BodyText2"/>
    <w:qFormat/>
    <w:rsid w:val="00EA656B"/>
    <w:pPr>
      <w:keepNext/>
      <w:numPr>
        <w:ilvl w:val="1"/>
      </w:numPr>
      <w:spacing w:before="60"/>
      <w:outlineLvl w:val="1"/>
    </w:pPr>
    <w:rPr>
      <w:b/>
      <w:i/>
      <w:sz w:val="24"/>
    </w:rPr>
  </w:style>
  <w:style w:type="paragraph" w:styleId="Heading3">
    <w:name w:val="heading 3"/>
    <w:basedOn w:val="BodyText"/>
    <w:next w:val="BodyText"/>
    <w:qFormat/>
    <w:rsid w:val="00814C36"/>
    <w:pPr>
      <w:keepNext/>
      <w:numPr>
        <w:numId w:val="3"/>
      </w:numPr>
      <w:spacing w:before="240" w:after="60"/>
      <w:outlineLvl w:val="2"/>
    </w:pPr>
    <w:rPr>
      <w:b/>
      <w:sz w:val="24"/>
    </w:rPr>
  </w:style>
  <w:style w:type="paragraph" w:styleId="Heading4">
    <w:name w:val="heading 4"/>
    <w:basedOn w:val="BodyText"/>
    <w:next w:val="BodyText"/>
    <w:qFormat/>
    <w:rsid w:val="00B150D6"/>
    <w:pPr>
      <w:keepNext/>
      <w:numPr>
        <w:ilvl w:val="0"/>
        <w:numId w:val="0"/>
      </w:numPr>
      <w:spacing w:before="40" w:after="40" w:line="240" w:lineRule="auto"/>
      <w:outlineLvl w:val="3"/>
    </w:pPr>
    <w:rPr>
      <w:rFonts w:ascii="Arial Bold" w:hAnsi="Arial Bold"/>
      <w:b/>
    </w:rPr>
  </w:style>
  <w:style w:type="paragraph" w:styleId="Heading5">
    <w:name w:val="heading 5"/>
    <w:basedOn w:val="Normal"/>
    <w:next w:val="Normal"/>
    <w:qFormat/>
    <w:rsid w:val="00814C36"/>
    <w:pPr>
      <w:keepNext/>
      <w:numPr>
        <w:ilvl w:val="4"/>
        <w:numId w:val="3"/>
      </w:numPr>
      <w:outlineLvl w:val="4"/>
    </w:pPr>
    <w:rPr>
      <w:b/>
      <w:u w:val="single"/>
    </w:rPr>
  </w:style>
  <w:style w:type="paragraph" w:styleId="Heading6">
    <w:name w:val="heading 6"/>
    <w:basedOn w:val="Normal"/>
    <w:next w:val="Normal"/>
    <w:qFormat/>
    <w:rsid w:val="00814C36"/>
    <w:pPr>
      <w:keepNext/>
      <w:numPr>
        <w:ilvl w:val="5"/>
        <w:numId w:val="3"/>
      </w:numPr>
      <w:outlineLvl w:val="5"/>
    </w:pPr>
    <w:rPr>
      <w:b/>
    </w:rPr>
  </w:style>
  <w:style w:type="paragraph" w:styleId="Heading7">
    <w:name w:val="heading 7"/>
    <w:basedOn w:val="Normal"/>
    <w:next w:val="Normal"/>
    <w:qFormat/>
    <w:rsid w:val="00814C36"/>
    <w:pPr>
      <w:numPr>
        <w:ilvl w:val="6"/>
        <w:numId w:val="3"/>
      </w:numPr>
      <w:spacing w:before="240" w:after="60"/>
      <w:outlineLvl w:val="6"/>
    </w:pPr>
  </w:style>
  <w:style w:type="paragraph" w:styleId="Heading8">
    <w:name w:val="heading 8"/>
    <w:basedOn w:val="Normal"/>
    <w:next w:val="Normal"/>
    <w:qFormat/>
    <w:rsid w:val="00814C36"/>
    <w:pPr>
      <w:numPr>
        <w:ilvl w:val="7"/>
        <w:numId w:val="3"/>
      </w:numPr>
      <w:spacing w:before="240" w:after="60"/>
      <w:outlineLvl w:val="7"/>
    </w:pPr>
    <w:rPr>
      <w:i/>
    </w:rPr>
  </w:style>
  <w:style w:type="paragraph" w:styleId="Heading9">
    <w:name w:val="heading 9"/>
    <w:basedOn w:val="Normal"/>
    <w:next w:val="Normal"/>
    <w:qFormat/>
    <w:rsid w:val="00814C36"/>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FD46CC"/>
    <w:pPr>
      <w:spacing w:before="0" w:after="0" w:line="240" w:lineRule="auto"/>
    </w:pPr>
  </w:style>
  <w:style w:type="paragraph" w:customStyle="1" w:styleId="ChartMainHeading">
    <w:name w:val="Chart Main Heading"/>
    <w:basedOn w:val="SingleParagraph"/>
    <w:next w:val="Normal"/>
    <w:rsid w:val="00FB694C"/>
    <w:pPr>
      <w:spacing w:before="240" w:after="40"/>
      <w:ind w:left="567"/>
      <w:jc w:val="center"/>
    </w:pPr>
    <w:rPr>
      <w:b/>
    </w:rPr>
  </w:style>
  <w:style w:type="paragraph" w:customStyle="1" w:styleId="ChartSecondHeading">
    <w:name w:val="Chart Second Heading"/>
    <w:basedOn w:val="SingleParagraph"/>
    <w:next w:val="Normal"/>
    <w:rsid w:val="00CA109A"/>
    <w:pPr>
      <w:jc w:val="center"/>
    </w:pPr>
  </w:style>
  <w:style w:type="paragraph" w:customStyle="1" w:styleId="TableMainHeading">
    <w:name w:val="Table Main Heading"/>
    <w:basedOn w:val="ChartMainHeading"/>
    <w:next w:val="Normal"/>
    <w:rsid w:val="00460C0E"/>
    <w:pPr>
      <w:jc w:val="left"/>
    </w:pPr>
  </w:style>
  <w:style w:type="paragraph" w:styleId="Header">
    <w:name w:val="header"/>
    <w:basedOn w:val="Normal"/>
    <w:rsid w:val="005D3941"/>
    <w:pPr>
      <w:tabs>
        <w:tab w:val="center" w:pos="4153"/>
        <w:tab w:val="right" w:pos="8306"/>
      </w:tabs>
    </w:pPr>
    <w:rPr>
      <w:b/>
    </w:rPr>
  </w:style>
  <w:style w:type="paragraph" w:styleId="Footer">
    <w:name w:val="footer"/>
    <w:basedOn w:val="Normal"/>
    <w:link w:val="FooterChar"/>
    <w:uiPriority w:val="99"/>
    <w:rsid w:val="005D3941"/>
    <w:pPr>
      <w:tabs>
        <w:tab w:val="center" w:pos="4153"/>
        <w:tab w:val="right" w:pos="8306"/>
      </w:tabs>
    </w:pPr>
  </w:style>
  <w:style w:type="paragraph" w:styleId="BodyText">
    <w:name w:val="Body Text"/>
    <w:aliases w:val="Body Text Char"/>
    <w:basedOn w:val="Normal"/>
    <w:rsid w:val="00AB6383"/>
    <w:pPr>
      <w:numPr>
        <w:ilvl w:val="2"/>
        <w:numId w:val="14"/>
      </w:numPr>
      <w:tabs>
        <w:tab w:val="left" w:pos="567"/>
      </w:tabs>
      <w:ind w:left="567" w:hanging="567"/>
    </w:pPr>
  </w:style>
  <w:style w:type="paragraph" w:customStyle="1" w:styleId="Bullet">
    <w:name w:val="Bullet"/>
    <w:basedOn w:val="Normal"/>
    <w:rsid w:val="00FD46CC"/>
    <w:pPr>
      <w:numPr>
        <w:numId w:val="1"/>
      </w:numPr>
      <w:tabs>
        <w:tab w:val="clear" w:pos="1418"/>
        <w:tab w:val="num" w:pos="567"/>
      </w:tabs>
      <w:ind w:left="567"/>
    </w:pPr>
  </w:style>
  <w:style w:type="paragraph" w:styleId="Caption">
    <w:name w:val="caption"/>
    <w:basedOn w:val="Normal"/>
    <w:next w:val="BodyText"/>
    <w:qFormat/>
    <w:rsid w:val="005D3941"/>
    <w:pPr>
      <w:keepNext/>
    </w:pPr>
    <w:rPr>
      <w:u w:val="single"/>
    </w:rPr>
  </w:style>
  <w:style w:type="character" w:styleId="FootnoteReference">
    <w:name w:val="footnote reference"/>
    <w:basedOn w:val="DefaultParagraphFont"/>
    <w:rsid w:val="005D3941"/>
    <w:rPr>
      <w:vertAlign w:val="superscript"/>
    </w:rPr>
  </w:style>
  <w:style w:type="paragraph" w:styleId="FootnoteText">
    <w:name w:val="footnote text"/>
    <w:basedOn w:val="Normal"/>
    <w:rsid w:val="005D3941"/>
    <w:pPr>
      <w:spacing w:after="240"/>
    </w:pPr>
    <w:rPr>
      <w:sz w:val="18"/>
    </w:rPr>
  </w:style>
  <w:style w:type="character" w:styleId="Hyperlink">
    <w:name w:val="Hyperlink"/>
    <w:basedOn w:val="DefaultParagraphFont"/>
    <w:uiPriority w:val="99"/>
    <w:rsid w:val="00EE7300"/>
    <w:rPr>
      <w:rFonts w:ascii="Arial" w:hAnsi="Arial"/>
      <w:color w:val="0000FF"/>
      <w:sz w:val="20"/>
      <w:szCs w:val="20"/>
      <w:u w:val="single"/>
    </w:rPr>
  </w:style>
  <w:style w:type="character" w:styleId="PageNumber">
    <w:name w:val="page number"/>
    <w:basedOn w:val="DefaultParagraphFont"/>
    <w:rsid w:val="005D3941"/>
  </w:style>
  <w:style w:type="paragraph" w:customStyle="1" w:styleId="ReportTitle">
    <w:name w:val="Report Title"/>
    <w:basedOn w:val="Normal"/>
    <w:rsid w:val="001F31B5"/>
    <w:pPr>
      <w:spacing w:before="0" w:after="720"/>
      <w:jc w:val="center"/>
    </w:pPr>
    <w:rPr>
      <w:b/>
      <w:caps/>
      <w:color w:val="943634" w:themeColor="accent2" w:themeShade="BF"/>
      <w:sz w:val="42"/>
    </w:rPr>
  </w:style>
  <w:style w:type="paragraph" w:customStyle="1" w:styleId="signaturename">
    <w:name w:val="signature name"/>
    <w:basedOn w:val="Normal"/>
    <w:next w:val="Normal"/>
    <w:rsid w:val="005D3941"/>
    <w:pPr>
      <w:spacing w:before="1200" w:after="0"/>
    </w:pPr>
  </w:style>
  <w:style w:type="paragraph" w:customStyle="1" w:styleId="signaturetitle">
    <w:name w:val="signature title"/>
    <w:basedOn w:val="Normal"/>
    <w:next w:val="Normal"/>
    <w:rsid w:val="00E31EFE"/>
    <w:pPr>
      <w:spacing w:before="240" w:after="0"/>
    </w:pPr>
  </w:style>
  <w:style w:type="paragraph" w:customStyle="1" w:styleId="table">
    <w:name w:val="table"/>
    <w:basedOn w:val="Normal"/>
    <w:rsid w:val="005D3941"/>
    <w:pPr>
      <w:spacing w:before="100"/>
      <w:ind w:left="113"/>
    </w:pPr>
  </w:style>
  <w:style w:type="paragraph" w:customStyle="1" w:styleId="TableofContentsTitle">
    <w:name w:val="Table of Contents Title"/>
    <w:basedOn w:val="Normal"/>
    <w:next w:val="Normal"/>
    <w:rsid w:val="005D3941"/>
    <w:rPr>
      <w:b/>
      <w:caps/>
      <w:sz w:val="28"/>
    </w:rPr>
  </w:style>
  <w:style w:type="paragraph" w:styleId="TableofFigures">
    <w:name w:val="table of figures"/>
    <w:basedOn w:val="Normal"/>
    <w:next w:val="Normal"/>
    <w:semiHidden/>
    <w:rsid w:val="005D3941"/>
    <w:pPr>
      <w:tabs>
        <w:tab w:val="left" w:pos="851"/>
        <w:tab w:val="right" w:pos="8307"/>
      </w:tabs>
      <w:ind w:left="851" w:right="567" w:hanging="851"/>
    </w:pPr>
  </w:style>
  <w:style w:type="paragraph" w:customStyle="1" w:styleId="TableText">
    <w:name w:val="Table Text"/>
    <w:basedOn w:val="BodyText"/>
    <w:rsid w:val="001F40FE"/>
    <w:pPr>
      <w:numPr>
        <w:ilvl w:val="0"/>
        <w:numId w:val="0"/>
      </w:numPr>
      <w:spacing w:before="60" w:after="60"/>
    </w:pPr>
  </w:style>
  <w:style w:type="paragraph" w:styleId="TOC1">
    <w:name w:val="toc 1"/>
    <w:basedOn w:val="Normal"/>
    <w:next w:val="Normal"/>
    <w:uiPriority w:val="39"/>
    <w:rsid w:val="000A35B7"/>
    <w:pPr>
      <w:tabs>
        <w:tab w:val="left" w:pos="1134"/>
        <w:tab w:val="right" w:leader="dot" w:pos="7711"/>
      </w:tabs>
      <w:spacing w:before="120" w:after="40"/>
    </w:pPr>
    <w:rPr>
      <w:rFonts w:ascii="Arial Bold" w:hAnsi="Arial Bold" w:cs="Arial"/>
      <w:b/>
      <w:bCs/>
      <w:color w:val="000000" w:themeColor="text1"/>
      <w:szCs w:val="24"/>
    </w:rPr>
  </w:style>
  <w:style w:type="paragraph" w:styleId="TOC2">
    <w:name w:val="toc 2"/>
    <w:basedOn w:val="Normal"/>
    <w:next w:val="Normal"/>
    <w:uiPriority w:val="39"/>
    <w:rsid w:val="000A35B7"/>
    <w:pPr>
      <w:tabs>
        <w:tab w:val="right" w:leader="dot" w:pos="7711"/>
      </w:tabs>
      <w:spacing w:before="60" w:after="60" w:line="260" w:lineRule="atLeast"/>
      <w:ind w:left="397" w:right="1134"/>
    </w:pPr>
    <w:rPr>
      <w:bCs/>
      <w:color w:val="943634" w:themeColor="accent2" w:themeShade="BF"/>
    </w:rPr>
  </w:style>
  <w:style w:type="paragraph" w:styleId="TOC3">
    <w:name w:val="toc 3"/>
    <w:basedOn w:val="Normal"/>
    <w:next w:val="Normal"/>
    <w:rsid w:val="005D3941"/>
    <w:pPr>
      <w:spacing w:before="0" w:after="0"/>
      <w:ind w:left="220"/>
    </w:pPr>
    <w:rPr>
      <w:rFonts w:ascii="Times New Roman" w:hAnsi="Times New Roman"/>
    </w:rPr>
  </w:style>
  <w:style w:type="paragraph" w:styleId="TOC4">
    <w:name w:val="toc 4"/>
    <w:basedOn w:val="Normal"/>
    <w:next w:val="Normal"/>
    <w:rsid w:val="005D3941"/>
    <w:pPr>
      <w:spacing w:before="0" w:after="0"/>
      <w:ind w:left="440"/>
    </w:pPr>
    <w:rPr>
      <w:rFonts w:ascii="Times New Roman" w:hAnsi="Times New Roman"/>
    </w:rPr>
  </w:style>
  <w:style w:type="paragraph" w:styleId="TOC5">
    <w:name w:val="toc 5"/>
    <w:basedOn w:val="Normal"/>
    <w:next w:val="Normal"/>
    <w:semiHidden/>
    <w:rsid w:val="005D3941"/>
    <w:pPr>
      <w:spacing w:before="0" w:after="0"/>
      <w:ind w:left="660"/>
    </w:pPr>
    <w:rPr>
      <w:rFonts w:ascii="Times New Roman" w:hAnsi="Times New Roman"/>
    </w:rPr>
  </w:style>
  <w:style w:type="paragraph" w:styleId="TOC6">
    <w:name w:val="toc 6"/>
    <w:basedOn w:val="Normal"/>
    <w:next w:val="Normal"/>
    <w:semiHidden/>
    <w:rsid w:val="005D3941"/>
    <w:pPr>
      <w:spacing w:before="0" w:after="0"/>
      <w:ind w:left="880"/>
    </w:pPr>
    <w:rPr>
      <w:rFonts w:ascii="Times New Roman" w:hAnsi="Times New Roman"/>
    </w:rPr>
  </w:style>
  <w:style w:type="paragraph" w:styleId="TOC7">
    <w:name w:val="toc 7"/>
    <w:basedOn w:val="Normal"/>
    <w:next w:val="Normal"/>
    <w:semiHidden/>
    <w:rsid w:val="005D3941"/>
    <w:pPr>
      <w:spacing w:before="0" w:after="0"/>
      <w:ind w:left="1100"/>
    </w:pPr>
    <w:rPr>
      <w:rFonts w:ascii="Times New Roman" w:hAnsi="Times New Roman"/>
    </w:rPr>
  </w:style>
  <w:style w:type="paragraph" w:styleId="TOC8">
    <w:name w:val="toc 8"/>
    <w:basedOn w:val="Normal"/>
    <w:next w:val="Normal"/>
    <w:semiHidden/>
    <w:rsid w:val="005D3941"/>
    <w:pPr>
      <w:spacing w:before="0" w:after="0"/>
      <w:ind w:left="1320"/>
    </w:pPr>
    <w:rPr>
      <w:rFonts w:ascii="Times New Roman" w:hAnsi="Times New Roman"/>
    </w:rPr>
  </w:style>
  <w:style w:type="paragraph" w:styleId="TOC9">
    <w:name w:val="toc 9"/>
    <w:basedOn w:val="Normal"/>
    <w:next w:val="Normal"/>
    <w:semiHidden/>
    <w:rsid w:val="005D3941"/>
    <w:pPr>
      <w:spacing w:before="0" w:after="0"/>
      <w:ind w:left="1540"/>
    </w:pPr>
    <w:rPr>
      <w:rFonts w:ascii="Times New Roman" w:hAnsi="Times New Roman"/>
    </w:rPr>
  </w:style>
  <w:style w:type="paragraph" w:customStyle="1" w:styleId="Dash">
    <w:name w:val="Dash"/>
    <w:basedOn w:val="Normal"/>
    <w:rsid w:val="005F3F4D"/>
    <w:pPr>
      <w:numPr>
        <w:ilvl w:val="1"/>
        <w:numId w:val="1"/>
      </w:numPr>
    </w:pPr>
  </w:style>
  <w:style w:type="paragraph" w:customStyle="1" w:styleId="DoubleDot">
    <w:name w:val="Double Dot"/>
    <w:basedOn w:val="Normal"/>
    <w:rsid w:val="005F3F4D"/>
    <w:pPr>
      <w:numPr>
        <w:ilvl w:val="2"/>
        <w:numId w:val="1"/>
      </w:numPr>
    </w:pPr>
  </w:style>
  <w:style w:type="table" w:styleId="TableGrid">
    <w:name w:val="Table Grid"/>
    <w:basedOn w:val="TableNormal"/>
    <w:rsid w:val="00D72B8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Table">
    <w:name w:val="Std Table"/>
    <w:basedOn w:val="TableNormal"/>
    <w:rsid w:val="00D72B83"/>
    <w:pPr>
      <w:spacing w:before="120" w:after="120"/>
    </w:pPr>
    <w:rPr>
      <w:rFonts w:ascii="Trebuchet MS" w:hAnsi="Trebuchet MS"/>
    </w:rPr>
    <w:tblPr>
      <w:tblBorders>
        <w:top w:val="double" w:sz="4" w:space="0" w:color="auto"/>
        <w:left w:val="double" w:sz="4" w:space="0" w:color="auto"/>
        <w:bottom w:val="double" w:sz="4" w:space="0" w:color="auto"/>
        <w:right w:val="double" w:sz="4" w:space="0" w:color="auto"/>
      </w:tblBorders>
    </w:tblPr>
    <w:tblStylePr w:type="firstRow">
      <w:pPr>
        <w:wordWrap/>
        <w:spacing w:beforeLines="0"/>
        <w:jc w:val="center"/>
      </w:pPr>
      <w:rPr>
        <w:rFonts w:ascii="Book Antiqua" w:hAnsi="Book Antiqua"/>
        <w:b/>
        <w:i w:val="0"/>
        <w:sz w:val="24"/>
        <w:szCs w:val="24"/>
      </w:rPr>
    </w:tblStylePr>
  </w:style>
  <w:style w:type="paragraph" w:customStyle="1" w:styleId="NoNumber">
    <w:name w:val="No Number"/>
    <w:basedOn w:val="Normal"/>
    <w:rsid w:val="00D72B83"/>
    <w:pPr>
      <w:ind w:left="851"/>
    </w:pPr>
  </w:style>
  <w:style w:type="paragraph" w:customStyle="1" w:styleId="Appendix">
    <w:name w:val="Appendix"/>
    <w:basedOn w:val="Normal"/>
    <w:next w:val="BodyText"/>
    <w:rsid w:val="000A2DB0"/>
    <w:rPr>
      <w:b/>
      <w:sz w:val="28"/>
      <w:szCs w:val="28"/>
    </w:rPr>
  </w:style>
  <w:style w:type="paragraph" w:styleId="BodyText2">
    <w:name w:val="Body Text 2"/>
    <w:basedOn w:val="Normal"/>
    <w:rsid w:val="00EA656B"/>
    <w:pPr>
      <w:numPr>
        <w:ilvl w:val="3"/>
        <w:numId w:val="4"/>
      </w:numPr>
    </w:pPr>
  </w:style>
  <w:style w:type="paragraph" w:customStyle="1" w:styleId="NumberedParagraph">
    <w:name w:val="Numbered Paragraph"/>
    <w:basedOn w:val="Normal"/>
    <w:rsid w:val="005F2146"/>
    <w:pPr>
      <w:numPr>
        <w:numId w:val="2"/>
      </w:numPr>
      <w:tabs>
        <w:tab w:val="right" w:pos="9020"/>
      </w:tabs>
      <w:jc w:val="right"/>
    </w:pPr>
  </w:style>
  <w:style w:type="paragraph" w:styleId="BalloonText">
    <w:name w:val="Balloon Text"/>
    <w:basedOn w:val="Normal"/>
    <w:link w:val="BalloonTextChar"/>
    <w:rsid w:val="00F330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3081"/>
    <w:rPr>
      <w:rFonts w:ascii="Tahoma" w:hAnsi="Tahoma" w:cs="Tahoma"/>
      <w:sz w:val="16"/>
      <w:szCs w:val="16"/>
      <w:lang w:eastAsia="en-US"/>
    </w:rPr>
  </w:style>
  <w:style w:type="paragraph" w:customStyle="1" w:styleId="Heading2nonumbering">
    <w:name w:val="Heading 2 no numbering"/>
    <w:basedOn w:val="Heading2"/>
    <w:rsid w:val="00B65927"/>
    <w:pPr>
      <w:numPr>
        <w:ilvl w:val="0"/>
        <w:numId w:val="0"/>
      </w:numPr>
      <w:spacing w:before="360" w:after="180" w:line="240" w:lineRule="auto"/>
      <w:jc w:val="left"/>
    </w:pPr>
    <w:rPr>
      <w:rFonts w:ascii="Arial Bold" w:hAnsi="Arial Bold" w:cs="Arial"/>
      <w:bCs/>
      <w:i w:val="0"/>
      <w:iCs/>
      <w:color w:val="9B0014"/>
      <w:spacing w:val="-4"/>
      <w:sz w:val="27"/>
      <w:szCs w:val="22"/>
      <w:lang w:eastAsia="en-AU"/>
    </w:rPr>
  </w:style>
  <w:style w:type="paragraph" w:customStyle="1" w:styleId="Bulletindent">
    <w:name w:val="Bullet indent"/>
    <w:basedOn w:val="Bullet"/>
    <w:rsid w:val="00AB6383"/>
    <w:pPr>
      <w:tabs>
        <w:tab w:val="clear" w:pos="567"/>
        <w:tab w:val="left" w:pos="964"/>
      </w:tabs>
      <w:spacing w:line="300" w:lineRule="exact"/>
      <w:ind w:left="964" w:hanging="397"/>
    </w:pPr>
    <w:rPr>
      <w:color w:val="000000"/>
      <w:lang w:eastAsia="en-AU"/>
    </w:rPr>
  </w:style>
  <w:style w:type="paragraph" w:customStyle="1" w:styleId="Note">
    <w:name w:val="Note"/>
    <w:basedOn w:val="Normal"/>
    <w:rsid w:val="00943323"/>
    <w:pPr>
      <w:numPr>
        <w:numId w:val="13"/>
      </w:numPr>
      <w:spacing w:before="0" w:after="0" w:line="240" w:lineRule="auto"/>
    </w:pPr>
    <w:rPr>
      <w:color w:val="000000"/>
      <w:sz w:val="16"/>
      <w:lang w:eastAsia="en-AU"/>
    </w:rPr>
  </w:style>
  <w:style w:type="paragraph" w:customStyle="1" w:styleId="TableColumnHeadingLeft">
    <w:name w:val="Table Column Heading Left"/>
    <w:basedOn w:val="Normal"/>
    <w:rsid w:val="009616A2"/>
    <w:pPr>
      <w:spacing w:before="40" w:after="40" w:line="240" w:lineRule="auto"/>
      <w:jc w:val="left"/>
    </w:pPr>
    <w:rPr>
      <w:b/>
      <w:color w:val="000000"/>
      <w:sz w:val="18"/>
      <w:lang w:eastAsia="en-AU"/>
    </w:rPr>
  </w:style>
  <w:style w:type="paragraph" w:customStyle="1" w:styleId="TableColumnHeadingRight">
    <w:name w:val="Table Column Heading Right"/>
    <w:basedOn w:val="Normal"/>
    <w:rsid w:val="009616A2"/>
    <w:pPr>
      <w:spacing w:before="40" w:after="40" w:line="240" w:lineRule="auto"/>
      <w:jc w:val="right"/>
    </w:pPr>
    <w:rPr>
      <w:b/>
      <w:color w:val="000000"/>
      <w:sz w:val="18"/>
      <w:lang w:eastAsia="en-AU"/>
    </w:rPr>
  </w:style>
  <w:style w:type="paragraph" w:customStyle="1" w:styleId="TableTextLeft">
    <w:name w:val="Table Text Left"/>
    <w:basedOn w:val="Normal"/>
    <w:rsid w:val="009616A2"/>
    <w:pPr>
      <w:spacing w:before="40" w:after="40" w:line="240" w:lineRule="auto"/>
      <w:jc w:val="left"/>
    </w:pPr>
    <w:rPr>
      <w:color w:val="000000"/>
      <w:sz w:val="18"/>
      <w:lang w:eastAsia="en-AU"/>
    </w:rPr>
  </w:style>
  <w:style w:type="paragraph" w:customStyle="1" w:styleId="TableTextRight">
    <w:name w:val="Table Text Right"/>
    <w:basedOn w:val="Normal"/>
    <w:rsid w:val="009616A2"/>
    <w:pPr>
      <w:spacing w:before="40" w:after="40" w:line="240" w:lineRule="auto"/>
      <w:jc w:val="right"/>
    </w:pPr>
    <w:rPr>
      <w:color w:val="000000"/>
      <w:sz w:val="18"/>
      <w:lang w:eastAsia="en-AU"/>
    </w:rPr>
  </w:style>
  <w:style w:type="paragraph" w:customStyle="1" w:styleId="ChartGraphic">
    <w:name w:val="Chart Graphic"/>
    <w:basedOn w:val="Normal"/>
    <w:rsid w:val="00943323"/>
    <w:pPr>
      <w:keepNext/>
      <w:spacing w:before="0" w:after="0" w:line="240" w:lineRule="auto"/>
      <w:jc w:val="center"/>
    </w:pPr>
    <w:rPr>
      <w:color w:val="9B0014"/>
      <w:lang w:eastAsia="en-AU"/>
    </w:rPr>
  </w:style>
  <w:style w:type="paragraph" w:customStyle="1" w:styleId="Normalnumbering">
    <w:name w:val="Normal numbering"/>
    <w:basedOn w:val="Normal"/>
    <w:rsid w:val="00943323"/>
    <w:pPr>
      <w:tabs>
        <w:tab w:val="num" w:pos="567"/>
      </w:tabs>
      <w:spacing w:before="0" w:after="240" w:line="260" w:lineRule="exact"/>
      <w:ind w:left="567" w:hanging="567"/>
    </w:pPr>
    <w:rPr>
      <w:color w:val="000000"/>
      <w:lang w:eastAsia="en-AU"/>
    </w:rPr>
  </w:style>
  <w:style w:type="paragraph" w:customStyle="1" w:styleId="Heading2nonumber">
    <w:name w:val="Heading 2 no number"/>
    <w:basedOn w:val="Normal"/>
    <w:semiHidden/>
    <w:rsid w:val="00943323"/>
    <w:pPr>
      <w:tabs>
        <w:tab w:val="num" w:pos="960"/>
      </w:tabs>
      <w:spacing w:after="240" w:line="260" w:lineRule="exact"/>
      <w:ind w:left="960" w:hanging="850"/>
    </w:pPr>
    <w:rPr>
      <w:rFonts w:ascii="Arial Bold" w:hAnsi="Arial Bold"/>
      <w:b/>
      <w:i/>
      <w:color w:val="9B0014"/>
      <w:sz w:val="24"/>
      <w:szCs w:val="24"/>
      <w:lang w:eastAsia="en-AU"/>
    </w:rPr>
  </w:style>
  <w:style w:type="paragraph" w:customStyle="1" w:styleId="NormalIndent2">
    <w:name w:val="Normal Indent 2"/>
    <w:basedOn w:val="NormalIndent"/>
    <w:rsid w:val="00B1781D"/>
    <w:pPr>
      <w:spacing w:before="0" w:after="240" w:line="300" w:lineRule="exact"/>
      <w:ind w:left="964"/>
    </w:pPr>
    <w:rPr>
      <w:color w:val="000000"/>
      <w:lang w:eastAsia="en-AU"/>
    </w:rPr>
  </w:style>
  <w:style w:type="paragraph" w:styleId="NormalIndent">
    <w:name w:val="Normal Indent"/>
    <w:basedOn w:val="Normal"/>
    <w:rsid w:val="00943323"/>
    <w:pPr>
      <w:ind w:left="720"/>
    </w:pPr>
  </w:style>
  <w:style w:type="paragraph" w:customStyle="1" w:styleId="numberingindented">
    <w:name w:val="numbering indented"/>
    <w:basedOn w:val="Normal"/>
    <w:rsid w:val="00532B49"/>
    <w:pPr>
      <w:numPr>
        <w:numId w:val="12"/>
      </w:numPr>
      <w:spacing w:before="0" w:line="260" w:lineRule="exact"/>
    </w:pPr>
    <w:rPr>
      <w:color w:val="000000"/>
      <w:lang w:eastAsia="en-AU"/>
    </w:rPr>
  </w:style>
  <w:style w:type="paragraph" w:customStyle="1" w:styleId="TableColumnHeadingCentred">
    <w:name w:val="Table Column Heading Centred"/>
    <w:basedOn w:val="Normal"/>
    <w:rsid w:val="009616A2"/>
    <w:pPr>
      <w:spacing w:before="40" w:after="40" w:line="240" w:lineRule="auto"/>
      <w:jc w:val="center"/>
    </w:pPr>
    <w:rPr>
      <w:b/>
      <w:color w:val="000000"/>
      <w:sz w:val="18"/>
      <w:lang w:eastAsia="en-AU"/>
    </w:rPr>
  </w:style>
  <w:style w:type="paragraph" w:customStyle="1" w:styleId="Heading3nonumbering">
    <w:name w:val="Heading 3 no numbering"/>
    <w:basedOn w:val="Normal"/>
    <w:link w:val="Heading3nonumberingChar"/>
    <w:rsid w:val="00B65927"/>
    <w:pPr>
      <w:spacing w:before="360" w:after="180" w:line="260" w:lineRule="exact"/>
      <w:jc w:val="left"/>
      <w:outlineLvl w:val="2"/>
    </w:pPr>
    <w:rPr>
      <w:rFonts w:ascii="Arial Bold" w:hAnsi="Arial Bold"/>
      <w:b/>
      <w:color w:val="9B0014"/>
      <w:sz w:val="23"/>
      <w:szCs w:val="24"/>
      <w:lang w:eastAsia="en-AU"/>
    </w:rPr>
  </w:style>
  <w:style w:type="paragraph" w:styleId="List">
    <w:name w:val="List"/>
    <w:basedOn w:val="Normal"/>
    <w:rsid w:val="00052A87"/>
    <w:pPr>
      <w:spacing w:before="0" w:after="240" w:line="240" w:lineRule="auto"/>
      <w:ind w:left="360" w:hanging="360"/>
      <w:jc w:val="left"/>
    </w:pPr>
    <w:rPr>
      <w:rFonts w:ascii="Times New Roman" w:hAnsi="Times New Roman"/>
      <w:color w:val="000000"/>
      <w:sz w:val="24"/>
      <w:lang w:val="en-GB" w:eastAsia="en-AU"/>
    </w:rPr>
  </w:style>
  <w:style w:type="paragraph" w:styleId="List2">
    <w:name w:val="List 2"/>
    <w:basedOn w:val="Normal"/>
    <w:rsid w:val="00052A87"/>
    <w:pPr>
      <w:spacing w:before="0" w:after="240" w:line="240" w:lineRule="auto"/>
      <w:ind w:left="720" w:hanging="360"/>
      <w:jc w:val="left"/>
    </w:pPr>
    <w:rPr>
      <w:rFonts w:ascii="Times New Roman" w:hAnsi="Times New Roman"/>
      <w:color w:val="000000"/>
      <w:sz w:val="24"/>
      <w:lang w:val="en-GB" w:eastAsia="en-AU"/>
    </w:rPr>
  </w:style>
  <w:style w:type="paragraph" w:styleId="List3">
    <w:name w:val="List 3"/>
    <w:basedOn w:val="Normal"/>
    <w:rsid w:val="00052A87"/>
    <w:pPr>
      <w:spacing w:before="0" w:after="240" w:line="240" w:lineRule="auto"/>
      <w:ind w:left="1080" w:hanging="360"/>
      <w:jc w:val="left"/>
    </w:pPr>
    <w:rPr>
      <w:rFonts w:ascii="Times New Roman" w:hAnsi="Times New Roman"/>
      <w:color w:val="000000"/>
      <w:sz w:val="24"/>
      <w:lang w:val="en-GB" w:eastAsia="en-AU"/>
    </w:rPr>
  </w:style>
  <w:style w:type="paragraph" w:styleId="List4">
    <w:name w:val="List 4"/>
    <w:basedOn w:val="Normal"/>
    <w:rsid w:val="00052A87"/>
    <w:pPr>
      <w:spacing w:before="0" w:after="240" w:line="240" w:lineRule="auto"/>
      <w:ind w:left="1440" w:hanging="360"/>
      <w:jc w:val="left"/>
    </w:pPr>
    <w:rPr>
      <w:rFonts w:ascii="Times New Roman" w:hAnsi="Times New Roman"/>
      <w:color w:val="000000"/>
      <w:sz w:val="24"/>
      <w:lang w:val="en-GB" w:eastAsia="en-AU"/>
    </w:rPr>
  </w:style>
  <w:style w:type="paragraph" w:styleId="ListBullet">
    <w:name w:val="List Bullet"/>
    <w:basedOn w:val="Normal"/>
    <w:autoRedefine/>
    <w:rsid w:val="00052A87"/>
    <w:pPr>
      <w:tabs>
        <w:tab w:val="num" w:pos="360"/>
      </w:tabs>
      <w:spacing w:before="0" w:after="240" w:line="240" w:lineRule="auto"/>
      <w:ind w:left="360" w:hanging="360"/>
      <w:jc w:val="left"/>
    </w:pPr>
    <w:rPr>
      <w:rFonts w:ascii="Times New Roman" w:hAnsi="Times New Roman"/>
      <w:color w:val="000000"/>
      <w:sz w:val="24"/>
      <w:lang w:val="en-GB" w:eastAsia="en-AU"/>
    </w:rPr>
  </w:style>
  <w:style w:type="paragraph" w:styleId="ListBullet2">
    <w:name w:val="List Bullet 2"/>
    <w:basedOn w:val="Normal"/>
    <w:autoRedefine/>
    <w:rsid w:val="00052A87"/>
    <w:pPr>
      <w:tabs>
        <w:tab w:val="num" w:pos="720"/>
      </w:tabs>
      <w:spacing w:before="0" w:after="240" w:line="240" w:lineRule="auto"/>
      <w:ind w:left="720" w:hanging="360"/>
      <w:jc w:val="left"/>
    </w:pPr>
    <w:rPr>
      <w:rFonts w:ascii="Times New Roman" w:hAnsi="Times New Roman"/>
      <w:color w:val="000000"/>
      <w:sz w:val="24"/>
      <w:lang w:val="en-GB" w:eastAsia="en-AU"/>
    </w:rPr>
  </w:style>
  <w:style w:type="paragraph" w:styleId="ListBullet3">
    <w:name w:val="List Bullet 3"/>
    <w:basedOn w:val="Normal"/>
    <w:autoRedefine/>
    <w:rsid w:val="00052A87"/>
    <w:pPr>
      <w:tabs>
        <w:tab w:val="num" w:pos="1080"/>
      </w:tabs>
      <w:spacing w:before="0" w:after="240" w:line="240" w:lineRule="auto"/>
      <w:ind w:left="1080" w:hanging="360"/>
      <w:jc w:val="left"/>
    </w:pPr>
    <w:rPr>
      <w:rFonts w:ascii="Times New Roman" w:hAnsi="Times New Roman"/>
      <w:color w:val="000000"/>
      <w:sz w:val="24"/>
      <w:lang w:val="en-GB" w:eastAsia="en-AU"/>
    </w:rPr>
  </w:style>
  <w:style w:type="paragraph" w:styleId="ListBullet4">
    <w:name w:val="List Bullet 4"/>
    <w:basedOn w:val="Normal"/>
    <w:autoRedefine/>
    <w:rsid w:val="00052A87"/>
    <w:pPr>
      <w:tabs>
        <w:tab w:val="num" w:pos="1440"/>
      </w:tabs>
      <w:spacing w:before="0" w:after="240" w:line="240" w:lineRule="auto"/>
      <w:ind w:left="1440" w:hanging="360"/>
      <w:jc w:val="left"/>
    </w:pPr>
    <w:rPr>
      <w:rFonts w:ascii="Times New Roman" w:hAnsi="Times New Roman"/>
      <w:color w:val="000000"/>
      <w:sz w:val="24"/>
      <w:lang w:val="en-GB" w:eastAsia="en-AU"/>
    </w:rPr>
  </w:style>
  <w:style w:type="paragraph" w:styleId="ListBullet5">
    <w:name w:val="List Bullet 5"/>
    <w:basedOn w:val="Normal"/>
    <w:autoRedefine/>
    <w:rsid w:val="00052A87"/>
    <w:pPr>
      <w:tabs>
        <w:tab w:val="num" w:pos="1800"/>
      </w:tabs>
      <w:spacing w:before="0" w:after="240" w:line="240" w:lineRule="auto"/>
      <w:ind w:left="1800" w:hanging="360"/>
      <w:jc w:val="left"/>
    </w:pPr>
    <w:rPr>
      <w:rFonts w:ascii="Times New Roman" w:hAnsi="Times New Roman"/>
      <w:color w:val="000000"/>
      <w:sz w:val="24"/>
      <w:lang w:val="en-GB" w:eastAsia="en-AU"/>
    </w:rPr>
  </w:style>
  <w:style w:type="paragraph" w:styleId="BodyTextIndent">
    <w:name w:val="Body Text Indent"/>
    <w:basedOn w:val="Normal"/>
    <w:link w:val="BodyTextIndentChar"/>
    <w:rsid w:val="00052A87"/>
    <w:pPr>
      <w:spacing w:before="0" w:line="240" w:lineRule="auto"/>
      <w:ind w:left="284"/>
      <w:jc w:val="left"/>
    </w:pPr>
    <w:rPr>
      <w:color w:val="000000"/>
      <w:lang w:val="en-GB" w:eastAsia="en-AU"/>
    </w:rPr>
  </w:style>
  <w:style w:type="character" w:customStyle="1" w:styleId="BodyTextIndentChar">
    <w:name w:val="Body Text Indent Char"/>
    <w:basedOn w:val="DefaultParagraphFont"/>
    <w:link w:val="BodyTextIndent"/>
    <w:rsid w:val="00052A87"/>
    <w:rPr>
      <w:rFonts w:ascii="Arial" w:hAnsi="Arial"/>
      <w:color w:val="000000"/>
      <w:lang w:val="en-GB"/>
    </w:rPr>
  </w:style>
  <w:style w:type="paragraph" w:customStyle="1" w:styleId="ItalicHeading">
    <w:name w:val="ItalicHeading"/>
    <w:basedOn w:val="Normal"/>
    <w:rsid w:val="00052A87"/>
    <w:pPr>
      <w:keepNext/>
      <w:tabs>
        <w:tab w:val="num" w:pos="1418"/>
      </w:tabs>
      <w:spacing w:before="0" w:line="260" w:lineRule="exact"/>
      <w:ind w:left="108" w:hanging="108"/>
    </w:pPr>
    <w:rPr>
      <w:i/>
      <w:color w:val="9B0014"/>
      <w:lang w:eastAsia="en-AU"/>
    </w:rPr>
  </w:style>
  <w:style w:type="paragraph" w:customStyle="1" w:styleId="TableHeading">
    <w:name w:val="Table Heading"/>
    <w:basedOn w:val="Normal"/>
    <w:rsid w:val="00052A87"/>
    <w:pPr>
      <w:keepNext/>
      <w:spacing w:line="260" w:lineRule="exact"/>
      <w:jc w:val="left"/>
    </w:pPr>
    <w:rPr>
      <w:rFonts w:ascii="Arial Bold" w:hAnsi="Arial Bold" w:cs="Arial"/>
      <w:b/>
      <w:color w:val="9B0014"/>
      <w:lang w:eastAsia="en-AU"/>
    </w:rPr>
  </w:style>
  <w:style w:type="paragraph" w:customStyle="1" w:styleId="Tablecolumnheadings">
    <w:name w:val="Table column headings"/>
    <w:basedOn w:val="TableText"/>
    <w:rsid w:val="00052A87"/>
    <w:pPr>
      <w:spacing w:before="40" w:after="40" w:line="240" w:lineRule="auto"/>
    </w:pPr>
    <w:rPr>
      <w:b/>
      <w:color w:val="000000"/>
      <w:sz w:val="16"/>
      <w:lang w:eastAsia="en-AU"/>
    </w:rPr>
  </w:style>
  <w:style w:type="character" w:styleId="CommentReference">
    <w:name w:val="annotation reference"/>
    <w:basedOn w:val="DefaultParagraphFont"/>
    <w:rsid w:val="00052A87"/>
    <w:rPr>
      <w:sz w:val="16"/>
      <w:szCs w:val="16"/>
    </w:rPr>
  </w:style>
  <w:style w:type="paragraph" w:styleId="CommentText">
    <w:name w:val="annotation text"/>
    <w:basedOn w:val="Normal"/>
    <w:link w:val="CommentTextChar"/>
    <w:rsid w:val="00052A87"/>
    <w:pPr>
      <w:spacing w:before="0" w:after="240" w:line="260" w:lineRule="exact"/>
    </w:pPr>
    <w:rPr>
      <w:color w:val="000000"/>
      <w:lang w:eastAsia="en-AU"/>
    </w:rPr>
  </w:style>
  <w:style w:type="character" w:customStyle="1" w:styleId="CommentTextChar">
    <w:name w:val="Comment Text Char"/>
    <w:basedOn w:val="DefaultParagraphFont"/>
    <w:link w:val="CommentText"/>
    <w:rsid w:val="00052A87"/>
    <w:rPr>
      <w:rFonts w:ascii="Arial" w:hAnsi="Arial"/>
      <w:color w:val="000000"/>
    </w:rPr>
  </w:style>
  <w:style w:type="paragraph" w:styleId="CommentSubject">
    <w:name w:val="annotation subject"/>
    <w:basedOn w:val="CommentText"/>
    <w:next w:val="CommentText"/>
    <w:link w:val="CommentSubjectChar"/>
    <w:rsid w:val="00052A87"/>
    <w:rPr>
      <w:b/>
      <w:bCs/>
    </w:rPr>
  </w:style>
  <w:style w:type="character" w:customStyle="1" w:styleId="CommentSubjectChar">
    <w:name w:val="Comment Subject Char"/>
    <w:basedOn w:val="CommentTextChar"/>
    <w:link w:val="CommentSubject"/>
    <w:rsid w:val="00052A87"/>
    <w:rPr>
      <w:rFonts w:ascii="Arial" w:hAnsi="Arial"/>
      <w:b/>
      <w:bCs/>
      <w:color w:val="000000"/>
    </w:rPr>
  </w:style>
  <w:style w:type="paragraph" w:styleId="NormalWeb">
    <w:name w:val="Normal (Web)"/>
    <w:basedOn w:val="Normal"/>
    <w:rsid w:val="00052A87"/>
    <w:pPr>
      <w:spacing w:before="100" w:beforeAutospacing="1" w:after="100" w:afterAutospacing="1" w:line="240" w:lineRule="auto"/>
      <w:jc w:val="left"/>
    </w:pPr>
    <w:rPr>
      <w:color w:val="9B0014"/>
      <w:szCs w:val="24"/>
      <w:lang w:eastAsia="en-AU"/>
    </w:rPr>
  </w:style>
  <w:style w:type="paragraph" w:customStyle="1" w:styleId="Bulletindented">
    <w:name w:val="Bullet indented"/>
    <w:basedOn w:val="Bullet"/>
    <w:rsid w:val="00052A87"/>
    <w:pPr>
      <w:keepNext/>
      <w:keepLines/>
      <w:tabs>
        <w:tab w:val="num" w:pos="1417"/>
      </w:tabs>
      <w:spacing w:before="0" w:after="240" w:line="260" w:lineRule="exact"/>
      <w:ind w:left="1701"/>
    </w:pPr>
    <w:rPr>
      <w:color w:val="000000"/>
      <w:lang w:eastAsia="en-AU"/>
    </w:rPr>
  </w:style>
  <w:style w:type="paragraph" w:customStyle="1" w:styleId="Headingbase">
    <w:name w:val="Heading base"/>
    <w:basedOn w:val="Normal"/>
    <w:rsid w:val="00052A87"/>
    <w:pPr>
      <w:spacing w:before="0" w:after="240" w:line="260" w:lineRule="exact"/>
    </w:pPr>
    <w:rPr>
      <w:rFonts w:cs="Arial"/>
      <w:color w:val="000000"/>
      <w:lang w:eastAsia="en-AU"/>
    </w:rPr>
  </w:style>
  <w:style w:type="paragraph" w:customStyle="1" w:styleId="NormalnumberedChar">
    <w:name w:val="Normal numbered Char"/>
    <w:basedOn w:val="Normal"/>
    <w:link w:val="NormalnumberedCharChar"/>
    <w:rsid w:val="00052A87"/>
    <w:pPr>
      <w:numPr>
        <w:ilvl w:val="1"/>
        <w:numId w:val="5"/>
      </w:numPr>
      <w:spacing w:line="260" w:lineRule="exact"/>
    </w:pPr>
    <w:rPr>
      <w:color w:val="000000"/>
      <w:lang w:eastAsia="en-AU"/>
    </w:rPr>
  </w:style>
  <w:style w:type="character" w:customStyle="1" w:styleId="NormalnumberedCharChar">
    <w:name w:val="Normal numbered Char Char"/>
    <w:basedOn w:val="DefaultParagraphFont"/>
    <w:link w:val="NormalnumberedChar"/>
    <w:rsid w:val="00052A87"/>
    <w:rPr>
      <w:rFonts w:ascii="Arial" w:hAnsi="Arial"/>
      <w:color w:val="000000"/>
    </w:rPr>
  </w:style>
  <w:style w:type="paragraph" w:customStyle="1" w:styleId="Notes">
    <w:name w:val="Notes"/>
    <w:basedOn w:val="Normal"/>
    <w:next w:val="Normal"/>
    <w:rsid w:val="00052A87"/>
    <w:pPr>
      <w:spacing w:before="20" w:after="20" w:line="240" w:lineRule="auto"/>
      <w:ind w:left="284" w:hanging="284"/>
    </w:pPr>
    <w:rPr>
      <w:rFonts w:cs="Arial"/>
      <w:color w:val="000000"/>
      <w:sz w:val="18"/>
      <w:szCs w:val="18"/>
      <w:lang w:eastAsia="en-AU"/>
    </w:rPr>
  </w:style>
  <w:style w:type="paragraph" w:customStyle="1" w:styleId="Reportsubtitle">
    <w:name w:val="Report sub title"/>
    <w:basedOn w:val="Normal"/>
    <w:link w:val="ReportsubtitleChar"/>
    <w:rsid w:val="00052A87"/>
    <w:pPr>
      <w:spacing w:before="240" w:after="240" w:line="260" w:lineRule="exact"/>
      <w:jc w:val="right"/>
    </w:pPr>
    <w:rPr>
      <w:rFonts w:ascii="Arial Bold" w:hAnsi="Arial Bold"/>
      <w:b/>
      <w:color w:val="9B0014"/>
      <w:sz w:val="32"/>
      <w:szCs w:val="32"/>
      <w:lang w:eastAsia="en-AU"/>
    </w:rPr>
  </w:style>
  <w:style w:type="character" w:customStyle="1" w:styleId="ReportsubtitleChar">
    <w:name w:val="Report sub title Char"/>
    <w:basedOn w:val="DefaultParagraphFont"/>
    <w:link w:val="Reportsubtitle"/>
    <w:rsid w:val="00052A87"/>
    <w:rPr>
      <w:rFonts w:ascii="Arial Bold" w:hAnsi="Arial Bold"/>
      <w:b/>
      <w:color w:val="9B0014"/>
      <w:sz w:val="32"/>
      <w:szCs w:val="32"/>
    </w:rPr>
  </w:style>
  <w:style w:type="paragraph" w:customStyle="1" w:styleId="Indentnormal">
    <w:name w:val="Indent normal"/>
    <w:basedOn w:val="Normal"/>
    <w:rsid w:val="00052A87"/>
    <w:pPr>
      <w:spacing w:after="240" w:line="260" w:lineRule="exact"/>
      <w:ind w:left="567"/>
    </w:pPr>
    <w:rPr>
      <w:color w:val="000000"/>
      <w:lang w:eastAsia="en-AU"/>
    </w:rPr>
  </w:style>
  <w:style w:type="paragraph" w:styleId="Date">
    <w:name w:val="Date"/>
    <w:basedOn w:val="Normal"/>
    <w:next w:val="Normal"/>
    <w:link w:val="DateChar"/>
    <w:rsid w:val="00052A87"/>
    <w:pPr>
      <w:spacing w:before="0" w:after="240" w:line="240" w:lineRule="auto"/>
      <w:jc w:val="left"/>
    </w:pPr>
    <w:rPr>
      <w:rFonts w:ascii="Times New Roman" w:hAnsi="Times New Roman"/>
      <w:color w:val="000000"/>
      <w:sz w:val="24"/>
      <w:lang w:val="en-GB" w:eastAsia="en-AU"/>
    </w:rPr>
  </w:style>
  <w:style w:type="character" w:customStyle="1" w:styleId="DateChar">
    <w:name w:val="Date Char"/>
    <w:basedOn w:val="DefaultParagraphFont"/>
    <w:link w:val="Date"/>
    <w:rsid w:val="00052A87"/>
    <w:rPr>
      <w:color w:val="000000"/>
      <w:sz w:val="24"/>
      <w:lang w:val="en-GB"/>
    </w:rPr>
  </w:style>
  <w:style w:type="paragraph" w:styleId="ListContinue">
    <w:name w:val="List Continue"/>
    <w:basedOn w:val="Normal"/>
    <w:rsid w:val="00052A87"/>
    <w:pPr>
      <w:spacing w:before="0" w:line="240" w:lineRule="auto"/>
      <w:ind w:left="360"/>
      <w:jc w:val="left"/>
    </w:pPr>
    <w:rPr>
      <w:rFonts w:ascii="Times New Roman" w:hAnsi="Times New Roman"/>
      <w:color w:val="000000"/>
      <w:sz w:val="24"/>
      <w:lang w:val="en-GB" w:eastAsia="en-AU"/>
    </w:rPr>
  </w:style>
  <w:style w:type="paragraph" w:styleId="ListContinue5">
    <w:name w:val="List Continue 5"/>
    <w:basedOn w:val="Normal"/>
    <w:rsid w:val="00052A87"/>
    <w:pPr>
      <w:spacing w:before="0" w:line="240" w:lineRule="auto"/>
      <w:ind w:left="1800"/>
      <w:jc w:val="left"/>
    </w:pPr>
    <w:rPr>
      <w:rFonts w:ascii="Times New Roman" w:hAnsi="Times New Roman"/>
      <w:color w:val="000000"/>
      <w:sz w:val="24"/>
      <w:lang w:val="en-GB" w:eastAsia="en-AU"/>
    </w:rPr>
  </w:style>
  <w:style w:type="paragraph" w:styleId="PlainText">
    <w:name w:val="Plain Text"/>
    <w:basedOn w:val="Normal"/>
    <w:link w:val="PlainTextChar"/>
    <w:rsid w:val="00052A87"/>
    <w:pPr>
      <w:spacing w:before="0" w:after="240" w:line="240" w:lineRule="auto"/>
      <w:jc w:val="left"/>
    </w:pPr>
    <w:rPr>
      <w:color w:val="000000"/>
      <w:lang w:eastAsia="en-AU"/>
    </w:rPr>
  </w:style>
  <w:style w:type="character" w:customStyle="1" w:styleId="PlainTextChar">
    <w:name w:val="Plain Text Char"/>
    <w:basedOn w:val="DefaultParagraphFont"/>
    <w:link w:val="PlainText"/>
    <w:rsid w:val="00052A87"/>
    <w:rPr>
      <w:rFonts w:ascii="Arial" w:hAnsi="Arial"/>
      <w:color w:val="000000"/>
    </w:rPr>
  </w:style>
  <w:style w:type="paragraph" w:customStyle="1" w:styleId="defn">
    <w:name w:val="defn"/>
    <w:basedOn w:val="Normal"/>
    <w:rsid w:val="00052A87"/>
    <w:pPr>
      <w:tabs>
        <w:tab w:val="left" w:pos="3080"/>
        <w:tab w:val="left" w:pos="3520"/>
      </w:tabs>
      <w:spacing w:before="0" w:after="240" w:line="260" w:lineRule="exact"/>
      <w:ind w:left="3520" w:hanging="3080"/>
    </w:pPr>
    <w:rPr>
      <w:rFonts w:cs="Arial"/>
      <w:color w:val="000000"/>
      <w:lang w:eastAsia="en-AU"/>
    </w:rPr>
  </w:style>
  <w:style w:type="character" w:styleId="FollowedHyperlink">
    <w:name w:val="FollowedHyperlink"/>
    <w:basedOn w:val="DefaultParagraphFont"/>
    <w:rsid w:val="00052A87"/>
    <w:rPr>
      <w:color w:val="auto"/>
      <w:u w:val="none"/>
    </w:rPr>
  </w:style>
  <w:style w:type="paragraph" w:customStyle="1" w:styleId="-Dashindented">
    <w:name w:val="- Dash indented"/>
    <w:basedOn w:val="Normal"/>
    <w:rsid w:val="00052A87"/>
    <w:pPr>
      <w:numPr>
        <w:numId w:val="16"/>
      </w:numPr>
      <w:spacing w:before="0" w:after="240" w:line="260" w:lineRule="exact"/>
    </w:pPr>
    <w:rPr>
      <w:color w:val="000000"/>
      <w:lang w:eastAsia="en-AU"/>
    </w:rPr>
  </w:style>
  <w:style w:type="paragraph" w:customStyle="1" w:styleId="Dashindented">
    <w:name w:val="Dash indented"/>
    <w:basedOn w:val="Dash"/>
    <w:rsid w:val="00052A87"/>
    <w:pPr>
      <w:tabs>
        <w:tab w:val="clear" w:pos="1985"/>
        <w:tab w:val="left" w:pos="1134"/>
        <w:tab w:val="num" w:pos="1984"/>
      </w:tabs>
      <w:spacing w:before="0" w:after="240" w:line="260" w:lineRule="exact"/>
      <w:ind w:left="1701"/>
    </w:pPr>
    <w:rPr>
      <w:color w:val="000000"/>
      <w:lang w:eastAsia="en-AU"/>
    </w:rPr>
  </w:style>
  <w:style w:type="paragraph" w:customStyle="1" w:styleId="OutlineNumbered1">
    <w:name w:val="Outline Numbered 1"/>
    <w:basedOn w:val="Normal"/>
    <w:rsid w:val="00052A87"/>
    <w:pPr>
      <w:numPr>
        <w:numId w:val="25"/>
      </w:numPr>
      <w:spacing w:before="0" w:after="240" w:line="260" w:lineRule="exact"/>
    </w:pPr>
    <w:rPr>
      <w:color w:val="000000"/>
      <w:lang w:eastAsia="en-AU"/>
    </w:rPr>
  </w:style>
  <w:style w:type="paragraph" w:customStyle="1" w:styleId="Tabletextleft0">
    <w:name w:val="Table text left"/>
    <w:basedOn w:val="Normal"/>
    <w:rsid w:val="00052A87"/>
    <w:pPr>
      <w:spacing w:before="40" w:after="40" w:line="240" w:lineRule="auto"/>
      <w:jc w:val="left"/>
    </w:pPr>
    <w:rPr>
      <w:color w:val="000000"/>
      <w:sz w:val="18"/>
      <w:lang w:eastAsia="en-AU"/>
    </w:rPr>
  </w:style>
  <w:style w:type="paragraph" w:customStyle="1" w:styleId="Tabletextright0">
    <w:name w:val="Table text right"/>
    <w:basedOn w:val="Tabletextleft0"/>
    <w:rsid w:val="00052A87"/>
    <w:pPr>
      <w:jc w:val="right"/>
    </w:pPr>
  </w:style>
  <w:style w:type="paragraph" w:customStyle="1" w:styleId="Tabletextcentre">
    <w:name w:val="Table text centre"/>
    <w:basedOn w:val="Tabletextleft0"/>
    <w:rsid w:val="00052A87"/>
    <w:pPr>
      <w:jc w:val="center"/>
    </w:pPr>
  </w:style>
  <w:style w:type="paragraph" w:customStyle="1" w:styleId="Tablebullet">
    <w:name w:val="Table bullet"/>
    <w:basedOn w:val="Normal"/>
    <w:rsid w:val="00052A87"/>
    <w:pPr>
      <w:numPr>
        <w:numId w:val="18"/>
      </w:numPr>
      <w:spacing w:before="0" w:line="260" w:lineRule="exact"/>
    </w:pPr>
    <w:rPr>
      <w:color w:val="000000"/>
      <w:sz w:val="18"/>
      <w:lang w:eastAsia="en-AU"/>
    </w:rPr>
  </w:style>
  <w:style w:type="paragraph" w:customStyle="1" w:styleId="OutlineNumbered2">
    <w:name w:val="Outline Numbered 2"/>
    <w:basedOn w:val="Normal"/>
    <w:rsid w:val="00052A87"/>
    <w:pPr>
      <w:numPr>
        <w:ilvl w:val="1"/>
        <w:numId w:val="25"/>
      </w:numPr>
      <w:spacing w:before="0" w:after="240" w:line="260" w:lineRule="exact"/>
    </w:pPr>
    <w:rPr>
      <w:color w:val="000000"/>
      <w:lang w:eastAsia="en-AU"/>
    </w:rPr>
  </w:style>
  <w:style w:type="paragraph" w:customStyle="1" w:styleId="OutlineNumbered3">
    <w:name w:val="Outline Numbered 3"/>
    <w:basedOn w:val="Normal"/>
    <w:rsid w:val="00052A87"/>
    <w:pPr>
      <w:spacing w:before="0" w:after="240" w:line="260" w:lineRule="exact"/>
    </w:pPr>
    <w:rPr>
      <w:color w:val="000000"/>
      <w:lang w:eastAsia="en-AU"/>
    </w:rPr>
  </w:style>
  <w:style w:type="paragraph" w:customStyle="1" w:styleId="Tabledash">
    <w:name w:val="Table dash"/>
    <w:basedOn w:val="Tablebullet"/>
    <w:rsid w:val="00052A87"/>
    <w:pPr>
      <w:numPr>
        <w:numId w:val="17"/>
      </w:numPr>
    </w:pPr>
  </w:style>
  <w:style w:type="paragraph" w:customStyle="1" w:styleId="Heading3nonumber">
    <w:name w:val="Heading 3 no number"/>
    <w:basedOn w:val="Header"/>
    <w:semiHidden/>
    <w:rsid w:val="00052A87"/>
    <w:pPr>
      <w:keepNext/>
      <w:tabs>
        <w:tab w:val="clear" w:pos="4153"/>
        <w:tab w:val="clear" w:pos="8306"/>
      </w:tabs>
      <w:spacing w:before="240" w:line="240" w:lineRule="auto"/>
      <w:jc w:val="left"/>
    </w:pPr>
    <w:rPr>
      <w:rFonts w:ascii="Arial Bold" w:hAnsi="Arial Bold"/>
      <w:i/>
      <w:color w:val="9B0014"/>
      <w:sz w:val="22"/>
      <w:szCs w:val="22"/>
      <w:lang w:eastAsia="en-AU"/>
    </w:rPr>
  </w:style>
  <w:style w:type="paragraph" w:customStyle="1" w:styleId="Heading1nonumber">
    <w:name w:val="Heading 1 no number"/>
    <w:basedOn w:val="Heading1"/>
    <w:rsid w:val="00510749"/>
    <w:pPr>
      <w:pageBreakBefore w:val="0"/>
      <w:numPr>
        <w:numId w:val="0"/>
      </w:numPr>
      <w:spacing w:line="240" w:lineRule="auto"/>
    </w:pPr>
    <w:rPr>
      <w:rFonts w:cs="Arial"/>
      <w:bCs/>
      <w:kern w:val="32"/>
      <w:szCs w:val="36"/>
      <w:lang w:eastAsia="en-AU"/>
    </w:rPr>
  </w:style>
  <w:style w:type="paragraph" w:customStyle="1" w:styleId="AlphaParagraph">
    <w:name w:val="Alpha Paragraph"/>
    <w:basedOn w:val="Normal"/>
    <w:rsid w:val="00052A87"/>
    <w:pPr>
      <w:numPr>
        <w:numId w:val="19"/>
      </w:numPr>
      <w:spacing w:before="0" w:after="240" w:line="260" w:lineRule="exact"/>
    </w:pPr>
    <w:rPr>
      <w:color w:val="000000"/>
      <w:lang w:eastAsia="en-AU"/>
    </w:rPr>
  </w:style>
  <w:style w:type="paragraph" w:customStyle="1" w:styleId="HeadingBase0">
    <w:name w:val="Heading Base"/>
    <w:next w:val="Normal"/>
    <w:rsid w:val="00052A87"/>
    <w:pPr>
      <w:keepNext/>
    </w:pPr>
    <w:rPr>
      <w:rFonts w:ascii="Arial" w:hAnsi="Arial"/>
      <w:color w:val="9B0014"/>
    </w:rPr>
  </w:style>
  <w:style w:type="paragraph" w:customStyle="1" w:styleId="AppendixHeading">
    <w:name w:val="Appendix Heading"/>
    <w:basedOn w:val="HeadingBase0"/>
    <w:next w:val="Normal"/>
    <w:rsid w:val="00FD46CC"/>
    <w:pPr>
      <w:spacing w:after="360"/>
      <w:outlineLvl w:val="0"/>
    </w:pPr>
    <w:rPr>
      <w:rFonts w:ascii="Arial Bold" w:hAnsi="Arial Bold"/>
      <w:b/>
      <w:smallCaps/>
      <w:sz w:val="36"/>
      <w:szCs w:val="36"/>
    </w:rPr>
  </w:style>
  <w:style w:type="character" w:customStyle="1" w:styleId="Bold">
    <w:name w:val="Bold"/>
    <w:basedOn w:val="DefaultParagraphFont"/>
    <w:rsid w:val="00052A87"/>
    <w:rPr>
      <w:b/>
    </w:rPr>
  </w:style>
  <w:style w:type="paragraph" w:customStyle="1" w:styleId="BoxHeading">
    <w:name w:val="Box Heading"/>
    <w:basedOn w:val="HeadingBase0"/>
    <w:next w:val="BoxText"/>
    <w:rsid w:val="00052A87"/>
    <w:pPr>
      <w:spacing w:before="120" w:after="120"/>
    </w:pPr>
    <w:rPr>
      <w:b/>
      <w:sz w:val="22"/>
    </w:rPr>
  </w:style>
  <w:style w:type="paragraph" w:customStyle="1" w:styleId="BoxTextBase">
    <w:name w:val="Box Text Base"/>
    <w:basedOn w:val="Normal"/>
    <w:rsid w:val="00052A87"/>
    <w:pPr>
      <w:spacing w:line="240" w:lineRule="auto"/>
    </w:pPr>
    <w:rPr>
      <w:color w:val="000000"/>
      <w:lang w:eastAsia="en-AU"/>
    </w:rPr>
  </w:style>
  <w:style w:type="paragraph" w:customStyle="1" w:styleId="ChartandTableFootnoteAlpha">
    <w:name w:val="Chart and Table Footnote Alpha"/>
    <w:rsid w:val="00052A87"/>
    <w:pPr>
      <w:numPr>
        <w:numId w:val="20"/>
      </w:numPr>
      <w:jc w:val="both"/>
    </w:pPr>
    <w:rPr>
      <w:rFonts w:ascii="Arial" w:hAnsi="Arial"/>
      <w:color w:val="000000"/>
      <w:sz w:val="16"/>
      <w:szCs w:val="16"/>
    </w:rPr>
  </w:style>
  <w:style w:type="paragraph" w:customStyle="1" w:styleId="ChartorTableNote">
    <w:name w:val="Chart or Table Note"/>
    <w:next w:val="Normal"/>
    <w:rsid w:val="006E5D56"/>
    <w:pPr>
      <w:spacing w:before="20"/>
      <w:ind w:left="567"/>
      <w:jc w:val="both"/>
    </w:pPr>
    <w:rPr>
      <w:rFonts w:ascii="Arial" w:hAnsi="Arial"/>
      <w:color w:val="000000"/>
      <w:sz w:val="16"/>
    </w:rPr>
  </w:style>
  <w:style w:type="paragraph" w:customStyle="1" w:styleId="Classification">
    <w:name w:val="Classification"/>
    <w:basedOn w:val="HeadingBase0"/>
    <w:next w:val="Footer"/>
    <w:rsid w:val="00052A87"/>
    <w:pPr>
      <w:spacing w:after="120"/>
      <w:jc w:val="center"/>
    </w:pPr>
    <w:rPr>
      <w:b/>
      <w:smallCaps/>
    </w:rPr>
  </w:style>
  <w:style w:type="paragraph" w:customStyle="1" w:styleId="ContentsHeading">
    <w:name w:val="Contents Heading"/>
    <w:basedOn w:val="HeadingBase0"/>
    <w:next w:val="Normal"/>
    <w:rsid w:val="00052A87"/>
    <w:pPr>
      <w:spacing w:after="360"/>
    </w:pPr>
    <w:rPr>
      <w:rFonts w:ascii="Arial Bold" w:hAnsi="Arial Bold"/>
      <w:b/>
      <w:sz w:val="36"/>
      <w:szCs w:val="36"/>
    </w:rPr>
  </w:style>
  <w:style w:type="paragraph" w:customStyle="1" w:styleId="CoverTitleMain">
    <w:name w:val="Cover Title Main"/>
    <w:basedOn w:val="HeadingBase0"/>
    <w:next w:val="Normal"/>
    <w:rsid w:val="00052A87"/>
    <w:pPr>
      <w:spacing w:after="480"/>
      <w:jc w:val="right"/>
    </w:pPr>
    <w:rPr>
      <w:b/>
      <w:sz w:val="48"/>
    </w:rPr>
  </w:style>
  <w:style w:type="paragraph" w:customStyle="1" w:styleId="CoverTitleSub">
    <w:name w:val="Cover Title Sub"/>
    <w:basedOn w:val="HeadingBase0"/>
    <w:rsid w:val="00052A87"/>
    <w:pPr>
      <w:spacing w:after="360"/>
      <w:jc w:val="right"/>
    </w:pPr>
    <w:rPr>
      <w:sz w:val="36"/>
    </w:rPr>
  </w:style>
  <w:style w:type="paragraph" w:customStyle="1" w:styleId="FooterCentered">
    <w:name w:val="Footer Centered"/>
    <w:basedOn w:val="Footer"/>
    <w:rsid w:val="00052A87"/>
    <w:pPr>
      <w:keepNext/>
      <w:tabs>
        <w:tab w:val="clear" w:pos="4153"/>
        <w:tab w:val="clear" w:pos="8306"/>
      </w:tabs>
      <w:spacing w:before="0" w:after="0" w:line="240" w:lineRule="auto"/>
      <w:jc w:val="center"/>
    </w:pPr>
    <w:rPr>
      <w:color w:val="9B0014"/>
      <w:sz w:val="18"/>
      <w:lang w:eastAsia="en-AU"/>
    </w:rPr>
  </w:style>
  <w:style w:type="paragraph" w:customStyle="1" w:styleId="FooterEven">
    <w:name w:val="Footer Even"/>
    <w:basedOn w:val="Footer"/>
    <w:rsid w:val="00052A87"/>
    <w:pPr>
      <w:keepNext/>
      <w:tabs>
        <w:tab w:val="clear" w:pos="4153"/>
        <w:tab w:val="clear" w:pos="8306"/>
      </w:tabs>
      <w:spacing w:before="0" w:after="0" w:line="240" w:lineRule="auto"/>
      <w:jc w:val="left"/>
    </w:pPr>
    <w:rPr>
      <w:color w:val="9B0014"/>
      <w:sz w:val="18"/>
      <w:lang w:eastAsia="en-AU"/>
    </w:rPr>
  </w:style>
  <w:style w:type="paragraph" w:customStyle="1" w:styleId="FooterOdd">
    <w:name w:val="Footer Odd"/>
    <w:basedOn w:val="Footer"/>
    <w:rsid w:val="00052A87"/>
    <w:pPr>
      <w:keepNext/>
      <w:tabs>
        <w:tab w:val="clear" w:pos="4153"/>
        <w:tab w:val="clear" w:pos="8306"/>
      </w:tabs>
      <w:spacing w:before="0" w:after="0" w:line="240" w:lineRule="auto"/>
      <w:jc w:val="right"/>
    </w:pPr>
    <w:rPr>
      <w:color w:val="9B0014"/>
      <w:sz w:val="18"/>
      <w:lang w:eastAsia="en-AU"/>
    </w:rPr>
  </w:style>
  <w:style w:type="character" w:customStyle="1" w:styleId="FramedFooter">
    <w:name w:val="Framed Footer"/>
    <w:rsid w:val="00052A87"/>
    <w:rPr>
      <w:rFonts w:ascii="Arial" w:hAnsi="Arial"/>
      <w:color w:val="9B0014"/>
      <w:sz w:val="18"/>
    </w:rPr>
  </w:style>
  <w:style w:type="character" w:customStyle="1" w:styleId="FramedHeader">
    <w:name w:val="Framed Header"/>
    <w:basedOn w:val="DefaultParagraphFont"/>
    <w:rsid w:val="00052A87"/>
    <w:rPr>
      <w:rFonts w:ascii="Arial" w:hAnsi="Arial"/>
      <w:dstrike w:val="0"/>
      <w:color w:val="9B0014"/>
      <w:sz w:val="18"/>
      <w:vertAlign w:val="baseline"/>
    </w:rPr>
  </w:style>
  <w:style w:type="paragraph" w:customStyle="1" w:styleId="HeaderEven">
    <w:name w:val="Header Even"/>
    <w:basedOn w:val="Header"/>
    <w:rsid w:val="00052A87"/>
    <w:pPr>
      <w:keepNext/>
      <w:tabs>
        <w:tab w:val="clear" w:pos="4153"/>
        <w:tab w:val="clear" w:pos="8306"/>
      </w:tabs>
      <w:spacing w:before="0" w:after="0" w:line="240" w:lineRule="auto"/>
      <w:jc w:val="left"/>
    </w:pPr>
    <w:rPr>
      <w:b w:val="0"/>
      <w:color w:val="9B0014"/>
      <w:sz w:val="18"/>
      <w:lang w:eastAsia="en-AU"/>
    </w:rPr>
  </w:style>
  <w:style w:type="paragraph" w:customStyle="1" w:styleId="HeaderOdd">
    <w:name w:val="Header Odd"/>
    <w:basedOn w:val="Header"/>
    <w:rsid w:val="00052A87"/>
    <w:pPr>
      <w:keepNext/>
      <w:tabs>
        <w:tab w:val="clear" w:pos="4153"/>
        <w:tab w:val="clear" w:pos="8306"/>
      </w:tabs>
      <w:spacing w:before="0" w:after="0" w:line="240" w:lineRule="auto"/>
      <w:jc w:val="right"/>
    </w:pPr>
    <w:rPr>
      <w:b w:val="0"/>
      <w:color w:val="9B0014"/>
      <w:sz w:val="18"/>
      <w:lang w:eastAsia="en-AU"/>
    </w:rPr>
  </w:style>
  <w:style w:type="paragraph" w:customStyle="1" w:styleId="RecommendationHeading">
    <w:name w:val="Recommendation Heading"/>
    <w:basedOn w:val="HeadingBase0"/>
    <w:next w:val="RecommendationText"/>
    <w:rsid w:val="00052A87"/>
    <w:pPr>
      <w:spacing w:after="240"/>
    </w:pPr>
    <w:rPr>
      <w:b/>
      <w:sz w:val="22"/>
    </w:rPr>
  </w:style>
  <w:style w:type="paragraph" w:customStyle="1" w:styleId="RecommendationBaseText">
    <w:name w:val="Recommendation Base Text"/>
    <w:basedOn w:val="Normal"/>
    <w:rsid w:val="00052A87"/>
    <w:pPr>
      <w:spacing w:before="0" w:after="240" w:line="260" w:lineRule="exact"/>
    </w:pPr>
    <w:rPr>
      <w:color w:val="000000"/>
      <w:lang w:eastAsia="en-AU"/>
    </w:rPr>
  </w:style>
  <w:style w:type="paragraph" w:customStyle="1" w:styleId="RecommendationText">
    <w:name w:val="Recommendation Text"/>
    <w:basedOn w:val="RecommendationBaseText"/>
    <w:rsid w:val="00052A87"/>
  </w:style>
  <w:style w:type="paragraph" w:customStyle="1" w:styleId="TableTextBase">
    <w:name w:val="Table Text Base"/>
    <w:rsid w:val="00052A87"/>
    <w:pPr>
      <w:spacing w:before="40" w:after="40"/>
    </w:pPr>
    <w:rPr>
      <w:rFonts w:ascii="Arial" w:hAnsi="Arial"/>
      <w:color w:val="000000"/>
      <w:sz w:val="16"/>
    </w:rPr>
  </w:style>
  <w:style w:type="paragraph" w:customStyle="1" w:styleId="TableGraphic">
    <w:name w:val="Table Graphic"/>
    <w:basedOn w:val="HeadingBase0"/>
    <w:next w:val="Normal"/>
    <w:rsid w:val="00052A87"/>
    <w:pPr>
      <w:spacing w:after="20"/>
      <w:ind w:right="-113"/>
    </w:pPr>
  </w:style>
  <w:style w:type="paragraph" w:customStyle="1" w:styleId="TableMainHeadingContd">
    <w:name w:val="Table Main Heading Contd"/>
    <w:basedOn w:val="HeadingBase0"/>
    <w:next w:val="TableGraphic"/>
    <w:rsid w:val="00052A87"/>
    <w:pPr>
      <w:spacing w:after="20"/>
    </w:pPr>
    <w:rPr>
      <w:b/>
      <w:sz w:val="22"/>
    </w:rPr>
  </w:style>
  <w:style w:type="paragraph" w:customStyle="1" w:styleId="TableSecondHeading">
    <w:name w:val="Table Second Heading"/>
    <w:basedOn w:val="HeadingBase0"/>
    <w:next w:val="TableGraphic"/>
    <w:rsid w:val="00052A87"/>
    <w:pPr>
      <w:spacing w:after="20"/>
    </w:pPr>
  </w:style>
  <w:style w:type="paragraph" w:customStyle="1" w:styleId="TableTextCentered">
    <w:name w:val="Table Text Centered"/>
    <w:basedOn w:val="TableTextBase"/>
    <w:rsid w:val="00052A87"/>
    <w:pPr>
      <w:jc w:val="center"/>
    </w:pPr>
  </w:style>
  <w:style w:type="paragraph" w:customStyle="1" w:styleId="TableTextIndented">
    <w:name w:val="Table Text Indented"/>
    <w:basedOn w:val="TableTextBase"/>
    <w:rsid w:val="00052A87"/>
    <w:pPr>
      <w:ind w:left="284"/>
    </w:pPr>
  </w:style>
  <w:style w:type="character" w:customStyle="1" w:styleId="Italic">
    <w:name w:val="Italic"/>
    <w:basedOn w:val="DefaultParagraphFont"/>
    <w:rsid w:val="00052A87"/>
    <w:rPr>
      <w:i/>
    </w:rPr>
  </w:style>
  <w:style w:type="paragraph" w:customStyle="1" w:styleId="OneLevelNumberedParagraph">
    <w:name w:val="One Level Numbered Paragraph"/>
    <w:basedOn w:val="Normal"/>
    <w:rsid w:val="00052A87"/>
    <w:pPr>
      <w:numPr>
        <w:numId w:val="22"/>
      </w:numPr>
      <w:spacing w:before="0" w:after="240" w:line="260" w:lineRule="exact"/>
    </w:pPr>
    <w:rPr>
      <w:color w:val="000000"/>
      <w:lang w:eastAsia="en-AU"/>
    </w:rPr>
  </w:style>
  <w:style w:type="paragraph" w:customStyle="1" w:styleId="BoxText">
    <w:name w:val="Box Text"/>
    <w:basedOn w:val="BoxTextBase"/>
    <w:rsid w:val="00052A87"/>
  </w:style>
  <w:style w:type="paragraph" w:customStyle="1" w:styleId="BoxBullet">
    <w:name w:val="Box Bullet"/>
    <w:basedOn w:val="BoxTextBase"/>
    <w:rsid w:val="00052A87"/>
    <w:pPr>
      <w:numPr>
        <w:numId w:val="21"/>
      </w:numPr>
    </w:pPr>
  </w:style>
  <w:style w:type="paragraph" w:customStyle="1" w:styleId="BoxDash">
    <w:name w:val="Box Dash"/>
    <w:basedOn w:val="Normal"/>
    <w:rsid w:val="00052A87"/>
    <w:pPr>
      <w:numPr>
        <w:ilvl w:val="1"/>
        <w:numId w:val="21"/>
      </w:numPr>
      <w:spacing w:before="0" w:after="240" w:line="260" w:lineRule="exact"/>
    </w:pPr>
    <w:rPr>
      <w:color w:val="000000"/>
      <w:lang w:eastAsia="en-AU"/>
    </w:rPr>
  </w:style>
  <w:style w:type="paragraph" w:customStyle="1" w:styleId="BoxDoubleDot">
    <w:name w:val="Box Double Dot"/>
    <w:basedOn w:val="BoxTextBase"/>
    <w:rsid w:val="00052A87"/>
    <w:pPr>
      <w:numPr>
        <w:ilvl w:val="2"/>
        <w:numId w:val="21"/>
      </w:numPr>
    </w:pPr>
  </w:style>
  <w:style w:type="paragraph" w:customStyle="1" w:styleId="RecommendationBullet">
    <w:name w:val="Recommendation Bullet"/>
    <w:basedOn w:val="RecommendationBaseText"/>
    <w:rsid w:val="00052A87"/>
    <w:pPr>
      <w:numPr>
        <w:numId w:val="23"/>
      </w:numPr>
    </w:pPr>
  </w:style>
  <w:style w:type="paragraph" w:customStyle="1" w:styleId="RecommendationDash">
    <w:name w:val="Recommendation Dash"/>
    <w:basedOn w:val="RecommendationBaseText"/>
    <w:rsid w:val="00052A87"/>
    <w:pPr>
      <w:numPr>
        <w:ilvl w:val="1"/>
        <w:numId w:val="23"/>
      </w:numPr>
    </w:pPr>
  </w:style>
  <w:style w:type="paragraph" w:customStyle="1" w:styleId="RecommendationDoubleDot">
    <w:name w:val="Recommendation Double Dot"/>
    <w:basedOn w:val="RecommendationBaseText"/>
    <w:rsid w:val="00052A87"/>
    <w:pPr>
      <w:numPr>
        <w:ilvl w:val="2"/>
        <w:numId w:val="23"/>
      </w:numPr>
    </w:pPr>
  </w:style>
  <w:style w:type="character" w:customStyle="1" w:styleId="Boldanditalic">
    <w:name w:val="Bold and italic"/>
    <w:basedOn w:val="DefaultParagraphFont"/>
    <w:rsid w:val="00052A87"/>
    <w:rPr>
      <w:b/>
      <w:i/>
    </w:rPr>
  </w:style>
  <w:style w:type="character" w:customStyle="1" w:styleId="Italics">
    <w:name w:val="Italics"/>
    <w:basedOn w:val="DefaultParagraphFont"/>
    <w:rsid w:val="00052A87"/>
    <w:rPr>
      <w:i/>
    </w:rPr>
  </w:style>
  <w:style w:type="paragraph" w:customStyle="1" w:styleId="Heading1notnumbered">
    <w:name w:val="Heading 1 not numbered"/>
    <w:basedOn w:val="HeadingBase0"/>
    <w:next w:val="Normal"/>
    <w:semiHidden/>
    <w:rsid w:val="00052A87"/>
    <w:pPr>
      <w:spacing w:before="720" w:after="360"/>
    </w:pPr>
    <w:rPr>
      <w:b/>
      <w:smallCaps/>
      <w:sz w:val="36"/>
      <w:szCs w:val="36"/>
    </w:rPr>
  </w:style>
  <w:style w:type="paragraph" w:customStyle="1" w:styleId="Heading2notnumbered">
    <w:name w:val="Heading 2 not numbered"/>
    <w:basedOn w:val="HeadingBase0"/>
    <w:next w:val="Normal"/>
    <w:semiHidden/>
    <w:rsid w:val="00052A87"/>
    <w:pPr>
      <w:spacing w:before="360" w:after="240"/>
    </w:pPr>
    <w:rPr>
      <w:rFonts w:ascii="Arial Bold" w:hAnsi="Arial Bold"/>
      <w:b/>
      <w:smallCaps/>
      <w:sz w:val="28"/>
      <w:szCs w:val="28"/>
    </w:rPr>
  </w:style>
  <w:style w:type="paragraph" w:customStyle="1" w:styleId="Heading3notnumbered">
    <w:name w:val="Heading 3 not numbered"/>
    <w:basedOn w:val="HeadingBase0"/>
    <w:next w:val="Normal"/>
    <w:semiHidden/>
    <w:rsid w:val="00052A87"/>
    <w:pPr>
      <w:spacing w:before="240" w:after="240"/>
    </w:pPr>
    <w:rPr>
      <w:rFonts w:ascii="Arial Bold" w:hAnsi="Arial Bold"/>
      <w:b/>
      <w:sz w:val="26"/>
      <w:szCs w:val="26"/>
    </w:rPr>
  </w:style>
  <w:style w:type="character" w:customStyle="1" w:styleId="Heading3nonumberingChar">
    <w:name w:val="Heading 3 no numbering Char"/>
    <w:basedOn w:val="DefaultParagraphFont"/>
    <w:link w:val="Heading3nonumbering"/>
    <w:rsid w:val="00B65927"/>
    <w:rPr>
      <w:rFonts w:ascii="Arial Bold" w:hAnsi="Arial Bold"/>
      <w:b/>
      <w:color w:val="9B0014"/>
      <w:sz w:val="23"/>
      <w:szCs w:val="24"/>
    </w:rPr>
  </w:style>
  <w:style w:type="character" w:customStyle="1" w:styleId="FooterChar">
    <w:name w:val="Footer Char"/>
    <w:basedOn w:val="DefaultParagraphFont"/>
    <w:link w:val="Footer"/>
    <w:uiPriority w:val="99"/>
    <w:rsid w:val="003E658F"/>
    <w:rPr>
      <w:rFonts w:ascii="Arial" w:hAnsi="Arial"/>
      <w:lang w:eastAsia="en-US"/>
    </w:rPr>
  </w:style>
  <w:style w:type="paragraph" w:styleId="ListParagraph">
    <w:name w:val="List Paragraph"/>
    <w:basedOn w:val="Normal"/>
    <w:uiPriority w:val="34"/>
    <w:qFormat/>
    <w:rsid w:val="00E77F7B"/>
    <w:pPr>
      <w:ind w:left="720"/>
      <w:contextualSpacing/>
    </w:pPr>
  </w:style>
  <w:style w:type="paragraph" w:styleId="TOCHeading">
    <w:name w:val="TOC Heading"/>
    <w:basedOn w:val="Heading1"/>
    <w:next w:val="Normal"/>
    <w:uiPriority w:val="39"/>
    <w:semiHidden/>
    <w:unhideWhenUsed/>
    <w:qFormat/>
    <w:rsid w:val="00F14018"/>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A5">
    <w:name w:val="A5"/>
    <w:uiPriority w:val="99"/>
    <w:rsid w:val="002C50B3"/>
    <w:rPr>
      <w:rFonts w:cs="Swiss 721 BT"/>
      <w:color w:val="000000"/>
      <w:sz w:val="20"/>
      <w:szCs w:val="20"/>
    </w:rPr>
  </w:style>
  <w:style w:type="paragraph" w:customStyle="1" w:styleId="Heading2-NoTOC">
    <w:name w:val="Heading 2 - No TOC"/>
    <w:basedOn w:val="Heading2nonumbering"/>
    <w:qFormat/>
    <w:rsid w:val="00E43DD1"/>
    <w:pPr>
      <w:outlineLvl w:val="9"/>
    </w:pPr>
  </w:style>
  <w:style w:type="paragraph" w:customStyle="1" w:styleId="StyleHeading1Left0cmFirstline0cm">
    <w:name w:val="Style Heading 1 + Left:  0 cm First line:  0 cm"/>
    <w:basedOn w:val="Heading1"/>
    <w:rsid w:val="00A31B6E"/>
    <w:pPr>
      <w:ind w:left="0" w:firstLine="0"/>
    </w:pPr>
    <w:rPr>
      <w:bCs/>
    </w:rPr>
  </w:style>
  <w:style w:type="paragraph" w:customStyle="1" w:styleId="StyleTableofContentsTitleAccent2">
    <w:name w:val="Style Table of Contents Title + Accent 2"/>
    <w:basedOn w:val="TableofContentsTitle"/>
    <w:rsid w:val="00557FDC"/>
    <w:pPr>
      <w:spacing w:before="0" w:after="360"/>
    </w:pPr>
    <w:rPr>
      <w:bCs/>
      <w:color w:val="943634" w:themeColor="accent2" w:themeShade="BF"/>
      <w:sz w:val="32"/>
    </w:rPr>
  </w:style>
  <w:style w:type="paragraph" w:customStyle="1" w:styleId="StyleNoNumberLeft1cmFirstline075cm">
    <w:name w:val="Style No Number + Left:  1 cm First line:  0.75 cm"/>
    <w:basedOn w:val="NoNumber"/>
    <w:rsid w:val="0098782E"/>
    <w:pPr>
      <w:spacing w:before="0" w:line="260" w:lineRule="atLeast"/>
      <w:ind w:left="1134"/>
    </w:pPr>
  </w:style>
  <w:style w:type="paragraph" w:customStyle="1" w:styleId="StyleNoNumberItalicLeft0cm">
    <w:name w:val="Style No Number + Italic Left:  0 cm"/>
    <w:basedOn w:val="NoNumber"/>
    <w:rsid w:val="009616A2"/>
    <w:pPr>
      <w:spacing w:line="260" w:lineRule="atLeast"/>
      <w:ind w:left="1134"/>
    </w:pPr>
    <w:rPr>
      <w:i/>
      <w:iCs/>
    </w:rPr>
  </w:style>
  <w:style w:type="paragraph" w:customStyle="1" w:styleId="StylenumberingindentedBold">
    <w:name w:val="Style numbering indented + Bold"/>
    <w:basedOn w:val="numberingindented"/>
    <w:rsid w:val="0098782E"/>
    <w:pPr>
      <w:spacing w:before="240"/>
    </w:pPr>
    <w:rPr>
      <w:b/>
      <w:bCs/>
    </w:rPr>
  </w:style>
  <w:style w:type="paragraph" w:customStyle="1" w:styleId="ChartandTableFootnoteNumeral">
    <w:name w:val="Chart and Table Footnote Numeral"/>
    <w:basedOn w:val="ChartandTableFootnoteAlpha"/>
    <w:qFormat/>
    <w:rsid w:val="00411660"/>
    <w:pPr>
      <w:numPr>
        <w:numId w:val="40"/>
      </w:numPr>
      <w:tabs>
        <w:tab w:val="left" w:pos="851"/>
      </w:tabs>
    </w:pPr>
  </w:style>
  <w:style w:type="paragraph" w:customStyle="1" w:styleId="StyleNormalIndentLeft1cmHanging2cm">
    <w:name w:val="Style Normal Indent + Left:  1 cm Hanging:  2 cm"/>
    <w:basedOn w:val="NormalIndent"/>
    <w:rsid w:val="00AE7800"/>
    <w:pPr>
      <w:ind w:left="1701" w:hanging="1134"/>
    </w:pPr>
  </w:style>
  <w:style w:type="paragraph" w:customStyle="1" w:styleId="TableMainHeading-Appendix">
    <w:name w:val="Table Main Heading - Appendix"/>
    <w:basedOn w:val="TableMainHeading"/>
    <w:qFormat/>
    <w:rsid w:val="00D1063F"/>
    <w:pPr>
      <w:ind w:left="0"/>
    </w:pPr>
  </w:style>
  <w:style w:type="paragraph" w:customStyle="1" w:styleId="BodyText-Appendix">
    <w:name w:val="Body Text - Appendix"/>
    <w:basedOn w:val="BodyText"/>
    <w:qFormat/>
    <w:rsid w:val="002973D9"/>
    <w:pPr>
      <w:numPr>
        <w:numId w:val="4"/>
      </w:numPr>
      <w:tabs>
        <w:tab w:val="clear" w:pos="850"/>
      </w:tabs>
      <w:ind w:left="567" w:hanging="567"/>
    </w:pPr>
  </w:style>
  <w:style w:type="paragraph" w:customStyle="1" w:styleId="NoNumberIndent-Appendix">
    <w:name w:val="No Number Indent - Appendix"/>
    <w:basedOn w:val="NoNumber"/>
    <w:qFormat/>
    <w:rsid w:val="002973D9"/>
    <w:pPr>
      <w:ind w:left="567"/>
    </w:pPr>
  </w:style>
  <w:style w:type="paragraph" w:customStyle="1" w:styleId="StyleReportTitle19pt">
    <w:name w:val="Style Report Title + 19 pt"/>
    <w:basedOn w:val="ReportTitle"/>
    <w:rsid w:val="000E6C41"/>
    <w:rPr>
      <w:bCs/>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6482">
      <w:bodyDiv w:val="1"/>
      <w:marLeft w:val="0"/>
      <w:marRight w:val="0"/>
      <w:marTop w:val="0"/>
      <w:marBottom w:val="0"/>
      <w:divBdr>
        <w:top w:val="none" w:sz="0" w:space="0" w:color="auto"/>
        <w:left w:val="none" w:sz="0" w:space="0" w:color="auto"/>
        <w:bottom w:val="none" w:sz="0" w:space="0" w:color="auto"/>
        <w:right w:val="none" w:sz="0" w:space="0" w:color="auto"/>
      </w:divBdr>
    </w:div>
    <w:div w:id="1237475352">
      <w:bodyDiv w:val="1"/>
      <w:marLeft w:val="0"/>
      <w:marRight w:val="0"/>
      <w:marTop w:val="0"/>
      <w:marBottom w:val="0"/>
      <w:divBdr>
        <w:top w:val="none" w:sz="0" w:space="0" w:color="auto"/>
        <w:left w:val="none" w:sz="0" w:space="0" w:color="auto"/>
        <w:bottom w:val="none" w:sz="0" w:space="0" w:color="auto"/>
        <w:right w:val="none" w:sz="0" w:space="0" w:color="auto"/>
      </w:divBdr>
    </w:div>
    <w:div w:id="129548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image" Target="media/image5.emf"/><Relationship Id="rId50" Type="http://schemas.openxmlformats.org/officeDocument/2006/relationships/footer" Target="footer12.xml"/><Relationship Id="rId55" Type="http://schemas.openxmlformats.org/officeDocument/2006/relationships/footer" Target="footer13.xml"/><Relationship Id="rId63" Type="http://schemas.openxmlformats.org/officeDocument/2006/relationships/header" Target="header19.xml"/><Relationship Id="rId68" Type="http://schemas.openxmlformats.org/officeDocument/2006/relationships/footer" Target="footer16.xml"/><Relationship Id="rId76" Type="http://schemas.openxmlformats.org/officeDocument/2006/relationships/header" Target="header26.xml"/><Relationship Id="rId7" Type="http://schemas.openxmlformats.org/officeDocument/2006/relationships/numbering" Target="numbering.xml"/><Relationship Id="rId71"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webSettings" Target="webSettings.xml"/><Relationship Id="rId24" Type="http://schemas.openxmlformats.org/officeDocument/2006/relationships/hyperlink" Target="mailto:aga@aga.gov.au" TargetMode="External"/><Relationship Id="rId32" Type="http://schemas.openxmlformats.org/officeDocument/2006/relationships/image" Target="media/image3.emf"/><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oleObject" Target="embeddings/oleObject2.bin"/><Relationship Id="rId66" Type="http://schemas.openxmlformats.org/officeDocument/2006/relationships/footer" Target="footer15.xml"/><Relationship Id="rId74" Type="http://schemas.openxmlformats.org/officeDocument/2006/relationships/header" Target="header24.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10.wmf"/><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oter" Target="footer6.xml"/><Relationship Id="rId44" Type="http://schemas.openxmlformats.org/officeDocument/2006/relationships/footer" Target="footer10.xml"/><Relationship Id="rId52" Type="http://schemas.openxmlformats.org/officeDocument/2006/relationships/image" Target="media/image7.jpg"/><Relationship Id="rId60" Type="http://schemas.openxmlformats.org/officeDocument/2006/relationships/oleObject" Target="embeddings/oleObject3.bin"/><Relationship Id="rId65" Type="http://schemas.openxmlformats.org/officeDocument/2006/relationships/footer" Target="footer14.xml"/><Relationship Id="rId73" Type="http://schemas.openxmlformats.org/officeDocument/2006/relationships/footer" Target="footer19.xml"/><Relationship Id="rId78" Type="http://schemas.openxmlformats.org/officeDocument/2006/relationships/header" Target="header2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creativecommons.org/licenses/by/3.0/au/deed.en"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image" Target="media/image8.wmf"/><Relationship Id="rId64" Type="http://schemas.openxmlformats.org/officeDocument/2006/relationships/header" Target="header20.xml"/><Relationship Id="rId69" Type="http://schemas.openxmlformats.org/officeDocument/2006/relationships/header" Target="header22.xml"/><Relationship Id="rId77" Type="http://schemas.openxmlformats.org/officeDocument/2006/relationships/header" Target="header27.xml"/><Relationship Id="rId8" Type="http://schemas.openxmlformats.org/officeDocument/2006/relationships/styles" Target="styles.xml"/><Relationship Id="rId51" Type="http://schemas.openxmlformats.org/officeDocument/2006/relationships/image" Target="media/image6.emf"/><Relationship Id="rId72" Type="http://schemas.openxmlformats.org/officeDocument/2006/relationships/header" Target="header23.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4.emf"/><Relationship Id="rId38" Type="http://schemas.openxmlformats.org/officeDocument/2006/relationships/header" Target="header9.xml"/><Relationship Id="rId46" Type="http://schemas.openxmlformats.org/officeDocument/2006/relationships/footer" Target="footer11.xml"/><Relationship Id="rId59" Type="http://schemas.openxmlformats.org/officeDocument/2006/relationships/image" Target="media/image9.wmf"/><Relationship Id="rId67" Type="http://schemas.openxmlformats.org/officeDocument/2006/relationships/header" Target="header21.xml"/><Relationship Id="rId20" Type="http://schemas.openxmlformats.org/officeDocument/2006/relationships/hyperlink" Target="http://creativecommons.org/licenses/by/3.0/au/legalcode" TargetMode="Externa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oleObject" Target="embeddings/oleObject4.bin"/><Relationship Id="rId70" Type="http://schemas.openxmlformats.org/officeDocument/2006/relationships/footer" Target="footer17.xml"/><Relationship Id="rId75"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header" Target="header16.xml"/><Relationship Id="rId57"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20G%20A\AGA%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2014CSSG-727-1265</_dlc_DocId>
    <_dlc_DocIdUrl xmlns="eb47d8b7-fefc-4923-b53c-9685ba6b7210">
      <Url>http://tweb/sites/cssg/ped/pu/pt/_layouts/15/DocIdRedir.aspx?ID=2014CSSG-727-1265</Url>
      <Description>2014CSSG-727-1265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5354E2C1A1800A409D686EE5B476D455" ma:contentTypeVersion="13" ma:contentTypeDescription="" ma:contentTypeScope="" ma:versionID="39a06b6d44452ed64b9dd8fbc68c88a9">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263a09e4f4d2a246a1bf59443279798c"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605AAC981168BE40A9BD548B81A50DF6|1757814118" UniqueId="dfcffb86-ae69-48ff-b02e-2c46fcd97350">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58D3-1841-4395-B614-7BEB23458B4F}">
  <ds:schemaRefs>
    <ds:schemaRef ds:uri="http://schemas.microsoft.com/office/2006/metadata/properties"/>
    <ds:schemaRef ds:uri="http://schemas.microsoft.com/office/infopath/2007/PartnerControls"/>
    <ds:schemaRef ds:uri="eb47d8b7-fefc-4923-b53c-9685ba6b7210"/>
    <ds:schemaRef ds:uri="http://schemas.microsoft.com/sharepoint/v4"/>
  </ds:schemaRefs>
</ds:datastoreItem>
</file>

<file path=customXml/itemProps2.xml><?xml version="1.0" encoding="utf-8"?>
<ds:datastoreItem xmlns:ds="http://schemas.openxmlformats.org/officeDocument/2006/customXml" ds:itemID="{F8292F97-2819-4336-BBFA-2F05582A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2BCA1-6983-4EB8-BEE2-D65CBFA9BE0F}">
  <ds:schemaRefs>
    <ds:schemaRef ds:uri="office.server.policy"/>
  </ds:schemaRefs>
</ds:datastoreItem>
</file>

<file path=customXml/itemProps4.xml><?xml version="1.0" encoding="utf-8"?>
<ds:datastoreItem xmlns:ds="http://schemas.openxmlformats.org/officeDocument/2006/customXml" ds:itemID="{9690F977-7C68-4420-BA37-1283837921D2}">
  <ds:schemaRefs>
    <ds:schemaRef ds:uri="http://schemas.microsoft.com/sharepoint/v3/contenttype/forms"/>
  </ds:schemaRefs>
</ds:datastoreItem>
</file>

<file path=customXml/itemProps5.xml><?xml version="1.0" encoding="utf-8"?>
<ds:datastoreItem xmlns:ds="http://schemas.openxmlformats.org/officeDocument/2006/customXml" ds:itemID="{9C2AC3F9-D9F5-4D29-A7D1-7EDA3B76EC1B}">
  <ds:schemaRefs>
    <ds:schemaRef ds:uri="http://schemas.microsoft.com/sharepoint/events"/>
  </ds:schemaRefs>
</ds:datastoreItem>
</file>

<file path=customXml/itemProps6.xml><?xml version="1.0" encoding="utf-8"?>
<ds:datastoreItem xmlns:ds="http://schemas.openxmlformats.org/officeDocument/2006/customXml" ds:itemID="{0A46E105-6018-4A44-83CA-ED2DEE58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AGA Report.dotm</Template>
  <TotalTime>46</TotalTime>
  <Pages>81</Pages>
  <Words>18274</Words>
  <Characters>104165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Military Superannuation Schemes Review of Long-term Costs</vt:lpstr>
    </vt:vector>
  </TitlesOfParts>
  <Company>The Treasury</Company>
  <LinksUpToDate>false</LinksUpToDate>
  <CharactersWithSpaces>122195</CharactersWithSpaces>
  <SharedDoc>false</SharedDoc>
  <HLinks>
    <vt:vector size="6" baseType="variant">
      <vt:variant>
        <vt:i4>1441854</vt:i4>
      </vt:variant>
      <vt:variant>
        <vt:i4>2</vt:i4>
      </vt:variant>
      <vt:variant>
        <vt:i4>0</vt:i4>
      </vt:variant>
      <vt:variant>
        <vt:i4>5</vt:i4>
      </vt:variant>
      <vt:variant>
        <vt:lpwstr/>
      </vt:variant>
      <vt:variant>
        <vt:lpwstr>_Toc59270798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Military Superannuation Schemes Review of Long-term Costs</dc:title>
  <dc:creator>Australian Government Actuary</dc:creator>
  <cp:lastModifiedBy>Treasury</cp:lastModifiedBy>
  <cp:revision>4</cp:revision>
  <cp:lastPrinted>2015-08-25T04:24:00Z</cp:lastPrinted>
  <dcterms:created xsi:type="dcterms:W3CDTF">2015-08-25T04:23:00Z</dcterms:created>
  <dcterms:modified xsi:type="dcterms:W3CDTF">2015-08-28T02:23:00Z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0x010100605AAC981168BE40A9BD548B81A50DF6005354E2C1A1800A409D686EE5B476D455</vt:lpwstr>
  </property>
  <property fmtid="{D5CDD505-2E9C-101B-9397-08002B2CF9AE}" pid="3" name="RecordPoint_ActiveItemUniqueId">
    <vt:lpwstr>{87552e80-8dc0-4033-8377-bdc9b76ee8b9}</vt:lpwstr>
  </property>
  <property fmtid="{D5CDD505-2E9C-101B-9397-08002B2CF9AE}" pid="4" name="RecordPoint_SubmissionCompleted">
    <vt:lpwstr/>
  </property>
  <property fmtid="{D5CDD505-2E9C-101B-9397-08002B2CF9AE}" pid="5" name="TSYRecordClass">
    <vt:lpwstr>75;#AE-20337-Destroy 7 years after action completed|668ae28e-5138-4c7c-82db-1c8c6afc81a6</vt:lpwstr>
  </property>
  <property fmtid="{D5CDD505-2E9C-101B-9397-08002B2CF9AE}" pid="6" name="RecordPoint_WorkflowType">
    <vt:lpwstr>ActiveSubmitStub</vt:lpwstr>
  </property>
  <property fmtid="{D5CDD505-2E9C-101B-9397-08002B2CF9AE}" pid="7" name="_dlc_DocIdItemGuid">
    <vt:lpwstr>87552e80-8dc0-4033-8377-bdc9b76ee8b9</vt:lpwstr>
  </property>
  <property fmtid="{D5CDD505-2E9C-101B-9397-08002B2CF9AE}" pid="8" name="RecordPoint_ActiveItemListId">
    <vt:lpwstr>{cbc2ebd0-59c1-4002-a83f-92737a87f681}</vt:lpwstr>
  </property>
  <property fmtid="{D5CDD505-2E9C-101B-9397-08002B2CF9AE}" pid="9" name="RecordPoint_ActiveItemWebId">
    <vt:lpwstr>{e237d495-0881-4849-ae62-ddc8a8132df5}</vt:lpwstr>
  </property>
  <property fmtid="{D5CDD505-2E9C-101B-9397-08002B2CF9AE}" pid="10" name="RecordPoint_ActiveItemSiteId">
    <vt:lpwstr>{de902461-0703-410e-906b-a2e3a4f5dd57}</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PageSize">
    <vt:lpwstr>A5</vt:lpwstr>
  </property>
  <property fmtid="{D5CDD505-2E9C-101B-9397-08002B2CF9AE}" pid="16" name="_AdHocReviewCycleID">
    <vt:i4>1255380854</vt:i4>
  </property>
  <property fmtid="{D5CDD505-2E9C-101B-9397-08002B2CF9AE}" pid="17" name="_NewReviewCycle">
    <vt:lpwstr/>
  </property>
  <property fmtid="{D5CDD505-2E9C-101B-9397-08002B2CF9AE}" pid="18" name="_EmailSubject">
    <vt:lpwstr>Final inclusion for Military Super report [SEC=UNCLASSIFIED]</vt:lpwstr>
  </property>
  <property fmtid="{D5CDD505-2E9C-101B-9397-08002B2CF9AE}" pid="19" name="_AuthorEmail">
    <vt:lpwstr>Sean.Easton@TREASURY.GOV.AU</vt:lpwstr>
  </property>
  <property fmtid="{D5CDD505-2E9C-101B-9397-08002B2CF9AE}" pid="20" name="_AuthorEmailDisplayName">
    <vt:lpwstr>Easton, Sean</vt:lpwstr>
  </property>
  <property fmtid="{D5CDD505-2E9C-101B-9397-08002B2CF9AE}" pid="21" name="_ReviewingToolsShownOnce">
    <vt:lpwstr/>
  </property>
</Properties>
</file>