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4B1890" w14:textId="37EDD530" w:rsidR="005C1EAF" w:rsidRPr="002E21CB" w:rsidRDefault="005C1EAF" w:rsidP="002E21CB">
      <w:pPr>
        <w:pStyle w:val="HeadingCoverPage"/>
      </w:pPr>
      <w:r w:rsidRPr="002E21CB">
        <w:t>Australian Priority Investment Approach to Welfare</w:t>
      </w:r>
    </w:p>
    <w:p w14:paraId="728EE7AC" w14:textId="77777777" w:rsidR="00D06C7E" w:rsidRDefault="00D06C7E" w:rsidP="002E21CB">
      <w:pPr>
        <w:pStyle w:val="HeadingCoverPage"/>
      </w:pPr>
    </w:p>
    <w:p w14:paraId="593E878B" w14:textId="0802F876" w:rsidR="005C1EAF" w:rsidRPr="00471BCF" w:rsidRDefault="005C1EAF" w:rsidP="002E21CB">
      <w:pPr>
        <w:pStyle w:val="Subheadingcoverpage"/>
      </w:pPr>
      <w:r w:rsidRPr="00471BCF">
        <w:t>30 June</w:t>
      </w:r>
      <w:r w:rsidR="006901A3">
        <w:t> </w:t>
      </w:r>
      <w:r w:rsidRPr="00471BCF">
        <w:t>2019 Valuation Report</w:t>
      </w:r>
    </w:p>
    <w:p w14:paraId="0FEB42FB" w14:textId="77777777" w:rsidR="008F7491" w:rsidRPr="0030070D" w:rsidRDefault="008F7491" w:rsidP="008F7491">
      <w:pPr>
        <w:rPr>
          <w:rFonts w:cs="Arial"/>
        </w:rPr>
        <w:sectPr w:rsidR="008F7491" w:rsidRPr="0030070D" w:rsidSect="006E4A0E">
          <w:headerReference w:type="even" r:id="rId8"/>
          <w:headerReference w:type="default" r:id="rId9"/>
          <w:footerReference w:type="even" r:id="rId10"/>
          <w:footerReference w:type="default" r:id="rId11"/>
          <w:headerReference w:type="first" r:id="rId12"/>
          <w:footerReference w:type="first" r:id="rId13"/>
          <w:pgSz w:w="11906" w:h="16838" w:code="9"/>
          <w:pgMar w:top="2466" w:right="2098" w:bottom="2466" w:left="2098" w:header="2459" w:footer="1899" w:gutter="0"/>
          <w:pgNumType w:fmt="lowerRoman"/>
          <w:cols w:space="708"/>
          <w:titlePg/>
          <w:docGrid w:linePitch="360"/>
        </w:sectPr>
      </w:pPr>
    </w:p>
    <w:p w14:paraId="6F91C119" w14:textId="6E40E142" w:rsidR="0059710A" w:rsidRPr="0059710A" w:rsidRDefault="0059710A" w:rsidP="0059710A">
      <w:pPr>
        <w:rPr>
          <w:lang w:eastAsia="en-US"/>
        </w:rPr>
      </w:pPr>
      <w:r w:rsidRPr="0059710A">
        <w:rPr>
          <w:lang w:eastAsia="en-US"/>
        </w:rPr>
        <w:lastRenderedPageBreak/>
        <w:t>© Commonwealth of Australia 202</w:t>
      </w:r>
      <w:r>
        <w:rPr>
          <w:lang w:eastAsia="en-US"/>
        </w:rPr>
        <w:t>2</w:t>
      </w:r>
    </w:p>
    <w:p w14:paraId="45A9D803" w14:textId="16B14359" w:rsidR="0059710A" w:rsidRPr="0059710A" w:rsidRDefault="00A060AB" w:rsidP="0059710A">
      <w:pPr>
        <w:rPr>
          <w:lang w:eastAsia="en-US"/>
        </w:rPr>
      </w:pPr>
      <w:r w:rsidRPr="00A060AB">
        <w:rPr>
          <w:lang w:eastAsia="en-US"/>
        </w:rPr>
        <w:t>ISSN: 2653-4525 (online)</w:t>
      </w:r>
    </w:p>
    <w:p w14:paraId="1FD0D5B7" w14:textId="77777777" w:rsidR="0059710A" w:rsidRPr="0059710A" w:rsidRDefault="0059710A" w:rsidP="0059710A">
      <w:pPr>
        <w:rPr>
          <w:lang w:eastAsia="en-US"/>
        </w:rPr>
      </w:pPr>
      <w:r w:rsidRPr="0059710A">
        <w:rPr>
          <w:lang w:eastAsia="en-US"/>
        </w:rPr>
        <w:t xml:space="preserve">This publication is available for your use under a </w:t>
      </w:r>
      <w:hyperlink r:id="rId14" w:history="1">
        <w:r w:rsidRPr="0059710A">
          <w:rPr>
            <w:rFonts w:ascii="Arial Bold" w:hAnsi="Arial Bold"/>
            <w:color w:val="9B0014"/>
            <w:lang w:eastAsia="en-US"/>
          </w:rPr>
          <w:t>Creative Commons BY Attribution 3.0 Australia</w:t>
        </w:r>
      </w:hyperlink>
      <w:r w:rsidRPr="0059710A">
        <w:rPr>
          <w:lang w:eastAsia="en-US"/>
        </w:rPr>
        <w:t xml:space="preserve"> licence, with the exception of the Commonwealth Coat of Arms, the Australian Government Actuary logo, photographs, images, signatures and where otherwise stated. The full licence terms are available from </w:t>
      </w:r>
      <w:hyperlink r:id="rId15" w:history="1">
        <w:r w:rsidRPr="0059710A">
          <w:rPr>
            <w:rFonts w:ascii="Arial Bold" w:hAnsi="Arial Bold"/>
            <w:color w:val="9B0014"/>
            <w:lang w:eastAsia="en-US"/>
          </w:rPr>
          <w:t>http://creativecommons.org/licenses/by/3.0/au/legalcode</w:t>
        </w:r>
      </w:hyperlink>
      <w:r w:rsidRPr="0059710A">
        <w:rPr>
          <w:lang w:eastAsia="en-US"/>
        </w:rPr>
        <w:t>.</w:t>
      </w:r>
    </w:p>
    <w:p w14:paraId="29A3932A" w14:textId="77777777" w:rsidR="0059710A" w:rsidRPr="0059710A" w:rsidRDefault="0059710A" w:rsidP="0059710A">
      <w:pPr>
        <w:keepNext/>
        <w:spacing w:before="180" w:after="20" w:line="240" w:lineRule="auto"/>
        <w:ind w:right="-113"/>
        <w:jc w:val="left"/>
        <w:rPr>
          <w:color w:val="9B0014"/>
        </w:rPr>
      </w:pPr>
      <w:r w:rsidRPr="0059710A">
        <w:rPr>
          <w:noProof/>
          <w:color w:val="9B0014"/>
          <w:lang w:eastAsia="zh-CN"/>
        </w:rPr>
        <w:drawing>
          <wp:inline distT="0" distB="0" distL="0" distR="0" wp14:anchorId="543FA1E8" wp14:editId="28332337">
            <wp:extent cx="810895" cy="284480"/>
            <wp:effectExtent l="0" t="0" r="8255" b="1270"/>
            <wp:docPr id="5" name="Picture 5" descr="CC by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10895" cy="284480"/>
                    </a:xfrm>
                    <a:prstGeom prst="rect">
                      <a:avLst/>
                    </a:prstGeom>
                    <a:noFill/>
                    <a:ln>
                      <a:noFill/>
                    </a:ln>
                  </pic:spPr>
                </pic:pic>
              </a:graphicData>
            </a:graphic>
          </wp:inline>
        </w:drawing>
      </w:r>
    </w:p>
    <w:p w14:paraId="03518941" w14:textId="77777777" w:rsidR="0059710A" w:rsidRPr="0059710A" w:rsidRDefault="0059710A" w:rsidP="0059710A">
      <w:pPr>
        <w:rPr>
          <w:lang w:eastAsia="en-US"/>
        </w:rPr>
      </w:pPr>
      <w:r w:rsidRPr="0059710A">
        <w:rPr>
          <w:lang w:eastAsia="en-US"/>
        </w:rPr>
        <w:t xml:space="preserve">Use of material from the Australian Government Actuary under a </w:t>
      </w:r>
      <w:hyperlink r:id="rId17" w:history="1">
        <w:r w:rsidRPr="0059710A">
          <w:rPr>
            <w:lang w:eastAsia="en-US"/>
          </w:rPr>
          <w:t>Creative Commons BY Attribution 3.0 Australia</w:t>
        </w:r>
      </w:hyperlink>
      <w:r w:rsidRPr="0059710A">
        <w:rPr>
          <w:lang w:eastAsia="en-US"/>
        </w:rPr>
        <w:t xml:space="preserve"> licence requires you to attribute the work (but not in any way that suggests that the Australian Government Actuary endorses you or your use of the work).</w:t>
      </w:r>
    </w:p>
    <w:p w14:paraId="6A0B31AA" w14:textId="77777777" w:rsidR="0059710A" w:rsidRPr="0059710A" w:rsidRDefault="0059710A" w:rsidP="0059710A">
      <w:pPr>
        <w:spacing w:before="120" w:after="120" w:line="240" w:lineRule="atLeast"/>
        <w:rPr>
          <w:i/>
          <w:color w:val="auto"/>
          <w:lang w:eastAsia="en-US"/>
        </w:rPr>
      </w:pPr>
      <w:r w:rsidRPr="0059710A">
        <w:rPr>
          <w:i/>
          <w:color w:val="auto"/>
          <w:lang w:eastAsia="en-US"/>
        </w:rPr>
        <w:t>Material sourced from the Australian Government Actuary, used ‘as supplied’.</w:t>
      </w:r>
    </w:p>
    <w:p w14:paraId="4A7D49A9" w14:textId="77777777" w:rsidR="0059710A" w:rsidRPr="0059710A" w:rsidRDefault="0059710A" w:rsidP="0059710A">
      <w:pPr>
        <w:rPr>
          <w:lang w:eastAsia="en-US"/>
        </w:rPr>
      </w:pPr>
      <w:r w:rsidRPr="0059710A">
        <w:rPr>
          <w:lang w:eastAsia="en-US"/>
        </w:rPr>
        <w:t>Provided you have not modified or transformed material from the Australian Government Actuary in any way including, for example, by changing the Australian Government Actuary’s text; calculating percentage changes; graphing or charting data; or deriving new statistics from statistics published by the Australian Government Actuary— then the Australian Government Actuary prefers the following attribution:</w:t>
      </w:r>
    </w:p>
    <w:p w14:paraId="437FAF63" w14:textId="77777777" w:rsidR="0059710A" w:rsidRPr="0059710A" w:rsidRDefault="0059710A" w:rsidP="0059710A">
      <w:pPr>
        <w:spacing w:before="120" w:after="120" w:line="240" w:lineRule="atLeast"/>
        <w:ind w:left="567"/>
        <w:rPr>
          <w:i/>
          <w:color w:val="auto"/>
          <w:lang w:eastAsia="en-US"/>
        </w:rPr>
      </w:pPr>
      <w:r w:rsidRPr="0059710A">
        <w:rPr>
          <w:i/>
          <w:color w:val="auto"/>
          <w:lang w:eastAsia="en-US"/>
        </w:rPr>
        <w:t>Source: The Australian Government Actuary.</w:t>
      </w:r>
    </w:p>
    <w:p w14:paraId="14783E63" w14:textId="77777777" w:rsidR="0059710A" w:rsidRPr="0059710A" w:rsidRDefault="0059710A" w:rsidP="0059710A">
      <w:pPr>
        <w:spacing w:before="100" w:after="120" w:line="240" w:lineRule="atLeast"/>
        <w:rPr>
          <w:b/>
          <w:color w:val="auto"/>
          <w:lang w:eastAsia="en-US"/>
        </w:rPr>
      </w:pPr>
      <w:r w:rsidRPr="0059710A">
        <w:rPr>
          <w:b/>
          <w:color w:val="auto"/>
          <w:lang w:eastAsia="en-US"/>
        </w:rPr>
        <w:t>Derivative material</w:t>
      </w:r>
    </w:p>
    <w:p w14:paraId="63FE1223" w14:textId="77777777" w:rsidR="0059710A" w:rsidRPr="0059710A" w:rsidRDefault="0059710A" w:rsidP="0059710A">
      <w:pPr>
        <w:rPr>
          <w:lang w:eastAsia="en-US"/>
        </w:rPr>
      </w:pPr>
      <w:r w:rsidRPr="0059710A">
        <w:rPr>
          <w:lang w:eastAsia="en-US"/>
        </w:rPr>
        <w:t>If you have modified or transformed material from the Australian Government Actuary, or derived new material from those of the Australian Government Actuary in any way, then the Australian Government Actuary prefers the following attribution:</w:t>
      </w:r>
    </w:p>
    <w:p w14:paraId="250AAF12" w14:textId="77777777" w:rsidR="0059710A" w:rsidRPr="0059710A" w:rsidRDefault="0059710A" w:rsidP="0059710A">
      <w:pPr>
        <w:spacing w:before="120" w:after="120" w:line="240" w:lineRule="atLeast"/>
        <w:ind w:left="567"/>
        <w:rPr>
          <w:i/>
          <w:color w:val="auto"/>
          <w:lang w:eastAsia="en-US"/>
        </w:rPr>
      </w:pPr>
      <w:r w:rsidRPr="0059710A">
        <w:rPr>
          <w:i/>
          <w:color w:val="auto"/>
          <w:lang w:eastAsia="en-US"/>
        </w:rPr>
        <w:t>Based on data published by the Australian Government Actuary.</w:t>
      </w:r>
    </w:p>
    <w:p w14:paraId="25EAFDAA" w14:textId="77777777" w:rsidR="0059710A" w:rsidRPr="0059710A" w:rsidRDefault="0059710A" w:rsidP="0059710A">
      <w:pPr>
        <w:spacing w:before="100" w:after="120" w:line="240" w:lineRule="atLeast"/>
        <w:rPr>
          <w:b/>
          <w:color w:val="auto"/>
          <w:lang w:eastAsia="en-US"/>
        </w:rPr>
      </w:pPr>
      <w:r w:rsidRPr="0059710A">
        <w:rPr>
          <w:b/>
          <w:color w:val="auto"/>
          <w:lang w:eastAsia="en-US"/>
        </w:rPr>
        <w:t>Use of the Coat of Arms</w:t>
      </w:r>
    </w:p>
    <w:p w14:paraId="4312181B" w14:textId="77777777" w:rsidR="0059710A" w:rsidRPr="0059710A" w:rsidRDefault="0059710A" w:rsidP="0059710A">
      <w:pPr>
        <w:rPr>
          <w:lang w:eastAsia="en-US"/>
        </w:rPr>
      </w:pPr>
      <w:r w:rsidRPr="0059710A">
        <w:rPr>
          <w:lang w:eastAsia="en-US"/>
        </w:rPr>
        <w:t>The terms under which the Coat of Arms can be used are set out on the It’s an Honour website (see </w:t>
      </w:r>
      <w:hyperlink r:id="rId18" w:history="1">
        <w:r w:rsidRPr="0059710A">
          <w:rPr>
            <w:b/>
            <w:color w:val="9B0014"/>
            <w:lang w:eastAsia="en-US"/>
          </w:rPr>
          <w:t>www.itsanhonour.gov.au</w:t>
        </w:r>
      </w:hyperlink>
      <w:r w:rsidRPr="0059710A">
        <w:rPr>
          <w:lang w:eastAsia="en-US"/>
        </w:rPr>
        <w:t>).</w:t>
      </w:r>
    </w:p>
    <w:p w14:paraId="2833AA3D" w14:textId="77777777" w:rsidR="0059710A" w:rsidRPr="0059710A" w:rsidRDefault="0059710A" w:rsidP="0059710A">
      <w:pPr>
        <w:spacing w:before="100" w:after="120" w:line="240" w:lineRule="atLeast"/>
        <w:rPr>
          <w:b/>
          <w:color w:val="auto"/>
          <w:lang w:eastAsia="en-US"/>
        </w:rPr>
      </w:pPr>
      <w:r w:rsidRPr="0059710A">
        <w:rPr>
          <w:b/>
          <w:color w:val="auto"/>
          <w:lang w:eastAsia="en-US"/>
        </w:rPr>
        <w:t>Other Uses</w:t>
      </w:r>
    </w:p>
    <w:p w14:paraId="6116A540" w14:textId="77777777" w:rsidR="0059710A" w:rsidRPr="0059710A" w:rsidRDefault="0059710A" w:rsidP="0059710A">
      <w:pPr>
        <w:rPr>
          <w:lang w:eastAsia="en-US"/>
        </w:rPr>
      </w:pPr>
      <w:r w:rsidRPr="0059710A">
        <w:rPr>
          <w:lang w:eastAsia="en-US"/>
        </w:rPr>
        <w:t>Inquiries regarding this licence and any other use of this document are welcome at:</w:t>
      </w:r>
    </w:p>
    <w:p w14:paraId="6D6536F8" w14:textId="3CCE5FD7" w:rsidR="008F7491" w:rsidRDefault="0059710A" w:rsidP="0059710A">
      <w:pPr>
        <w:spacing w:after="0"/>
        <w:jc w:val="left"/>
        <w:rPr>
          <w:rFonts w:cs="Arial"/>
        </w:rPr>
      </w:pPr>
      <w:r w:rsidRPr="0059710A">
        <w:rPr>
          <w:color w:val="auto"/>
          <w:lang w:eastAsia="en-US"/>
        </w:rPr>
        <w:t>Publications enquiries</w:t>
      </w:r>
      <w:r w:rsidRPr="0059710A">
        <w:rPr>
          <w:color w:val="auto"/>
          <w:lang w:eastAsia="en-US"/>
        </w:rPr>
        <w:br/>
        <w:t>The Australian Government Actuary</w:t>
      </w:r>
      <w:r w:rsidRPr="0059710A">
        <w:rPr>
          <w:color w:val="auto"/>
          <w:lang w:eastAsia="en-US"/>
        </w:rPr>
        <w:br/>
        <w:t>The Treasury Building</w:t>
      </w:r>
      <w:r w:rsidRPr="0059710A">
        <w:rPr>
          <w:color w:val="auto"/>
          <w:lang w:eastAsia="en-US"/>
        </w:rPr>
        <w:br/>
        <w:t>Langton Crescent</w:t>
      </w:r>
      <w:r w:rsidRPr="0059710A">
        <w:rPr>
          <w:color w:val="auto"/>
          <w:lang w:eastAsia="en-US"/>
        </w:rPr>
        <w:br/>
        <w:t>Parkes  ACT  2600</w:t>
      </w:r>
      <w:r w:rsidRPr="0059710A">
        <w:rPr>
          <w:color w:val="auto"/>
          <w:lang w:eastAsia="en-US"/>
        </w:rPr>
        <w:br/>
        <w:t xml:space="preserve">Email: </w:t>
      </w:r>
      <w:hyperlink r:id="rId19" w:history="1">
        <w:r w:rsidRPr="0059710A">
          <w:rPr>
            <w:b/>
            <w:color w:val="9B0014"/>
            <w:lang w:eastAsia="en-US"/>
          </w:rPr>
          <w:t>aga@aga.gov.au</w:t>
        </w:r>
      </w:hyperlink>
    </w:p>
    <w:p w14:paraId="42B01F27" w14:textId="77777777" w:rsidR="0059710A" w:rsidRPr="0030070D" w:rsidRDefault="0059710A" w:rsidP="0059710A">
      <w:pPr>
        <w:spacing w:after="0"/>
        <w:rPr>
          <w:rFonts w:cs="Arial"/>
        </w:rPr>
      </w:pPr>
    </w:p>
    <w:p w14:paraId="5EFAA83A" w14:textId="77777777" w:rsidR="008F7491" w:rsidRPr="0030070D" w:rsidRDefault="008F7491" w:rsidP="008F7491">
      <w:pPr>
        <w:rPr>
          <w:rFonts w:cs="Arial"/>
        </w:rPr>
        <w:sectPr w:rsidR="008F7491" w:rsidRPr="0030070D" w:rsidSect="008E6BEA">
          <w:headerReference w:type="even" r:id="rId20"/>
          <w:headerReference w:type="default" r:id="rId21"/>
          <w:headerReference w:type="first" r:id="rId22"/>
          <w:footerReference w:type="first" r:id="rId23"/>
          <w:pgSz w:w="11906" w:h="16838" w:code="9"/>
          <w:pgMar w:top="2466" w:right="2098" w:bottom="2466" w:left="2098" w:header="1899" w:footer="1899" w:gutter="0"/>
          <w:pgNumType w:fmt="lowerRoman"/>
          <w:cols w:space="708"/>
          <w:titlePg/>
          <w:docGrid w:linePitch="360"/>
        </w:sectPr>
      </w:pPr>
    </w:p>
    <w:p w14:paraId="511494B5" w14:textId="5C00C631" w:rsidR="008F7491" w:rsidRPr="0030070D" w:rsidRDefault="01FAFCDA" w:rsidP="008F7491">
      <w:pPr>
        <w:pStyle w:val="ContentsHeading"/>
        <w:jc w:val="center"/>
        <w:rPr>
          <w:rFonts w:cs="Arial"/>
        </w:rPr>
      </w:pPr>
      <w:r w:rsidRPr="01FAFCDA">
        <w:rPr>
          <w:rFonts w:cs="Arial"/>
        </w:rPr>
        <w:lastRenderedPageBreak/>
        <w:t>Contents</w:t>
      </w:r>
    </w:p>
    <w:p w14:paraId="781F889F" w14:textId="15BF8753" w:rsidR="00497157" w:rsidRDefault="00F6646A">
      <w:pPr>
        <w:pStyle w:val="TOC1"/>
        <w:rPr>
          <w:rFonts w:asciiTheme="minorHAnsi" w:eastAsiaTheme="minorEastAsia" w:hAnsiTheme="minorHAnsi" w:cstheme="minorBidi"/>
          <w:b w:val="0"/>
          <w:color w:val="auto"/>
        </w:rPr>
      </w:pPr>
      <w:r>
        <w:rPr>
          <w:lang w:eastAsia="en-US"/>
        </w:rPr>
        <w:fldChar w:fldCharType="begin"/>
      </w:r>
      <w:r>
        <w:rPr>
          <w:lang w:eastAsia="en-US"/>
        </w:rPr>
        <w:instrText xml:space="preserve"> TOC \o "1-2" \h \z \t "Heading 1 not numbered,1" </w:instrText>
      </w:r>
      <w:r>
        <w:rPr>
          <w:lang w:eastAsia="en-US"/>
        </w:rPr>
        <w:fldChar w:fldCharType="separate"/>
      </w:r>
      <w:hyperlink w:anchor="_Toc100131541" w:history="1">
        <w:r w:rsidR="00497157" w:rsidRPr="009B3951">
          <w:rPr>
            <w:rStyle w:val="Hyperlink"/>
          </w:rPr>
          <w:t>Executive summary</w:t>
        </w:r>
        <w:r w:rsidR="00497157">
          <w:rPr>
            <w:webHidden/>
          </w:rPr>
          <w:tab/>
        </w:r>
        <w:r w:rsidR="00497157">
          <w:rPr>
            <w:webHidden/>
          </w:rPr>
          <w:fldChar w:fldCharType="begin"/>
        </w:r>
        <w:r w:rsidR="00497157">
          <w:rPr>
            <w:webHidden/>
          </w:rPr>
          <w:instrText xml:space="preserve"> PAGEREF _Toc100131541 \h </w:instrText>
        </w:r>
        <w:r w:rsidR="00497157">
          <w:rPr>
            <w:webHidden/>
          </w:rPr>
        </w:r>
        <w:r w:rsidR="00497157">
          <w:rPr>
            <w:webHidden/>
          </w:rPr>
          <w:fldChar w:fldCharType="separate"/>
        </w:r>
        <w:r w:rsidR="00751625">
          <w:rPr>
            <w:webHidden/>
          </w:rPr>
          <w:t>v</w:t>
        </w:r>
        <w:r w:rsidR="00497157">
          <w:rPr>
            <w:webHidden/>
          </w:rPr>
          <w:fldChar w:fldCharType="end"/>
        </w:r>
      </w:hyperlink>
    </w:p>
    <w:p w14:paraId="6CC93A2A" w14:textId="62C699AD" w:rsidR="00497157" w:rsidRDefault="00215A2C">
      <w:pPr>
        <w:pStyle w:val="TOC2"/>
        <w:rPr>
          <w:rFonts w:asciiTheme="minorHAnsi" w:eastAsiaTheme="minorEastAsia" w:hAnsiTheme="minorHAnsi" w:cstheme="minorBidi"/>
          <w:color w:val="auto"/>
          <w:sz w:val="22"/>
          <w:szCs w:val="22"/>
          <w:lang w:eastAsia="en-AU"/>
        </w:rPr>
      </w:pPr>
      <w:hyperlink w:anchor="_Toc100131542" w:history="1">
        <w:r w:rsidR="00497157" w:rsidRPr="009B3951">
          <w:rPr>
            <w:rStyle w:val="Hyperlink"/>
          </w:rPr>
          <w:t>Background and overview</w:t>
        </w:r>
        <w:r w:rsidR="00497157">
          <w:rPr>
            <w:webHidden/>
          </w:rPr>
          <w:tab/>
        </w:r>
        <w:r w:rsidR="00497157">
          <w:rPr>
            <w:webHidden/>
          </w:rPr>
          <w:fldChar w:fldCharType="begin"/>
        </w:r>
        <w:r w:rsidR="00497157">
          <w:rPr>
            <w:webHidden/>
          </w:rPr>
          <w:instrText xml:space="preserve"> PAGEREF _Toc100131542 \h </w:instrText>
        </w:r>
        <w:r w:rsidR="00497157">
          <w:rPr>
            <w:webHidden/>
          </w:rPr>
        </w:r>
        <w:r w:rsidR="00497157">
          <w:rPr>
            <w:webHidden/>
          </w:rPr>
          <w:fldChar w:fldCharType="separate"/>
        </w:r>
        <w:r w:rsidR="00751625">
          <w:rPr>
            <w:webHidden/>
          </w:rPr>
          <w:t>v</w:t>
        </w:r>
        <w:r w:rsidR="00497157">
          <w:rPr>
            <w:webHidden/>
          </w:rPr>
          <w:fldChar w:fldCharType="end"/>
        </w:r>
      </w:hyperlink>
    </w:p>
    <w:p w14:paraId="7EC94794" w14:textId="0D4AC333" w:rsidR="00497157" w:rsidRDefault="00215A2C">
      <w:pPr>
        <w:pStyle w:val="TOC2"/>
        <w:rPr>
          <w:rFonts w:asciiTheme="minorHAnsi" w:eastAsiaTheme="minorEastAsia" w:hAnsiTheme="minorHAnsi" w:cstheme="minorBidi"/>
          <w:color w:val="auto"/>
          <w:sz w:val="22"/>
          <w:szCs w:val="22"/>
          <w:lang w:eastAsia="en-AU"/>
        </w:rPr>
      </w:pPr>
      <w:hyperlink w:anchor="_Toc100131543" w:history="1">
        <w:r w:rsidR="00497157" w:rsidRPr="009B3951">
          <w:rPr>
            <w:rStyle w:val="Hyperlink"/>
          </w:rPr>
          <w:t>Modelling approach</w:t>
        </w:r>
        <w:r w:rsidR="00497157">
          <w:rPr>
            <w:webHidden/>
          </w:rPr>
          <w:tab/>
        </w:r>
        <w:r w:rsidR="00497157">
          <w:rPr>
            <w:webHidden/>
          </w:rPr>
          <w:fldChar w:fldCharType="begin"/>
        </w:r>
        <w:r w:rsidR="00497157">
          <w:rPr>
            <w:webHidden/>
          </w:rPr>
          <w:instrText xml:space="preserve"> PAGEREF _Toc100131543 \h </w:instrText>
        </w:r>
        <w:r w:rsidR="00497157">
          <w:rPr>
            <w:webHidden/>
          </w:rPr>
        </w:r>
        <w:r w:rsidR="00497157">
          <w:rPr>
            <w:webHidden/>
          </w:rPr>
          <w:fldChar w:fldCharType="separate"/>
        </w:r>
        <w:r w:rsidR="00751625">
          <w:rPr>
            <w:webHidden/>
          </w:rPr>
          <w:t>v</w:t>
        </w:r>
        <w:r w:rsidR="00497157">
          <w:rPr>
            <w:webHidden/>
          </w:rPr>
          <w:fldChar w:fldCharType="end"/>
        </w:r>
      </w:hyperlink>
    </w:p>
    <w:p w14:paraId="0ACBEF61" w14:textId="15FA01BA" w:rsidR="00497157" w:rsidRDefault="00215A2C">
      <w:pPr>
        <w:pStyle w:val="TOC2"/>
        <w:rPr>
          <w:rFonts w:asciiTheme="minorHAnsi" w:eastAsiaTheme="minorEastAsia" w:hAnsiTheme="minorHAnsi" w:cstheme="minorBidi"/>
          <w:color w:val="auto"/>
          <w:sz w:val="22"/>
          <w:szCs w:val="22"/>
          <w:lang w:eastAsia="en-AU"/>
        </w:rPr>
      </w:pPr>
      <w:hyperlink w:anchor="_Toc100131544" w:history="1">
        <w:r w:rsidR="00497157" w:rsidRPr="009B3951">
          <w:rPr>
            <w:rStyle w:val="Hyperlink"/>
          </w:rPr>
          <w:t>Population level results</w:t>
        </w:r>
        <w:r w:rsidR="00497157">
          <w:rPr>
            <w:webHidden/>
          </w:rPr>
          <w:tab/>
        </w:r>
        <w:r w:rsidR="00497157">
          <w:rPr>
            <w:webHidden/>
          </w:rPr>
          <w:fldChar w:fldCharType="begin"/>
        </w:r>
        <w:r w:rsidR="00497157">
          <w:rPr>
            <w:webHidden/>
          </w:rPr>
          <w:instrText xml:space="preserve"> PAGEREF _Toc100131544 \h </w:instrText>
        </w:r>
        <w:r w:rsidR="00497157">
          <w:rPr>
            <w:webHidden/>
          </w:rPr>
        </w:r>
        <w:r w:rsidR="00497157">
          <w:rPr>
            <w:webHidden/>
          </w:rPr>
          <w:fldChar w:fldCharType="separate"/>
        </w:r>
        <w:r w:rsidR="00751625">
          <w:rPr>
            <w:webHidden/>
          </w:rPr>
          <w:t>vi</w:t>
        </w:r>
        <w:r w:rsidR="00497157">
          <w:rPr>
            <w:webHidden/>
          </w:rPr>
          <w:fldChar w:fldCharType="end"/>
        </w:r>
      </w:hyperlink>
    </w:p>
    <w:p w14:paraId="4CAB2465" w14:textId="131B7D39" w:rsidR="00497157" w:rsidRDefault="00215A2C">
      <w:pPr>
        <w:pStyle w:val="TOC1"/>
        <w:rPr>
          <w:rFonts w:asciiTheme="minorHAnsi" w:eastAsiaTheme="minorEastAsia" w:hAnsiTheme="minorHAnsi" w:cstheme="minorBidi"/>
          <w:b w:val="0"/>
          <w:color w:val="auto"/>
        </w:rPr>
      </w:pPr>
      <w:hyperlink w:anchor="_Toc100131545" w:history="1">
        <w:r w:rsidR="00497157" w:rsidRPr="009B3951">
          <w:rPr>
            <w:rStyle w:val="Hyperlink"/>
          </w:rPr>
          <w:t>1</w:t>
        </w:r>
        <w:r w:rsidR="00497157">
          <w:rPr>
            <w:rFonts w:asciiTheme="minorHAnsi" w:eastAsiaTheme="minorEastAsia" w:hAnsiTheme="minorHAnsi" w:cstheme="minorBidi"/>
            <w:b w:val="0"/>
            <w:color w:val="auto"/>
          </w:rPr>
          <w:tab/>
        </w:r>
        <w:r w:rsidR="00497157" w:rsidRPr="009B3951">
          <w:rPr>
            <w:rStyle w:val="Hyperlink"/>
          </w:rPr>
          <w:t>Background and overview</w:t>
        </w:r>
        <w:r w:rsidR="00497157">
          <w:rPr>
            <w:webHidden/>
          </w:rPr>
          <w:tab/>
        </w:r>
        <w:r w:rsidR="00497157">
          <w:rPr>
            <w:webHidden/>
          </w:rPr>
          <w:fldChar w:fldCharType="begin"/>
        </w:r>
        <w:r w:rsidR="00497157">
          <w:rPr>
            <w:webHidden/>
          </w:rPr>
          <w:instrText xml:space="preserve"> PAGEREF _Toc100131545 \h </w:instrText>
        </w:r>
        <w:r w:rsidR="00497157">
          <w:rPr>
            <w:webHidden/>
          </w:rPr>
        </w:r>
        <w:r w:rsidR="00497157">
          <w:rPr>
            <w:webHidden/>
          </w:rPr>
          <w:fldChar w:fldCharType="separate"/>
        </w:r>
        <w:r w:rsidR="00751625">
          <w:rPr>
            <w:webHidden/>
          </w:rPr>
          <w:t>1</w:t>
        </w:r>
        <w:r w:rsidR="00497157">
          <w:rPr>
            <w:webHidden/>
          </w:rPr>
          <w:fldChar w:fldCharType="end"/>
        </w:r>
      </w:hyperlink>
    </w:p>
    <w:p w14:paraId="5CA00D75" w14:textId="28000632" w:rsidR="00497157" w:rsidRDefault="00215A2C">
      <w:pPr>
        <w:pStyle w:val="TOC2"/>
        <w:rPr>
          <w:rFonts w:asciiTheme="minorHAnsi" w:eastAsiaTheme="minorEastAsia" w:hAnsiTheme="minorHAnsi" w:cstheme="minorBidi"/>
          <w:color w:val="auto"/>
          <w:sz w:val="22"/>
          <w:szCs w:val="22"/>
          <w:lang w:eastAsia="en-AU"/>
        </w:rPr>
      </w:pPr>
      <w:hyperlink w:anchor="_Toc100131546" w:history="1">
        <w:r w:rsidR="00497157" w:rsidRPr="009B3951">
          <w:rPr>
            <w:rStyle w:val="Hyperlink"/>
          </w:rPr>
          <w:t>1.1</w:t>
        </w:r>
        <w:r w:rsidR="00497157">
          <w:rPr>
            <w:rFonts w:asciiTheme="minorHAnsi" w:eastAsiaTheme="minorEastAsia" w:hAnsiTheme="minorHAnsi" w:cstheme="minorBidi"/>
            <w:color w:val="auto"/>
            <w:sz w:val="22"/>
            <w:szCs w:val="22"/>
            <w:lang w:eastAsia="en-AU"/>
          </w:rPr>
          <w:tab/>
        </w:r>
        <w:r w:rsidR="00497157" w:rsidRPr="009B3951">
          <w:rPr>
            <w:rStyle w:val="Hyperlink"/>
          </w:rPr>
          <w:t>The Priority Investment Approach to Welfare</w:t>
        </w:r>
        <w:r w:rsidR="00497157">
          <w:rPr>
            <w:webHidden/>
          </w:rPr>
          <w:tab/>
        </w:r>
        <w:r w:rsidR="00497157">
          <w:rPr>
            <w:webHidden/>
          </w:rPr>
          <w:fldChar w:fldCharType="begin"/>
        </w:r>
        <w:r w:rsidR="00497157">
          <w:rPr>
            <w:webHidden/>
          </w:rPr>
          <w:instrText xml:space="preserve"> PAGEREF _Toc100131546 \h </w:instrText>
        </w:r>
        <w:r w:rsidR="00497157">
          <w:rPr>
            <w:webHidden/>
          </w:rPr>
        </w:r>
        <w:r w:rsidR="00497157">
          <w:rPr>
            <w:webHidden/>
          </w:rPr>
          <w:fldChar w:fldCharType="separate"/>
        </w:r>
        <w:r w:rsidR="00751625">
          <w:rPr>
            <w:webHidden/>
          </w:rPr>
          <w:t>1</w:t>
        </w:r>
        <w:r w:rsidR="00497157">
          <w:rPr>
            <w:webHidden/>
          </w:rPr>
          <w:fldChar w:fldCharType="end"/>
        </w:r>
      </w:hyperlink>
    </w:p>
    <w:p w14:paraId="03312862" w14:textId="5B38F9F3" w:rsidR="00497157" w:rsidRDefault="00215A2C">
      <w:pPr>
        <w:pStyle w:val="TOC2"/>
        <w:rPr>
          <w:rFonts w:asciiTheme="minorHAnsi" w:eastAsiaTheme="minorEastAsia" w:hAnsiTheme="minorHAnsi" w:cstheme="minorBidi"/>
          <w:color w:val="auto"/>
          <w:sz w:val="22"/>
          <w:szCs w:val="22"/>
          <w:lang w:eastAsia="en-AU"/>
        </w:rPr>
      </w:pPr>
      <w:hyperlink w:anchor="_Toc100131547" w:history="1">
        <w:r w:rsidR="00497157" w:rsidRPr="009B3951">
          <w:rPr>
            <w:rStyle w:val="Hyperlink"/>
          </w:rPr>
          <w:t>1.2</w:t>
        </w:r>
        <w:r w:rsidR="00497157">
          <w:rPr>
            <w:rFonts w:asciiTheme="minorHAnsi" w:eastAsiaTheme="minorEastAsia" w:hAnsiTheme="minorHAnsi" w:cstheme="minorBidi"/>
            <w:color w:val="auto"/>
            <w:sz w:val="22"/>
            <w:szCs w:val="22"/>
            <w:lang w:eastAsia="en-AU"/>
          </w:rPr>
          <w:tab/>
        </w:r>
        <w:r w:rsidR="00497157" w:rsidRPr="009B3951">
          <w:rPr>
            <w:rStyle w:val="Hyperlink"/>
          </w:rPr>
          <w:t>Model population</w:t>
        </w:r>
        <w:r w:rsidR="00497157">
          <w:rPr>
            <w:webHidden/>
          </w:rPr>
          <w:tab/>
        </w:r>
        <w:r w:rsidR="00497157">
          <w:rPr>
            <w:webHidden/>
          </w:rPr>
          <w:fldChar w:fldCharType="begin"/>
        </w:r>
        <w:r w:rsidR="00497157">
          <w:rPr>
            <w:webHidden/>
          </w:rPr>
          <w:instrText xml:space="preserve"> PAGEREF _Toc100131547 \h </w:instrText>
        </w:r>
        <w:r w:rsidR="00497157">
          <w:rPr>
            <w:webHidden/>
          </w:rPr>
        </w:r>
        <w:r w:rsidR="00497157">
          <w:rPr>
            <w:webHidden/>
          </w:rPr>
          <w:fldChar w:fldCharType="separate"/>
        </w:r>
        <w:r w:rsidR="00751625">
          <w:rPr>
            <w:webHidden/>
          </w:rPr>
          <w:t>1</w:t>
        </w:r>
        <w:r w:rsidR="00497157">
          <w:rPr>
            <w:webHidden/>
          </w:rPr>
          <w:fldChar w:fldCharType="end"/>
        </w:r>
      </w:hyperlink>
    </w:p>
    <w:p w14:paraId="0FE6FA24" w14:textId="45AD6265" w:rsidR="00497157" w:rsidRDefault="00215A2C">
      <w:pPr>
        <w:pStyle w:val="TOC2"/>
        <w:rPr>
          <w:rFonts w:asciiTheme="minorHAnsi" w:eastAsiaTheme="minorEastAsia" w:hAnsiTheme="minorHAnsi" w:cstheme="minorBidi"/>
          <w:color w:val="auto"/>
          <w:sz w:val="22"/>
          <w:szCs w:val="22"/>
          <w:lang w:eastAsia="en-AU"/>
        </w:rPr>
      </w:pPr>
      <w:hyperlink w:anchor="_Toc100131548" w:history="1">
        <w:r w:rsidR="00497157" w:rsidRPr="009B3951">
          <w:rPr>
            <w:rStyle w:val="Hyperlink"/>
          </w:rPr>
          <w:t>1.3</w:t>
        </w:r>
        <w:r w:rsidR="00497157">
          <w:rPr>
            <w:rFonts w:asciiTheme="minorHAnsi" w:eastAsiaTheme="minorEastAsia" w:hAnsiTheme="minorHAnsi" w:cstheme="minorBidi"/>
            <w:color w:val="auto"/>
            <w:sz w:val="22"/>
            <w:szCs w:val="22"/>
            <w:lang w:eastAsia="en-AU"/>
          </w:rPr>
          <w:tab/>
        </w:r>
        <w:r w:rsidR="00497157" w:rsidRPr="009B3951">
          <w:rPr>
            <w:rStyle w:val="Hyperlink"/>
          </w:rPr>
          <w:t>Assumptions and policy impacts</w:t>
        </w:r>
        <w:r w:rsidR="00497157">
          <w:rPr>
            <w:webHidden/>
          </w:rPr>
          <w:tab/>
        </w:r>
        <w:r w:rsidR="00497157">
          <w:rPr>
            <w:webHidden/>
          </w:rPr>
          <w:fldChar w:fldCharType="begin"/>
        </w:r>
        <w:r w:rsidR="00497157">
          <w:rPr>
            <w:webHidden/>
          </w:rPr>
          <w:instrText xml:space="preserve"> PAGEREF _Toc100131548 \h </w:instrText>
        </w:r>
        <w:r w:rsidR="00497157">
          <w:rPr>
            <w:webHidden/>
          </w:rPr>
        </w:r>
        <w:r w:rsidR="00497157">
          <w:rPr>
            <w:webHidden/>
          </w:rPr>
          <w:fldChar w:fldCharType="separate"/>
        </w:r>
        <w:r w:rsidR="00751625">
          <w:rPr>
            <w:webHidden/>
          </w:rPr>
          <w:t>2</w:t>
        </w:r>
        <w:r w:rsidR="00497157">
          <w:rPr>
            <w:webHidden/>
          </w:rPr>
          <w:fldChar w:fldCharType="end"/>
        </w:r>
      </w:hyperlink>
    </w:p>
    <w:p w14:paraId="2B16F5F2" w14:textId="6EDC8056" w:rsidR="00497157" w:rsidRDefault="00215A2C">
      <w:pPr>
        <w:pStyle w:val="TOC2"/>
        <w:rPr>
          <w:rFonts w:asciiTheme="minorHAnsi" w:eastAsiaTheme="minorEastAsia" w:hAnsiTheme="minorHAnsi" w:cstheme="minorBidi"/>
          <w:color w:val="auto"/>
          <w:sz w:val="22"/>
          <w:szCs w:val="22"/>
          <w:lang w:eastAsia="en-AU"/>
        </w:rPr>
      </w:pPr>
      <w:hyperlink w:anchor="_Toc100131549" w:history="1">
        <w:r w:rsidR="00497157" w:rsidRPr="009B3951">
          <w:rPr>
            <w:rStyle w:val="Hyperlink"/>
          </w:rPr>
          <w:t>1.4</w:t>
        </w:r>
        <w:r w:rsidR="00497157">
          <w:rPr>
            <w:rFonts w:asciiTheme="minorHAnsi" w:eastAsiaTheme="minorEastAsia" w:hAnsiTheme="minorHAnsi" w:cstheme="minorBidi"/>
            <w:color w:val="auto"/>
            <w:sz w:val="22"/>
            <w:szCs w:val="22"/>
            <w:lang w:eastAsia="en-AU"/>
          </w:rPr>
          <w:tab/>
        </w:r>
        <w:r w:rsidR="00497157" w:rsidRPr="009B3951">
          <w:rPr>
            <w:rStyle w:val="Hyperlink"/>
          </w:rPr>
          <w:t>Uses of the PIA model</w:t>
        </w:r>
        <w:r w:rsidR="00497157">
          <w:rPr>
            <w:webHidden/>
          </w:rPr>
          <w:tab/>
        </w:r>
        <w:r w:rsidR="00497157">
          <w:rPr>
            <w:webHidden/>
          </w:rPr>
          <w:fldChar w:fldCharType="begin"/>
        </w:r>
        <w:r w:rsidR="00497157">
          <w:rPr>
            <w:webHidden/>
          </w:rPr>
          <w:instrText xml:space="preserve"> PAGEREF _Toc100131549 \h </w:instrText>
        </w:r>
        <w:r w:rsidR="00497157">
          <w:rPr>
            <w:webHidden/>
          </w:rPr>
        </w:r>
        <w:r w:rsidR="00497157">
          <w:rPr>
            <w:webHidden/>
          </w:rPr>
          <w:fldChar w:fldCharType="separate"/>
        </w:r>
        <w:r w:rsidR="00751625">
          <w:rPr>
            <w:webHidden/>
          </w:rPr>
          <w:t>2</w:t>
        </w:r>
        <w:r w:rsidR="00497157">
          <w:rPr>
            <w:webHidden/>
          </w:rPr>
          <w:fldChar w:fldCharType="end"/>
        </w:r>
      </w:hyperlink>
    </w:p>
    <w:p w14:paraId="2AE61E9B" w14:textId="1EE97468" w:rsidR="00497157" w:rsidRDefault="00215A2C">
      <w:pPr>
        <w:pStyle w:val="TOC2"/>
        <w:rPr>
          <w:rFonts w:asciiTheme="minorHAnsi" w:eastAsiaTheme="minorEastAsia" w:hAnsiTheme="minorHAnsi" w:cstheme="minorBidi"/>
          <w:color w:val="auto"/>
          <w:sz w:val="22"/>
          <w:szCs w:val="22"/>
          <w:lang w:eastAsia="en-AU"/>
        </w:rPr>
      </w:pPr>
      <w:hyperlink w:anchor="_Toc100131550" w:history="1">
        <w:r w:rsidR="00497157" w:rsidRPr="009B3951">
          <w:rPr>
            <w:rStyle w:val="Hyperlink"/>
          </w:rPr>
          <w:t>1.5</w:t>
        </w:r>
        <w:r w:rsidR="00497157">
          <w:rPr>
            <w:rFonts w:asciiTheme="minorHAnsi" w:eastAsiaTheme="minorEastAsia" w:hAnsiTheme="minorHAnsi" w:cstheme="minorBidi"/>
            <w:color w:val="auto"/>
            <w:sz w:val="22"/>
            <w:szCs w:val="22"/>
            <w:lang w:eastAsia="en-AU"/>
          </w:rPr>
          <w:tab/>
        </w:r>
        <w:r w:rsidR="00497157" w:rsidRPr="009B3951">
          <w:rPr>
            <w:rStyle w:val="Hyperlink"/>
          </w:rPr>
          <w:t>Model limitations</w:t>
        </w:r>
        <w:r w:rsidR="00497157">
          <w:rPr>
            <w:webHidden/>
          </w:rPr>
          <w:tab/>
        </w:r>
        <w:r w:rsidR="00497157">
          <w:rPr>
            <w:webHidden/>
          </w:rPr>
          <w:fldChar w:fldCharType="begin"/>
        </w:r>
        <w:r w:rsidR="00497157">
          <w:rPr>
            <w:webHidden/>
          </w:rPr>
          <w:instrText xml:space="preserve"> PAGEREF _Toc100131550 \h </w:instrText>
        </w:r>
        <w:r w:rsidR="00497157">
          <w:rPr>
            <w:webHidden/>
          </w:rPr>
        </w:r>
        <w:r w:rsidR="00497157">
          <w:rPr>
            <w:webHidden/>
          </w:rPr>
          <w:fldChar w:fldCharType="separate"/>
        </w:r>
        <w:r w:rsidR="00751625">
          <w:rPr>
            <w:webHidden/>
          </w:rPr>
          <w:t>3</w:t>
        </w:r>
        <w:r w:rsidR="00497157">
          <w:rPr>
            <w:webHidden/>
          </w:rPr>
          <w:fldChar w:fldCharType="end"/>
        </w:r>
      </w:hyperlink>
    </w:p>
    <w:p w14:paraId="5930E40B" w14:textId="56DAC3D7" w:rsidR="00497157" w:rsidRDefault="00215A2C">
      <w:pPr>
        <w:pStyle w:val="TOC2"/>
        <w:rPr>
          <w:rFonts w:asciiTheme="minorHAnsi" w:eastAsiaTheme="minorEastAsia" w:hAnsiTheme="minorHAnsi" w:cstheme="minorBidi"/>
          <w:color w:val="auto"/>
          <w:sz w:val="22"/>
          <w:szCs w:val="22"/>
          <w:lang w:eastAsia="en-AU"/>
        </w:rPr>
      </w:pPr>
      <w:hyperlink w:anchor="_Toc100131551" w:history="1">
        <w:r w:rsidR="00497157" w:rsidRPr="009B3951">
          <w:rPr>
            <w:rStyle w:val="Hyperlink"/>
          </w:rPr>
          <w:t>1.6</w:t>
        </w:r>
        <w:r w:rsidR="00497157">
          <w:rPr>
            <w:rFonts w:asciiTheme="minorHAnsi" w:eastAsiaTheme="minorEastAsia" w:hAnsiTheme="minorHAnsi" w:cstheme="minorBidi"/>
            <w:color w:val="auto"/>
            <w:sz w:val="22"/>
            <w:szCs w:val="22"/>
            <w:lang w:eastAsia="en-AU"/>
          </w:rPr>
          <w:tab/>
        </w:r>
        <w:r w:rsidR="00497157" w:rsidRPr="009B3951">
          <w:rPr>
            <w:rStyle w:val="Hyperlink"/>
          </w:rPr>
          <w:t>Professional standards underlying this report</w:t>
        </w:r>
        <w:r w:rsidR="00497157">
          <w:rPr>
            <w:webHidden/>
          </w:rPr>
          <w:tab/>
        </w:r>
        <w:r w:rsidR="00497157">
          <w:rPr>
            <w:webHidden/>
          </w:rPr>
          <w:fldChar w:fldCharType="begin"/>
        </w:r>
        <w:r w:rsidR="00497157">
          <w:rPr>
            <w:webHidden/>
          </w:rPr>
          <w:instrText xml:space="preserve"> PAGEREF _Toc100131551 \h </w:instrText>
        </w:r>
        <w:r w:rsidR="00497157">
          <w:rPr>
            <w:webHidden/>
          </w:rPr>
        </w:r>
        <w:r w:rsidR="00497157">
          <w:rPr>
            <w:webHidden/>
          </w:rPr>
          <w:fldChar w:fldCharType="separate"/>
        </w:r>
        <w:r w:rsidR="00751625">
          <w:rPr>
            <w:webHidden/>
          </w:rPr>
          <w:t>3</w:t>
        </w:r>
        <w:r w:rsidR="00497157">
          <w:rPr>
            <w:webHidden/>
          </w:rPr>
          <w:fldChar w:fldCharType="end"/>
        </w:r>
      </w:hyperlink>
    </w:p>
    <w:p w14:paraId="43A95BA1" w14:textId="5E4E80E0" w:rsidR="00497157" w:rsidRDefault="00215A2C">
      <w:pPr>
        <w:pStyle w:val="TOC2"/>
        <w:rPr>
          <w:rFonts w:asciiTheme="minorHAnsi" w:eastAsiaTheme="minorEastAsia" w:hAnsiTheme="minorHAnsi" w:cstheme="minorBidi"/>
          <w:color w:val="auto"/>
          <w:sz w:val="22"/>
          <w:szCs w:val="22"/>
          <w:lang w:eastAsia="en-AU"/>
        </w:rPr>
      </w:pPr>
      <w:hyperlink w:anchor="_Toc100131552" w:history="1">
        <w:r w:rsidR="00497157" w:rsidRPr="009B3951">
          <w:rPr>
            <w:rStyle w:val="Hyperlink"/>
          </w:rPr>
          <w:t>1.7</w:t>
        </w:r>
        <w:r w:rsidR="00497157">
          <w:rPr>
            <w:rFonts w:asciiTheme="minorHAnsi" w:eastAsiaTheme="minorEastAsia" w:hAnsiTheme="minorHAnsi" w:cstheme="minorBidi"/>
            <w:color w:val="auto"/>
            <w:sz w:val="22"/>
            <w:szCs w:val="22"/>
            <w:lang w:eastAsia="en-AU"/>
          </w:rPr>
          <w:tab/>
        </w:r>
        <w:r w:rsidR="00497157" w:rsidRPr="009B3951">
          <w:rPr>
            <w:rStyle w:val="Hyperlink"/>
          </w:rPr>
          <w:t>Reliances</w:t>
        </w:r>
        <w:r w:rsidR="00497157">
          <w:rPr>
            <w:webHidden/>
          </w:rPr>
          <w:tab/>
        </w:r>
        <w:r w:rsidR="00497157">
          <w:rPr>
            <w:webHidden/>
          </w:rPr>
          <w:fldChar w:fldCharType="begin"/>
        </w:r>
        <w:r w:rsidR="00497157">
          <w:rPr>
            <w:webHidden/>
          </w:rPr>
          <w:instrText xml:space="preserve"> PAGEREF _Toc100131552 \h </w:instrText>
        </w:r>
        <w:r w:rsidR="00497157">
          <w:rPr>
            <w:webHidden/>
          </w:rPr>
        </w:r>
        <w:r w:rsidR="00497157">
          <w:rPr>
            <w:webHidden/>
          </w:rPr>
          <w:fldChar w:fldCharType="separate"/>
        </w:r>
        <w:r w:rsidR="00751625">
          <w:rPr>
            <w:webHidden/>
          </w:rPr>
          <w:t>3</w:t>
        </w:r>
        <w:r w:rsidR="00497157">
          <w:rPr>
            <w:webHidden/>
          </w:rPr>
          <w:fldChar w:fldCharType="end"/>
        </w:r>
      </w:hyperlink>
    </w:p>
    <w:p w14:paraId="532CFCF7" w14:textId="5FC56557" w:rsidR="00497157" w:rsidRDefault="00215A2C">
      <w:pPr>
        <w:pStyle w:val="TOC1"/>
        <w:rPr>
          <w:rFonts w:asciiTheme="minorHAnsi" w:eastAsiaTheme="minorEastAsia" w:hAnsiTheme="minorHAnsi" w:cstheme="minorBidi"/>
          <w:b w:val="0"/>
          <w:color w:val="auto"/>
        </w:rPr>
      </w:pPr>
      <w:hyperlink w:anchor="_Toc100131553" w:history="1">
        <w:r w:rsidR="00497157" w:rsidRPr="009B3951">
          <w:rPr>
            <w:rStyle w:val="Hyperlink"/>
          </w:rPr>
          <w:t>2</w:t>
        </w:r>
        <w:r w:rsidR="00497157">
          <w:rPr>
            <w:rFonts w:asciiTheme="minorHAnsi" w:eastAsiaTheme="minorEastAsia" w:hAnsiTheme="minorHAnsi" w:cstheme="minorBidi"/>
            <w:b w:val="0"/>
            <w:color w:val="auto"/>
          </w:rPr>
          <w:tab/>
        </w:r>
        <w:r w:rsidR="00497157" w:rsidRPr="009B3951">
          <w:rPr>
            <w:rStyle w:val="Hyperlink"/>
          </w:rPr>
          <w:t>Modelling approach</w:t>
        </w:r>
        <w:r w:rsidR="00497157">
          <w:rPr>
            <w:webHidden/>
          </w:rPr>
          <w:tab/>
        </w:r>
        <w:r w:rsidR="00497157">
          <w:rPr>
            <w:webHidden/>
          </w:rPr>
          <w:fldChar w:fldCharType="begin"/>
        </w:r>
        <w:r w:rsidR="00497157">
          <w:rPr>
            <w:webHidden/>
          </w:rPr>
          <w:instrText xml:space="preserve"> PAGEREF _Toc100131553 \h </w:instrText>
        </w:r>
        <w:r w:rsidR="00497157">
          <w:rPr>
            <w:webHidden/>
          </w:rPr>
        </w:r>
        <w:r w:rsidR="00497157">
          <w:rPr>
            <w:webHidden/>
          </w:rPr>
          <w:fldChar w:fldCharType="separate"/>
        </w:r>
        <w:r w:rsidR="00751625">
          <w:rPr>
            <w:webHidden/>
          </w:rPr>
          <w:t>4</w:t>
        </w:r>
        <w:r w:rsidR="00497157">
          <w:rPr>
            <w:webHidden/>
          </w:rPr>
          <w:fldChar w:fldCharType="end"/>
        </w:r>
      </w:hyperlink>
    </w:p>
    <w:p w14:paraId="7FF16286" w14:textId="153A5A47" w:rsidR="00497157" w:rsidRDefault="00215A2C">
      <w:pPr>
        <w:pStyle w:val="TOC2"/>
        <w:rPr>
          <w:rFonts w:asciiTheme="minorHAnsi" w:eastAsiaTheme="minorEastAsia" w:hAnsiTheme="minorHAnsi" w:cstheme="minorBidi"/>
          <w:color w:val="auto"/>
          <w:sz w:val="22"/>
          <w:szCs w:val="22"/>
          <w:lang w:eastAsia="en-AU"/>
        </w:rPr>
      </w:pPr>
      <w:hyperlink w:anchor="_Toc100131554" w:history="1">
        <w:r w:rsidR="00497157" w:rsidRPr="009B3951">
          <w:rPr>
            <w:rStyle w:val="Hyperlink"/>
          </w:rPr>
          <w:t>2.1</w:t>
        </w:r>
        <w:r w:rsidR="00497157">
          <w:rPr>
            <w:rFonts w:asciiTheme="minorHAnsi" w:eastAsiaTheme="minorEastAsia" w:hAnsiTheme="minorHAnsi" w:cstheme="minorBidi"/>
            <w:color w:val="auto"/>
            <w:sz w:val="22"/>
            <w:szCs w:val="22"/>
            <w:lang w:eastAsia="en-AU"/>
          </w:rPr>
          <w:tab/>
        </w:r>
        <w:r w:rsidR="00497157" w:rsidRPr="009B3951">
          <w:rPr>
            <w:rStyle w:val="Hyperlink"/>
          </w:rPr>
          <w:t>Overview</w:t>
        </w:r>
        <w:r w:rsidR="00497157">
          <w:rPr>
            <w:webHidden/>
          </w:rPr>
          <w:tab/>
        </w:r>
        <w:r w:rsidR="00497157">
          <w:rPr>
            <w:webHidden/>
          </w:rPr>
          <w:fldChar w:fldCharType="begin"/>
        </w:r>
        <w:r w:rsidR="00497157">
          <w:rPr>
            <w:webHidden/>
          </w:rPr>
          <w:instrText xml:space="preserve"> PAGEREF _Toc100131554 \h </w:instrText>
        </w:r>
        <w:r w:rsidR="00497157">
          <w:rPr>
            <w:webHidden/>
          </w:rPr>
        </w:r>
        <w:r w:rsidR="00497157">
          <w:rPr>
            <w:webHidden/>
          </w:rPr>
          <w:fldChar w:fldCharType="separate"/>
        </w:r>
        <w:r w:rsidR="00751625">
          <w:rPr>
            <w:webHidden/>
          </w:rPr>
          <w:t>4</w:t>
        </w:r>
        <w:r w:rsidR="00497157">
          <w:rPr>
            <w:webHidden/>
          </w:rPr>
          <w:fldChar w:fldCharType="end"/>
        </w:r>
      </w:hyperlink>
    </w:p>
    <w:p w14:paraId="6A5DA3DE" w14:textId="4EE0EC30" w:rsidR="00497157" w:rsidRDefault="00215A2C">
      <w:pPr>
        <w:pStyle w:val="TOC2"/>
        <w:rPr>
          <w:rFonts w:asciiTheme="minorHAnsi" w:eastAsiaTheme="minorEastAsia" w:hAnsiTheme="minorHAnsi" w:cstheme="minorBidi"/>
          <w:color w:val="auto"/>
          <w:sz w:val="22"/>
          <w:szCs w:val="22"/>
          <w:lang w:eastAsia="en-AU"/>
        </w:rPr>
      </w:pPr>
      <w:hyperlink w:anchor="_Toc100131555" w:history="1">
        <w:r w:rsidR="00497157" w:rsidRPr="009B3951">
          <w:rPr>
            <w:rStyle w:val="Hyperlink"/>
          </w:rPr>
          <w:t>2.2</w:t>
        </w:r>
        <w:r w:rsidR="00497157">
          <w:rPr>
            <w:rFonts w:asciiTheme="minorHAnsi" w:eastAsiaTheme="minorEastAsia" w:hAnsiTheme="minorHAnsi" w:cstheme="minorBidi"/>
            <w:color w:val="auto"/>
            <w:sz w:val="22"/>
            <w:szCs w:val="22"/>
            <w:lang w:eastAsia="en-AU"/>
          </w:rPr>
          <w:tab/>
        </w:r>
        <w:r w:rsidR="00497157" w:rsidRPr="009B3951">
          <w:rPr>
            <w:rStyle w:val="Hyperlink"/>
          </w:rPr>
          <w:t>Data</w:t>
        </w:r>
        <w:r w:rsidR="00497157">
          <w:rPr>
            <w:webHidden/>
          </w:rPr>
          <w:tab/>
        </w:r>
        <w:r w:rsidR="00497157">
          <w:rPr>
            <w:webHidden/>
          </w:rPr>
          <w:fldChar w:fldCharType="begin"/>
        </w:r>
        <w:r w:rsidR="00497157">
          <w:rPr>
            <w:webHidden/>
          </w:rPr>
          <w:instrText xml:space="preserve"> PAGEREF _Toc100131555 \h </w:instrText>
        </w:r>
        <w:r w:rsidR="00497157">
          <w:rPr>
            <w:webHidden/>
          </w:rPr>
        </w:r>
        <w:r w:rsidR="00497157">
          <w:rPr>
            <w:webHidden/>
          </w:rPr>
          <w:fldChar w:fldCharType="separate"/>
        </w:r>
        <w:r w:rsidR="00751625">
          <w:rPr>
            <w:webHidden/>
          </w:rPr>
          <w:t>6</w:t>
        </w:r>
        <w:r w:rsidR="00497157">
          <w:rPr>
            <w:webHidden/>
          </w:rPr>
          <w:fldChar w:fldCharType="end"/>
        </w:r>
      </w:hyperlink>
    </w:p>
    <w:p w14:paraId="256458C9" w14:textId="7A21D41E" w:rsidR="00497157" w:rsidRDefault="00215A2C">
      <w:pPr>
        <w:pStyle w:val="TOC2"/>
        <w:rPr>
          <w:rFonts w:asciiTheme="minorHAnsi" w:eastAsiaTheme="minorEastAsia" w:hAnsiTheme="minorHAnsi" w:cstheme="minorBidi"/>
          <w:color w:val="auto"/>
          <w:sz w:val="22"/>
          <w:szCs w:val="22"/>
          <w:lang w:eastAsia="en-AU"/>
        </w:rPr>
      </w:pPr>
      <w:hyperlink w:anchor="_Toc100131556" w:history="1">
        <w:r w:rsidR="00497157" w:rsidRPr="009B3951">
          <w:rPr>
            <w:rStyle w:val="Hyperlink"/>
          </w:rPr>
          <w:t>2.3</w:t>
        </w:r>
        <w:r w:rsidR="00497157">
          <w:rPr>
            <w:rFonts w:asciiTheme="minorHAnsi" w:eastAsiaTheme="minorEastAsia" w:hAnsiTheme="minorHAnsi" w:cstheme="minorBidi"/>
            <w:color w:val="auto"/>
            <w:sz w:val="22"/>
            <w:szCs w:val="22"/>
            <w:lang w:eastAsia="en-AU"/>
          </w:rPr>
          <w:tab/>
        </w:r>
        <w:r w:rsidR="00497157" w:rsidRPr="009B3951">
          <w:rPr>
            <w:rStyle w:val="Hyperlink"/>
          </w:rPr>
          <w:t>Modelling process</w:t>
        </w:r>
        <w:r w:rsidR="00497157">
          <w:rPr>
            <w:webHidden/>
          </w:rPr>
          <w:tab/>
        </w:r>
        <w:r w:rsidR="00497157">
          <w:rPr>
            <w:webHidden/>
          </w:rPr>
          <w:fldChar w:fldCharType="begin"/>
        </w:r>
        <w:r w:rsidR="00497157">
          <w:rPr>
            <w:webHidden/>
          </w:rPr>
          <w:instrText xml:space="preserve"> PAGEREF _Toc100131556 \h </w:instrText>
        </w:r>
        <w:r w:rsidR="00497157">
          <w:rPr>
            <w:webHidden/>
          </w:rPr>
        </w:r>
        <w:r w:rsidR="00497157">
          <w:rPr>
            <w:webHidden/>
          </w:rPr>
          <w:fldChar w:fldCharType="separate"/>
        </w:r>
        <w:r w:rsidR="00751625">
          <w:rPr>
            <w:webHidden/>
          </w:rPr>
          <w:t>7</w:t>
        </w:r>
        <w:r w:rsidR="00497157">
          <w:rPr>
            <w:webHidden/>
          </w:rPr>
          <w:fldChar w:fldCharType="end"/>
        </w:r>
      </w:hyperlink>
    </w:p>
    <w:p w14:paraId="15AEE865" w14:textId="152AF93F" w:rsidR="00497157" w:rsidRDefault="00215A2C">
      <w:pPr>
        <w:pStyle w:val="TOC2"/>
        <w:rPr>
          <w:rFonts w:asciiTheme="minorHAnsi" w:eastAsiaTheme="minorEastAsia" w:hAnsiTheme="minorHAnsi" w:cstheme="minorBidi"/>
          <w:color w:val="auto"/>
          <w:sz w:val="22"/>
          <w:szCs w:val="22"/>
          <w:lang w:eastAsia="en-AU"/>
        </w:rPr>
      </w:pPr>
      <w:hyperlink w:anchor="_Toc100131557" w:history="1">
        <w:r w:rsidR="00497157" w:rsidRPr="009B3951">
          <w:rPr>
            <w:rStyle w:val="Hyperlink"/>
          </w:rPr>
          <w:t>2.4</w:t>
        </w:r>
        <w:r w:rsidR="00497157">
          <w:rPr>
            <w:rFonts w:asciiTheme="minorHAnsi" w:eastAsiaTheme="minorEastAsia" w:hAnsiTheme="minorHAnsi" w:cstheme="minorBidi"/>
            <w:color w:val="auto"/>
            <w:sz w:val="22"/>
            <w:szCs w:val="22"/>
            <w:lang w:eastAsia="en-AU"/>
          </w:rPr>
          <w:tab/>
        </w:r>
        <w:r w:rsidR="00497157" w:rsidRPr="009B3951">
          <w:rPr>
            <w:rStyle w:val="Hyperlink"/>
          </w:rPr>
          <w:t>Model updates</w:t>
        </w:r>
        <w:r w:rsidR="00497157">
          <w:rPr>
            <w:webHidden/>
          </w:rPr>
          <w:tab/>
        </w:r>
        <w:r w:rsidR="00497157">
          <w:rPr>
            <w:webHidden/>
          </w:rPr>
          <w:fldChar w:fldCharType="begin"/>
        </w:r>
        <w:r w:rsidR="00497157">
          <w:rPr>
            <w:webHidden/>
          </w:rPr>
          <w:instrText xml:space="preserve"> PAGEREF _Toc100131557 \h </w:instrText>
        </w:r>
        <w:r w:rsidR="00497157">
          <w:rPr>
            <w:webHidden/>
          </w:rPr>
        </w:r>
        <w:r w:rsidR="00497157">
          <w:rPr>
            <w:webHidden/>
          </w:rPr>
          <w:fldChar w:fldCharType="separate"/>
        </w:r>
        <w:r w:rsidR="00751625">
          <w:rPr>
            <w:webHidden/>
          </w:rPr>
          <w:t>10</w:t>
        </w:r>
        <w:r w:rsidR="00497157">
          <w:rPr>
            <w:webHidden/>
          </w:rPr>
          <w:fldChar w:fldCharType="end"/>
        </w:r>
      </w:hyperlink>
    </w:p>
    <w:p w14:paraId="72162834" w14:textId="59BD25B7" w:rsidR="00497157" w:rsidRDefault="00215A2C">
      <w:pPr>
        <w:pStyle w:val="TOC2"/>
        <w:rPr>
          <w:rFonts w:asciiTheme="minorHAnsi" w:eastAsiaTheme="minorEastAsia" w:hAnsiTheme="minorHAnsi" w:cstheme="minorBidi"/>
          <w:color w:val="auto"/>
          <w:sz w:val="22"/>
          <w:szCs w:val="22"/>
          <w:lang w:eastAsia="en-AU"/>
        </w:rPr>
      </w:pPr>
      <w:hyperlink w:anchor="_Toc100131558" w:history="1">
        <w:r w:rsidR="00497157" w:rsidRPr="009B3951">
          <w:rPr>
            <w:rStyle w:val="Hyperlink"/>
          </w:rPr>
          <w:t>2.5</w:t>
        </w:r>
        <w:r w:rsidR="00497157">
          <w:rPr>
            <w:rFonts w:asciiTheme="minorHAnsi" w:eastAsiaTheme="minorEastAsia" w:hAnsiTheme="minorHAnsi" w:cstheme="minorBidi"/>
            <w:color w:val="auto"/>
            <w:sz w:val="22"/>
            <w:szCs w:val="22"/>
            <w:lang w:eastAsia="en-AU"/>
          </w:rPr>
          <w:tab/>
        </w:r>
        <w:r w:rsidR="00497157" w:rsidRPr="009B3951">
          <w:rPr>
            <w:rStyle w:val="Hyperlink"/>
          </w:rPr>
          <w:t>Rebase of 2018 results</w:t>
        </w:r>
        <w:r w:rsidR="00497157">
          <w:rPr>
            <w:webHidden/>
          </w:rPr>
          <w:tab/>
        </w:r>
        <w:r w:rsidR="00497157">
          <w:rPr>
            <w:webHidden/>
          </w:rPr>
          <w:fldChar w:fldCharType="begin"/>
        </w:r>
        <w:r w:rsidR="00497157">
          <w:rPr>
            <w:webHidden/>
          </w:rPr>
          <w:instrText xml:space="preserve"> PAGEREF _Toc100131558 \h </w:instrText>
        </w:r>
        <w:r w:rsidR="00497157">
          <w:rPr>
            <w:webHidden/>
          </w:rPr>
        </w:r>
        <w:r w:rsidR="00497157">
          <w:rPr>
            <w:webHidden/>
          </w:rPr>
          <w:fldChar w:fldCharType="separate"/>
        </w:r>
        <w:r w:rsidR="00751625">
          <w:rPr>
            <w:webHidden/>
          </w:rPr>
          <w:t>11</w:t>
        </w:r>
        <w:r w:rsidR="00497157">
          <w:rPr>
            <w:webHidden/>
          </w:rPr>
          <w:fldChar w:fldCharType="end"/>
        </w:r>
      </w:hyperlink>
    </w:p>
    <w:p w14:paraId="571157F6" w14:textId="2BC2EA7E" w:rsidR="00497157" w:rsidRDefault="00215A2C">
      <w:pPr>
        <w:pStyle w:val="TOC2"/>
        <w:rPr>
          <w:rFonts w:asciiTheme="minorHAnsi" w:eastAsiaTheme="minorEastAsia" w:hAnsiTheme="minorHAnsi" w:cstheme="minorBidi"/>
          <w:color w:val="auto"/>
          <w:sz w:val="22"/>
          <w:szCs w:val="22"/>
          <w:lang w:eastAsia="en-AU"/>
        </w:rPr>
      </w:pPr>
      <w:hyperlink w:anchor="_Toc100131559" w:history="1">
        <w:r w:rsidR="00497157" w:rsidRPr="009B3951">
          <w:rPr>
            <w:rStyle w:val="Hyperlink"/>
          </w:rPr>
          <w:t>2.6</w:t>
        </w:r>
        <w:r w:rsidR="00497157">
          <w:rPr>
            <w:rFonts w:asciiTheme="minorHAnsi" w:eastAsiaTheme="minorEastAsia" w:hAnsiTheme="minorHAnsi" w:cstheme="minorBidi"/>
            <w:color w:val="auto"/>
            <w:sz w:val="22"/>
            <w:szCs w:val="22"/>
            <w:lang w:eastAsia="en-AU"/>
          </w:rPr>
          <w:tab/>
        </w:r>
        <w:r w:rsidR="00497157" w:rsidRPr="009B3951">
          <w:rPr>
            <w:rStyle w:val="Hyperlink"/>
          </w:rPr>
          <w:t>Policy updates for 2019</w:t>
        </w:r>
        <w:r w:rsidR="00497157">
          <w:rPr>
            <w:webHidden/>
          </w:rPr>
          <w:tab/>
        </w:r>
        <w:r w:rsidR="00497157">
          <w:rPr>
            <w:webHidden/>
          </w:rPr>
          <w:fldChar w:fldCharType="begin"/>
        </w:r>
        <w:r w:rsidR="00497157">
          <w:rPr>
            <w:webHidden/>
          </w:rPr>
          <w:instrText xml:space="preserve"> PAGEREF _Toc100131559 \h </w:instrText>
        </w:r>
        <w:r w:rsidR="00497157">
          <w:rPr>
            <w:webHidden/>
          </w:rPr>
        </w:r>
        <w:r w:rsidR="00497157">
          <w:rPr>
            <w:webHidden/>
          </w:rPr>
          <w:fldChar w:fldCharType="separate"/>
        </w:r>
        <w:r w:rsidR="00751625">
          <w:rPr>
            <w:webHidden/>
          </w:rPr>
          <w:t>12</w:t>
        </w:r>
        <w:r w:rsidR="00497157">
          <w:rPr>
            <w:webHidden/>
          </w:rPr>
          <w:fldChar w:fldCharType="end"/>
        </w:r>
      </w:hyperlink>
    </w:p>
    <w:p w14:paraId="4F6868FC" w14:textId="01256525" w:rsidR="00497157" w:rsidRDefault="00215A2C">
      <w:pPr>
        <w:pStyle w:val="TOC2"/>
        <w:rPr>
          <w:rFonts w:asciiTheme="minorHAnsi" w:eastAsiaTheme="minorEastAsia" w:hAnsiTheme="minorHAnsi" w:cstheme="minorBidi"/>
          <w:color w:val="auto"/>
          <w:sz w:val="22"/>
          <w:szCs w:val="22"/>
          <w:lang w:eastAsia="en-AU"/>
        </w:rPr>
      </w:pPr>
      <w:hyperlink w:anchor="_Toc100131560" w:history="1">
        <w:r w:rsidR="00497157" w:rsidRPr="009B3951">
          <w:rPr>
            <w:rStyle w:val="Hyperlink"/>
            <w:snapToGrid w:val="0"/>
          </w:rPr>
          <w:t>2.7</w:t>
        </w:r>
        <w:r w:rsidR="00497157">
          <w:rPr>
            <w:rFonts w:asciiTheme="minorHAnsi" w:eastAsiaTheme="minorEastAsia" w:hAnsiTheme="minorHAnsi" w:cstheme="minorBidi"/>
            <w:color w:val="auto"/>
            <w:sz w:val="22"/>
            <w:szCs w:val="22"/>
            <w:lang w:eastAsia="en-AU"/>
          </w:rPr>
          <w:tab/>
        </w:r>
        <w:r w:rsidR="00497157" w:rsidRPr="009B3951">
          <w:rPr>
            <w:rStyle w:val="Hyperlink"/>
            <w:snapToGrid w:val="0"/>
          </w:rPr>
          <w:t xml:space="preserve">Model </w:t>
        </w:r>
        <w:r w:rsidR="00497157" w:rsidRPr="009B3951">
          <w:rPr>
            <w:rStyle w:val="Hyperlink"/>
          </w:rPr>
          <w:t>population</w:t>
        </w:r>
        <w:r w:rsidR="00497157">
          <w:rPr>
            <w:webHidden/>
          </w:rPr>
          <w:tab/>
        </w:r>
        <w:r w:rsidR="00497157">
          <w:rPr>
            <w:webHidden/>
          </w:rPr>
          <w:fldChar w:fldCharType="begin"/>
        </w:r>
        <w:r w:rsidR="00497157">
          <w:rPr>
            <w:webHidden/>
          </w:rPr>
          <w:instrText xml:space="preserve"> PAGEREF _Toc100131560 \h </w:instrText>
        </w:r>
        <w:r w:rsidR="00497157">
          <w:rPr>
            <w:webHidden/>
          </w:rPr>
        </w:r>
        <w:r w:rsidR="00497157">
          <w:rPr>
            <w:webHidden/>
          </w:rPr>
          <w:fldChar w:fldCharType="separate"/>
        </w:r>
        <w:r w:rsidR="00751625">
          <w:rPr>
            <w:webHidden/>
          </w:rPr>
          <w:t>13</w:t>
        </w:r>
        <w:r w:rsidR="00497157">
          <w:rPr>
            <w:webHidden/>
          </w:rPr>
          <w:fldChar w:fldCharType="end"/>
        </w:r>
      </w:hyperlink>
    </w:p>
    <w:p w14:paraId="7390659C" w14:textId="055EC01D" w:rsidR="00497157" w:rsidRDefault="00215A2C">
      <w:pPr>
        <w:pStyle w:val="TOC2"/>
        <w:rPr>
          <w:rFonts w:asciiTheme="minorHAnsi" w:eastAsiaTheme="minorEastAsia" w:hAnsiTheme="minorHAnsi" w:cstheme="minorBidi"/>
          <w:color w:val="auto"/>
          <w:sz w:val="22"/>
          <w:szCs w:val="22"/>
          <w:lang w:eastAsia="en-AU"/>
        </w:rPr>
      </w:pPr>
      <w:hyperlink w:anchor="_Toc100131561" w:history="1">
        <w:r w:rsidR="00497157" w:rsidRPr="009B3951">
          <w:rPr>
            <w:rStyle w:val="Hyperlink"/>
          </w:rPr>
          <w:t>2.8</w:t>
        </w:r>
        <w:r w:rsidR="00497157">
          <w:rPr>
            <w:rFonts w:asciiTheme="minorHAnsi" w:eastAsiaTheme="minorEastAsia" w:hAnsiTheme="minorHAnsi" w:cstheme="minorBidi"/>
            <w:color w:val="auto"/>
            <w:sz w:val="22"/>
            <w:szCs w:val="22"/>
            <w:lang w:eastAsia="en-AU"/>
          </w:rPr>
          <w:tab/>
        </w:r>
        <w:r w:rsidR="00497157" w:rsidRPr="009B3951">
          <w:rPr>
            <w:rStyle w:val="Hyperlink"/>
          </w:rPr>
          <w:t>Experience updates for 2019</w:t>
        </w:r>
        <w:r w:rsidR="00497157">
          <w:rPr>
            <w:webHidden/>
          </w:rPr>
          <w:tab/>
        </w:r>
        <w:r w:rsidR="00497157">
          <w:rPr>
            <w:webHidden/>
          </w:rPr>
          <w:fldChar w:fldCharType="begin"/>
        </w:r>
        <w:r w:rsidR="00497157">
          <w:rPr>
            <w:webHidden/>
          </w:rPr>
          <w:instrText xml:space="preserve"> PAGEREF _Toc100131561 \h </w:instrText>
        </w:r>
        <w:r w:rsidR="00497157">
          <w:rPr>
            <w:webHidden/>
          </w:rPr>
        </w:r>
        <w:r w:rsidR="00497157">
          <w:rPr>
            <w:webHidden/>
          </w:rPr>
          <w:fldChar w:fldCharType="separate"/>
        </w:r>
        <w:r w:rsidR="00751625">
          <w:rPr>
            <w:webHidden/>
          </w:rPr>
          <w:t>18</w:t>
        </w:r>
        <w:r w:rsidR="00497157">
          <w:rPr>
            <w:webHidden/>
          </w:rPr>
          <w:fldChar w:fldCharType="end"/>
        </w:r>
      </w:hyperlink>
    </w:p>
    <w:p w14:paraId="0596F841" w14:textId="63A86B22" w:rsidR="00497157" w:rsidRDefault="00215A2C">
      <w:pPr>
        <w:pStyle w:val="TOC1"/>
        <w:rPr>
          <w:rFonts w:asciiTheme="minorHAnsi" w:eastAsiaTheme="minorEastAsia" w:hAnsiTheme="minorHAnsi" w:cstheme="minorBidi"/>
          <w:b w:val="0"/>
          <w:color w:val="auto"/>
        </w:rPr>
      </w:pPr>
      <w:hyperlink w:anchor="_Toc100131562" w:history="1">
        <w:r w:rsidR="00497157" w:rsidRPr="009B3951">
          <w:rPr>
            <w:rStyle w:val="Hyperlink"/>
          </w:rPr>
          <w:t>3</w:t>
        </w:r>
        <w:r w:rsidR="00497157">
          <w:rPr>
            <w:rFonts w:asciiTheme="minorHAnsi" w:eastAsiaTheme="minorEastAsia" w:hAnsiTheme="minorHAnsi" w:cstheme="minorBidi"/>
            <w:b w:val="0"/>
            <w:color w:val="auto"/>
          </w:rPr>
          <w:tab/>
        </w:r>
        <w:r w:rsidR="00497157" w:rsidRPr="009B3951">
          <w:rPr>
            <w:rStyle w:val="Hyperlink"/>
          </w:rPr>
          <w:t>Population level results</w:t>
        </w:r>
        <w:r w:rsidR="00497157">
          <w:rPr>
            <w:webHidden/>
          </w:rPr>
          <w:tab/>
        </w:r>
        <w:r w:rsidR="00497157">
          <w:rPr>
            <w:webHidden/>
          </w:rPr>
          <w:fldChar w:fldCharType="begin"/>
        </w:r>
        <w:r w:rsidR="00497157">
          <w:rPr>
            <w:webHidden/>
          </w:rPr>
          <w:instrText xml:space="preserve"> PAGEREF _Toc100131562 \h </w:instrText>
        </w:r>
        <w:r w:rsidR="00497157">
          <w:rPr>
            <w:webHidden/>
          </w:rPr>
        </w:r>
        <w:r w:rsidR="00497157">
          <w:rPr>
            <w:webHidden/>
          </w:rPr>
          <w:fldChar w:fldCharType="separate"/>
        </w:r>
        <w:r w:rsidR="00751625">
          <w:rPr>
            <w:webHidden/>
          </w:rPr>
          <w:t>41</w:t>
        </w:r>
        <w:r w:rsidR="00497157">
          <w:rPr>
            <w:webHidden/>
          </w:rPr>
          <w:fldChar w:fldCharType="end"/>
        </w:r>
      </w:hyperlink>
    </w:p>
    <w:p w14:paraId="0BBE7C5B" w14:textId="0A703085" w:rsidR="00497157" w:rsidRDefault="00215A2C">
      <w:pPr>
        <w:pStyle w:val="TOC2"/>
        <w:rPr>
          <w:rFonts w:asciiTheme="minorHAnsi" w:eastAsiaTheme="minorEastAsia" w:hAnsiTheme="minorHAnsi" w:cstheme="minorBidi"/>
          <w:color w:val="auto"/>
          <w:sz w:val="22"/>
          <w:szCs w:val="22"/>
          <w:lang w:eastAsia="en-AU"/>
        </w:rPr>
      </w:pPr>
      <w:hyperlink w:anchor="_Toc100131563" w:history="1">
        <w:r w:rsidR="00497157" w:rsidRPr="009B3951">
          <w:rPr>
            <w:rStyle w:val="Hyperlink"/>
          </w:rPr>
          <w:t>3.1</w:t>
        </w:r>
        <w:r w:rsidR="00497157">
          <w:rPr>
            <w:rFonts w:asciiTheme="minorHAnsi" w:eastAsiaTheme="minorEastAsia" w:hAnsiTheme="minorHAnsi" w:cstheme="minorBidi"/>
            <w:color w:val="auto"/>
            <w:sz w:val="22"/>
            <w:szCs w:val="22"/>
            <w:lang w:eastAsia="en-AU"/>
          </w:rPr>
          <w:tab/>
        </w:r>
        <w:r w:rsidR="00497157" w:rsidRPr="009B3951">
          <w:rPr>
            <w:rStyle w:val="Hyperlink"/>
          </w:rPr>
          <w:t>Total Lifetime Cost</w:t>
        </w:r>
        <w:r w:rsidR="00497157">
          <w:rPr>
            <w:webHidden/>
          </w:rPr>
          <w:tab/>
        </w:r>
        <w:r w:rsidR="00497157">
          <w:rPr>
            <w:webHidden/>
          </w:rPr>
          <w:fldChar w:fldCharType="begin"/>
        </w:r>
        <w:r w:rsidR="00497157">
          <w:rPr>
            <w:webHidden/>
          </w:rPr>
          <w:instrText xml:space="preserve"> PAGEREF _Toc100131563 \h </w:instrText>
        </w:r>
        <w:r w:rsidR="00497157">
          <w:rPr>
            <w:webHidden/>
          </w:rPr>
        </w:r>
        <w:r w:rsidR="00497157">
          <w:rPr>
            <w:webHidden/>
          </w:rPr>
          <w:fldChar w:fldCharType="separate"/>
        </w:r>
        <w:r w:rsidR="00751625">
          <w:rPr>
            <w:webHidden/>
          </w:rPr>
          <w:t>41</w:t>
        </w:r>
        <w:r w:rsidR="00497157">
          <w:rPr>
            <w:webHidden/>
          </w:rPr>
          <w:fldChar w:fldCharType="end"/>
        </w:r>
      </w:hyperlink>
    </w:p>
    <w:p w14:paraId="25B55F04" w14:textId="24C49B29" w:rsidR="00497157" w:rsidRDefault="00215A2C">
      <w:pPr>
        <w:pStyle w:val="TOC2"/>
        <w:rPr>
          <w:rFonts w:asciiTheme="minorHAnsi" w:eastAsiaTheme="minorEastAsia" w:hAnsiTheme="minorHAnsi" w:cstheme="minorBidi"/>
          <w:color w:val="auto"/>
          <w:sz w:val="22"/>
          <w:szCs w:val="22"/>
          <w:lang w:eastAsia="en-AU"/>
        </w:rPr>
      </w:pPr>
      <w:hyperlink w:anchor="_Toc100131564" w:history="1">
        <w:r w:rsidR="00497157" w:rsidRPr="009B3951">
          <w:rPr>
            <w:rStyle w:val="Hyperlink"/>
          </w:rPr>
          <w:t>3.2</w:t>
        </w:r>
        <w:r w:rsidR="00497157">
          <w:rPr>
            <w:rFonts w:asciiTheme="minorHAnsi" w:eastAsiaTheme="minorEastAsia" w:hAnsiTheme="minorHAnsi" w:cstheme="minorBidi"/>
            <w:color w:val="auto"/>
            <w:sz w:val="22"/>
            <w:szCs w:val="22"/>
            <w:lang w:eastAsia="en-AU"/>
          </w:rPr>
          <w:tab/>
        </w:r>
        <w:r w:rsidR="00497157" w:rsidRPr="009B3951">
          <w:rPr>
            <w:rStyle w:val="Hyperlink"/>
          </w:rPr>
          <w:t>Costs by payment category</w:t>
        </w:r>
        <w:r w:rsidR="00497157">
          <w:rPr>
            <w:webHidden/>
          </w:rPr>
          <w:tab/>
        </w:r>
        <w:r w:rsidR="00497157">
          <w:rPr>
            <w:webHidden/>
          </w:rPr>
          <w:fldChar w:fldCharType="begin"/>
        </w:r>
        <w:r w:rsidR="00497157">
          <w:rPr>
            <w:webHidden/>
          </w:rPr>
          <w:instrText xml:space="preserve"> PAGEREF _Toc100131564 \h </w:instrText>
        </w:r>
        <w:r w:rsidR="00497157">
          <w:rPr>
            <w:webHidden/>
          </w:rPr>
        </w:r>
        <w:r w:rsidR="00497157">
          <w:rPr>
            <w:webHidden/>
          </w:rPr>
          <w:fldChar w:fldCharType="separate"/>
        </w:r>
        <w:r w:rsidR="00751625">
          <w:rPr>
            <w:webHidden/>
          </w:rPr>
          <w:t>41</w:t>
        </w:r>
        <w:r w:rsidR="00497157">
          <w:rPr>
            <w:webHidden/>
          </w:rPr>
          <w:fldChar w:fldCharType="end"/>
        </w:r>
      </w:hyperlink>
    </w:p>
    <w:p w14:paraId="3A0AD985" w14:textId="689C247D" w:rsidR="00497157" w:rsidRDefault="00215A2C">
      <w:pPr>
        <w:pStyle w:val="TOC2"/>
        <w:rPr>
          <w:rFonts w:asciiTheme="minorHAnsi" w:eastAsiaTheme="minorEastAsia" w:hAnsiTheme="minorHAnsi" w:cstheme="minorBidi"/>
          <w:color w:val="auto"/>
          <w:sz w:val="22"/>
          <w:szCs w:val="22"/>
          <w:lang w:eastAsia="en-AU"/>
        </w:rPr>
      </w:pPr>
      <w:hyperlink w:anchor="_Toc100131565" w:history="1">
        <w:r w:rsidR="00497157" w:rsidRPr="009B3951">
          <w:rPr>
            <w:rStyle w:val="Hyperlink"/>
          </w:rPr>
          <w:t>3.3</w:t>
        </w:r>
        <w:r w:rsidR="00497157">
          <w:rPr>
            <w:rFonts w:asciiTheme="minorHAnsi" w:eastAsiaTheme="minorEastAsia" w:hAnsiTheme="minorHAnsi" w:cstheme="minorBidi"/>
            <w:color w:val="auto"/>
            <w:sz w:val="22"/>
            <w:szCs w:val="22"/>
            <w:lang w:eastAsia="en-AU"/>
          </w:rPr>
          <w:tab/>
        </w:r>
        <w:r w:rsidR="00497157" w:rsidRPr="009B3951">
          <w:rPr>
            <w:rStyle w:val="Hyperlink"/>
          </w:rPr>
          <w:t>Costs by modelled welfare class</w:t>
        </w:r>
        <w:r w:rsidR="00497157">
          <w:rPr>
            <w:webHidden/>
          </w:rPr>
          <w:tab/>
        </w:r>
        <w:r w:rsidR="00497157">
          <w:rPr>
            <w:webHidden/>
          </w:rPr>
          <w:fldChar w:fldCharType="begin"/>
        </w:r>
        <w:r w:rsidR="00497157">
          <w:rPr>
            <w:webHidden/>
          </w:rPr>
          <w:instrText xml:space="preserve"> PAGEREF _Toc100131565 \h </w:instrText>
        </w:r>
        <w:r w:rsidR="00497157">
          <w:rPr>
            <w:webHidden/>
          </w:rPr>
        </w:r>
        <w:r w:rsidR="00497157">
          <w:rPr>
            <w:webHidden/>
          </w:rPr>
          <w:fldChar w:fldCharType="separate"/>
        </w:r>
        <w:r w:rsidR="00751625">
          <w:rPr>
            <w:webHidden/>
          </w:rPr>
          <w:t>42</w:t>
        </w:r>
        <w:r w:rsidR="00497157">
          <w:rPr>
            <w:webHidden/>
          </w:rPr>
          <w:fldChar w:fldCharType="end"/>
        </w:r>
      </w:hyperlink>
    </w:p>
    <w:p w14:paraId="4D479E94" w14:textId="6F7458E5" w:rsidR="00497157" w:rsidRDefault="00215A2C">
      <w:pPr>
        <w:pStyle w:val="TOC2"/>
        <w:rPr>
          <w:rFonts w:asciiTheme="minorHAnsi" w:eastAsiaTheme="minorEastAsia" w:hAnsiTheme="minorHAnsi" w:cstheme="minorBidi"/>
          <w:color w:val="auto"/>
          <w:sz w:val="22"/>
          <w:szCs w:val="22"/>
          <w:lang w:eastAsia="en-AU"/>
        </w:rPr>
      </w:pPr>
      <w:hyperlink w:anchor="_Toc100131566" w:history="1">
        <w:r w:rsidR="00497157" w:rsidRPr="009B3951">
          <w:rPr>
            <w:rStyle w:val="Hyperlink"/>
          </w:rPr>
          <w:t>3.4</w:t>
        </w:r>
        <w:r w:rsidR="00497157">
          <w:rPr>
            <w:rFonts w:asciiTheme="minorHAnsi" w:eastAsiaTheme="minorEastAsia" w:hAnsiTheme="minorHAnsi" w:cstheme="minorBidi"/>
            <w:color w:val="auto"/>
            <w:sz w:val="22"/>
            <w:szCs w:val="22"/>
            <w:lang w:eastAsia="en-AU"/>
          </w:rPr>
          <w:tab/>
        </w:r>
        <w:r w:rsidR="00497157" w:rsidRPr="009B3951">
          <w:rPr>
            <w:rStyle w:val="Hyperlink"/>
          </w:rPr>
          <w:t>Key drivers of cost</w:t>
        </w:r>
        <w:r w:rsidR="00497157">
          <w:rPr>
            <w:webHidden/>
          </w:rPr>
          <w:tab/>
        </w:r>
        <w:r w:rsidR="00497157">
          <w:rPr>
            <w:webHidden/>
          </w:rPr>
          <w:fldChar w:fldCharType="begin"/>
        </w:r>
        <w:r w:rsidR="00497157">
          <w:rPr>
            <w:webHidden/>
          </w:rPr>
          <w:instrText xml:space="preserve"> PAGEREF _Toc100131566 \h </w:instrText>
        </w:r>
        <w:r w:rsidR="00497157">
          <w:rPr>
            <w:webHidden/>
          </w:rPr>
        </w:r>
        <w:r w:rsidR="00497157">
          <w:rPr>
            <w:webHidden/>
          </w:rPr>
          <w:fldChar w:fldCharType="separate"/>
        </w:r>
        <w:r w:rsidR="00751625">
          <w:rPr>
            <w:webHidden/>
          </w:rPr>
          <w:t>45</w:t>
        </w:r>
        <w:r w:rsidR="00497157">
          <w:rPr>
            <w:webHidden/>
          </w:rPr>
          <w:fldChar w:fldCharType="end"/>
        </w:r>
      </w:hyperlink>
    </w:p>
    <w:p w14:paraId="4F9B76BF" w14:textId="1052FD10" w:rsidR="00497157" w:rsidRDefault="00215A2C">
      <w:pPr>
        <w:pStyle w:val="TOC2"/>
        <w:rPr>
          <w:rFonts w:asciiTheme="minorHAnsi" w:eastAsiaTheme="minorEastAsia" w:hAnsiTheme="minorHAnsi" w:cstheme="minorBidi"/>
          <w:color w:val="auto"/>
          <w:sz w:val="22"/>
          <w:szCs w:val="22"/>
          <w:lang w:eastAsia="en-AU"/>
        </w:rPr>
      </w:pPr>
      <w:hyperlink w:anchor="_Toc100131567" w:history="1">
        <w:r w:rsidR="00497157" w:rsidRPr="009B3951">
          <w:rPr>
            <w:rStyle w:val="Hyperlink"/>
          </w:rPr>
          <w:t>3.5</w:t>
        </w:r>
        <w:r w:rsidR="00497157">
          <w:rPr>
            <w:rFonts w:asciiTheme="minorHAnsi" w:eastAsiaTheme="minorEastAsia" w:hAnsiTheme="minorHAnsi" w:cstheme="minorBidi"/>
            <w:color w:val="auto"/>
            <w:sz w:val="22"/>
            <w:szCs w:val="22"/>
            <w:lang w:eastAsia="en-AU"/>
          </w:rPr>
          <w:tab/>
        </w:r>
        <w:r w:rsidR="00497157" w:rsidRPr="009B3951">
          <w:rPr>
            <w:rStyle w:val="Hyperlink"/>
          </w:rPr>
          <w:t>Analysis by age and gender</w:t>
        </w:r>
        <w:r w:rsidR="00497157">
          <w:rPr>
            <w:webHidden/>
          </w:rPr>
          <w:tab/>
        </w:r>
        <w:r w:rsidR="00497157">
          <w:rPr>
            <w:webHidden/>
          </w:rPr>
          <w:fldChar w:fldCharType="begin"/>
        </w:r>
        <w:r w:rsidR="00497157">
          <w:rPr>
            <w:webHidden/>
          </w:rPr>
          <w:instrText xml:space="preserve"> PAGEREF _Toc100131567 \h </w:instrText>
        </w:r>
        <w:r w:rsidR="00497157">
          <w:rPr>
            <w:webHidden/>
          </w:rPr>
        </w:r>
        <w:r w:rsidR="00497157">
          <w:rPr>
            <w:webHidden/>
          </w:rPr>
          <w:fldChar w:fldCharType="separate"/>
        </w:r>
        <w:r w:rsidR="00751625">
          <w:rPr>
            <w:webHidden/>
          </w:rPr>
          <w:t>46</w:t>
        </w:r>
        <w:r w:rsidR="00497157">
          <w:rPr>
            <w:webHidden/>
          </w:rPr>
          <w:fldChar w:fldCharType="end"/>
        </w:r>
      </w:hyperlink>
    </w:p>
    <w:p w14:paraId="1A275535" w14:textId="074136CA" w:rsidR="00497157" w:rsidRDefault="00215A2C">
      <w:pPr>
        <w:pStyle w:val="TOC2"/>
        <w:rPr>
          <w:rFonts w:asciiTheme="minorHAnsi" w:eastAsiaTheme="minorEastAsia" w:hAnsiTheme="minorHAnsi" w:cstheme="minorBidi"/>
          <w:color w:val="auto"/>
          <w:sz w:val="22"/>
          <w:szCs w:val="22"/>
          <w:lang w:eastAsia="en-AU"/>
        </w:rPr>
      </w:pPr>
      <w:hyperlink w:anchor="_Toc100131568" w:history="1">
        <w:r w:rsidR="00497157" w:rsidRPr="009B3951">
          <w:rPr>
            <w:rStyle w:val="Hyperlink"/>
          </w:rPr>
          <w:t>3.6</w:t>
        </w:r>
        <w:r w:rsidR="00497157">
          <w:rPr>
            <w:rFonts w:asciiTheme="minorHAnsi" w:eastAsiaTheme="minorEastAsia" w:hAnsiTheme="minorHAnsi" w:cstheme="minorBidi"/>
            <w:color w:val="auto"/>
            <w:sz w:val="22"/>
            <w:szCs w:val="22"/>
            <w:lang w:eastAsia="en-AU"/>
          </w:rPr>
          <w:tab/>
        </w:r>
        <w:r w:rsidR="00497157" w:rsidRPr="009B3951">
          <w:rPr>
            <w:rStyle w:val="Hyperlink"/>
          </w:rPr>
          <w:t>Differences in duration of payments</w:t>
        </w:r>
        <w:r w:rsidR="00497157">
          <w:rPr>
            <w:webHidden/>
          </w:rPr>
          <w:tab/>
        </w:r>
        <w:r w:rsidR="00497157">
          <w:rPr>
            <w:webHidden/>
          </w:rPr>
          <w:fldChar w:fldCharType="begin"/>
        </w:r>
        <w:r w:rsidR="00497157">
          <w:rPr>
            <w:webHidden/>
          </w:rPr>
          <w:instrText xml:space="preserve"> PAGEREF _Toc100131568 \h </w:instrText>
        </w:r>
        <w:r w:rsidR="00497157">
          <w:rPr>
            <w:webHidden/>
          </w:rPr>
        </w:r>
        <w:r w:rsidR="00497157">
          <w:rPr>
            <w:webHidden/>
          </w:rPr>
          <w:fldChar w:fldCharType="separate"/>
        </w:r>
        <w:r w:rsidR="00751625">
          <w:rPr>
            <w:webHidden/>
          </w:rPr>
          <w:t>48</w:t>
        </w:r>
        <w:r w:rsidR="00497157">
          <w:rPr>
            <w:webHidden/>
          </w:rPr>
          <w:fldChar w:fldCharType="end"/>
        </w:r>
      </w:hyperlink>
    </w:p>
    <w:p w14:paraId="71FC813B" w14:textId="7CE4997E" w:rsidR="00497157" w:rsidRDefault="00215A2C">
      <w:pPr>
        <w:pStyle w:val="TOC2"/>
        <w:rPr>
          <w:rFonts w:asciiTheme="minorHAnsi" w:eastAsiaTheme="minorEastAsia" w:hAnsiTheme="minorHAnsi" w:cstheme="minorBidi"/>
          <w:color w:val="auto"/>
          <w:sz w:val="22"/>
          <w:szCs w:val="22"/>
          <w:lang w:eastAsia="en-AU"/>
        </w:rPr>
      </w:pPr>
      <w:hyperlink w:anchor="_Toc100131569" w:history="1">
        <w:r w:rsidR="00497157" w:rsidRPr="009B3951">
          <w:rPr>
            <w:rStyle w:val="Hyperlink"/>
          </w:rPr>
          <w:t>3.7</w:t>
        </w:r>
        <w:r w:rsidR="00497157">
          <w:rPr>
            <w:rFonts w:asciiTheme="minorHAnsi" w:eastAsiaTheme="minorEastAsia" w:hAnsiTheme="minorHAnsi" w:cstheme="minorBidi"/>
            <w:color w:val="auto"/>
            <w:sz w:val="22"/>
            <w:szCs w:val="22"/>
            <w:lang w:eastAsia="en-AU"/>
          </w:rPr>
          <w:tab/>
        </w:r>
        <w:r w:rsidR="00497157" w:rsidRPr="009B3951">
          <w:rPr>
            <w:rStyle w:val="Hyperlink"/>
          </w:rPr>
          <w:t>Analysis of change from 2018 to 2019</w:t>
        </w:r>
        <w:r w:rsidR="00497157">
          <w:rPr>
            <w:webHidden/>
          </w:rPr>
          <w:tab/>
        </w:r>
        <w:r w:rsidR="00497157">
          <w:rPr>
            <w:webHidden/>
          </w:rPr>
          <w:fldChar w:fldCharType="begin"/>
        </w:r>
        <w:r w:rsidR="00497157">
          <w:rPr>
            <w:webHidden/>
          </w:rPr>
          <w:instrText xml:space="preserve"> PAGEREF _Toc100131569 \h </w:instrText>
        </w:r>
        <w:r w:rsidR="00497157">
          <w:rPr>
            <w:webHidden/>
          </w:rPr>
        </w:r>
        <w:r w:rsidR="00497157">
          <w:rPr>
            <w:webHidden/>
          </w:rPr>
          <w:fldChar w:fldCharType="separate"/>
        </w:r>
        <w:r w:rsidR="00751625">
          <w:rPr>
            <w:webHidden/>
          </w:rPr>
          <w:t>50</w:t>
        </w:r>
        <w:r w:rsidR="00497157">
          <w:rPr>
            <w:webHidden/>
          </w:rPr>
          <w:fldChar w:fldCharType="end"/>
        </w:r>
      </w:hyperlink>
    </w:p>
    <w:p w14:paraId="7EF6B05D" w14:textId="2E3C13F2" w:rsidR="00497157" w:rsidRDefault="00215A2C">
      <w:pPr>
        <w:pStyle w:val="TOC2"/>
        <w:rPr>
          <w:rFonts w:asciiTheme="minorHAnsi" w:eastAsiaTheme="minorEastAsia" w:hAnsiTheme="minorHAnsi" w:cstheme="minorBidi"/>
          <w:color w:val="auto"/>
          <w:sz w:val="22"/>
          <w:szCs w:val="22"/>
          <w:lang w:eastAsia="en-AU"/>
        </w:rPr>
      </w:pPr>
      <w:hyperlink w:anchor="_Toc100131570" w:history="1">
        <w:r w:rsidR="00497157" w:rsidRPr="009B3951">
          <w:rPr>
            <w:rStyle w:val="Hyperlink"/>
          </w:rPr>
          <w:t>3.8</w:t>
        </w:r>
        <w:r w:rsidR="00497157">
          <w:rPr>
            <w:rFonts w:asciiTheme="minorHAnsi" w:eastAsiaTheme="minorEastAsia" w:hAnsiTheme="minorHAnsi" w:cstheme="minorBidi"/>
            <w:color w:val="auto"/>
            <w:sz w:val="22"/>
            <w:szCs w:val="22"/>
            <w:lang w:eastAsia="en-AU"/>
          </w:rPr>
          <w:tab/>
        </w:r>
        <w:r w:rsidR="00497157" w:rsidRPr="009B3951">
          <w:rPr>
            <w:rStyle w:val="Hyperlink"/>
          </w:rPr>
          <w:t>Sensitivity analysis</w:t>
        </w:r>
        <w:r w:rsidR="00497157">
          <w:rPr>
            <w:webHidden/>
          </w:rPr>
          <w:tab/>
        </w:r>
        <w:r w:rsidR="00497157">
          <w:rPr>
            <w:webHidden/>
          </w:rPr>
          <w:fldChar w:fldCharType="begin"/>
        </w:r>
        <w:r w:rsidR="00497157">
          <w:rPr>
            <w:webHidden/>
          </w:rPr>
          <w:instrText xml:space="preserve"> PAGEREF _Toc100131570 \h </w:instrText>
        </w:r>
        <w:r w:rsidR="00497157">
          <w:rPr>
            <w:webHidden/>
          </w:rPr>
        </w:r>
        <w:r w:rsidR="00497157">
          <w:rPr>
            <w:webHidden/>
          </w:rPr>
          <w:fldChar w:fldCharType="separate"/>
        </w:r>
        <w:r w:rsidR="00751625">
          <w:rPr>
            <w:webHidden/>
          </w:rPr>
          <w:t>54</w:t>
        </w:r>
        <w:r w:rsidR="00497157">
          <w:rPr>
            <w:webHidden/>
          </w:rPr>
          <w:fldChar w:fldCharType="end"/>
        </w:r>
      </w:hyperlink>
    </w:p>
    <w:p w14:paraId="58D8CA68" w14:textId="18C96593" w:rsidR="00497157" w:rsidRDefault="00215A2C">
      <w:pPr>
        <w:pStyle w:val="TOC1"/>
        <w:rPr>
          <w:rFonts w:asciiTheme="minorHAnsi" w:eastAsiaTheme="minorEastAsia" w:hAnsiTheme="minorHAnsi" w:cstheme="minorBidi"/>
          <w:b w:val="0"/>
          <w:color w:val="auto"/>
        </w:rPr>
      </w:pPr>
      <w:hyperlink w:anchor="_Toc100131571" w:history="1">
        <w:r w:rsidR="00497157" w:rsidRPr="009B3951">
          <w:rPr>
            <w:rStyle w:val="Hyperlink"/>
          </w:rPr>
          <w:t>Appendix A: Glossary</w:t>
        </w:r>
        <w:r w:rsidR="00497157">
          <w:rPr>
            <w:webHidden/>
          </w:rPr>
          <w:tab/>
        </w:r>
        <w:r w:rsidR="00497157">
          <w:rPr>
            <w:webHidden/>
          </w:rPr>
          <w:fldChar w:fldCharType="begin"/>
        </w:r>
        <w:r w:rsidR="00497157">
          <w:rPr>
            <w:webHidden/>
          </w:rPr>
          <w:instrText xml:space="preserve"> PAGEREF _Toc100131571 \h </w:instrText>
        </w:r>
        <w:r w:rsidR="00497157">
          <w:rPr>
            <w:webHidden/>
          </w:rPr>
        </w:r>
        <w:r w:rsidR="00497157">
          <w:rPr>
            <w:webHidden/>
          </w:rPr>
          <w:fldChar w:fldCharType="separate"/>
        </w:r>
        <w:r w:rsidR="00751625">
          <w:rPr>
            <w:webHidden/>
          </w:rPr>
          <w:t>59</w:t>
        </w:r>
        <w:r w:rsidR="00497157">
          <w:rPr>
            <w:webHidden/>
          </w:rPr>
          <w:fldChar w:fldCharType="end"/>
        </w:r>
      </w:hyperlink>
    </w:p>
    <w:p w14:paraId="0FD9E3E8" w14:textId="21892C59" w:rsidR="00497157" w:rsidRDefault="00215A2C">
      <w:pPr>
        <w:pStyle w:val="TOC1"/>
        <w:rPr>
          <w:rFonts w:asciiTheme="minorHAnsi" w:eastAsiaTheme="minorEastAsia" w:hAnsiTheme="minorHAnsi" w:cstheme="minorBidi"/>
          <w:b w:val="0"/>
          <w:color w:val="auto"/>
        </w:rPr>
      </w:pPr>
      <w:hyperlink w:anchor="_Toc100131572" w:history="1">
        <w:r w:rsidR="00497157" w:rsidRPr="009B3951">
          <w:rPr>
            <w:rStyle w:val="Hyperlink"/>
          </w:rPr>
          <w:t>Appendix B: Policy and operational changes</w:t>
        </w:r>
        <w:r w:rsidR="00497157">
          <w:rPr>
            <w:webHidden/>
          </w:rPr>
          <w:tab/>
        </w:r>
        <w:r w:rsidR="00497157">
          <w:rPr>
            <w:webHidden/>
          </w:rPr>
          <w:fldChar w:fldCharType="begin"/>
        </w:r>
        <w:r w:rsidR="00497157">
          <w:rPr>
            <w:webHidden/>
          </w:rPr>
          <w:instrText xml:space="preserve"> PAGEREF _Toc100131572 \h </w:instrText>
        </w:r>
        <w:r w:rsidR="00497157">
          <w:rPr>
            <w:webHidden/>
          </w:rPr>
        </w:r>
        <w:r w:rsidR="00497157">
          <w:rPr>
            <w:webHidden/>
          </w:rPr>
          <w:fldChar w:fldCharType="separate"/>
        </w:r>
        <w:r w:rsidR="00751625">
          <w:rPr>
            <w:webHidden/>
          </w:rPr>
          <w:t>65</w:t>
        </w:r>
        <w:r w:rsidR="00497157">
          <w:rPr>
            <w:webHidden/>
          </w:rPr>
          <w:fldChar w:fldCharType="end"/>
        </w:r>
      </w:hyperlink>
    </w:p>
    <w:p w14:paraId="3508F2E1" w14:textId="430C267F" w:rsidR="00497157" w:rsidRDefault="00215A2C">
      <w:pPr>
        <w:pStyle w:val="TOC1"/>
        <w:rPr>
          <w:rFonts w:asciiTheme="minorHAnsi" w:eastAsiaTheme="minorEastAsia" w:hAnsiTheme="minorHAnsi" w:cstheme="minorBidi"/>
          <w:b w:val="0"/>
          <w:color w:val="auto"/>
        </w:rPr>
      </w:pPr>
      <w:hyperlink w:anchor="_Toc100131573" w:history="1">
        <w:r w:rsidR="00497157" w:rsidRPr="009B3951">
          <w:rPr>
            <w:rStyle w:val="Hyperlink"/>
          </w:rPr>
          <w:t>Appendix C: Payment mapping</w:t>
        </w:r>
        <w:r w:rsidR="00497157">
          <w:rPr>
            <w:webHidden/>
          </w:rPr>
          <w:tab/>
        </w:r>
        <w:r w:rsidR="00497157">
          <w:rPr>
            <w:webHidden/>
          </w:rPr>
          <w:fldChar w:fldCharType="begin"/>
        </w:r>
        <w:r w:rsidR="00497157">
          <w:rPr>
            <w:webHidden/>
          </w:rPr>
          <w:instrText xml:space="preserve"> PAGEREF _Toc100131573 \h </w:instrText>
        </w:r>
        <w:r w:rsidR="00497157">
          <w:rPr>
            <w:webHidden/>
          </w:rPr>
        </w:r>
        <w:r w:rsidR="00497157">
          <w:rPr>
            <w:webHidden/>
          </w:rPr>
          <w:fldChar w:fldCharType="separate"/>
        </w:r>
        <w:r w:rsidR="00751625">
          <w:rPr>
            <w:webHidden/>
          </w:rPr>
          <w:t>77</w:t>
        </w:r>
        <w:r w:rsidR="00497157">
          <w:rPr>
            <w:webHidden/>
          </w:rPr>
          <w:fldChar w:fldCharType="end"/>
        </w:r>
      </w:hyperlink>
    </w:p>
    <w:p w14:paraId="0B366AA9" w14:textId="335A7309" w:rsidR="008F7491" w:rsidRPr="00DA0419" w:rsidRDefault="00F6646A" w:rsidP="00177090">
      <w:pPr>
        <w:outlineLvl w:val="0"/>
      </w:pPr>
      <w:r>
        <w:rPr>
          <w:noProof/>
          <w:color w:val="000000" w:themeColor="text1"/>
          <w:lang w:eastAsia="en-US"/>
        </w:rPr>
        <w:fldChar w:fldCharType="end"/>
      </w:r>
    </w:p>
    <w:p w14:paraId="424E4567" w14:textId="77777777" w:rsidR="00C41FB6" w:rsidRDefault="00C41FB6" w:rsidP="003372F8">
      <w:pPr>
        <w:spacing w:after="200" w:line="276" w:lineRule="auto"/>
        <w:jc w:val="left"/>
      </w:pPr>
    </w:p>
    <w:p w14:paraId="5BE44668" w14:textId="77777777" w:rsidR="00C41FB6" w:rsidRDefault="00C41FB6" w:rsidP="003372F8">
      <w:pPr>
        <w:spacing w:after="200" w:line="276" w:lineRule="auto"/>
        <w:jc w:val="left"/>
      </w:pPr>
    </w:p>
    <w:p w14:paraId="777EF42E" w14:textId="418E708A" w:rsidR="003372F8" w:rsidRPr="00FA6CDF" w:rsidRDefault="00AC52DA" w:rsidP="00FA6CDF">
      <w:pPr>
        <w:pStyle w:val="ContentsHeading"/>
        <w:jc w:val="center"/>
        <w:rPr>
          <w:rFonts w:cs="Arial"/>
        </w:rPr>
      </w:pPr>
      <w:r w:rsidRPr="00FA6CDF">
        <w:rPr>
          <w:rFonts w:cs="Arial"/>
        </w:rPr>
        <w:lastRenderedPageBreak/>
        <w:t xml:space="preserve">Table of </w:t>
      </w:r>
      <w:r w:rsidR="00C41FB6" w:rsidRPr="00FA6CDF">
        <w:rPr>
          <w:rFonts w:cs="Arial"/>
        </w:rPr>
        <w:t>Figures</w:t>
      </w:r>
    </w:p>
    <w:p w14:paraId="3105D97E" w14:textId="2850452F" w:rsidR="00497157" w:rsidRDefault="00AC52DA">
      <w:pPr>
        <w:pStyle w:val="TableofFigures"/>
        <w:tabs>
          <w:tab w:val="right" w:leader="dot" w:pos="7700"/>
        </w:tabs>
        <w:rPr>
          <w:rFonts w:asciiTheme="minorHAnsi" w:eastAsiaTheme="minorEastAsia" w:hAnsiTheme="minorHAnsi" w:cstheme="minorBidi"/>
          <w:noProof/>
          <w:color w:val="auto"/>
          <w:sz w:val="22"/>
          <w:szCs w:val="22"/>
        </w:rPr>
      </w:pPr>
      <w:r>
        <w:fldChar w:fldCharType="begin"/>
      </w:r>
      <w:r>
        <w:instrText xml:space="preserve"> TOC \h \z \c "Figure" </w:instrText>
      </w:r>
      <w:r>
        <w:fldChar w:fldCharType="separate"/>
      </w:r>
      <w:hyperlink w:anchor="_Toc100131511" w:history="1">
        <w:r w:rsidR="00497157" w:rsidRPr="008B497F">
          <w:rPr>
            <w:rStyle w:val="Hyperlink"/>
            <w:noProof/>
          </w:rPr>
          <w:t>Figure 1: Overview of the Dynamics of the Welfare System</w:t>
        </w:r>
        <w:r w:rsidR="00497157">
          <w:rPr>
            <w:noProof/>
            <w:webHidden/>
          </w:rPr>
          <w:tab/>
        </w:r>
        <w:r w:rsidR="00497157">
          <w:rPr>
            <w:noProof/>
            <w:webHidden/>
          </w:rPr>
          <w:fldChar w:fldCharType="begin"/>
        </w:r>
        <w:r w:rsidR="00497157">
          <w:rPr>
            <w:noProof/>
            <w:webHidden/>
          </w:rPr>
          <w:instrText xml:space="preserve"> PAGEREF _Toc100131511 \h </w:instrText>
        </w:r>
        <w:r w:rsidR="00497157">
          <w:rPr>
            <w:noProof/>
            <w:webHidden/>
          </w:rPr>
        </w:r>
        <w:r w:rsidR="00497157">
          <w:rPr>
            <w:noProof/>
            <w:webHidden/>
          </w:rPr>
          <w:fldChar w:fldCharType="separate"/>
        </w:r>
        <w:r w:rsidR="00751625">
          <w:rPr>
            <w:noProof/>
            <w:webHidden/>
          </w:rPr>
          <w:t>6</w:t>
        </w:r>
        <w:r w:rsidR="00497157">
          <w:rPr>
            <w:noProof/>
            <w:webHidden/>
          </w:rPr>
          <w:fldChar w:fldCharType="end"/>
        </w:r>
      </w:hyperlink>
    </w:p>
    <w:p w14:paraId="487585E6" w14:textId="486CF85F" w:rsidR="00497157" w:rsidRDefault="00215A2C">
      <w:pPr>
        <w:pStyle w:val="TableofFigures"/>
        <w:tabs>
          <w:tab w:val="right" w:leader="dot" w:pos="7700"/>
        </w:tabs>
        <w:rPr>
          <w:rFonts w:asciiTheme="minorHAnsi" w:eastAsiaTheme="minorEastAsia" w:hAnsiTheme="minorHAnsi" w:cstheme="minorBidi"/>
          <w:noProof/>
          <w:color w:val="auto"/>
          <w:sz w:val="22"/>
          <w:szCs w:val="22"/>
        </w:rPr>
      </w:pPr>
      <w:hyperlink w:anchor="_Toc100131512" w:history="1">
        <w:r w:rsidR="00497157" w:rsidRPr="008B497F">
          <w:rPr>
            <w:rStyle w:val="Hyperlink"/>
            <w:noProof/>
          </w:rPr>
          <w:t>Figure 2: Illustration of the Simulation Model Structure</w:t>
        </w:r>
        <w:r w:rsidR="00497157">
          <w:rPr>
            <w:noProof/>
            <w:webHidden/>
          </w:rPr>
          <w:tab/>
        </w:r>
        <w:r w:rsidR="00497157">
          <w:rPr>
            <w:noProof/>
            <w:webHidden/>
          </w:rPr>
          <w:fldChar w:fldCharType="begin"/>
        </w:r>
        <w:r w:rsidR="00497157">
          <w:rPr>
            <w:noProof/>
            <w:webHidden/>
          </w:rPr>
          <w:instrText xml:space="preserve"> PAGEREF _Toc100131512 \h </w:instrText>
        </w:r>
        <w:r w:rsidR="00497157">
          <w:rPr>
            <w:noProof/>
            <w:webHidden/>
          </w:rPr>
        </w:r>
        <w:r w:rsidR="00497157">
          <w:rPr>
            <w:noProof/>
            <w:webHidden/>
          </w:rPr>
          <w:fldChar w:fldCharType="separate"/>
        </w:r>
        <w:r w:rsidR="00751625">
          <w:rPr>
            <w:noProof/>
            <w:webHidden/>
          </w:rPr>
          <w:t>9</w:t>
        </w:r>
        <w:r w:rsidR="00497157">
          <w:rPr>
            <w:noProof/>
            <w:webHidden/>
          </w:rPr>
          <w:fldChar w:fldCharType="end"/>
        </w:r>
      </w:hyperlink>
    </w:p>
    <w:p w14:paraId="5F9E9B33" w14:textId="52DEB8BA" w:rsidR="00497157" w:rsidRDefault="00215A2C">
      <w:pPr>
        <w:pStyle w:val="TableofFigures"/>
        <w:tabs>
          <w:tab w:val="right" w:leader="dot" w:pos="7700"/>
        </w:tabs>
        <w:rPr>
          <w:rFonts w:asciiTheme="minorHAnsi" w:eastAsiaTheme="minorEastAsia" w:hAnsiTheme="minorHAnsi" w:cstheme="minorBidi"/>
          <w:noProof/>
          <w:color w:val="auto"/>
          <w:sz w:val="22"/>
          <w:szCs w:val="22"/>
        </w:rPr>
      </w:pPr>
      <w:hyperlink w:anchor="_Toc100131513" w:history="1">
        <w:r w:rsidR="00497157" w:rsidRPr="008B497F">
          <w:rPr>
            <w:rStyle w:val="Hyperlink"/>
            <w:noProof/>
          </w:rPr>
          <w:t>Figure 3: Rebase of the 2018 Valuation</w:t>
        </w:r>
        <w:r w:rsidR="00497157">
          <w:rPr>
            <w:noProof/>
            <w:webHidden/>
          </w:rPr>
          <w:tab/>
        </w:r>
        <w:r w:rsidR="00497157">
          <w:rPr>
            <w:noProof/>
            <w:webHidden/>
          </w:rPr>
          <w:fldChar w:fldCharType="begin"/>
        </w:r>
        <w:r w:rsidR="00497157">
          <w:rPr>
            <w:noProof/>
            <w:webHidden/>
          </w:rPr>
          <w:instrText xml:space="preserve"> PAGEREF _Toc100131513 \h </w:instrText>
        </w:r>
        <w:r w:rsidR="00497157">
          <w:rPr>
            <w:noProof/>
            <w:webHidden/>
          </w:rPr>
        </w:r>
        <w:r w:rsidR="00497157">
          <w:rPr>
            <w:noProof/>
            <w:webHidden/>
          </w:rPr>
          <w:fldChar w:fldCharType="separate"/>
        </w:r>
        <w:r w:rsidR="00751625">
          <w:rPr>
            <w:noProof/>
            <w:webHidden/>
          </w:rPr>
          <w:t>12</w:t>
        </w:r>
        <w:r w:rsidR="00497157">
          <w:rPr>
            <w:noProof/>
            <w:webHidden/>
          </w:rPr>
          <w:fldChar w:fldCharType="end"/>
        </w:r>
      </w:hyperlink>
    </w:p>
    <w:p w14:paraId="62B4DAC7" w14:textId="4CEBA59B" w:rsidR="00497157" w:rsidRDefault="00215A2C">
      <w:pPr>
        <w:pStyle w:val="TableofFigures"/>
        <w:tabs>
          <w:tab w:val="right" w:leader="dot" w:pos="7700"/>
        </w:tabs>
        <w:rPr>
          <w:rFonts w:asciiTheme="minorHAnsi" w:eastAsiaTheme="minorEastAsia" w:hAnsiTheme="minorHAnsi" w:cstheme="minorBidi"/>
          <w:noProof/>
          <w:color w:val="auto"/>
          <w:sz w:val="22"/>
          <w:szCs w:val="22"/>
        </w:rPr>
      </w:pPr>
      <w:hyperlink w:anchor="_Toc100131514" w:history="1">
        <w:r w:rsidR="00497157" w:rsidRPr="008B497F">
          <w:rPr>
            <w:rStyle w:val="Hyperlink"/>
            <w:noProof/>
          </w:rPr>
          <w:t>Figure 4: Total Model Population 25.48 million at 30 June 2019</w:t>
        </w:r>
        <w:r w:rsidR="00497157">
          <w:rPr>
            <w:noProof/>
            <w:webHidden/>
          </w:rPr>
          <w:tab/>
        </w:r>
        <w:r w:rsidR="00497157">
          <w:rPr>
            <w:noProof/>
            <w:webHidden/>
          </w:rPr>
          <w:fldChar w:fldCharType="begin"/>
        </w:r>
        <w:r w:rsidR="00497157">
          <w:rPr>
            <w:noProof/>
            <w:webHidden/>
          </w:rPr>
          <w:instrText xml:space="preserve"> PAGEREF _Toc100131514 \h </w:instrText>
        </w:r>
        <w:r w:rsidR="00497157">
          <w:rPr>
            <w:noProof/>
            <w:webHidden/>
          </w:rPr>
        </w:r>
        <w:r w:rsidR="00497157">
          <w:rPr>
            <w:noProof/>
            <w:webHidden/>
          </w:rPr>
          <w:fldChar w:fldCharType="separate"/>
        </w:r>
        <w:r w:rsidR="00751625">
          <w:rPr>
            <w:noProof/>
            <w:webHidden/>
          </w:rPr>
          <w:t>14</w:t>
        </w:r>
        <w:r w:rsidR="00497157">
          <w:rPr>
            <w:noProof/>
            <w:webHidden/>
          </w:rPr>
          <w:fldChar w:fldCharType="end"/>
        </w:r>
      </w:hyperlink>
    </w:p>
    <w:p w14:paraId="4F39E9AC" w14:textId="4D1D7BE7" w:rsidR="00497157" w:rsidRDefault="00215A2C">
      <w:pPr>
        <w:pStyle w:val="TableofFigures"/>
        <w:tabs>
          <w:tab w:val="right" w:leader="dot" w:pos="7700"/>
        </w:tabs>
        <w:rPr>
          <w:rFonts w:asciiTheme="minorHAnsi" w:eastAsiaTheme="minorEastAsia" w:hAnsiTheme="minorHAnsi" w:cstheme="minorBidi"/>
          <w:noProof/>
          <w:color w:val="auto"/>
          <w:sz w:val="22"/>
          <w:szCs w:val="22"/>
        </w:rPr>
      </w:pPr>
      <w:hyperlink w:anchor="_Toc100131515" w:history="1">
        <w:r w:rsidR="00497157" w:rsidRPr="008B497F">
          <w:rPr>
            <w:rStyle w:val="Hyperlink"/>
            <w:noProof/>
          </w:rPr>
          <w:t>Figure 5: Current Welfare Recipient Population by Welfare Class</w:t>
        </w:r>
        <w:r w:rsidR="00497157">
          <w:rPr>
            <w:noProof/>
            <w:webHidden/>
          </w:rPr>
          <w:tab/>
        </w:r>
        <w:r w:rsidR="00497157">
          <w:rPr>
            <w:noProof/>
            <w:webHidden/>
          </w:rPr>
          <w:fldChar w:fldCharType="begin"/>
        </w:r>
        <w:r w:rsidR="00497157">
          <w:rPr>
            <w:noProof/>
            <w:webHidden/>
          </w:rPr>
          <w:instrText xml:space="preserve"> PAGEREF _Toc100131515 \h </w:instrText>
        </w:r>
        <w:r w:rsidR="00497157">
          <w:rPr>
            <w:noProof/>
            <w:webHidden/>
          </w:rPr>
        </w:r>
        <w:r w:rsidR="00497157">
          <w:rPr>
            <w:noProof/>
            <w:webHidden/>
          </w:rPr>
          <w:fldChar w:fldCharType="separate"/>
        </w:r>
        <w:r w:rsidR="00751625">
          <w:rPr>
            <w:noProof/>
            <w:webHidden/>
          </w:rPr>
          <w:t>15</w:t>
        </w:r>
        <w:r w:rsidR="00497157">
          <w:rPr>
            <w:noProof/>
            <w:webHidden/>
          </w:rPr>
          <w:fldChar w:fldCharType="end"/>
        </w:r>
      </w:hyperlink>
    </w:p>
    <w:p w14:paraId="7BC63C1B" w14:textId="1F598BDF" w:rsidR="00497157" w:rsidRDefault="00215A2C">
      <w:pPr>
        <w:pStyle w:val="TableofFigures"/>
        <w:tabs>
          <w:tab w:val="right" w:leader="dot" w:pos="7700"/>
        </w:tabs>
        <w:rPr>
          <w:rFonts w:asciiTheme="minorHAnsi" w:eastAsiaTheme="minorEastAsia" w:hAnsiTheme="minorHAnsi" w:cstheme="minorBidi"/>
          <w:noProof/>
          <w:color w:val="auto"/>
          <w:sz w:val="22"/>
          <w:szCs w:val="22"/>
        </w:rPr>
      </w:pPr>
      <w:hyperlink w:anchor="_Toc100131516" w:history="1">
        <w:r w:rsidR="00497157" w:rsidRPr="008B497F">
          <w:rPr>
            <w:rStyle w:val="Hyperlink"/>
            <w:noProof/>
          </w:rPr>
          <w:t>Figure 6: Model Population with Class Utilisation</w:t>
        </w:r>
        <w:r w:rsidR="00497157">
          <w:rPr>
            <w:noProof/>
            <w:webHidden/>
          </w:rPr>
          <w:tab/>
        </w:r>
        <w:r w:rsidR="00497157">
          <w:rPr>
            <w:noProof/>
            <w:webHidden/>
          </w:rPr>
          <w:fldChar w:fldCharType="begin"/>
        </w:r>
        <w:r w:rsidR="00497157">
          <w:rPr>
            <w:noProof/>
            <w:webHidden/>
          </w:rPr>
          <w:instrText xml:space="preserve"> PAGEREF _Toc100131516 \h </w:instrText>
        </w:r>
        <w:r w:rsidR="00497157">
          <w:rPr>
            <w:noProof/>
            <w:webHidden/>
          </w:rPr>
        </w:r>
        <w:r w:rsidR="00497157">
          <w:rPr>
            <w:noProof/>
            <w:webHidden/>
          </w:rPr>
          <w:fldChar w:fldCharType="separate"/>
        </w:r>
        <w:r w:rsidR="00751625">
          <w:rPr>
            <w:noProof/>
            <w:webHidden/>
          </w:rPr>
          <w:t>16</w:t>
        </w:r>
        <w:r w:rsidR="00497157">
          <w:rPr>
            <w:noProof/>
            <w:webHidden/>
          </w:rPr>
          <w:fldChar w:fldCharType="end"/>
        </w:r>
      </w:hyperlink>
    </w:p>
    <w:p w14:paraId="7EFCC2BA" w14:textId="42610926" w:rsidR="00497157" w:rsidRDefault="00215A2C">
      <w:pPr>
        <w:pStyle w:val="TableofFigures"/>
        <w:tabs>
          <w:tab w:val="right" w:leader="dot" w:pos="7700"/>
        </w:tabs>
        <w:rPr>
          <w:rFonts w:asciiTheme="minorHAnsi" w:eastAsiaTheme="minorEastAsia" w:hAnsiTheme="minorHAnsi" w:cstheme="minorBidi"/>
          <w:noProof/>
          <w:color w:val="auto"/>
          <w:sz w:val="22"/>
          <w:szCs w:val="22"/>
        </w:rPr>
      </w:pPr>
      <w:hyperlink w:anchor="_Toc100131517" w:history="1">
        <w:r w:rsidR="00497157" w:rsidRPr="008B497F">
          <w:rPr>
            <w:rStyle w:val="Hyperlink"/>
            <w:noProof/>
          </w:rPr>
          <w:t>Figure 7: Trends in Entry and Exit Rates for Welfare</w:t>
        </w:r>
        <w:r w:rsidR="00497157">
          <w:rPr>
            <w:noProof/>
            <w:webHidden/>
          </w:rPr>
          <w:tab/>
        </w:r>
        <w:r w:rsidR="00497157">
          <w:rPr>
            <w:noProof/>
            <w:webHidden/>
          </w:rPr>
          <w:fldChar w:fldCharType="begin"/>
        </w:r>
        <w:r w:rsidR="00497157">
          <w:rPr>
            <w:noProof/>
            <w:webHidden/>
          </w:rPr>
          <w:instrText xml:space="preserve"> PAGEREF _Toc100131517 \h </w:instrText>
        </w:r>
        <w:r w:rsidR="00497157">
          <w:rPr>
            <w:noProof/>
            <w:webHidden/>
          </w:rPr>
        </w:r>
        <w:r w:rsidR="00497157">
          <w:rPr>
            <w:noProof/>
            <w:webHidden/>
          </w:rPr>
          <w:fldChar w:fldCharType="separate"/>
        </w:r>
        <w:r w:rsidR="00751625">
          <w:rPr>
            <w:noProof/>
            <w:webHidden/>
          </w:rPr>
          <w:t>19</w:t>
        </w:r>
        <w:r w:rsidR="00497157">
          <w:rPr>
            <w:noProof/>
            <w:webHidden/>
          </w:rPr>
          <w:fldChar w:fldCharType="end"/>
        </w:r>
      </w:hyperlink>
    </w:p>
    <w:p w14:paraId="41C76191" w14:textId="2BC34B52" w:rsidR="00497157" w:rsidRDefault="00215A2C">
      <w:pPr>
        <w:pStyle w:val="TableofFigures"/>
        <w:tabs>
          <w:tab w:val="right" w:leader="dot" w:pos="7700"/>
        </w:tabs>
        <w:rPr>
          <w:rFonts w:asciiTheme="minorHAnsi" w:eastAsiaTheme="minorEastAsia" w:hAnsiTheme="minorHAnsi" w:cstheme="minorBidi"/>
          <w:noProof/>
          <w:color w:val="auto"/>
          <w:sz w:val="22"/>
          <w:szCs w:val="22"/>
        </w:rPr>
      </w:pPr>
      <w:hyperlink w:anchor="_Toc100131518" w:history="1">
        <w:r w:rsidR="00497157" w:rsidRPr="008B497F">
          <w:rPr>
            <w:rStyle w:val="Hyperlink"/>
            <w:noProof/>
          </w:rPr>
          <w:t>Figure 8: 2018/19 Entry and Exit Experience by Gender and Age</w:t>
        </w:r>
        <w:r w:rsidR="00497157">
          <w:rPr>
            <w:noProof/>
            <w:webHidden/>
          </w:rPr>
          <w:tab/>
        </w:r>
        <w:r w:rsidR="00497157">
          <w:rPr>
            <w:noProof/>
            <w:webHidden/>
          </w:rPr>
          <w:fldChar w:fldCharType="begin"/>
        </w:r>
        <w:r w:rsidR="00497157">
          <w:rPr>
            <w:noProof/>
            <w:webHidden/>
          </w:rPr>
          <w:instrText xml:space="preserve"> PAGEREF _Toc100131518 \h </w:instrText>
        </w:r>
        <w:r w:rsidR="00497157">
          <w:rPr>
            <w:noProof/>
            <w:webHidden/>
          </w:rPr>
        </w:r>
        <w:r w:rsidR="00497157">
          <w:rPr>
            <w:noProof/>
            <w:webHidden/>
          </w:rPr>
          <w:fldChar w:fldCharType="separate"/>
        </w:r>
        <w:r w:rsidR="00751625">
          <w:rPr>
            <w:noProof/>
            <w:webHidden/>
          </w:rPr>
          <w:t>20</w:t>
        </w:r>
        <w:r w:rsidR="00497157">
          <w:rPr>
            <w:noProof/>
            <w:webHidden/>
          </w:rPr>
          <w:fldChar w:fldCharType="end"/>
        </w:r>
      </w:hyperlink>
    </w:p>
    <w:p w14:paraId="18F6C53B" w14:textId="2B08B05F" w:rsidR="00497157" w:rsidRDefault="00215A2C">
      <w:pPr>
        <w:pStyle w:val="TableofFigures"/>
        <w:tabs>
          <w:tab w:val="right" w:leader="dot" w:pos="7700"/>
        </w:tabs>
        <w:rPr>
          <w:rFonts w:asciiTheme="minorHAnsi" w:eastAsiaTheme="minorEastAsia" w:hAnsiTheme="minorHAnsi" w:cstheme="minorBidi"/>
          <w:noProof/>
          <w:color w:val="auto"/>
          <w:sz w:val="22"/>
          <w:szCs w:val="22"/>
        </w:rPr>
      </w:pPr>
      <w:hyperlink w:anchor="_Toc100131519" w:history="1">
        <w:r w:rsidR="00497157" w:rsidRPr="008B497F">
          <w:rPr>
            <w:rStyle w:val="Hyperlink"/>
            <w:noProof/>
          </w:rPr>
          <w:t>Figure 9: Trends in Entry and Exit Rates for Class 1</w:t>
        </w:r>
        <w:r w:rsidR="00497157">
          <w:rPr>
            <w:noProof/>
            <w:webHidden/>
          </w:rPr>
          <w:tab/>
        </w:r>
        <w:r w:rsidR="00497157">
          <w:rPr>
            <w:noProof/>
            <w:webHidden/>
          </w:rPr>
          <w:fldChar w:fldCharType="begin"/>
        </w:r>
        <w:r w:rsidR="00497157">
          <w:rPr>
            <w:noProof/>
            <w:webHidden/>
          </w:rPr>
          <w:instrText xml:space="preserve"> PAGEREF _Toc100131519 \h </w:instrText>
        </w:r>
        <w:r w:rsidR="00497157">
          <w:rPr>
            <w:noProof/>
            <w:webHidden/>
          </w:rPr>
        </w:r>
        <w:r w:rsidR="00497157">
          <w:rPr>
            <w:noProof/>
            <w:webHidden/>
          </w:rPr>
          <w:fldChar w:fldCharType="separate"/>
        </w:r>
        <w:r w:rsidR="00751625">
          <w:rPr>
            <w:noProof/>
            <w:webHidden/>
          </w:rPr>
          <w:t>21</w:t>
        </w:r>
        <w:r w:rsidR="00497157">
          <w:rPr>
            <w:noProof/>
            <w:webHidden/>
          </w:rPr>
          <w:fldChar w:fldCharType="end"/>
        </w:r>
      </w:hyperlink>
    </w:p>
    <w:p w14:paraId="4DF91BD5" w14:textId="7D5EF7B5" w:rsidR="00497157" w:rsidRDefault="00215A2C">
      <w:pPr>
        <w:pStyle w:val="TableofFigures"/>
        <w:tabs>
          <w:tab w:val="right" w:leader="dot" w:pos="7700"/>
        </w:tabs>
        <w:rPr>
          <w:rFonts w:asciiTheme="minorHAnsi" w:eastAsiaTheme="minorEastAsia" w:hAnsiTheme="minorHAnsi" w:cstheme="minorBidi"/>
          <w:noProof/>
          <w:color w:val="auto"/>
          <w:sz w:val="22"/>
          <w:szCs w:val="22"/>
        </w:rPr>
      </w:pPr>
      <w:hyperlink w:anchor="_Toc100131520" w:history="1">
        <w:r w:rsidR="00497157" w:rsidRPr="008B497F">
          <w:rPr>
            <w:rStyle w:val="Hyperlink"/>
            <w:noProof/>
          </w:rPr>
          <w:t>Figure 10: 2018/19 Entry and Exit Experience by Gender and Age for Class 1</w:t>
        </w:r>
        <w:r w:rsidR="00497157">
          <w:rPr>
            <w:noProof/>
            <w:webHidden/>
          </w:rPr>
          <w:tab/>
        </w:r>
        <w:r w:rsidR="00497157">
          <w:rPr>
            <w:noProof/>
            <w:webHidden/>
          </w:rPr>
          <w:fldChar w:fldCharType="begin"/>
        </w:r>
        <w:r w:rsidR="00497157">
          <w:rPr>
            <w:noProof/>
            <w:webHidden/>
          </w:rPr>
          <w:instrText xml:space="preserve"> PAGEREF _Toc100131520 \h </w:instrText>
        </w:r>
        <w:r w:rsidR="00497157">
          <w:rPr>
            <w:noProof/>
            <w:webHidden/>
          </w:rPr>
        </w:r>
        <w:r w:rsidR="00497157">
          <w:rPr>
            <w:noProof/>
            <w:webHidden/>
          </w:rPr>
          <w:fldChar w:fldCharType="separate"/>
        </w:r>
        <w:r w:rsidR="00751625">
          <w:rPr>
            <w:noProof/>
            <w:webHidden/>
          </w:rPr>
          <w:t>22</w:t>
        </w:r>
        <w:r w:rsidR="00497157">
          <w:rPr>
            <w:noProof/>
            <w:webHidden/>
          </w:rPr>
          <w:fldChar w:fldCharType="end"/>
        </w:r>
      </w:hyperlink>
    </w:p>
    <w:p w14:paraId="68ADAB72" w14:textId="42FBF2BC" w:rsidR="00497157" w:rsidRDefault="00215A2C">
      <w:pPr>
        <w:pStyle w:val="TableofFigures"/>
        <w:tabs>
          <w:tab w:val="right" w:leader="dot" w:pos="7700"/>
        </w:tabs>
        <w:rPr>
          <w:rFonts w:asciiTheme="minorHAnsi" w:eastAsiaTheme="minorEastAsia" w:hAnsiTheme="minorHAnsi" w:cstheme="minorBidi"/>
          <w:noProof/>
          <w:color w:val="auto"/>
          <w:sz w:val="22"/>
          <w:szCs w:val="22"/>
        </w:rPr>
      </w:pPr>
      <w:hyperlink w:anchor="_Toc100131521" w:history="1">
        <w:r w:rsidR="00497157" w:rsidRPr="008B497F">
          <w:rPr>
            <w:rStyle w:val="Hyperlink"/>
            <w:noProof/>
          </w:rPr>
          <w:t>Figure 11: Trends in Entry and Exit Rates for Class 2</w:t>
        </w:r>
        <w:r w:rsidR="00497157">
          <w:rPr>
            <w:noProof/>
            <w:webHidden/>
          </w:rPr>
          <w:tab/>
        </w:r>
        <w:r w:rsidR="00497157">
          <w:rPr>
            <w:noProof/>
            <w:webHidden/>
          </w:rPr>
          <w:fldChar w:fldCharType="begin"/>
        </w:r>
        <w:r w:rsidR="00497157">
          <w:rPr>
            <w:noProof/>
            <w:webHidden/>
          </w:rPr>
          <w:instrText xml:space="preserve"> PAGEREF _Toc100131521 \h </w:instrText>
        </w:r>
        <w:r w:rsidR="00497157">
          <w:rPr>
            <w:noProof/>
            <w:webHidden/>
          </w:rPr>
        </w:r>
        <w:r w:rsidR="00497157">
          <w:rPr>
            <w:noProof/>
            <w:webHidden/>
          </w:rPr>
          <w:fldChar w:fldCharType="separate"/>
        </w:r>
        <w:r w:rsidR="00751625">
          <w:rPr>
            <w:noProof/>
            <w:webHidden/>
          </w:rPr>
          <w:t>23</w:t>
        </w:r>
        <w:r w:rsidR="00497157">
          <w:rPr>
            <w:noProof/>
            <w:webHidden/>
          </w:rPr>
          <w:fldChar w:fldCharType="end"/>
        </w:r>
      </w:hyperlink>
    </w:p>
    <w:p w14:paraId="699711EC" w14:textId="3486C0D9" w:rsidR="00497157" w:rsidRDefault="00215A2C">
      <w:pPr>
        <w:pStyle w:val="TableofFigures"/>
        <w:tabs>
          <w:tab w:val="right" w:leader="dot" w:pos="7700"/>
        </w:tabs>
        <w:rPr>
          <w:rFonts w:asciiTheme="minorHAnsi" w:eastAsiaTheme="minorEastAsia" w:hAnsiTheme="minorHAnsi" w:cstheme="minorBidi"/>
          <w:noProof/>
          <w:color w:val="auto"/>
          <w:sz w:val="22"/>
          <w:szCs w:val="22"/>
        </w:rPr>
      </w:pPr>
      <w:hyperlink w:anchor="_Toc100131522" w:history="1">
        <w:r w:rsidR="00497157" w:rsidRPr="008B497F">
          <w:rPr>
            <w:rStyle w:val="Hyperlink"/>
            <w:noProof/>
          </w:rPr>
          <w:t>Figure 12: 2018/19 Entry and Exit Experience by Gender and Age for Class 2</w:t>
        </w:r>
        <w:r w:rsidR="00497157">
          <w:rPr>
            <w:noProof/>
            <w:webHidden/>
          </w:rPr>
          <w:tab/>
        </w:r>
        <w:r w:rsidR="00497157">
          <w:rPr>
            <w:noProof/>
            <w:webHidden/>
          </w:rPr>
          <w:fldChar w:fldCharType="begin"/>
        </w:r>
        <w:r w:rsidR="00497157">
          <w:rPr>
            <w:noProof/>
            <w:webHidden/>
          </w:rPr>
          <w:instrText xml:space="preserve"> PAGEREF _Toc100131522 \h </w:instrText>
        </w:r>
        <w:r w:rsidR="00497157">
          <w:rPr>
            <w:noProof/>
            <w:webHidden/>
          </w:rPr>
        </w:r>
        <w:r w:rsidR="00497157">
          <w:rPr>
            <w:noProof/>
            <w:webHidden/>
          </w:rPr>
          <w:fldChar w:fldCharType="separate"/>
        </w:r>
        <w:r w:rsidR="00751625">
          <w:rPr>
            <w:noProof/>
            <w:webHidden/>
          </w:rPr>
          <w:t>24</w:t>
        </w:r>
        <w:r w:rsidR="00497157">
          <w:rPr>
            <w:noProof/>
            <w:webHidden/>
          </w:rPr>
          <w:fldChar w:fldCharType="end"/>
        </w:r>
      </w:hyperlink>
    </w:p>
    <w:p w14:paraId="63977EF2" w14:textId="2FDAA164" w:rsidR="00497157" w:rsidRDefault="00215A2C">
      <w:pPr>
        <w:pStyle w:val="TableofFigures"/>
        <w:tabs>
          <w:tab w:val="right" w:leader="dot" w:pos="7700"/>
        </w:tabs>
        <w:rPr>
          <w:rFonts w:asciiTheme="minorHAnsi" w:eastAsiaTheme="minorEastAsia" w:hAnsiTheme="minorHAnsi" w:cstheme="minorBidi"/>
          <w:noProof/>
          <w:color w:val="auto"/>
          <w:sz w:val="22"/>
          <w:szCs w:val="22"/>
        </w:rPr>
      </w:pPr>
      <w:hyperlink w:anchor="_Toc100131523" w:history="1">
        <w:r w:rsidR="00497157" w:rsidRPr="008B497F">
          <w:rPr>
            <w:rStyle w:val="Hyperlink"/>
            <w:noProof/>
          </w:rPr>
          <w:t>Figure 13: Trends in Entry and Exit Rates for Class 3</w:t>
        </w:r>
        <w:r w:rsidR="00497157">
          <w:rPr>
            <w:noProof/>
            <w:webHidden/>
          </w:rPr>
          <w:tab/>
        </w:r>
        <w:r w:rsidR="00497157">
          <w:rPr>
            <w:noProof/>
            <w:webHidden/>
          </w:rPr>
          <w:fldChar w:fldCharType="begin"/>
        </w:r>
        <w:r w:rsidR="00497157">
          <w:rPr>
            <w:noProof/>
            <w:webHidden/>
          </w:rPr>
          <w:instrText xml:space="preserve"> PAGEREF _Toc100131523 \h </w:instrText>
        </w:r>
        <w:r w:rsidR="00497157">
          <w:rPr>
            <w:noProof/>
            <w:webHidden/>
          </w:rPr>
        </w:r>
        <w:r w:rsidR="00497157">
          <w:rPr>
            <w:noProof/>
            <w:webHidden/>
          </w:rPr>
          <w:fldChar w:fldCharType="separate"/>
        </w:r>
        <w:r w:rsidR="00751625">
          <w:rPr>
            <w:noProof/>
            <w:webHidden/>
          </w:rPr>
          <w:t>25</w:t>
        </w:r>
        <w:r w:rsidR="00497157">
          <w:rPr>
            <w:noProof/>
            <w:webHidden/>
          </w:rPr>
          <w:fldChar w:fldCharType="end"/>
        </w:r>
      </w:hyperlink>
    </w:p>
    <w:p w14:paraId="45EDFF8D" w14:textId="2E995FE4" w:rsidR="00497157" w:rsidRDefault="00215A2C">
      <w:pPr>
        <w:pStyle w:val="TableofFigures"/>
        <w:tabs>
          <w:tab w:val="right" w:leader="dot" w:pos="7700"/>
        </w:tabs>
        <w:rPr>
          <w:rFonts w:asciiTheme="minorHAnsi" w:eastAsiaTheme="minorEastAsia" w:hAnsiTheme="minorHAnsi" w:cstheme="minorBidi"/>
          <w:noProof/>
          <w:color w:val="auto"/>
          <w:sz w:val="22"/>
          <w:szCs w:val="22"/>
        </w:rPr>
      </w:pPr>
      <w:hyperlink w:anchor="_Toc100131524" w:history="1">
        <w:r w:rsidR="00497157" w:rsidRPr="008B497F">
          <w:rPr>
            <w:rStyle w:val="Hyperlink"/>
            <w:noProof/>
          </w:rPr>
          <w:t>Figure 14: 2018/19 Entry and Exit Experience by Gender and Age for Class 3</w:t>
        </w:r>
        <w:r w:rsidR="00497157">
          <w:rPr>
            <w:noProof/>
            <w:webHidden/>
          </w:rPr>
          <w:tab/>
        </w:r>
        <w:r w:rsidR="00497157">
          <w:rPr>
            <w:noProof/>
            <w:webHidden/>
          </w:rPr>
          <w:fldChar w:fldCharType="begin"/>
        </w:r>
        <w:r w:rsidR="00497157">
          <w:rPr>
            <w:noProof/>
            <w:webHidden/>
          </w:rPr>
          <w:instrText xml:space="preserve"> PAGEREF _Toc100131524 \h </w:instrText>
        </w:r>
        <w:r w:rsidR="00497157">
          <w:rPr>
            <w:noProof/>
            <w:webHidden/>
          </w:rPr>
        </w:r>
        <w:r w:rsidR="00497157">
          <w:rPr>
            <w:noProof/>
            <w:webHidden/>
          </w:rPr>
          <w:fldChar w:fldCharType="separate"/>
        </w:r>
        <w:r w:rsidR="00751625">
          <w:rPr>
            <w:noProof/>
            <w:webHidden/>
          </w:rPr>
          <w:t>26</w:t>
        </w:r>
        <w:r w:rsidR="00497157">
          <w:rPr>
            <w:noProof/>
            <w:webHidden/>
          </w:rPr>
          <w:fldChar w:fldCharType="end"/>
        </w:r>
      </w:hyperlink>
    </w:p>
    <w:p w14:paraId="5671A4CE" w14:textId="27FA0173" w:rsidR="00497157" w:rsidRDefault="00215A2C">
      <w:pPr>
        <w:pStyle w:val="TableofFigures"/>
        <w:tabs>
          <w:tab w:val="right" w:leader="dot" w:pos="7700"/>
        </w:tabs>
        <w:rPr>
          <w:rFonts w:asciiTheme="minorHAnsi" w:eastAsiaTheme="minorEastAsia" w:hAnsiTheme="minorHAnsi" w:cstheme="minorBidi"/>
          <w:noProof/>
          <w:color w:val="auto"/>
          <w:sz w:val="22"/>
          <w:szCs w:val="22"/>
        </w:rPr>
      </w:pPr>
      <w:hyperlink w:anchor="_Toc100131525" w:history="1">
        <w:r w:rsidR="00497157" w:rsidRPr="008B497F">
          <w:rPr>
            <w:rStyle w:val="Hyperlink"/>
            <w:noProof/>
          </w:rPr>
          <w:t>Figure 15: Trends in Entry and Exit Rates for Class 4</w:t>
        </w:r>
        <w:r w:rsidR="00497157">
          <w:rPr>
            <w:noProof/>
            <w:webHidden/>
          </w:rPr>
          <w:tab/>
        </w:r>
        <w:r w:rsidR="00497157">
          <w:rPr>
            <w:noProof/>
            <w:webHidden/>
          </w:rPr>
          <w:fldChar w:fldCharType="begin"/>
        </w:r>
        <w:r w:rsidR="00497157">
          <w:rPr>
            <w:noProof/>
            <w:webHidden/>
          </w:rPr>
          <w:instrText xml:space="preserve"> PAGEREF _Toc100131525 \h </w:instrText>
        </w:r>
        <w:r w:rsidR="00497157">
          <w:rPr>
            <w:noProof/>
            <w:webHidden/>
          </w:rPr>
        </w:r>
        <w:r w:rsidR="00497157">
          <w:rPr>
            <w:noProof/>
            <w:webHidden/>
          </w:rPr>
          <w:fldChar w:fldCharType="separate"/>
        </w:r>
        <w:r w:rsidR="00751625">
          <w:rPr>
            <w:noProof/>
            <w:webHidden/>
          </w:rPr>
          <w:t>27</w:t>
        </w:r>
        <w:r w:rsidR="00497157">
          <w:rPr>
            <w:noProof/>
            <w:webHidden/>
          </w:rPr>
          <w:fldChar w:fldCharType="end"/>
        </w:r>
      </w:hyperlink>
    </w:p>
    <w:p w14:paraId="60CC51D8" w14:textId="206332A5" w:rsidR="00497157" w:rsidRDefault="00215A2C">
      <w:pPr>
        <w:pStyle w:val="TableofFigures"/>
        <w:tabs>
          <w:tab w:val="right" w:leader="dot" w:pos="7700"/>
        </w:tabs>
        <w:rPr>
          <w:rFonts w:asciiTheme="minorHAnsi" w:eastAsiaTheme="minorEastAsia" w:hAnsiTheme="minorHAnsi" w:cstheme="minorBidi"/>
          <w:noProof/>
          <w:color w:val="auto"/>
          <w:sz w:val="22"/>
          <w:szCs w:val="22"/>
        </w:rPr>
      </w:pPr>
      <w:hyperlink w:anchor="_Toc100131526" w:history="1">
        <w:r w:rsidR="00497157" w:rsidRPr="008B497F">
          <w:rPr>
            <w:rStyle w:val="Hyperlink"/>
            <w:noProof/>
          </w:rPr>
          <w:t>Figure 16: 2018/19 Entry and Exit Experience by Gender and Age for Class 4</w:t>
        </w:r>
        <w:r w:rsidR="00497157">
          <w:rPr>
            <w:noProof/>
            <w:webHidden/>
          </w:rPr>
          <w:tab/>
        </w:r>
        <w:r w:rsidR="00497157">
          <w:rPr>
            <w:noProof/>
            <w:webHidden/>
          </w:rPr>
          <w:fldChar w:fldCharType="begin"/>
        </w:r>
        <w:r w:rsidR="00497157">
          <w:rPr>
            <w:noProof/>
            <w:webHidden/>
          </w:rPr>
          <w:instrText xml:space="preserve"> PAGEREF _Toc100131526 \h </w:instrText>
        </w:r>
        <w:r w:rsidR="00497157">
          <w:rPr>
            <w:noProof/>
            <w:webHidden/>
          </w:rPr>
        </w:r>
        <w:r w:rsidR="00497157">
          <w:rPr>
            <w:noProof/>
            <w:webHidden/>
          </w:rPr>
          <w:fldChar w:fldCharType="separate"/>
        </w:r>
        <w:r w:rsidR="00751625">
          <w:rPr>
            <w:noProof/>
            <w:webHidden/>
          </w:rPr>
          <w:t>27</w:t>
        </w:r>
        <w:r w:rsidR="00497157">
          <w:rPr>
            <w:noProof/>
            <w:webHidden/>
          </w:rPr>
          <w:fldChar w:fldCharType="end"/>
        </w:r>
      </w:hyperlink>
    </w:p>
    <w:p w14:paraId="196CB199" w14:textId="7D53B9AE" w:rsidR="00497157" w:rsidRDefault="00215A2C">
      <w:pPr>
        <w:pStyle w:val="TableofFigures"/>
        <w:tabs>
          <w:tab w:val="right" w:leader="dot" w:pos="7700"/>
        </w:tabs>
        <w:rPr>
          <w:rFonts w:asciiTheme="minorHAnsi" w:eastAsiaTheme="minorEastAsia" w:hAnsiTheme="minorHAnsi" w:cstheme="minorBidi"/>
          <w:noProof/>
          <w:color w:val="auto"/>
          <w:sz w:val="22"/>
          <w:szCs w:val="22"/>
        </w:rPr>
      </w:pPr>
      <w:hyperlink w:anchor="_Toc100131527" w:history="1">
        <w:r w:rsidR="00497157" w:rsidRPr="008B497F">
          <w:rPr>
            <w:rStyle w:val="Hyperlink"/>
            <w:noProof/>
          </w:rPr>
          <w:t>Figure 17: Trends in Entry and Exit Rates for Class 5</w:t>
        </w:r>
        <w:r w:rsidR="00497157">
          <w:rPr>
            <w:noProof/>
            <w:webHidden/>
          </w:rPr>
          <w:tab/>
        </w:r>
        <w:r w:rsidR="00497157">
          <w:rPr>
            <w:noProof/>
            <w:webHidden/>
          </w:rPr>
          <w:fldChar w:fldCharType="begin"/>
        </w:r>
        <w:r w:rsidR="00497157">
          <w:rPr>
            <w:noProof/>
            <w:webHidden/>
          </w:rPr>
          <w:instrText xml:space="preserve"> PAGEREF _Toc100131527 \h </w:instrText>
        </w:r>
        <w:r w:rsidR="00497157">
          <w:rPr>
            <w:noProof/>
            <w:webHidden/>
          </w:rPr>
        </w:r>
        <w:r w:rsidR="00497157">
          <w:rPr>
            <w:noProof/>
            <w:webHidden/>
          </w:rPr>
          <w:fldChar w:fldCharType="separate"/>
        </w:r>
        <w:r w:rsidR="00751625">
          <w:rPr>
            <w:noProof/>
            <w:webHidden/>
          </w:rPr>
          <w:t>28</w:t>
        </w:r>
        <w:r w:rsidR="00497157">
          <w:rPr>
            <w:noProof/>
            <w:webHidden/>
          </w:rPr>
          <w:fldChar w:fldCharType="end"/>
        </w:r>
      </w:hyperlink>
    </w:p>
    <w:p w14:paraId="79E60429" w14:textId="7F24C246" w:rsidR="00497157" w:rsidRDefault="00215A2C">
      <w:pPr>
        <w:pStyle w:val="TableofFigures"/>
        <w:tabs>
          <w:tab w:val="right" w:leader="dot" w:pos="7700"/>
        </w:tabs>
        <w:rPr>
          <w:rFonts w:asciiTheme="minorHAnsi" w:eastAsiaTheme="minorEastAsia" w:hAnsiTheme="minorHAnsi" w:cstheme="minorBidi"/>
          <w:noProof/>
          <w:color w:val="auto"/>
          <w:sz w:val="22"/>
          <w:szCs w:val="22"/>
        </w:rPr>
      </w:pPr>
      <w:hyperlink w:anchor="_Toc100131528" w:history="1">
        <w:r w:rsidR="00497157" w:rsidRPr="008B497F">
          <w:rPr>
            <w:rStyle w:val="Hyperlink"/>
            <w:noProof/>
          </w:rPr>
          <w:t>Figure 18: 2018/19 Entry and Exit Experience by Gender and Age for Class 5</w:t>
        </w:r>
        <w:r w:rsidR="00497157">
          <w:rPr>
            <w:noProof/>
            <w:webHidden/>
          </w:rPr>
          <w:tab/>
        </w:r>
        <w:r w:rsidR="00497157">
          <w:rPr>
            <w:noProof/>
            <w:webHidden/>
          </w:rPr>
          <w:fldChar w:fldCharType="begin"/>
        </w:r>
        <w:r w:rsidR="00497157">
          <w:rPr>
            <w:noProof/>
            <w:webHidden/>
          </w:rPr>
          <w:instrText xml:space="preserve"> PAGEREF _Toc100131528 \h </w:instrText>
        </w:r>
        <w:r w:rsidR="00497157">
          <w:rPr>
            <w:noProof/>
            <w:webHidden/>
          </w:rPr>
        </w:r>
        <w:r w:rsidR="00497157">
          <w:rPr>
            <w:noProof/>
            <w:webHidden/>
          </w:rPr>
          <w:fldChar w:fldCharType="separate"/>
        </w:r>
        <w:r w:rsidR="00751625">
          <w:rPr>
            <w:noProof/>
            <w:webHidden/>
          </w:rPr>
          <w:t>29</w:t>
        </w:r>
        <w:r w:rsidR="00497157">
          <w:rPr>
            <w:noProof/>
            <w:webHidden/>
          </w:rPr>
          <w:fldChar w:fldCharType="end"/>
        </w:r>
      </w:hyperlink>
    </w:p>
    <w:p w14:paraId="083A80F9" w14:textId="22E4C3F3" w:rsidR="00497157" w:rsidRDefault="00215A2C">
      <w:pPr>
        <w:pStyle w:val="TableofFigures"/>
        <w:tabs>
          <w:tab w:val="right" w:leader="dot" w:pos="7700"/>
        </w:tabs>
        <w:rPr>
          <w:rFonts w:asciiTheme="minorHAnsi" w:eastAsiaTheme="minorEastAsia" w:hAnsiTheme="minorHAnsi" w:cstheme="minorBidi"/>
          <w:noProof/>
          <w:color w:val="auto"/>
          <w:sz w:val="22"/>
          <w:szCs w:val="22"/>
        </w:rPr>
      </w:pPr>
      <w:hyperlink w:anchor="_Toc100131529" w:history="1">
        <w:r w:rsidR="00497157" w:rsidRPr="008B497F">
          <w:rPr>
            <w:rStyle w:val="Hyperlink"/>
            <w:noProof/>
          </w:rPr>
          <w:t>Figure 19: Trends in Entry and Exit Rates for Class 6</w:t>
        </w:r>
        <w:r w:rsidR="00497157">
          <w:rPr>
            <w:noProof/>
            <w:webHidden/>
          </w:rPr>
          <w:tab/>
        </w:r>
        <w:r w:rsidR="00497157">
          <w:rPr>
            <w:noProof/>
            <w:webHidden/>
          </w:rPr>
          <w:fldChar w:fldCharType="begin"/>
        </w:r>
        <w:r w:rsidR="00497157">
          <w:rPr>
            <w:noProof/>
            <w:webHidden/>
          </w:rPr>
          <w:instrText xml:space="preserve"> PAGEREF _Toc100131529 \h </w:instrText>
        </w:r>
        <w:r w:rsidR="00497157">
          <w:rPr>
            <w:noProof/>
            <w:webHidden/>
          </w:rPr>
        </w:r>
        <w:r w:rsidR="00497157">
          <w:rPr>
            <w:noProof/>
            <w:webHidden/>
          </w:rPr>
          <w:fldChar w:fldCharType="separate"/>
        </w:r>
        <w:r w:rsidR="00751625">
          <w:rPr>
            <w:noProof/>
            <w:webHidden/>
          </w:rPr>
          <w:t>30</w:t>
        </w:r>
        <w:r w:rsidR="00497157">
          <w:rPr>
            <w:noProof/>
            <w:webHidden/>
          </w:rPr>
          <w:fldChar w:fldCharType="end"/>
        </w:r>
      </w:hyperlink>
    </w:p>
    <w:p w14:paraId="47728F79" w14:textId="1083D804" w:rsidR="00497157" w:rsidRDefault="00215A2C">
      <w:pPr>
        <w:pStyle w:val="TableofFigures"/>
        <w:tabs>
          <w:tab w:val="right" w:leader="dot" w:pos="7700"/>
        </w:tabs>
        <w:rPr>
          <w:rFonts w:asciiTheme="minorHAnsi" w:eastAsiaTheme="minorEastAsia" w:hAnsiTheme="minorHAnsi" w:cstheme="minorBidi"/>
          <w:noProof/>
          <w:color w:val="auto"/>
          <w:sz w:val="22"/>
          <w:szCs w:val="22"/>
        </w:rPr>
      </w:pPr>
      <w:hyperlink w:anchor="_Toc100131530" w:history="1">
        <w:r w:rsidR="00497157" w:rsidRPr="008B497F">
          <w:rPr>
            <w:rStyle w:val="Hyperlink"/>
            <w:noProof/>
          </w:rPr>
          <w:t>Figure 20: 2018/19 Entry and Exit Experience by Gender and Age for Class 6.</w:t>
        </w:r>
        <w:r w:rsidR="00497157">
          <w:rPr>
            <w:noProof/>
            <w:webHidden/>
          </w:rPr>
          <w:tab/>
        </w:r>
        <w:r w:rsidR="00497157">
          <w:rPr>
            <w:noProof/>
            <w:webHidden/>
          </w:rPr>
          <w:fldChar w:fldCharType="begin"/>
        </w:r>
        <w:r w:rsidR="00497157">
          <w:rPr>
            <w:noProof/>
            <w:webHidden/>
          </w:rPr>
          <w:instrText xml:space="preserve"> PAGEREF _Toc100131530 \h </w:instrText>
        </w:r>
        <w:r w:rsidR="00497157">
          <w:rPr>
            <w:noProof/>
            <w:webHidden/>
          </w:rPr>
        </w:r>
        <w:r w:rsidR="00497157">
          <w:rPr>
            <w:noProof/>
            <w:webHidden/>
          </w:rPr>
          <w:fldChar w:fldCharType="separate"/>
        </w:r>
        <w:r w:rsidR="00751625">
          <w:rPr>
            <w:noProof/>
            <w:webHidden/>
          </w:rPr>
          <w:t>31</w:t>
        </w:r>
        <w:r w:rsidR="00497157">
          <w:rPr>
            <w:noProof/>
            <w:webHidden/>
          </w:rPr>
          <w:fldChar w:fldCharType="end"/>
        </w:r>
      </w:hyperlink>
    </w:p>
    <w:p w14:paraId="10F6E595" w14:textId="5FF5FCDD" w:rsidR="00497157" w:rsidRDefault="00215A2C">
      <w:pPr>
        <w:pStyle w:val="TableofFigures"/>
        <w:tabs>
          <w:tab w:val="right" w:leader="dot" w:pos="7700"/>
        </w:tabs>
        <w:rPr>
          <w:rFonts w:asciiTheme="minorHAnsi" w:eastAsiaTheme="minorEastAsia" w:hAnsiTheme="minorHAnsi" w:cstheme="minorBidi"/>
          <w:noProof/>
          <w:color w:val="auto"/>
          <w:sz w:val="22"/>
          <w:szCs w:val="22"/>
        </w:rPr>
      </w:pPr>
      <w:hyperlink w:anchor="_Toc100131531" w:history="1">
        <w:r w:rsidR="00497157" w:rsidRPr="008B497F">
          <w:rPr>
            <w:rStyle w:val="Hyperlink"/>
            <w:noProof/>
          </w:rPr>
          <w:t>Figure 21: Trends in Entry and Exit Rates for Class 7</w:t>
        </w:r>
        <w:r w:rsidR="00497157">
          <w:rPr>
            <w:noProof/>
            <w:webHidden/>
          </w:rPr>
          <w:tab/>
        </w:r>
        <w:r w:rsidR="00497157">
          <w:rPr>
            <w:noProof/>
            <w:webHidden/>
          </w:rPr>
          <w:fldChar w:fldCharType="begin"/>
        </w:r>
        <w:r w:rsidR="00497157">
          <w:rPr>
            <w:noProof/>
            <w:webHidden/>
          </w:rPr>
          <w:instrText xml:space="preserve"> PAGEREF _Toc100131531 \h </w:instrText>
        </w:r>
        <w:r w:rsidR="00497157">
          <w:rPr>
            <w:noProof/>
            <w:webHidden/>
          </w:rPr>
        </w:r>
        <w:r w:rsidR="00497157">
          <w:rPr>
            <w:noProof/>
            <w:webHidden/>
          </w:rPr>
          <w:fldChar w:fldCharType="separate"/>
        </w:r>
        <w:r w:rsidR="00751625">
          <w:rPr>
            <w:noProof/>
            <w:webHidden/>
          </w:rPr>
          <w:t>32</w:t>
        </w:r>
        <w:r w:rsidR="00497157">
          <w:rPr>
            <w:noProof/>
            <w:webHidden/>
          </w:rPr>
          <w:fldChar w:fldCharType="end"/>
        </w:r>
      </w:hyperlink>
    </w:p>
    <w:p w14:paraId="6AD249B0" w14:textId="44A9B276" w:rsidR="00497157" w:rsidRDefault="00215A2C">
      <w:pPr>
        <w:pStyle w:val="TableofFigures"/>
        <w:tabs>
          <w:tab w:val="right" w:leader="dot" w:pos="7700"/>
        </w:tabs>
        <w:rPr>
          <w:rFonts w:asciiTheme="minorHAnsi" w:eastAsiaTheme="minorEastAsia" w:hAnsiTheme="minorHAnsi" w:cstheme="minorBidi"/>
          <w:noProof/>
          <w:color w:val="auto"/>
          <w:sz w:val="22"/>
          <w:szCs w:val="22"/>
        </w:rPr>
      </w:pPr>
      <w:hyperlink w:anchor="_Toc100131532" w:history="1">
        <w:r w:rsidR="00497157" w:rsidRPr="008B497F">
          <w:rPr>
            <w:rStyle w:val="Hyperlink"/>
            <w:noProof/>
          </w:rPr>
          <w:t>Figure 22: 2018/19 Entry and Exit Experience by Gender and Age for Class 7</w:t>
        </w:r>
        <w:r w:rsidR="00497157">
          <w:rPr>
            <w:noProof/>
            <w:webHidden/>
          </w:rPr>
          <w:tab/>
        </w:r>
        <w:r w:rsidR="00497157">
          <w:rPr>
            <w:noProof/>
            <w:webHidden/>
          </w:rPr>
          <w:fldChar w:fldCharType="begin"/>
        </w:r>
        <w:r w:rsidR="00497157">
          <w:rPr>
            <w:noProof/>
            <w:webHidden/>
          </w:rPr>
          <w:instrText xml:space="preserve"> PAGEREF _Toc100131532 \h </w:instrText>
        </w:r>
        <w:r w:rsidR="00497157">
          <w:rPr>
            <w:noProof/>
            <w:webHidden/>
          </w:rPr>
        </w:r>
        <w:r w:rsidR="00497157">
          <w:rPr>
            <w:noProof/>
            <w:webHidden/>
          </w:rPr>
          <w:fldChar w:fldCharType="separate"/>
        </w:r>
        <w:r w:rsidR="00751625">
          <w:rPr>
            <w:noProof/>
            <w:webHidden/>
          </w:rPr>
          <w:t>33</w:t>
        </w:r>
        <w:r w:rsidR="00497157">
          <w:rPr>
            <w:noProof/>
            <w:webHidden/>
          </w:rPr>
          <w:fldChar w:fldCharType="end"/>
        </w:r>
      </w:hyperlink>
    </w:p>
    <w:p w14:paraId="2061C67F" w14:textId="7CD6DE44" w:rsidR="00497157" w:rsidRDefault="00215A2C">
      <w:pPr>
        <w:pStyle w:val="TableofFigures"/>
        <w:tabs>
          <w:tab w:val="right" w:leader="dot" w:pos="7700"/>
        </w:tabs>
        <w:rPr>
          <w:rFonts w:asciiTheme="minorHAnsi" w:eastAsiaTheme="minorEastAsia" w:hAnsiTheme="minorHAnsi" w:cstheme="minorBidi"/>
          <w:noProof/>
          <w:color w:val="auto"/>
          <w:sz w:val="22"/>
          <w:szCs w:val="22"/>
        </w:rPr>
      </w:pPr>
      <w:hyperlink w:anchor="_Toc100131533" w:history="1">
        <w:r w:rsidR="00497157" w:rsidRPr="008B497F">
          <w:rPr>
            <w:rStyle w:val="Hyperlink"/>
            <w:noProof/>
          </w:rPr>
          <w:t>Figure 23: Trends in Entry and Exit Rates for Class 8</w:t>
        </w:r>
        <w:r w:rsidR="00497157">
          <w:rPr>
            <w:noProof/>
            <w:webHidden/>
          </w:rPr>
          <w:tab/>
        </w:r>
        <w:r w:rsidR="00497157">
          <w:rPr>
            <w:noProof/>
            <w:webHidden/>
          </w:rPr>
          <w:fldChar w:fldCharType="begin"/>
        </w:r>
        <w:r w:rsidR="00497157">
          <w:rPr>
            <w:noProof/>
            <w:webHidden/>
          </w:rPr>
          <w:instrText xml:space="preserve"> PAGEREF _Toc100131533 \h </w:instrText>
        </w:r>
        <w:r w:rsidR="00497157">
          <w:rPr>
            <w:noProof/>
            <w:webHidden/>
          </w:rPr>
        </w:r>
        <w:r w:rsidR="00497157">
          <w:rPr>
            <w:noProof/>
            <w:webHidden/>
          </w:rPr>
          <w:fldChar w:fldCharType="separate"/>
        </w:r>
        <w:r w:rsidR="00751625">
          <w:rPr>
            <w:noProof/>
            <w:webHidden/>
          </w:rPr>
          <w:t>34</w:t>
        </w:r>
        <w:r w:rsidR="00497157">
          <w:rPr>
            <w:noProof/>
            <w:webHidden/>
          </w:rPr>
          <w:fldChar w:fldCharType="end"/>
        </w:r>
      </w:hyperlink>
    </w:p>
    <w:p w14:paraId="6208BCCB" w14:textId="2E5BBCC0" w:rsidR="00497157" w:rsidRDefault="00215A2C">
      <w:pPr>
        <w:pStyle w:val="TableofFigures"/>
        <w:tabs>
          <w:tab w:val="right" w:leader="dot" w:pos="7700"/>
        </w:tabs>
        <w:rPr>
          <w:rFonts w:asciiTheme="minorHAnsi" w:eastAsiaTheme="minorEastAsia" w:hAnsiTheme="minorHAnsi" w:cstheme="minorBidi"/>
          <w:noProof/>
          <w:color w:val="auto"/>
          <w:sz w:val="22"/>
          <w:szCs w:val="22"/>
        </w:rPr>
      </w:pPr>
      <w:hyperlink w:anchor="_Toc100131534" w:history="1">
        <w:r w:rsidR="00497157" w:rsidRPr="008B497F">
          <w:rPr>
            <w:rStyle w:val="Hyperlink"/>
            <w:noProof/>
          </w:rPr>
          <w:t>Figure 24: 2018/19 Entry and Exit Experience by Gender and Age for Class 8</w:t>
        </w:r>
        <w:r w:rsidR="00497157">
          <w:rPr>
            <w:noProof/>
            <w:webHidden/>
          </w:rPr>
          <w:tab/>
        </w:r>
        <w:r w:rsidR="00497157">
          <w:rPr>
            <w:noProof/>
            <w:webHidden/>
          </w:rPr>
          <w:fldChar w:fldCharType="begin"/>
        </w:r>
        <w:r w:rsidR="00497157">
          <w:rPr>
            <w:noProof/>
            <w:webHidden/>
          </w:rPr>
          <w:instrText xml:space="preserve"> PAGEREF _Toc100131534 \h </w:instrText>
        </w:r>
        <w:r w:rsidR="00497157">
          <w:rPr>
            <w:noProof/>
            <w:webHidden/>
          </w:rPr>
        </w:r>
        <w:r w:rsidR="00497157">
          <w:rPr>
            <w:noProof/>
            <w:webHidden/>
          </w:rPr>
          <w:fldChar w:fldCharType="separate"/>
        </w:r>
        <w:r w:rsidR="00751625">
          <w:rPr>
            <w:noProof/>
            <w:webHidden/>
          </w:rPr>
          <w:t>35</w:t>
        </w:r>
        <w:r w:rsidR="00497157">
          <w:rPr>
            <w:noProof/>
            <w:webHidden/>
          </w:rPr>
          <w:fldChar w:fldCharType="end"/>
        </w:r>
      </w:hyperlink>
    </w:p>
    <w:p w14:paraId="043F9C9B" w14:textId="09BA7C86" w:rsidR="00497157" w:rsidRDefault="00215A2C">
      <w:pPr>
        <w:pStyle w:val="TableofFigures"/>
        <w:tabs>
          <w:tab w:val="right" w:leader="dot" w:pos="7700"/>
        </w:tabs>
        <w:rPr>
          <w:rFonts w:asciiTheme="minorHAnsi" w:eastAsiaTheme="minorEastAsia" w:hAnsiTheme="minorHAnsi" w:cstheme="minorBidi"/>
          <w:noProof/>
          <w:color w:val="auto"/>
          <w:sz w:val="22"/>
          <w:szCs w:val="22"/>
        </w:rPr>
      </w:pPr>
      <w:hyperlink w:anchor="_Toc100131535" w:history="1">
        <w:r w:rsidR="00497157" w:rsidRPr="008B497F">
          <w:rPr>
            <w:rStyle w:val="Hyperlink"/>
            <w:noProof/>
          </w:rPr>
          <w:t>Figure 25: Trends in Entry and Exit Rates for Class 9</w:t>
        </w:r>
        <w:r w:rsidR="00497157">
          <w:rPr>
            <w:noProof/>
            <w:webHidden/>
          </w:rPr>
          <w:tab/>
        </w:r>
        <w:r w:rsidR="00497157">
          <w:rPr>
            <w:noProof/>
            <w:webHidden/>
          </w:rPr>
          <w:fldChar w:fldCharType="begin"/>
        </w:r>
        <w:r w:rsidR="00497157">
          <w:rPr>
            <w:noProof/>
            <w:webHidden/>
          </w:rPr>
          <w:instrText xml:space="preserve"> PAGEREF _Toc100131535 \h </w:instrText>
        </w:r>
        <w:r w:rsidR="00497157">
          <w:rPr>
            <w:noProof/>
            <w:webHidden/>
          </w:rPr>
        </w:r>
        <w:r w:rsidR="00497157">
          <w:rPr>
            <w:noProof/>
            <w:webHidden/>
          </w:rPr>
          <w:fldChar w:fldCharType="separate"/>
        </w:r>
        <w:r w:rsidR="00751625">
          <w:rPr>
            <w:noProof/>
            <w:webHidden/>
          </w:rPr>
          <w:t>36</w:t>
        </w:r>
        <w:r w:rsidR="00497157">
          <w:rPr>
            <w:noProof/>
            <w:webHidden/>
          </w:rPr>
          <w:fldChar w:fldCharType="end"/>
        </w:r>
      </w:hyperlink>
    </w:p>
    <w:p w14:paraId="17678628" w14:textId="29522C51" w:rsidR="00497157" w:rsidRDefault="00215A2C">
      <w:pPr>
        <w:pStyle w:val="TableofFigures"/>
        <w:tabs>
          <w:tab w:val="right" w:leader="dot" w:pos="7700"/>
        </w:tabs>
        <w:rPr>
          <w:rFonts w:asciiTheme="minorHAnsi" w:eastAsiaTheme="minorEastAsia" w:hAnsiTheme="minorHAnsi" w:cstheme="minorBidi"/>
          <w:noProof/>
          <w:color w:val="auto"/>
          <w:sz w:val="22"/>
          <w:szCs w:val="22"/>
        </w:rPr>
      </w:pPr>
      <w:hyperlink w:anchor="_Toc100131536" w:history="1">
        <w:r w:rsidR="00497157" w:rsidRPr="008B497F">
          <w:rPr>
            <w:rStyle w:val="Hyperlink"/>
            <w:noProof/>
          </w:rPr>
          <w:t>Figure 26: 2018/19 Entry and Exit Experience by Gender and Age for Class 9</w:t>
        </w:r>
        <w:r w:rsidR="00497157">
          <w:rPr>
            <w:noProof/>
            <w:webHidden/>
          </w:rPr>
          <w:tab/>
        </w:r>
        <w:r w:rsidR="00497157">
          <w:rPr>
            <w:noProof/>
            <w:webHidden/>
          </w:rPr>
          <w:fldChar w:fldCharType="begin"/>
        </w:r>
        <w:r w:rsidR="00497157">
          <w:rPr>
            <w:noProof/>
            <w:webHidden/>
          </w:rPr>
          <w:instrText xml:space="preserve"> PAGEREF _Toc100131536 \h </w:instrText>
        </w:r>
        <w:r w:rsidR="00497157">
          <w:rPr>
            <w:noProof/>
            <w:webHidden/>
          </w:rPr>
        </w:r>
        <w:r w:rsidR="00497157">
          <w:rPr>
            <w:noProof/>
            <w:webHidden/>
          </w:rPr>
          <w:fldChar w:fldCharType="separate"/>
        </w:r>
        <w:r w:rsidR="00751625">
          <w:rPr>
            <w:noProof/>
            <w:webHidden/>
          </w:rPr>
          <w:t>37</w:t>
        </w:r>
        <w:r w:rsidR="00497157">
          <w:rPr>
            <w:noProof/>
            <w:webHidden/>
          </w:rPr>
          <w:fldChar w:fldCharType="end"/>
        </w:r>
      </w:hyperlink>
    </w:p>
    <w:p w14:paraId="79926792" w14:textId="157ABCC1" w:rsidR="00497157" w:rsidRDefault="00215A2C">
      <w:pPr>
        <w:pStyle w:val="TableofFigures"/>
        <w:tabs>
          <w:tab w:val="right" w:leader="dot" w:pos="7700"/>
        </w:tabs>
        <w:rPr>
          <w:rFonts w:asciiTheme="minorHAnsi" w:eastAsiaTheme="minorEastAsia" w:hAnsiTheme="minorHAnsi" w:cstheme="minorBidi"/>
          <w:noProof/>
          <w:color w:val="auto"/>
          <w:sz w:val="22"/>
          <w:szCs w:val="22"/>
        </w:rPr>
      </w:pPr>
      <w:hyperlink w:anchor="_Toc100131537" w:history="1">
        <w:r w:rsidR="00497157" w:rsidRPr="008B497F">
          <w:rPr>
            <w:rStyle w:val="Hyperlink"/>
            <w:noProof/>
          </w:rPr>
          <w:t>Figure 27: Composition of Lifetime Cost ($ billion) by Payment Category</w:t>
        </w:r>
        <w:r w:rsidR="00497157">
          <w:rPr>
            <w:noProof/>
            <w:webHidden/>
          </w:rPr>
          <w:tab/>
        </w:r>
        <w:r w:rsidR="00497157">
          <w:rPr>
            <w:noProof/>
            <w:webHidden/>
          </w:rPr>
          <w:fldChar w:fldCharType="begin"/>
        </w:r>
        <w:r w:rsidR="00497157">
          <w:rPr>
            <w:noProof/>
            <w:webHidden/>
          </w:rPr>
          <w:instrText xml:space="preserve"> PAGEREF _Toc100131537 \h </w:instrText>
        </w:r>
        <w:r w:rsidR="00497157">
          <w:rPr>
            <w:noProof/>
            <w:webHidden/>
          </w:rPr>
        </w:r>
        <w:r w:rsidR="00497157">
          <w:rPr>
            <w:noProof/>
            <w:webHidden/>
          </w:rPr>
          <w:fldChar w:fldCharType="separate"/>
        </w:r>
        <w:r w:rsidR="00751625">
          <w:rPr>
            <w:noProof/>
            <w:webHidden/>
          </w:rPr>
          <w:t>41</w:t>
        </w:r>
        <w:r w:rsidR="00497157">
          <w:rPr>
            <w:noProof/>
            <w:webHidden/>
          </w:rPr>
          <w:fldChar w:fldCharType="end"/>
        </w:r>
      </w:hyperlink>
    </w:p>
    <w:p w14:paraId="009C5157" w14:textId="6536AF54" w:rsidR="00497157" w:rsidRDefault="00215A2C">
      <w:pPr>
        <w:pStyle w:val="TableofFigures"/>
        <w:tabs>
          <w:tab w:val="right" w:leader="dot" w:pos="7700"/>
        </w:tabs>
        <w:rPr>
          <w:rFonts w:asciiTheme="minorHAnsi" w:eastAsiaTheme="minorEastAsia" w:hAnsiTheme="minorHAnsi" w:cstheme="minorBidi"/>
          <w:noProof/>
          <w:color w:val="auto"/>
          <w:sz w:val="22"/>
          <w:szCs w:val="22"/>
        </w:rPr>
      </w:pPr>
      <w:hyperlink w:anchor="_Toc100131538" w:history="1">
        <w:r w:rsidR="00497157" w:rsidRPr="008B497F">
          <w:rPr>
            <w:rStyle w:val="Hyperlink"/>
            <w:noProof/>
          </w:rPr>
          <w:t>Figure 28: Total Lifetime Cost by Age and Gender</w:t>
        </w:r>
        <w:r w:rsidR="00497157">
          <w:rPr>
            <w:noProof/>
            <w:webHidden/>
          </w:rPr>
          <w:tab/>
        </w:r>
        <w:r w:rsidR="00497157">
          <w:rPr>
            <w:noProof/>
            <w:webHidden/>
          </w:rPr>
          <w:fldChar w:fldCharType="begin"/>
        </w:r>
        <w:r w:rsidR="00497157">
          <w:rPr>
            <w:noProof/>
            <w:webHidden/>
          </w:rPr>
          <w:instrText xml:space="preserve"> PAGEREF _Toc100131538 \h </w:instrText>
        </w:r>
        <w:r w:rsidR="00497157">
          <w:rPr>
            <w:noProof/>
            <w:webHidden/>
          </w:rPr>
        </w:r>
        <w:r w:rsidR="00497157">
          <w:rPr>
            <w:noProof/>
            <w:webHidden/>
          </w:rPr>
          <w:fldChar w:fldCharType="separate"/>
        </w:r>
        <w:r w:rsidR="00751625">
          <w:rPr>
            <w:noProof/>
            <w:webHidden/>
          </w:rPr>
          <w:t>47</w:t>
        </w:r>
        <w:r w:rsidR="00497157">
          <w:rPr>
            <w:noProof/>
            <w:webHidden/>
          </w:rPr>
          <w:fldChar w:fldCharType="end"/>
        </w:r>
      </w:hyperlink>
    </w:p>
    <w:p w14:paraId="07E92F7B" w14:textId="23092100" w:rsidR="00497157" w:rsidRDefault="00215A2C">
      <w:pPr>
        <w:pStyle w:val="TableofFigures"/>
        <w:tabs>
          <w:tab w:val="right" w:leader="dot" w:pos="7700"/>
        </w:tabs>
        <w:rPr>
          <w:rFonts w:asciiTheme="minorHAnsi" w:eastAsiaTheme="minorEastAsia" w:hAnsiTheme="minorHAnsi" w:cstheme="minorBidi"/>
          <w:noProof/>
          <w:color w:val="auto"/>
          <w:sz w:val="22"/>
          <w:szCs w:val="22"/>
        </w:rPr>
      </w:pPr>
      <w:hyperlink w:anchor="_Toc100131539" w:history="1">
        <w:r w:rsidR="00497157" w:rsidRPr="008B497F">
          <w:rPr>
            <w:rStyle w:val="Hyperlink"/>
            <w:noProof/>
          </w:rPr>
          <w:t>Figure 29: Average Lifetime Cost by Gender and selected ages</w:t>
        </w:r>
        <w:r w:rsidR="00497157">
          <w:rPr>
            <w:noProof/>
            <w:webHidden/>
          </w:rPr>
          <w:tab/>
        </w:r>
        <w:r w:rsidR="00497157">
          <w:rPr>
            <w:noProof/>
            <w:webHidden/>
          </w:rPr>
          <w:fldChar w:fldCharType="begin"/>
        </w:r>
        <w:r w:rsidR="00497157">
          <w:rPr>
            <w:noProof/>
            <w:webHidden/>
          </w:rPr>
          <w:instrText xml:space="preserve"> PAGEREF _Toc100131539 \h </w:instrText>
        </w:r>
        <w:r w:rsidR="00497157">
          <w:rPr>
            <w:noProof/>
            <w:webHidden/>
          </w:rPr>
        </w:r>
        <w:r w:rsidR="00497157">
          <w:rPr>
            <w:noProof/>
            <w:webHidden/>
          </w:rPr>
          <w:fldChar w:fldCharType="separate"/>
        </w:r>
        <w:r w:rsidR="00751625">
          <w:rPr>
            <w:noProof/>
            <w:webHidden/>
          </w:rPr>
          <w:t>47</w:t>
        </w:r>
        <w:r w:rsidR="00497157">
          <w:rPr>
            <w:noProof/>
            <w:webHidden/>
          </w:rPr>
          <w:fldChar w:fldCharType="end"/>
        </w:r>
      </w:hyperlink>
    </w:p>
    <w:p w14:paraId="17CF2FFE" w14:textId="30434514" w:rsidR="00497157" w:rsidRDefault="00215A2C">
      <w:pPr>
        <w:pStyle w:val="TableofFigures"/>
        <w:tabs>
          <w:tab w:val="right" w:leader="dot" w:pos="7700"/>
        </w:tabs>
        <w:rPr>
          <w:rFonts w:asciiTheme="minorHAnsi" w:eastAsiaTheme="minorEastAsia" w:hAnsiTheme="minorHAnsi" w:cstheme="minorBidi"/>
          <w:noProof/>
          <w:color w:val="auto"/>
          <w:sz w:val="22"/>
          <w:szCs w:val="22"/>
        </w:rPr>
      </w:pPr>
      <w:hyperlink w:anchor="_Toc100131540" w:history="1">
        <w:r w:rsidR="00497157" w:rsidRPr="008B497F">
          <w:rPr>
            <w:rStyle w:val="Hyperlink"/>
            <w:noProof/>
          </w:rPr>
          <w:t>Figure 30: Explanation of change in Lifetime Cost (relative to June 2018-rebased)</w:t>
        </w:r>
        <w:r w:rsidR="00497157">
          <w:rPr>
            <w:noProof/>
            <w:webHidden/>
          </w:rPr>
          <w:tab/>
        </w:r>
        <w:r w:rsidR="00497157">
          <w:rPr>
            <w:noProof/>
            <w:webHidden/>
          </w:rPr>
          <w:fldChar w:fldCharType="begin"/>
        </w:r>
        <w:r w:rsidR="00497157">
          <w:rPr>
            <w:noProof/>
            <w:webHidden/>
          </w:rPr>
          <w:instrText xml:space="preserve"> PAGEREF _Toc100131540 \h </w:instrText>
        </w:r>
        <w:r w:rsidR="00497157">
          <w:rPr>
            <w:noProof/>
            <w:webHidden/>
          </w:rPr>
        </w:r>
        <w:r w:rsidR="00497157">
          <w:rPr>
            <w:noProof/>
            <w:webHidden/>
          </w:rPr>
          <w:fldChar w:fldCharType="separate"/>
        </w:r>
        <w:r w:rsidR="00751625">
          <w:rPr>
            <w:noProof/>
            <w:webHidden/>
          </w:rPr>
          <w:t>51</w:t>
        </w:r>
        <w:r w:rsidR="00497157">
          <w:rPr>
            <w:noProof/>
            <w:webHidden/>
          </w:rPr>
          <w:fldChar w:fldCharType="end"/>
        </w:r>
      </w:hyperlink>
    </w:p>
    <w:p w14:paraId="078E4005" w14:textId="0270EBFF" w:rsidR="00393038" w:rsidRDefault="00AC52DA" w:rsidP="003372F8">
      <w:pPr>
        <w:spacing w:after="200" w:line="276" w:lineRule="auto"/>
        <w:jc w:val="left"/>
      </w:pPr>
      <w:r>
        <w:fldChar w:fldCharType="end"/>
      </w:r>
    </w:p>
    <w:p w14:paraId="6348FEE0" w14:textId="77777777" w:rsidR="00C41FB6" w:rsidRDefault="00C41FB6" w:rsidP="003372F8">
      <w:pPr>
        <w:spacing w:after="200" w:line="276" w:lineRule="auto"/>
        <w:jc w:val="left"/>
      </w:pPr>
    </w:p>
    <w:p w14:paraId="2F94DF1A" w14:textId="77777777" w:rsidR="003372F8" w:rsidRDefault="003372F8">
      <w:pPr>
        <w:spacing w:after="200" w:line="276" w:lineRule="auto"/>
        <w:jc w:val="left"/>
        <w:rPr>
          <w:rFonts w:ascii="Arial Bold" w:hAnsi="Arial Bold" w:cs="Arial"/>
          <w:b/>
          <w:bCs/>
          <w:smallCaps/>
          <w:color w:val="9B0014"/>
          <w:kern w:val="32"/>
          <w:sz w:val="36"/>
          <w:szCs w:val="36"/>
        </w:rPr>
      </w:pPr>
      <w:r>
        <w:br w:type="page"/>
      </w:r>
    </w:p>
    <w:p w14:paraId="0D4A356A" w14:textId="481C0CD6" w:rsidR="00E66976" w:rsidRPr="00484615" w:rsidRDefault="0088121D" w:rsidP="004069C4">
      <w:pPr>
        <w:pStyle w:val="Heading1notnumbered"/>
        <w:tabs>
          <w:tab w:val="right" w:pos="7710"/>
        </w:tabs>
      </w:pPr>
      <w:bookmarkStart w:id="0" w:name="_Toc36555784"/>
      <w:bookmarkStart w:id="1" w:name="_Toc36563883"/>
      <w:bookmarkStart w:id="2" w:name="_Toc36655854"/>
      <w:bookmarkStart w:id="3" w:name="_Toc37931064"/>
      <w:bookmarkStart w:id="4" w:name="_Toc38007008"/>
      <w:bookmarkStart w:id="5" w:name="_Toc38458533"/>
      <w:bookmarkStart w:id="6" w:name="_Toc39071791"/>
      <w:bookmarkStart w:id="7" w:name="_Toc39243421"/>
      <w:bookmarkStart w:id="8" w:name="_Toc100131541"/>
      <w:r w:rsidRPr="005F4BCB">
        <w:lastRenderedPageBreak/>
        <w:t>E</w:t>
      </w:r>
      <w:r w:rsidR="00484615" w:rsidRPr="005F4BCB">
        <w:t>xecutive</w:t>
      </w:r>
      <w:r w:rsidRPr="00484615">
        <w:t xml:space="preserve"> </w:t>
      </w:r>
      <w:bookmarkEnd w:id="0"/>
      <w:bookmarkEnd w:id="1"/>
      <w:bookmarkEnd w:id="2"/>
      <w:bookmarkEnd w:id="3"/>
      <w:bookmarkEnd w:id="4"/>
      <w:bookmarkEnd w:id="5"/>
      <w:bookmarkEnd w:id="6"/>
      <w:bookmarkEnd w:id="7"/>
      <w:r w:rsidR="00484615" w:rsidRPr="00484615">
        <w:t>summary</w:t>
      </w:r>
      <w:bookmarkEnd w:id="8"/>
    </w:p>
    <w:p w14:paraId="72EFE3A5" w14:textId="201F56D4" w:rsidR="00E66976" w:rsidRPr="005F533C" w:rsidRDefault="0088121D" w:rsidP="005F533C">
      <w:pPr>
        <w:pStyle w:val="Heading2notnumbered"/>
      </w:pPr>
      <w:bookmarkStart w:id="9" w:name="_Toc493753255"/>
      <w:bookmarkStart w:id="10" w:name="_Toc100131542"/>
      <w:r w:rsidRPr="005F533C">
        <w:t>B</w:t>
      </w:r>
      <w:r w:rsidR="00484615" w:rsidRPr="005F533C">
        <w:t>ackground</w:t>
      </w:r>
      <w:bookmarkEnd w:id="9"/>
      <w:r w:rsidR="00484615" w:rsidRPr="005F533C">
        <w:t xml:space="preserve"> and overview</w:t>
      </w:r>
      <w:bookmarkEnd w:id="10"/>
    </w:p>
    <w:p w14:paraId="77FD1D5C" w14:textId="2BBA5DAD" w:rsidR="00E66976" w:rsidRPr="00706A86" w:rsidRDefault="00E66976" w:rsidP="005F533C">
      <w:bookmarkStart w:id="11" w:name="_Toc493753256"/>
      <w:bookmarkEnd w:id="11"/>
      <w:r w:rsidRPr="00706A86">
        <w:t xml:space="preserve">This report presents the 30 June 2019 actuarial valuation of the Australian income support and social security (welfare) system. The actuarial valuation is part of </w:t>
      </w:r>
      <w:r w:rsidR="00D16424">
        <w:t xml:space="preserve">the Australian </w:t>
      </w:r>
      <w:r w:rsidRPr="00706A86">
        <w:t>Priority Investment Approach to Welfare</w:t>
      </w:r>
      <w:r w:rsidR="00D16424">
        <w:t xml:space="preserve"> </w:t>
      </w:r>
      <w:r w:rsidR="00D16424" w:rsidRPr="00706A86">
        <w:t>(PIA)</w:t>
      </w:r>
      <w:r w:rsidRPr="00706A86">
        <w:t xml:space="preserve">, </w:t>
      </w:r>
      <w:r w:rsidR="00D16424">
        <w:t>implemented by the</w:t>
      </w:r>
      <w:r w:rsidR="00D16424" w:rsidRPr="00706A86">
        <w:t xml:space="preserve"> Department of Social </w:t>
      </w:r>
      <w:r w:rsidR="00D16424">
        <w:t xml:space="preserve">Services (DSS), </w:t>
      </w:r>
      <w:r w:rsidRPr="00706A86">
        <w:t xml:space="preserve">and </w:t>
      </w:r>
      <w:r w:rsidR="00D16424">
        <w:t>supports</w:t>
      </w:r>
      <w:r w:rsidR="00D16424" w:rsidRPr="00706A86">
        <w:t xml:space="preserve"> </w:t>
      </w:r>
      <w:r w:rsidRPr="00706A86">
        <w:t>a better understanding of the welfare system</w:t>
      </w:r>
      <w:r w:rsidR="00152C4B" w:rsidRPr="00706A86">
        <w:t>,</w:t>
      </w:r>
      <w:r w:rsidRPr="00706A86">
        <w:t xml:space="preserve"> both at the population level and for population subgroups of interest. </w:t>
      </w:r>
    </w:p>
    <w:p w14:paraId="445C4C55" w14:textId="58D67FB3" w:rsidR="00E66976" w:rsidRPr="00706A86" w:rsidRDefault="00E66976" w:rsidP="005F533C">
      <w:r w:rsidRPr="00706A86">
        <w:t xml:space="preserve">The valuation is based on the concept of a Lifetime Cost, which is </w:t>
      </w:r>
      <w:r w:rsidRPr="00706A86">
        <w:rPr>
          <w:rFonts w:cs="Arial"/>
        </w:rPr>
        <w:t xml:space="preserve">the expected net present value of all future in-scope payments made </w:t>
      </w:r>
      <w:r w:rsidRPr="00706A86">
        <w:t>in respect of</w:t>
      </w:r>
      <w:r w:rsidRPr="00706A86">
        <w:rPr>
          <w:rFonts w:cs="Arial"/>
        </w:rPr>
        <w:t xml:space="preserve"> the model population over the</w:t>
      </w:r>
      <w:r w:rsidR="003D69C7">
        <w:rPr>
          <w:rFonts w:cs="Arial"/>
        </w:rPr>
        <w:t>ir</w:t>
      </w:r>
      <w:r w:rsidRPr="00706A86">
        <w:rPr>
          <w:rFonts w:cs="Arial"/>
        </w:rPr>
        <w:t xml:space="preserve"> lifetime. </w:t>
      </w:r>
      <w:r w:rsidRPr="00706A86">
        <w:t>The model population includes both the entire resident Australian population, and all overseas recipients of income support and social security payments, as at 30</w:t>
      </w:r>
      <w:r w:rsidR="00371CEA">
        <w:t> </w:t>
      </w:r>
      <w:r w:rsidRPr="00706A86">
        <w:t>June</w:t>
      </w:r>
      <w:r w:rsidR="00371CEA">
        <w:t> </w:t>
      </w:r>
      <w:r w:rsidRPr="00706A86">
        <w:t>2019.</w:t>
      </w:r>
      <w:r w:rsidRPr="00706A86">
        <w:rPr>
          <w:snapToGrid w:val="0"/>
        </w:rPr>
        <w:t xml:space="preserve"> </w:t>
      </w:r>
    </w:p>
    <w:p w14:paraId="23E920BD" w14:textId="27F510B4" w:rsidR="00E66976" w:rsidRPr="0088121D" w:rsidRDefault="005F533C" w:rsidP="005F533C">
      <w:pPr>
        <w:pStyle w:val="Heading2notnumbered"/>
      </w:pPr>
      <w:bookmarkStart w:id="12" w:name="_Toc100131543"/>
      <w:r w:rsidRPr="0088121D">
        <w:t>Modelling approach</w:t>
      </w:r>
      <w:bookmarkEnd w:id="12"/>
    </w:p>
    <w:p w14:paraId="4199AD8E" w14:textId="39527D63" w:rsidR="00E66976" w:rsidRPr="00706A86" w:rsidRDefault="00E66976" w:rsidP="005F533C">
      <w:r w:rsidRPr="00706A86">
        <w:t xml:space="preserve">For those in the model population, the </w:t>
      </w:r>
      <w:r w:rsidR="00634492">
        <w:t>PIA</w:t>
      </w:r>
      <w:r w:rsidR="00634492" w:rsidRPr="00706A86">
        <w:t xml:space="preserve"> </w:t>
      </w:r>
      <w:r w:rsidRPr="00706A86">
        <w:t>model projects future possible interactions with the welfare system. Detailed data is required in order for this to be modelled</w:t>
      </w:r>
      <w:r w:rsidR="003D69C7">
        <w:t>. T</w:t>
      </w:r>
      <w:r w:rsidRPr="00706A86">
        <w:t xml:space="preserve">his </w:t>
      </w:r>
      <w:r w:rsidR="003D69C7">
        <w:t xml:space="preserve">data </w:t>
      </w:r>
      <w:r w:rsidRPr="00706A86">
        <w:t xml:space="preserve">is provided by DSS in the form of a longitudinal dataset covering welfare use in Australia. </w:t>
      </w:r>
      <w:r w:rsidR="00DA670E">
        <w:t>T</w:t>
      </w:r>
      <w:r w:rsidRPr="00706A86">
        <w:t xml:space="preserve">ogether with a range of other supplementary data sets, </w:t>
      </w:r>
      <w:r w:rsidR="00DA670E">
        <w:t xml:space="preserve">it </w:t>
      </w:r>
      <w:r w:rsidRPr="00706A86">
        <w:t>enables projections of future transitions into and out of the welfare population, transfers within the welfare system, and the type and amount of welfare payments made.</w:t>
      </w:r>
    </w:p>
    <w:p w14:paraId="14829635" w14:textId="77777777" w:rsidR="001F5DC4" w:rsidRPr="00706A86" w:rsidRDefault="001F5DC4" w:rsidP="005F533C">
      <w:r w:rsidRPr="00706A86">
        <w:t>This year, the following enhancements have been made to the modelling approach:</w:t>
      </w:r>
    </w:p>
    <w:p w14:paraId="0DF8AE85" w14:textId="0DFB4607" w:rsidR="001F5DC4" w:rsidRPr="0082702F" w:rsidRDefault="00E66976" w:rsidP="0082702F">
      <w:pPr>
        <w:pStyle w:val="Bullet"/>
      </w:pPr>
      <w:r w:rsidRPr="0082702F">
        <w:t xml:space="preserve">A key element of the modelling process is identifying appropriate weightings for characteristics that drive future welfare entry, exit, and payment size, given that future welfare use varies significantly across </w:t>
      </w:r>
      <w:r w:rsidR="009A68B1" w:rsidRPr="0082702F">
        <w:t xml:space="preserve">different </w:t>
      </w:r>
      <w:r w:rsidRPr="0082702F">
        <w:t xml:space="preserve">individual circumstances. </w:t>
      </w:r>
      <w:r w:rsidR="001F5DC4" w:rsidRPr="0082702F">
        <w:t xml:space="preserve">This year we updated the </w:t>
      </w:r>
      <w:r w:rsidRPr="0082702F">
        <w:t xml:space="preserve">modelling process </w:t>
      </w:r>
      <w:r w:rsidR="001F5DC4" w:rsidRPr="0082702F">
        <w:t xml:space="preserve">to </w:t>
      </w:r>
      <w:r w:rsidRPr="0082702F">
        <w:t>a more automated process</w:t>
      </w:r>
      <w:r w:rsidR="00DA670E" w:rsidRPr="0082702F">
        <w:t>, allowing greater accuracy and efficiency</w:t>
      </w:r>
      <w:r w:rsidR="001F5DC4" w:rsidRPr="0082702F">
        <w:t>.</w:t>
      </w:r>
      <w:r w:rsidRPr="0082702F">
        <w:t xml:space="preserve"> </w:t>
      </w:r>
      <w:r w:rsidR="00A5339D" w:rsidRPr="0082702F">
        <w:t xml:space="preserve">The modelling process now uses </w:t>
      </w:r>
      <w:r w:rsidRPr="0082702F">
        <w:t>Neural Networks</w:t>
      </w:r>
      <w:r w:rsidR="00A5339D" w:rsidRPr="0082702F">
        <w:t>, a machine learning algorithm originally</w:t>
      </w:r>
      <w:r w:rsidR="005F533C" w:rsidRPr="0082702F">
        <w:t xml:space="preserve"> inspired by biological brains,</w:t>
      </w:r>
      <w:r w:rsidR="009A60FC">
        <w:t xml:space="preserve"> </w:t>
      </w:r>
      <w:r w:rsidR="00AD4CD5">
        <w:t xml:space="preserve">which </w:t>
      </w:r>
      <w:r w:rsidR="00A5339D" w:rsidRPr="0082702F">
        <w:t>can automatically identify patterns in data and then make predictions based on those patterns</w:t>
      </w:r>
      <w:r w:rsidRPr="0082702F">
        <w:t xml:space="preserve">. </w:t>
      </w:r>
    </w:p>
    <w:p w14:paraId="014393AA" w14:textId="38A613A6" w:rsidR="00056906" w:rsidRPr="0082702F" w:rsidRDefault="00056906" w:rsidP="0082702F">
      <w:pPr>
        <w:pStyle w:val="Bullet"/>
      </w:pPr>
      <w:r w:rsidRPr="0082702F">
        <w:t>T</w:t>
      </w:r>
      <w:r w:rsidR="00E66976" w:rsidRPr="0082702F">
        <w:t>he demographic and population modules used within the model</w:t>
      </w:r>
      <w:r w:rsidRPr="0082702F">
        <w:t xml:space="preserve"> have been modified</w:t>
      </w:r>
      <w:r w:rsidR="00E66976" w:rsidRPr="0082702F">
        <w:t>, updating some elements of the simulation process that account for movements between different welfare types, adjusting the use of various data sources</w:t>
      </w:r>
      <w:r w:rsidR="00686072" w:rsidRPr="0082702F">
        <w:t>.</w:t>
      </w:r>
      <w:r w:rsidR="00E66976" w:rsidRPr="0082702F">
        <w:t xml:space="preserve"> </w:t>
      </w:r>
    </w:p>
    <w:p w14:paraId="77C4BE65" w14:textId="20E2767C" w:rsidR="00056906" w:rsidRPr="0082702F" w:rsidRDefault="00056906" w:rsidP="0082702F">
      <w:pPr>
        <w:pStyle w:val="Bullet"/>
      </w:pPr>
      <w:r w:rsidRPr="0082702F">
        <w:t xml:space="preserve">We have </w:t>
      </w:r>
      <w:r w:rsidR="00E66976" w:rsidRPr="0082702F">
        <w:t>align</w:t>
      </w:r>
      <w:r w:rsidRPr="0082702F">
        <w:t>ed</w:t>
      </w:r>
      <w:r w:rsidR="00E66976" w:rsidRPr="0082702F">
        <w:t xml:space="preserve"> some economic forecasts with those used by the Treasury. </w:t>
      </w:r>
    </w:p>
    <w:p w14:paraId="3FA3F195" w14:textId="595851F7" w:rsidR="00E66976" w:rsidRDefault="00E66976" w:rsidP="00E66976">
      <w:r w:rsidRPr="00706A86">
        <w:t>Re</w:t>
      </w:r>
      <w:r w:rsidR="009A68B1" w:rsidRPr="00706A86">
        <w:t>basing</w:t>
      </w:r>
      <w:r w:rsidRPr="00706A86">
        <w:t xml:space="preserve"> the 30</w:t>
      </w:r>
      <w:r w:rsidR="006901A3">
        <w:t> </w:t>
      </w:r>
      <w:r w:rsidRPr="00706A86">
        <w:t>June</w:t>
      </w:r>
      <w:r w:rsidR="006901A3">
        <w:t> </w:t>
      </w:r>
      <w:r w:rsidRPr="00706A86">
        <w:t>2018 valuation on the updated modelling process resulted in a</w:t>
      </w:r>
      <w:r w:rsidR="009A68B1" w:rsidRPr="00706A86">
        <w:t xml:space="preserve"> minor</w:t>
      </w:r>
      <w:r w:rsidRPr="00706A86">
        <w:t xml:space="preserve"> increase </w:t>
      </w:r>
      <w:r w:rsidR="009A68B1" w:rsidRPr="00706A86">
        <w:t>(</w:t>
      </w:r>
      <w:r w:rsidRPr="00706A86">
        <w:t>0.7%</w:t>
      </w:r>
      <w:r w:rsidR="009A68B1" w:rsidRPr="00706A86">
        <w:t>)</w:t>
      </w:r>
      <w:r w:rsidRPr="00706A86">
        <w:t xml:space="preserve"> to the previously estimated 30</w:t>
      </w:r>
      <w:r w:rsidR="006901A3">
        <w:t> </w:t>
      </w:r>
      <w:r w:rsidRPr="00706A86">
        <w:t>June</w:t>
      </w:r>
      <w:r w:rsidR="006901A3">
        <w:t> </w:t>
      </w:r>
      <w:r w:rsidRPr="00706A86">
        <w:t>2018 Lifetime Cost.</w:t>
      </w:r>
    </w:p>
    <w:p w14:paraId="0F77C889" w14:textId="77777777" w:rsidR="00E66976" w:rsidRPr="00530EF0" w:rsidRDefault="00E66976" w:rsidP="005F533C">
      <w:pPr>
        <w:pStyle w:val="Heading2notnumbered"/>
      </w:pPr>
      <w:bookmarkStart w:id="13" w:name="_Toc100131544"/>
      <w:r>
        <w:lastRenderedPageBreak/>
        <w:t>Population level results</w:t>
      </w:r>
      <w:bookmarkEnd w:id="13"/>
    </w:p>
    <w:p w14:paraId="0154D65D" w14:textId="3D5435ED" w:rsidR="00E66976" w:rsidRPr="000D2418" w:rsidRDefault="00E66976" w:rsidP="005F533C">
      <w:r>
        <w:t xml:space="preserve">The total Lifetime Cost </w:t>
      </w:r>
      <w:r w:rsidRPr="000D2418">
        <w:t xml:space="preserve">for the model population </w:t>
      </w:r>
      <w:r>
        <w:t>a</w:t>
      </w:r>
      <w:r w:rsidRPr="000D2418">
        <w:t>s at 30</w:t>
      </w:r>
      <w:r w:rsidR="006901A3">
        <w:t> </w:t>
      </w:r>
      <w:r w:rsidRPr="000D2418">
        <w:t>June</w:t>
      </w:r>
      <w:r w:rsidR="006901A3">
        <w:t> </w:t>
      </w:r>
      <w:r w:rsidRPr="000D2418">
        <w:t>2019 is estimated to be $5,</w:t>
      </w:r>
      <w:r w:rsidR="000543FA">
        <w:t>506</w:t>
      </w:r>
      <w:r w:rsidRPr="000D2418">
        <w:t xml:space="preserve"> billion. This represents a decrease of $</w:t>
      </w:r>
      <w:r w:rsidR="000543FA">
        <w:t>195</w:t>
      </w:r>
      <w:r w:rsidRPr="000D2418">
        <w:t xml:space="preserve"> billion (3.</w:t>
      </w:r>
      <w:r w:rsidR="000543FA">
        <w:t>4</w:t>
      </w:r>
      <w:r w:rsidRPr="000D2418">
        <w:t xml:space="preserve">%) from the </w:t>
      </w:r>
      <w:r w:rsidR="009A68B1">
        <w:t xml:space="preserve">rebased </w:t>
      </w:r>
      <w:r w:rsidRPr="000D2418">
        <w:t>30</w:t>
      </w:r>
      <w:r w:rsidR="00144D93">
        <w:t> </w:t>
      </w:r>
      <w:r w:rsidRPr="000D2418">
        <w:t xml:space="preserve">June 2018 </w:t>
      </w:r>
      <w:r w:rsidR="009A68B1">
        <w:t>v</w:t>
      </w:r>
      <w:r w:rsidRPr="000D2418">
        <w:t>aluation of $5,701 billion.</w:t>
      </w:r>
    </w:p>
    <w:p w14:paraId="2EB04FCE" w14:textId="0683D14E" w:rsidR="00E66976" w:rsidRPr="006D3263" w:rsidRDefault="00E66976" w:rsidP="005F533C">
      <w:r w:rsidRPr="000D2418">
        <w:t>The major contributor to the Lifetime Cost is the Age Pension ($3,</w:t>
      </w:r>
      <w:r w:rsidR="007B5275">
        <w:t>202</w:t>
      </w:r>
      <w:r w:rsidRPr="000D2418">
        <w:t xml:space="preserve"> billion, or 58</w:t>
      </w:r>
      <w:r>
        <w:t>%</w:t>
      </w:r>
      <w:r w:rsidRPr="000D2418">
        <w:t xml:space="preserve">). </w:t>
      </w:r>
      <w:r w:rsidR="009A68B1" w:rsidRPr="000D2418">
        <w:t>The Disability Support Pension ($63</w:t>
      </w:r>
      <w:r w:rsidR="007B5275">
        <w:t>5</w:t>
      </w:r>
      <w:r w:rsidR="009A68B1" w:rsidRPr="000D2418">
        <w:t xml:space="preserve"> billion, or 12%) and non-income support famil</w:t>
      </w:r>
      <w:r w:rsidR="00B70689">
        <w:t xml:space="preserve">ies </w:t>
      </w:r>
      <w:r w:rsidR="009A68B1" w:rsidRPr="000D2418">
        <w:t>payments ($55</w:t>
      </w:r>
      <w:r w:rsidR="007B5275">
        <w:t>7</w:t>
      </w:r>
      <w:r w:rsidR="009A68B1" w:rsidRPr="000D2418">
        <w:t xml:space="preserve"> billion, or 10</w:t>
      </w:r>
      <w:r w:rsidR="009A68B1">
        <w:t>%</w:t>
      </w:r>
      <w:r w:rsidR="009A68B1" w:rsidRPr="000D2418">
        <w:t>) are other significant contributors to the total Lifetime Cost.</w:t>
      </w:r>
      <w:r w:rsidR="009A68B1">
        <w:t xml:space="preserve"> </w:t>
      </w:r>
      <w:r w:rsidRPr="000D2418">
        <w:t>Th</w:t>
      </w:r>
      <w:r w:rsidR="009A68B1">
        <w:t xml:space="preserve">e significant influence of the Age Pension </w:t>
      </w:r>
      <w:r w:rsidRPr="000D2418">
        <w:t xml:space="preserve">is </w:t>
      </w:r>
      <w:r>
        <w:t xml:space="preserve">due to [1] the large number of people currently receiving the Age Pension; [2] the large number of people that will receive the Age Pension in the future; [3] the relatively high annual payments being received; and [4] </w:t>
      </w:r>
      <w:r w:rsidRPr="000D2418">
        <w:t xml:space="preserve">the </w:t>
      </w:r>
      <w:r>
        <w:t xml:space="preserve">long </w:t>
      </w:r>
      <w:r w:rsidRPr="000D2418">
        <w:t>duration for which payments are received (</w:t>
      </w:r>
      <w:r>
        <w:t>19</w:t>
      </w:r>
      <w:r w:rsidRPr="000D2418">
        <w:t xml:space="preserve"> years, on ave</w:t>
      </w:r>
      <w:r>
        <w:t xml:space="preserve">rage). Those not currently in the welfare system contribute 62% of the Age Pension Lifetime Cost, reflecting </w:t>
      </w:r>
      <w:r w:rsidRPr="00DE74A5">
        <w:t>the expectation that many Australians who are currently not relying on welfare will do so at some point in the future</w:t>
      </w:r>
      <w:r>
        <w:t xml:space="preserve">. </w:t>
      </w:r>
    </w:p>
    <w:p w14:paraId="3CF25725" w14:textId="0A015A08" w:rsidR="00E66976" w:rsidRDefault="00E66976" w:rsidP="005F533C">
      <w:r>
        <w:t xml:space="preserve">Various individual characteristics are correlated with higher welfare utilisation and/or payments in the future. </w:t>
      </w:r>
      <w:r w:rsidR="00EA3D6F">
        <w:t>F</w:t>
      </w:r>
      <w:r w:rsidR="00EA3D6F" w:rsidRPr="00495E40">
        <w:t xml:space="preserve">emales </w:t>
      </w:r>
      <w:r w:rsidR="00EA3D6F">
        <w:t xml:space="preserve">are </w:t>
      </w:r>
      <w:r w:rsidR="00EA3D6F" w:rsidRPr="00495E40">
        <w:t>generally expected to have a higher Lifetime Cost</w:t>
      </w:r>
      <w:r w:rsidR="00EA3D6F">
        <w:t xml:space="preserve"> f</w:t>
      </w:r>
      <w:r w:rsidRPr="001421D6">
        <w:t xml:space="preserve">or </w:t>
      </w:r>
      <w:r>
        <w:t>famil</w:t>
      </w:r>
      <w:r w:rsidR="00043038">
        <w:t>ies</w:t>
      </w:r>
      <w:r>
        <w:t xml:space="preserve"> and</w:t>
      </w:r>
      <w:r w:rsidRPr="00495E40">
        <w:t xml:space="preserve"> parenting payments</w:t>
      </w:r>
      <w:r>
        <w:t xml:space="preserve">, and </w:t>
      </w:r>
      <w:r w:rsidR="00EA3D6F">
        <w:t xml:space="preserve">for </w:t>
      </w:r>
      <w:r>
        <w:t>the Age Pension</w:t>
      </w:r>
      <w:r w:rsidRPr="00495E40">
        <w:t xml:space="preserve">. </w:t>
      </w:r>
      <w:r>
        <w:t>Age is influential across most categories of welfare, in particular for Disability benefits where, for example, the age of onset of disability has a bearing on the future duration of support.</w:t>
      </w:r>
    </w:p>
    <w:p w14:paraId="2CB83F0F" w14:textId="77777777" w:rsidR="009A68B1" w:rsidRDefault="00E66976" w:rsidP="005F533C">
      <w:r>
        <w:t xml:space="preserve">The duration of support directly influences the Lifetime Cost. For example, </w:t>
      </w:r>
      <w:r w:rsidRPr="00A16F15">
        <w:t xml:space="preserve">those currently on income support are expected to spend a greater proportion of their future lifetime receiving income support, </w:t>
      </w:r>
      <w:r>
        <w:t xml:space="preserve">than those not currently on income support. This is </w:t>
      </w:r>
      <w:r w:rsidRPr="00A16F15">
        <w:t xml:space="preserve">particularly </w:t>
      </w:r>
      <w:r>
        <w:t xml:space="preserve">the case </w:t>
      </w:r>
      <w:r w:rsidRPr="00A16F15">
        <w:t xml:space="preserve">for recipients of Carer payments and </w:t>
      </w:r>
      <w:r>
        <w:t xml:space="preserve">the </w:t>
      </w:r>
      <w:r w:rsidRPr="00A16F15">
        <w:t>Disability Support Pension.</w:t>
      </w:r>
    </w:p>
    <w:p w14:paraId="5B18B6C6" w14:textId="32AAEBBC" w:rsidR="00E66976" w:rsidRDefault="00E66976" w:rsidP="005F533C">
      <w:r w:rsidRPr="00123572">
        <w:t>Changes in the valuatio</w:t>
      </w:r>
      <w:r>
        <w:t>n will occur over time</w:t>
      </w:r>
      <w:r w:rsidRPr="00123572">
        <w:t xml:space="preserve">, for a number of reasons. </w:t>
      </w:r>
      <w:r w:rsidRPr="005E7E0A">
        <w:t>Of the total decrease of $</w:t>
      </w:r>
      <w:r w:rsidR="000543FA">
        <w:t>195</w:t>
      </w:r>
      <w:r w:rsidRPr="005E7E0A">
        <w:t xml:space="preserve"> billion</w:t>
      </w:r>
      <w:r>
        <w:t xml:space="preserve"> from 30</w:t>
      </w:r>
      <w:r w:rsidR="006901A3">
        <w:t> </w:t>
      </w:r>
      <w:r>
        <w:t>June</w:t>
      </w:r>
      <w:r w:rsidR="006901A3">
        <w:t> </w:t>
      </w:r>
      <w:r>
        <w:t>2018 to 30</w:t>
      </w:r>
      <w:r w:rsidR="006901A3">
        <w:t> </w:t>
      </w:r>
      <w:r>
        <w:t>June</w:t>
      </w:r>
      <w:r w:rsidR="006901A3">
        <w:t> </w:t>
      </w:r>
      <w:r>
        <w:t>2019</w:t>
      </w:r>
      <w:r w:rsidRPr="005E7E0A">
        <w:t>, $</w:t>
      </w:r>
      <w:r w:rsidR="000543FA">
        <w:t>184</w:t>
      </w:r>
      <w:r w:rsidRPr="005E7E0A">
        <w:t xml:space="preserve"> billion was due to changes in the experience of welfare utilisation and payments in 2018-19</w:t>
      </w:r>
      <w:r w:rsidR="00B305C7">
        <w:t>,</w:t>
      </w:r>
      <w:r w:rsidRPr="005E7E0A">
        <w:t xml:space="preserve"> as well as policy changes made up to 30</w:t>
      </w:r>
      <w:r w:rsidR="009473B0">
        <w:t> </w:t>
      </w:r>
      <w:r w:rsidRPr="005E7E0A">
        <w:t>September</w:t>
      </w:r>
      <w:r w:rsidR="009473B0">
        <w:t> </w:t>
      </w:r>
      <w:r w:rsidRPr="005E7E0A">
        <w:t>2019. In general, slightly lower utilisation of welfare combined with relative stability in average payment size has giv</w:t>
      </w:r>
      <w:r>
        <w:t>en rise to the overall decrease attributed here.</w:t>
      </w:r>
    </w:p>
    <w:p w14:paraId="1098D84C" w14:textId="77777777" w:rsidR="009A68B1" w:rsidRDefault="00E66976" w:rsidP="005F533C">
      <w:r>
        <w:t>C</w:t>
      </w:r>
      <w:r w:rsidRPr="00D8740C">
        <w:t>hanges in experience and assumptions</w:t>
      </w:r>
      <w:r w:rsidRPr="005E7E0A">
        <w:t xml:space="preserve"> </w:t>
      </w:r>
      <w:r>
        <w:t xml:space="preserve">relating to the economic factors of </w:t>
      </w:r>
      <w:r w:rsidRPr="00D8740C">
        <w:t xml:space="preserve">unemployment, wage growth and inflation, </w:t>
      </w:r>
      <w:r>
        <w:t xml:space="preserve">led to a </w:t>
      </w:r>
      <w:r w:rsidRPr="00D8740C">
        <w:t>decreas</w:t>
      </w:r>
      <w:r w:rsidR="009A68B1">
        <w:t>e of $84 billion.</w:t>
      </w:r>
    </w:p>
    <w:p w14:paraId="5E28B4B3" w14:textId="0EDF89E3" w:rsidR="00E66976" w:rsidRDefault="009A68B1" w:rsidP="005F533C">
      <w:r>
        <w:t xml:space="preserve">As a result of an </w:t>
      </w:r>
      <w:r w:rsidR="00E66976">
        <w:t xml:space="preserve">increase in the model population, </w:t>
      </w:r>
      <w:r w:rsidR="00E66976" w:rsidRPr="00D8740C">
        <w:t>the Lifetime Cost increased by $</w:t>
      </w:r>
      <w:r w:rsidR="00C91A18">
        <w:t>73</w:t>
      </w:r>
      <w:r w:rsidR="00144D93">
        <w:t> </w:t>
      </w:r>
      <w:r w:rsidR="00E66976">
        <w:t xml:space="preserve">billion. This </w:t>
      </w:r>
      <w:r>
        <w:t>was</w:t>
      </w:r>
      <w:r w:rsidR="00E66976">
        <w:t xml:space="preserve"> due to a growth of 1.8% in the overall po</w:t>
      </w:r>
      <w:r>
        <w:t xml:space="preserve">pulation, which more than offset a </w:t>
      </w:r>
      <w:r w:rsidR="00E66976">
        <w:t xml:space="preserve">decrease of 0.9% in the </w:t>
      </w:r>
      <w:r w:rsidR="00E66976" w:rsidRPr="00D8740C">
        <w:t xml:space="preserve">proportion of the population on welfare, </w:t>
      </w:r>
      <w:r>
        <w:t xml:space="preserve">which fell from 31.8% as at </w:t>
      </w:r>
      <w:r w:rsidR="00E66976">
        <w:t>30</w:t>
      </w:r>
      <w:r w:rsidR="009473B0">
        <w:t> </w:t>
      </w:r>
      <w:r w:rsidR="00E66976">
        <w:t>June</w:t>
      </w:r>
      <w:r w:rsidR="009473B0">
        <w:t> </w:t>
      </w:r>
      <w:r w:rsidR="00E66976">
        <w:t xml:space="preserve">2018 to </w:t>
      </w:r>
      <w:r>
        <w:t xml:space="preserve">30.9% as at </w:t>
      </w:r>
      <w:r w:rsidR="00E66976">
        <w:t>30</w:t>
      </w:r>
      <w:r w:rsidR="009473B0">
        <w:t> </w:t>
      </w:r>
      <w:r w:rsidR="00E66976">
        <w:t>June</w:t>
      </w:r>
      <w:r w:rsidR="009473B0">
        <w:t> </w:t>
      </w:r>
      <w:r w:rsidR="00E66976">
        <w:t>2019.</w:t>
      </w:r>
    </w:p>
    <w:p w14:paraId="5AA93102" w14:textId="1195882E" w:rsidR="00E66976" w:rsidRDefault="00E66976" w:rsidP="005F533C">
      <w:r w:rsidRPr="00AB2FA1">
        <w:t>The Age Pension is the payment category with the largest decrease in Lifetime Cost, contribut</w:t>
      </w:r>
      <w:r>
        <w:t>ing</w:t>
      </w:r>
      <w:r w:rsidRPr="00AB2FA1">
        <w:t xml:space="preserve"> $</w:t>
      </w:r>
      <w:r w:rsidR="007B5275">
        <w:t>75</w:t>
      </w:r>
      <w:r w:rsidRPr="00AB2FA1">
        <w:t xml:space="preserve"> billion (</w:t>
      </w:r>
      <w:r w:rsidR="007B5275">
        <w:t>38</w:t>
      </w:r>
      <w:r w:rsidRPr="00AB2FA1">
        <w:t xml:space="preserve">%) to the total decrease. This is driven by increases in the </w:t>
      </w:r>
      <w:r w:rsidRPr="00AB2FA1">
        <w:lastRenderedPageBreak/>
        <w:t xml:space="preserve">Age Pension eligibility age, delays in entry </w:t>
      </w:r>
      <w:r>
        <w:t>in line with a maturing s</w:t>
      </w:r>
      <w:r w:rsidRPr="00AB2FA1">
        <w:t xml:space="preserve">uperannuation system, </w:t>
      </w:r>
      <w:r w:rsidR="009A68B1">
        <w:t xml:space="preserve">a longer forecasted </w:t>
      </w:r>
      <w:r w:rsidR="00BB5D6A" w:rsidRPr="00D8740C">
        <w:t xml:space="preserve">timeframe </w:t>
      </w:r>
      <w:r w:rsidR="00BB5D6A">
        <w:t xml:space="preserve">for </w:t>
      </w:r>
      <w:r w:rsidRPr="00AB2FA1">
        <w:t xml:space="preserve">AWE </w:t>
      </w:r>
      <w:r w:rsidR="00BB5D6A">
        <w:t xml:space="preserve">to reach its long term rate of </w:t>
      </w:r>
      <w:r w:rsidR="009A68B1">
        <w:t>4%</w:t>
      </w:r>
      <w:r w:rsidR="00630BF8">
        <w:t> </w:t>
      </w:r>
      <w:r w:rsidR="009A68B1">
        <w:t>per</w:t>
      </w:r>
      <w:r w:rsidR="00630BF8">
        <w:t> </w:t>
      </w:r>
      <w:r w:rsidR="009A68B1">
        <w:t>annum</w:t>
      </w:r>
      <w:r w:rsidR="00BB5D6A">
        <w:t xml:space="preserve">, </w:t>
      </w:r>
      <w:r w:rsidRPr="00AB2FA1">
        <w:t>and the flow-on effects of reduced pre-retirement welfare dependence. Offsetting these factors are recent policy changes relating to changes to th</w:t>
      </w:r>
      <w:r>
        <w:t>e Work Bonus and deeming rates. The Lifetime Cost</w:t>
      </w:r>
      <w:r w:rsidR="00277556">
        <w:t>s</w:t>
      </w:r>
      <w:r>
        <w:t xml:space="preserve"> of m</w:t>
      </w:r>
      <w:r w:rsidRPr="00AB2FA1">
        <w:t xml:space="preserve">ost of the pre-retirement income support categories have also decreased, with continued falls in entry rates for these classes being the primary driver. </w:t>
      </w:r>
    </w:p>
    <w:p w14:paraId="27CA0ED7" w14:textId="55D9C1FE" w:rsidR="00E66976" w:rsidRDefault="00E66976" w:rsidP="005F533C">
      <w:r>
        <w:t xml:space="preserve">The estimate of the Lifetime Cost is subject to uncertainty. How </w:t>
      </w:r>
      <w:r w:rsidR="00BB5D6A">
        <w:t xml:space="preserve">changes in mortality </w:t>
      </w:r>
      <w:r>
        <w:t xml:space="preserve">emerge over time can have a significant impact on </w:t>
      </w:r>
      <w:r w:rsidR="00F02925">
        <w:t xml:space="preserve">future </w:t>
      </w:r>
      <w:r>
        <w:t xml:space="preserve">welfare utilisation, notably the Age Pension. </w:t>
      </w:r>
      <w:r w:rsidRPr="00C45F7B">
        <w:t xml:space="preserve">The greater the future improvement in mortality, then the higher the </w:t>
      </w:r>
      <w:r>
        <w:t xml:space="preserve">future </w:t>
      </w:r>
      <w:r w:rsidRPr="00C45F7B">
        <w:t xml:space="preserve">life expectancy, and longer </w:t>
      </w:r>
      <w:r w:rsidR="00BB5D6A">
        <w:t xml:space="preserve">the </w:t>
      </w:r>
      <w:r w:rsidRPr="00C45F7B">
        <w:t xml:space="preserve">duration of payments that results. </w:t>
      </w:r>
      <w:r>
        <w:t>A</w:t>
      </w:r>
      <w:r w:rsidRPr="00C45F7B">
        <w:t xml:space="preserve"> 10% movement in future mortality improvements ha</w:t>
      </w:r>
      <w:r>
        <w:t>s</w:t>
      </w:r>
      <w:r w:rsidRPr="00C45F7B">
        <w:t xml:space="preserve"> an impact of approxim</w:t>
      </w:r>
      <w:r>
        <w:t>ately 1% on the Lifetime Cost.</w:t>
      </w:r>
    </w:p>
    <w:p w14:paraId="0DA82447" w14:textId="185E64B7" w:rsidR="00E66976" w:rsidRPr="00544C39" w:rsidRDefault="00E66976" w:rsidP="005F533C">
      <w:r>
        <w:t>C</w:t>
      </w:r>
      <w:r w:rsidRPr="00187EC8">
        <w:t xml:space="preserve">hanges in indexation rates can </w:t>
      </w:r>
      <w:r w:rsidR="00F02925">
        <w:t xml:space="preserve">also </w:t>
      </w:r>
      <w:r w:rsidRPr="00187EC8">
        <w:t xml:space="preserve">have a large impact on the </w:t>
      </w:r>
      <w:r>
        <w:t>Lifetime Cost</w:t>
      </w:r>
      <w:r w:rsidRPr="00187EC8">
        <w:t>.</w:t>
      </w:r>
      <w:r>
        <w:t xml:space="preserve"> </w:t>
      </w:r>
      <w:r w:rsidRPr="00544C39">
        <w:t>AWE assumptions directly</w:t>
      </w:r>
      <w:r>
        <w:t xml:space="preserve"> </w:t>
      </w:r>
      <w:r w:rsidRPr="00544C39">
        <w:t>i</w:t>
      </w:r>
      <w:r>
        <w:t xml:space="preserve">mpact the size of payments made, with a </w:t>
      </w:r>
      <w:r w:rsidRPr="00544C39">
        <w:t xml:space="preserve">1% increase to the base assumption </w:t>
      </w:r>
      <w:r>
        <w:t>significantly increasing income support payments over time</w:t>
      </w:r>
      <w:r w:rsidRPr="00544C39">
        <w:t xml:space="preserve">. Variation in CPI assumptions have </w:t>
      </w:r>
      <w:r w:rsidR="00825A49">
        <w:t>a</w:t>
      </w:r>
      <w:r>
        <w:t xml:space="preserve"> significant </w:t>
      </w:r>
      <w:r w:rsidRPr="00544C39">
        <w:t>effect on non-income support payment categories.</w:t>
      </w:r>
    </w:p>
    <w:p w14:paraId="068466ED" w14:textId="784A75E7" w:rsidR="00E66976" w:rsidRDefault="00E66976" w:rsidP="005F533C">
      <w:r w:rsidRPr="007444D4">
        <w:t>Changes in the unemployment rate affects the number of people both entering and exiting welfare. Job</w:t>
      </w:r>
      <w:r w:rsidR="00B305C7">
        <w:t>S</w:t>
      </w:r>
      <w:r w:rsidRPr="007444D4">
        <w:t xml:space="preserve">eeker is one of main payment categories that is directly impacted, but a range of impacts are also evident across the spectrum of payment categories. </w:t>
      </w:r>
    </w:p>
    <w:p w14:paraId="206D4F3E" w14:textId="3FD73A65" w:rsidR="00E66976" w:rsidRDefault="00E66976" w:rsidP="005F533C">
      <w:r>
        <w:t xml:space="preserve">The behaviour and response of current and future welfare recipients may also change over time in response to policy, and/or economic changes. </w:t>
      </w:r>
      <w:r w:rsidRPr="00686102">
        <w:t>An interesting observation is that the Lifetime Cost is more sensitive to changes in entry rates from non-welfare into welfare, than exit rates from welfare to non-welfare</w:t>
      </w:r>
      <w:r w:rsidR="001A2C93">
        <w:t xml:space="preserve">. This reflects the </w:t>
      </w:r>
      <w:r w:rsidR="0039768D">
        <w:t>fact that</w:t>
      </w:r>
      <w:r>
        <w:t xml:space="preserve"> </w:t>
      </w:r>
      <w:r w:rsidR="001A2C93" w:rsidRPr="00686102">
        <w:t xml:space="preserve">someone who exits from welfare is more likely to re-enter welfare than someone who has never previously been in welfare. </w:t>
      </w:r>
    </w:p>
    <w:p w14:paraId="1C85B965" w14:textId="3EE80CA8" w:rsidR="00E66976" w:rsidRPr="00B650FA" w:rsidRDefault="00E66976" w:rsidP="005F533C">
      <w:r w:rsidRPr="00AE3C65">
        <w:t>The COVID-19 pandemic</w:t>
      </w:r>
      <w:r>
        <w:t xml:space="preserve"> further </w:t>
      </w:r>
      <w:r w:rsidRPr="00AE3C65">
        <w:t xml:space="preserve">highlights the uncertainties associated with the </w:t>
      </w:r>
      <w:r w:rsidR="00F02925">
        <w:t>experience of the welfare system</w:t>
      </w:r>
      <w:r w:rsidRPr="00AE3C65">
        <w:t xml:space="preserve">. COVID-19 </w:t>
      </w:r>
      <w:r w:rsidRPr="00AE3C65">
        <w:rPr>
          <w:rFonts w:cs="Arial"/>
        </w:rPr>
        <w:t xml:space="preserve">will clearly have a widespread and significant impact </w:t>
      </w:r>
      <w:r w:rsidR="00977725">
        <w:rPr>
          <w:rFonts w:cs="Arial"/>
        </w:rPr>
        <w:t>on a range of welfare policies, payments and services</w:t>
      </w:r>
      <w:r w:rsidR="00F02925">
        <w:rPr>
          <w:rFonts w:cs="Arial"/>
        </w:rPr>
        <w:t>. This will be reflected in</w:t>
      </w:r>
      <w:r>
        <w:rPr>
          <w:rFonts w:cs="Arial"/>
        </w:rPr>
        <w:t xml:space="preserve"> the</w:t>
      </w:r>
      <w:r>
        <w:t xml:space="preserve"> result</w:t>
      </w:r>
      <w:r w:rsidR="00F02925">
        <w:t>s</w:t>
      </w:r>
      <w:r>
        <w:t xml:space="preserve"> of </w:t>
      </w:r>
      <w:r w:rsidR="00F02925">
        <w:t xml:space="preserve">subsequent </w:t>
      </w:r>
      <w:r>
        <w:t>valuation</w:t>
      </w:r>
      <w:r w:rsidR="00F02925">
        <w:t>s</w:t>
      </w:r>
      <w:r>
        <w:t>. The 2020/21 data will be extremely informative in this regard, and will highlight the direct costs of short term welfare support, the impact on unemployment, the time taken for employment to recover, and longer term implications of impaired retirement savings.</w:t>
      </w:r>
    </w:p>
    <w:p w14:paraId="228B2E3C" w14:textId="2FD0B88C" w:rsidR="00755BDA" w:rsidRDefault="00B54AA7" w:rsidP="00B54AA7">
      <w:pPr>
        <w:spacing w:line="240" w:lineRule="auto"/>
        <w:rPr>
          <w:color w:val="auto"/>
        </w:rPr>
      </w:pPr>
      <w:r w:rsidRPr="00173518">
        <w:rPr>
          <w:noProof/>
        </w:rPr>
        <w:drawing>
          <wp:inline distT="0" distB="0" distL="0" distR="0" wp14:anchorId="504D87B5" wp14:editId="26A1CAC0">
            <wp:extent cx="2406650" cy="647065"/>
            <wp:effectExtent l="0" t="0" r="0" b="635"/>
            <wp:docPr id="7" name="Picture 7" descr="GT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TSignatur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06650" cy="647065"/>
                    </a:xfrm>
                    <a:prstGeom prst="rect">
                      <a:avLst/>
                    </a:prstGeom>
                    <a:noFill/>
                    <a:ln>
                      <a:noFill/>
                    </a:ln>
                  </pic:spPr>
                </pic:pic>
              </a:graphicData>
            </a:graphic>
          </wp:inline>
        </w:drawing>
      </w:r>
    </w:p>
    <w:p w14:paraId="5F34A39B" w14:textId="68173469" w:rsidR="003372F8" w:rsidRPr="00467904" w:rsidRDefault="00755BDA" w:rsidP="007C62B8">
      <w:pPr>
        <w:jc w:val="left"/>
        <w:rPr>
          <w:highlight w:val="yellow"/>
        </w:rPr>
      </w:pPr>
      <w:r>
        <w:rPr>
          <w:color w:val="auto"/>
        </w:rPr>
        <w:t>Guy Thorburn FIAA</w:t>
      </w:r>
      <w:r>
        <w:rPr>
          <w:color w:val="auto"/>
        </w:rPr>
        <w:br/>
      </w:r>
      <w:r w:rsidR="00E66976" w:rsidRPr="00506446">
        <w:rPr>
          <w:rFonts w:cs="Arial"/>
          <w:color w:val="auto"/>
        </w:rPr>
        <w:t>Australian Government Actuary</w:t>
      </w:r>
      <w:r>
        <w:rPr>
          <w:color w:val="auto"/>
        </w:rPr>
        <w:br/>
      </w:r>
      <w:r w:rsidR="00B54AA7" w:rsidRPr="00B54AA7">
        <w:rPr>
          <w:rFonts w:cs="Arial"/>
          <w:color w:val="auto"/>
        </w:rPr>
        <w:t>11</w:t>
      </w:r>
      <w:r w:rsidR="00E66976" w:rsidRPr="00B54AA7">
        <w:rPr>
          <w:rFonts w:cs="Arial"/>
          <w:color w:val="auto"/>
        </w:rPr>
        <w:t xml:space="preserve"> </w:t>
      </w:r>
      <w:r w:rsidR="00B54AA7" w:rsidRPr="00B54AA7">
        <w:rPr>
          <w:rFonts w:cs="Arial"/>
          <w:color w:val="auto"/>
        </w:rPr>
        <w:t>December</w:t>
      </w:r>
      <w:r w:rsidR="00E66976" w:rsidRPr="00B54AA7">
        <w:rPr>
          <w:rFonts w:cs="Arial"/>
          <w:color w:val="auto"/>
        </w:rPr>
        <w:t xml:space="preserve"> 2020</w:t>
      </w:r>
    </w:p>
    <w:p w14:paraId="6698932B" w14:textId="77777777" w:rsidR="003372F8" w:rsidRPr="00467904" w:rsidRDefault="003372F8" w:rsidP="003372F8">
      <w:pPr>
        <w:rPr>
          <w:highlight w:val="yellow"/>
        </w:rPr>
        <w:sectPr w:rsidR="003372F8" w:rsidRPr="00467904" w:rsidSect="008E6BEA">
          <w:footerReference w:type="even" r:id="rId25"/>
          <w:footerReference w:type="default" r:id="rId26"/>
          <w:headerReference w:type="first" r:id="rId27"/>
          <w:footerReference w:type="first" r:id="rId28"/>
          <w:type w:val="oddPage"/>
          <w:pgSz w:w="11906" w:h="16838" w:code="9"/>
          <w:pgMar w:top="2466" w:right="2098" w:bottom="2466" w:left="2098" w:header="1899" w:footer="1899" w:gutter="0"/>
          <w:pgNumType w:fmt="lowerRoman" w:start="3"/>
          <w:cols w:space="708"/>
          <w:titlePg/>
          <w:docGrid w:linePitch="360"/>
        </w:sectPr>
      </w:pPr>
    </w:p>
    <w:p w14:paraId="2C4B0B48" w14:textId="7F725B69" w:rsidR="008F7491" w:rsidRDefault="005F533C" w:rsidP="002C30FE">
      <w:pPr>
        <w:pStyle w:val="Heading1"/>
      </w:pPr>
      <w:bookmarkStart w:id="14" w:name="_Toc36555785"/>
      <w:bookmarkStart w:id="15" w:name="_Toc36563884"/>
      <w:bookmarkStart w:id="16" w:name="_Toc36655855"/>
      <w:bookmarkStart w:id="17" w:name="_Toc37931065"/>
      <w:bookmarkStart w:id="18" w:name="_Toc38007009"/>
      <w:bookmarkStart w:id="19" w:name="_Toc38458534"/>
      <w:bookmarkStart w:id="20" w:name="_Toc39071792"/>
      <w:bookmarkStart w:id="21" w:name="_Toc39243422"/>
      <w:bookmarkStart w:id="22" w:name="_Toc100131545"/>
      <w:r w:rsidRPr="005C44E3">
        <w:lastRenderedPageBreak/>
        <w:t>Background and overview</w:t>
      </w:r>
      <w:bookmarkEnd w:id="14"/>
      <w:bookmarkEnd w:id="15"/>
      <w:bookmarkEnd w:id="16"/>
      <w:bookmarkEnd w:id="17"/>
      <w:bookmarkEnd w:id="18"/>
      <w:bookmarkEnd w:id="19"/>
      <w:bookmarkEnd w:id="20"/>
      <w:bookmarkEnd w:id="21"/>
      <w:bookmarkEnd w:id="22"/>
    </w:p>
    <w:p w14:paraId="5449DE1F" w14:textId="126BBA12" w:rsidR="00051B5E" w:rsidRPr="008A0EDB" w:rsidRDefault="00051B5E" w:rsidP="00051B5E">
      <w:pPr>
        <w:pStyle w:val="Heading2"/>
      </w:pPr>
      <w:bookmarkStart w:id="23" w:name="_Toc100131546"/>
      <w:r>
        <w:t xml:space="preserve">The </w:t>
      </w:r>
      <w:r w:rsidRPr="00051B5E">
        <w:t>Priority Investment Approach to Welfare</w:t>
      </w:r>
      <w:bookmarkEnd w:id="23"/>
    </w:p>
    <w:p w14:paraId="48894E50" w14:textId="73D43AF5" w:rsidR="002302E4" w:rsidRPr="004B19D5" w:rsidRDefault="002302E4" w:rsidP="00EE7DC2">
      <w:pPr>
        <w:pStyle w:val="OutlineNumbered1"/>
      </w:pPr>
      <w:r w:rsidRPr="004B19D5">
        <w:t>The Department of Social Services (</w:t>
      </w:r>
      <w:r w:rsidR="00A85BE0" w:rsidRPr="004B19D5">
        <w:t>DSS</w:t>
      </w:r>
      <w:r w:rsidRPr="004B19D5">
        <w:t xml:space="preserve">) implemented </w:t>
      </w:r>
      <w:r w:rsidR="00977725" w:rsidRPr="004B19D5">
        <w:t>the</w:t>
      </w:r>
      <w:r w:rsidRPr="004B19D5">
        <w:t xml:space="preserve"> Priority Investment Approach to Welfare</w:t>
      </w:r>
      <w:r w:rsidR="00977725" w:rsidRPr="004B19D5">
        <w:t xml:space="preserve"> (PIA)</w:t>
      </w:r>
      <w:r w:rsidRPr="004B19D5">
        <w:t xml:space="preserve"> </w:t>
      </w:r>
      <w:r w:rsidR="00C224D7" w:rsidRPr="004B19D5">
        <w:t xml:space="preserve">to support </w:t>
      </w:r>
      <w:r w:rsidRPr="004B19D5">
        <w:t xml:space="preserve">its </w:t>
      </w:r>
      <w:r w:rsidR="00C224D7" w:rsidRPr="004B19D5">
        <w:t>objective of improving</w:t>
      </w:r>
      <w:r w:rsidRPr="004B19D5">
        <w:t xml:space="preserve"> the wellbeing of </w:t>
      </w:r>
      <w:r w:rsidR="00977725" w:rsidRPr="004B19D5">
        <w:t xml:space="preserve">individuals and </w:t>
      </w:r>
      <w:r w:rsidRPr="004B19D5">
        <w:t xml:space="preserve">families </w:t>
      </w:r>
      <w:r w:rsidR="00977725" w:rsidRPr="004B19D5">
        <w:t>in Australian communities</w:t>
      </w:r>
      <w:r w:rsidRPr="004B19D5">
        <w:t>.</w:t>
      </w:r>
      <w:r w:rsidR="00353212" w:rsidRPr="004B19D5">
        <w:t xml:space="preserve"> As part of the </w:t>
      </w:r>
      <w:r w:rsidRPr="004B19D5">
        <w:t>implementation of PIA, this report documents and presents the 30 June 2019 actuarial valuation of the Australian income support and social security (welfare) system.</w:t>
      </w:r>
    </w:p>
    <w:p w14:paraId="568E2CD3" w14:textId="56788A64" w:rsidR="002302E4" w:rsidRPr="004B19D5" w:rsidRDefault="002302E4" w:rsidP="00EE7DC2">
      <w:pPr>
        <w:pStyle w:val="OutlineNumbered1"/>
      </w:pPr>
      <w:r w:rsidRPr="004B19D5">
        <w:t xml:space="preserve">The actuarial valuation allows us to better understand the welfare system both at the population level and for population subgroups of interest. By projecting the expected welfare experience of different subgroups of the population, the valuation model provides insights into the potential future outcomes for each subgroup. These projections aggregate into a single valuation measure of the </w:t>
      </w:r>
      <w:r w:rsidR="002A2F33" w:rsidRPr="004B19D5">
        <w:t>Lifetime Cost</w:t>
      </w:r>
      <w:r w:rsidRPr="004B19D5">
        <w:t>s of future welfare use for the entire population, which provides a measure of the welfare system as a whole.</w:t>
      </w:r>
    </w:p>
    <w:p w14:paraId="275A8BB9" w14:textId="3815B041" w:rsidR="002302E4" w:rsidRPr="004B19D5" w:rsidRDefault="00977725" w:rsidP="00EE7DC2">
      <w:pPr>
        <w:pStyle w:val="OutlineNumbered1"/>
      </w:pPr>
      <w:r w:rsidRPr="004B19D5">
        <w:t>T</w:t>
      </w:r>
      <w:r w:rsidR="002302E4" w:rsidRPr="004B19D5">
        <w:t xml:space="preserve">he valuation model provides a tool for exploring the dynamics of the welfare system and changes to </w:t>
      </w:r>
      <w:r w:rsidR="00C673F7" w:rsidRPr="004B19D5">
        <w:t xml:space="preserve">the </w:t>
      </w:r>
      <w:r w:rsidR="002302E4" w:rsidRPr="004B19D5">
        <w:t xml:space="preserve">system, via the impact on </w:t>
      </w:r>
      <w:r w:rsidR="002A2F33" w:rsidRPr="004B19D5">
        <w:t>Lifetime Cost</w:t>
      </w:r>
      <w:r w:rsidR="002302E4" w:rsidRPr="004B19D5">
        <w:t xml:space="preserve">. The </w:t>
      </w:r>
      <w:r w:rsidR="002A2F33" w:rsidRPr="004B19D5">
        <w:t>Lifetime Cost</w:t>
      </w:r>
      <w:r w:rsidR="002302E4" w:rsidRPr="004B19D5">
        <w:t xml:space="preserve"> is defined as the expected net present value of all future in-scope payments made in respect of the model population over the remainder of their lifetimes. This report </w:t>
      </w:r>
      <w:r w:rsidR="00DD09B3" w:rsidRPr="004B19D5">
        <w:t xml:space="preserve">estimates </w:t>
      </w:r>
      <w:r w:rsidR="002302E4" w:rsidRPr="004B19D5">
        <w:t xml:space="preserve">the </w:t>
      </w:r>
      <w:r w:rsidR="002A2F33" w:rsidRPr="004B19D5">
        <w:t>Lifetime Cost</w:t>
      </w:r>
      <w:r w:rsidR="002302E4" w:rsidRPr="004B19D5">
        <w:t xml:space="preserve"> as at 30</w:t>
      </w:r>
      <w:r w:rsidR="009473B0">
        <w:t> </w:t>
      </w:r>
      <w:r w:rsidR="002302E4" w:rsidRPr="004B19D5">
        <w:t>June</w:t>
      </w:r>
      <w:r w:rsidR="009473B0">
        <w:t> </w:t>
      </w:r>
      <w:r w:rsidR="002302E4" w:rsidRPr="004B19D5">
        <w:t>2019.</w:t>
      </w:r>
    </w:p>
    <w:p w14:paraId="57AEEF5A" w14:textId="4AFC49B7" w:rsidR="002302E4" w:rsidRPr="004B19D5" w:rsidRDefault="002302E4" w:rsidP="00EE7DC2">
      <w:pPr>
        <w:pStyle w:val="OutlineNumbered1"/>
      </w:pPr>
      <w:r w:rsidRPr="004B19D5">
        <w:t xml:space="preserve">This is the fifth such annual valuation and provides an updated </w:t>
      </w:r>
      <w:r w:rsidR="00DD09B3" w:rsidRPr="004B19D5">
        <w:t xml:space="preserve">assessment of the </w:t>
      </w:r>
      <w:r w:rsidR="002A2F33" w:rsidRPr="004B19D5">
        <w:t>Lifetime Cost</w:t>
      </w:r>
      <w:r w:rsidRPr="004B19D5">
        <w:t xml:space="preserve"> for the Australian population, together with information on the changes to the system since the 30</w:t>
      </w:r>
      <w:r w:rsidR="009473B0">
        <w:t> </w:t>
      </w:r>
      <w:r w:rsidRPr="004B19D5">
        <w:t>June</w:t>
      </w:r>
      <w:r w:rsidR="009473B0">
        <w:t> </w:t>
      </w:r>
      <w:r w:rsidRPr="004B19D5">
        <w:t>2018 valuation.</w:t>
      </w:r>
    </w:p>
    <w:p w14:paraId="6D2143E8" w14:textId="355E92CD" w:rsidR="002302E4" w:rsidRPr="008A0EDB" w:rsidRDefault="004C395B" w:rsidP="002C30FE">
      <w:pPr>
        <w:pStyle w:val="Heading2"/>
      </w:pPr>
      <w:bookmarkStart w:id="24" w:name="_Toc36555786"/>
      <w:bookmarkStart w:id="25" w:name="_Toc36563885"/>
      <w:bookmarkStart w:id="26" w:name="_Toc36655856"/>
      <w:bookmarkStart w:id="27" w:name="_Toc37931066"/>
      <w:bookmarkStart w:id="28" w:name="_Toc38007010"/>
      <w:bookmarkStart w:id="29" w:name="_Toc38458535"/>
      <w:bookmarkStart w:id="30" w:name="_Toc39071793"/>
      <w:bookmarkStart w:id="31" w:name="_Toc39243423"/>
      <w:bookmarkStart w:id="32" w:name="_Toc100131547"/>
      <w:r w:rsidRPr="008A0EDB">
        <w:t>Model population</w:t>
      </w:r>
      <w:bookmarkEnd w:id="24"/>
      <w:bookmarkEnd w:id="25"/>
      <w:bookmarkEnd w:id="26"/>
      <w:bookmarkEnd w:id="27"/>
      <w:bookmarkEnd w:id="28"/>
      <w:bookmarkEnd w:id="29"/>
      <w:bookmarkEnd w:id="30"/>
      <w:bookmarkEnd w:id="31"/>
      <w:bookmarkEnd w:id="32"/>
    </w:p>
    <w:p w14:paraId="303710EC" w14:textId="5B035AD6" w:rsidR="002302E4" w:rsidRPr="008A0EDB" w:rsidRDefault="002302E4" w:rsidP="00EE7DC2">
      <w:pPr>
        <w:pStyle w:val="OutlineNumbered1"/>
      </w:pPr>
      <w:r w:rsidRPr="008A0EDB">
        <w:t>The model forecasts the welfare experience of the entire resident Australian population, as well as any overseas recipients of income support and social security payments, as at 30</w:t>
      </w:r>
      <w:r w:rsidR="009473B0">
        <w:t> </w:t>
      </w:r>
      <w:r w:rsidRPr="008A0EDB">
        <w:t>June</w:t>
      </w:r>
      <w:r w:rsidR="009473B0">
        <w:t> </w:t>
      </w:r>
      <w:r w:rsidRPr="008A0EDB">
        <w:t xml:space="preserve">2019. Future migrants and future births are not </w:t>
      </w:r>
      <w:r w:rsidR="00882449" w:rsidRPr="008A0EDB">
        <w:t xml:space="preserve">directly </w:t>
      </w:r>
      <w:r w:rsidRPr="008A0EDB">
        <w:t xml:space="preserve">included in the model population, but will influence valuations in the future, when they enter the Australian population. At that time, they will contribute to an increase in the total </w:t>
      </w:r>
      <w:r w:rsidR="002A2F33" w:rsidRPr="008A0EDB">
        <w:t>Lifetime Cost</w:t>
      </w:r>
      <w:r w:rsidRPr="008A0EDB">
        <w:t xml:space="preserve">. </w:t>
      </w:r>
      <w:r w:rsidR="00882449" w:rsidRPr="008A0EDB">
        <w:t>Future births indirectly influence the valuation result by adding to the number of children that a currently modelled individual has, thus impacting their future propensity to utilise welfare.</w:t>
      </w:r>
    </w:p>
    <w:p w14:paraId="4B90E81A" w14:textId="6ABB6B71" w:rsidR="002302E4" w:rsidRPr="008A0EDB" w:rsidRDefault="002302E4" w:rsidP="00EE7DC2">
      <w:pPr>
        <w:pStyle w:val="OutlineNumbered1"/>
      </w:pPr>
      <w:r w:rsidRPr="008A0EDB">
        <w:t xml:space="preserve">The model population is built up from information and assumptions relating to each individual. The information and assumptions pertain to their demographic characteristics, life situation and welfare history. This allows us to </w:t>
      </w:r>
      <w:r w:rsidR="00556951" w:rsidRPr="008A0EDB">
        <w:t>simulate</w:t>
      </w:r>
      <w:r w:rsidRPr="008A0EDB">
        <w:t xml:space="preserve"> individual trajectories through</w:t>
      </w:r>
      <w:r w:rsidR="00556951" w:rsidRPr="008A0EDB">
        <w:t>out their</w:t>
      </w:r>
      <w:r w:rsidRPr="008A0EDB">
        <w:t xml:space="preserve"> life</w:t>
      </w:r>
      <w:r w:rsidR="00556951" w:rsidRPr="008A0EDB">
        <w:t>time</w:t>
      </w:r>
      <w:r w:rsidRPr="008A0EDB">
        <w:t xml:space="preserve"> and their associated interactions with the welfare system, for each future year.</w:t>
      </w:r>
    </w:p>
    <w:p w14:paraId="48A29FFD" w14:textId="78971F19" w:rsidR="00610331" w:rsidRPr="009A259E" w:rsidRDefault="002302E4" w:rsidP="002C30FE">
      <w:pPr>
        <w:pStyle w:val="Heading2"/>
      </w:pPr>
      <w:bookmarkStart w:id="33" w:name="_Toc36555787"/>
      <w:bookmarkStart w:id="34" w:name="_Toc36563886"/>
      <w:bookmarkStart w:id="35" w:name="_Toc36655857"/>
      <w:bookmarkStart w:id="36" w:name="_Toc37931067"/>
      <w:bookmarkStart w:id="37" w:name="_Toc38007011"/>
      <w:bookmarkStart w:id="38" w:name="_Toc38458536"/>
      <w:bookmarkStart w:id="39" w:name="_Toc39071794"/>
      <w:bookmarkStart w:id="40" w:name="_Toc39243424"/>
      <w:bookmarkStart w:id="41" w:name="_Toc100131548"/>
      <w:r w:rsidRPr="008A0EDB">
        <w:lastRenderedPageBreak/>
        <w:t xml:space="preserve">Assumptions and </w:t>
      </w:r>
      <w:r w:rsidR="00F22F4D">
        <w:t>p</w:t>
      </w:r>
      <w:r w:rsidRPr="008A0EDB">
        <w:t xml:space="preserve">olicy </w:t>
      </w:r>
      <w:r w:rsidR="00F22F4D">
        <w:t>i</w:t>
      </w:r>
      <w:r w:rsidRPr="008A0EDB">
        <w:t>mpacts</w:t>
      </w:r>
      <w:bookmarkEnd w:id="33"/>
      <w:bookmarkEnd w:id="34"/>
      <w:bookmarkEnd w:id="35"/>
      <w:bookmarkEnd w:id="36"/>
      <w:bookmarkEnd w:id="37"/>
      <w:bookmarkEnd w:id="38"/>
      <w:bookmarkEnd w:id="39"/>
      <w:bookmarkEnd w:id="40"/>
      <w:bookmarkEnd w:id="41"/>
    </w:p>
    <w:p w14:paraId="57724C36" w14:textId="2D3440B1" w:rsidR="002302E4" w:rsidRPr="009D7504" w:rsidRDefault="002302E4" w:rsidP="00EE7DC2">
      <w:pPr>
        <w:pStyle w:val="OutlineNumbered1"/>
        <w:rPr>
          <w:color w:val="auto"/>
        </w:rPr>
      </w:pPr>
      <w:r>
        <w:rPr>
          <w:snapToGrid w:val="0"/>
        </w:rPr>
        <w:t>Detailed assumptions are made in order to reflect how different drivers of experience interact with each other and over time, in respect of welfare use. I</w:t>
      </w:r>
      <w:r>
        <w:t>t is assumed that relevant social security policy settings will persist in perpetuity.</w:t>
      </w:r>
    </w:p>
    <w:p w14:paraId="56E2A44F" w14:textId="1023287F" w:rsidR="002302E4" w:rsidRPr="00073D44" w:rsidRDefault="002302E4" w:rsidP="00EE7DC2">
      <w:pPr>
        <w:pStyle w:val="OutlineNumbered1"/>
        <w:rPr>
          <w:color w:val="auto"/>
        </w:rPr>
      </w:pPr>
      <w:r>
        <w:t>Where material changes have been made to relevant policies over the previous year, updated assumptions and/or adjustments are made within the modelling process. This ensures that the projection allows for estimat</w:t>
      </w:r>
      <w:r w:rsidR="00526F25">
        <w:t xml:space="preserve">es of the </w:t>
      </w:r>
      <w:r>
        <w:t xml:space="preserve">direct impact of any </w:t>
      </w:r>
      <w:r w:rsidR="00526F25">
        <w:t xml:space="preserve">such </w:t>
      </w:r>
      <w:r>
        <w:t>changes.</w:t>
      </w:r>
    </w:p>
    <w:p w14:paraId="4FC64BBB" w14:textId="77777777" w:rsidR="002302E4" w:rsidRPr="00563AAE" w:rsidRDefault="002302E4" w:rsidP="00EE7DC2">
      <w:pPr>
        <w:pStyle w:val="OutlineNumbered1"/>
        <w:rPr>
          <w:color w:val="auto"/>
        </w:rPr>
      </w:pPr>
      <w:r>
        <w:t>However, subsequent secondary impacts</w:t>
      </w:r>
      <w:r w:rsidRPr="009D7504">
        <w:t xml:space="preserve"> </w:t>
      </w:r>
      <w:r>
        <w:t>and/or behavioural changes in response to such policy changes are not modelled directly. Their impact will emerge over time in the data. As such, secondary impacts will be captured within the analysis of experience for future valuations and will impact future valuation results as they arise.</w:t>
      </w:r>
    </w:p>
    <w:p w14:paraId="5D039F94" w14:textId="382EC60C" w:rsidR="002302E4" w:rsidRPr="00023C88" w:rsidRDefault="002302E4" w:rsidP="002C30FE">
      <w:pPr>
        <w:pStyle w:val="Heading2"/>
      </w:pPr>
      <w:bookmarkStart w:id="42" w:name="_Toc36555788"/>
      <w:bookmarkStart w:id="43" w:name="_Toc36563887"/>
      <w:bookmarkStart w:id="44" w:name="_Toc36655858"/>
      <w:bookmarkStart w:id="45" w:name="_Toc37931068"/>
      <w:bookmarkStart w:id="46" w:name="_Toc38007012"/>
      <w:bookmarkStart w:id="47" w:name="_Toc38458537"/>
      <w:bookmarkStart w:id="48" w:name="_Toc39071795"/>
      <w:bookmarkStart w:id="49" w:name="_Toc39243425"/>
      <w:bookmarkStart w:id="50" w:name="_Toc100131549"/>
      <w:r w:rsidRPr="00023C88">
        <w:t xml:space="preserve">Uses of the PIA </w:t>
      </w:r>
      <w:r w:rsidR="00F22F4D">
        <w:t>m</w:t>
      </w:r>
      <w:r w:rsidRPr="00023C88">
        <w:t>odel</w:t>
      </w:r>
      <w:bookmarkEnd w:id="42"/>
      <w:bookmarkEnd w:id="43"/>
      <w:bookmarkEnd w:id="44"/>
      <w:bookmarkEnd w:id="45"/>
      <w:bookmarkEnd w:id="46"/>
      <w:bookmarkEnd w:id="47"/>
      <w:bookmarkEnd w:id="48"/>
      <w:bookmarkEnd w:id="49"/>
      <w:bookmarkEnd w:id="50"/>
    </w:p>
    <w:p w14:paraId="6F0DD970" w14:textId="54934FF6" w:rsidR="002302E4" w:rsidRPr="00994CBF" w:rsidRDefault="002302E4" w:rsidP="00EE7DC2">
      <w:pPr>
        <w:pStyle w:val="OutlineNumbered1"/>
        <w:rPr>
          <w:color w:val="auto"/>
        </w:rPr>
      </w:pPr>
      <w:r>
        <w:t xml:space="preserve">Results at the whole population level inform not only the overall projected cost of future welfare utilisation, but </w:t>
      </w:r>
      <w:r w:rsidR="00C673F7">
        <w:t xml:space="preserve">can </w:t>
      </w:r>
      <w:r>
        <w:t>also give insights regarding:</w:t>
      </w:r>
    </w:p>
    <w:p w14:paraId="015B9461" w14:textId="77777777" w:rsidR="002302E4" w:rsidRPr="0082702F" w:rsidRDefault="002302E4" w:rsidP="0082702F">
      <w:pPr>
        <w:pStyle w:val="Bullet1"/>
      </w:pPr>
      <w:r w:rsidRPr="0082702F">
        <w:t>How welfare utilisation changes in response to movements in the population size and demographic profile. This is of particular relevance in the context of an ageing population and changing family circumstances;</w:t>
      </w:r>
    </w:p>
    <w:p w14:paraId="3157F5ED" w14:textId="5CF6813A" w:rsidR="002302E4" w:rsidRPr="0082702F" w:rsidRDefault="002302E4" w:rsidP="0082702F">
      <w:pPr>
        <w:pStyle w:val="Bullet1"/>
      </w:pPr>
      <w:r w:rsidRPr="0082702F">
        <w:t xml:space="preserve">The key factors that drive the overall </w:t>
      </w:r>
      <w:r w:rsidR="002A2F33" w:rsidRPr="0082702F">
        <w:t>Lifetime Cost</w:t>
      </w:r>
      <w:r w:rsidRPr="0082702F">
        <w:t xml:space="preserve"> and annual expenditures;</w:t>
      </w:r>
    </w:p>
    <w:p w14:paraId="168250C7" w14:textId="77777777" w:rsidR="002302E4" w:rsidRPr="0082702F" w:rsidRDefault="002302E4" w:rsidP="0082702F">
      <w:pPr>
        <w:pStyle w:val="Bullet1"/>
      </w:pPr>
      <w:r w:rsidRPr="0082702F">
        <w:t xml:space="preserve">How the cost is changing over time, which provides information on the financial sustainability of the system; and </w:t>
      </w:r>
    </w:p>
    <w:p w14:paraId="2061B2CE" w14:textId="2AAC7BE6" w:rsidR="002302E4" w:rsidRPr="0082702F" w:rsidRDefault="002302E4" w:rsidP="0082702F">
      <w:pPr>
        <w:pStyle w:val="Bullet1"/>
      </w:pPr>
      <w:r w:rsidRPr="0082702F">
        <w:t xml:space="preserve">The impact of changes, both to the welfare system and to external drivers </w:t>
      </w:r>
      <w:r w:rsidR="00F47FF1" w:rsidRPr="0082702F">
        <w:t xml:space="preserve">(for example, economic </w:t>
      </w:r>
      <w:r w:rsidR="005C3788" w:rsidRPr="0082702F">
        <w:t>conditions</w:t>
      </w:r>
      <w:r w:rsidR="00F47FF1" w:rsidRPr="0082702F">
        <w:t xml:space="preserve">) </w:t>
      </w:r>
      <w:r w:rsidRPr="0082702F">
        <w:t>of experience</w:t>
      </w:r>
      <w:r w:rsidR="00F47FF1" w:rsidRPr="0082702F">
        <w:t xml:space="preserve"> within the system</w:t>
      </w:r>
      <w:r w:rsidRPr="0082702F">
        <w:t>.</w:t>
      </w:r>
    </w:p>
    <w:p w14:paraId="5F15561F" w14:textId="03943488" w:rsidR="002302E4" w:rsidRPr="00726604" w:rsidRDefault="002302E4" w:rsidP="00EE7DC2">
      <w:pPr>
        <w:pStyle w:val="OutlineNumbered1"/>
        <w:rPr>
          <w:color w:val="auto"/>
        </w:rPr>
      </w:pPr>
      <w:r>
        <w:t xml:space="preserve">The PIA model also provides insights into the future welfare utilisation for a range of population subgroups, including their expected future pathways through the welfare system. This allows analysis into the experience of population subgroups, as well as how that experience will change over time. Population subgroups can include groupings by age, gender, current payment category or </w:t>
      </w:r>
      <w:r w:rsidR="00895D81">
        <w:t>class</w:t>
      </w:r>
      <w:r>
        <w:t>, geographic location, refugee status, and a range of other characteristics.</w:t>
      </w:r>
    </w:p>
    <w:p w14:paraId="5095DE2E" w14:textId="77777777" w:rsidR="002302E4" w:rsidRPr="005E1284" w:rsidRDefault="002302E4" w:rsidP="00EE7DC2">
      <w:pPr>
        <w:pStyle w:val="OutlineNumbered1"/>
        <w:rPr>
          <w:color w:val="auto"/>
        </w:rPr>
      </w:pPr>
      <w:r>
        <w:t>Exploring the sensitivity of the results to changes in assumptions can provide additional insights. This includes assessing the impact of different economic scenarios, changes in fertility rates, changes in payment design (payment eligibility, amounts or indexation), or changes in other policy parameters. The model is best suited to assessing the impact of such changes over the long term.</w:t>
      </w:r>
    </w:p>
    <w:p w14:paraId="2079770F" w14:textId="43EFE465" w:rsidR="002302E4" w:rsidRPr="005E1284" w:rsidRDefault="002302E4" w:rsidP="002C30FE">
      <w:pPr>
        <w:pStyle w:val="Heading2"/>
      </w:pPr>
      <w:bookmarkStart w:id="51" w:name="_Toc31983430"/>
      <w:bookmarkStart w:id="52" w:name="_Toc36555789"/>
      <w:bookmarkStart w:id="53" w:name="_Toc36563888"/>
      <w:bookmarkStart w:id="54" w:name="_Toc36655859"/>
      <w:bookmarkStart w:id="55" w:name="_Toc37931069"/>
      <w:bookmarkStart w:id="56" w:name="_Toc38007013"/>
      <w:bookmarkStart w:id="57" w:name="_Toc38458538"/>
      <w:bookmarkStart w:id="58" w:name="_Toc39071796"/>
      <w:bookmarkStart w:id="59" w:name="_Toc39243426"/>
      <w:bookmarkStart w:id="60" w:name="_Toc100131550"/>
      <w:r w:rsidRPr="007C0BB0">
        <w:lastRenderedPageBreak/>
        <w:t>Model</w:t>
      </w:r>
      <w:r w:rsidRPr="005E1284">
        <w:t xml:space="preserve"> </w:t>
      </w:r>
      <w:r w:rsidR="00F22F4D">
        <w:t>l</w:t>
      </w:r>
      <w:r w:rsidRPr="005E1284">
        <w:t>imitations</w:t>
      </w:r>
      <w:bookmarkEnd w:id="51"/>
      <w:bookmarkEnd w:id="52"/>
      <w:bookmarkEnd w:id="53"/>
      <w:bookmarkEnd w:id="54"/>
      <w:bookmarkEnd w:id="55"/>
      <w:bookmarkEnd w:id="56"/>
      <w:bookmarkEnd w:id="57"/>
      <w:bookmarkEnd w:id="58"/>
      <w:bookmarkEnd w:id="59"/>
      <w:bookmarkEnd w:id="60"/>
    </w:p>
    <w:p w14:paraId="6ED946F3" w14:textId="376F7956" w:rsidR="002302E4" w:rsidRPr="00F81095" w:rsidRDefault="002302E4" w:rsidP="00EE7DC2">
      <w:pPr>
        <w:pStyle w:val="OutlineNumbered1"/>
      </w:pPr>
      <w:r w:rsidRPr="00F81095">
        <w:t xml:space="preserve">Whilst the lifetime trajectory of each individual is simulated in the model, this is based on the risk characteristics that apply at an aggregate level for groups and populations of people. It is not intended nor suitable to produce, nor infer, conclusive insights about future welfare use based on unique individual characteristics. Rather, it is intended to produce meaningful results for a group of </w:t>
      </w:r>
      <w:r w:rsidR="00F22F4D" w:rsidRPr="00F81095">
        <w:t xml:space="preserve">similar </w:t>
      </w:r>
      <w:r w:rsidRPr="00F81095">
        <w:t xml:space="preserve">individuals – either in total or on average for that group. </w:t>
      </w:r>
    </w:p>
    <w:p w14:paraId="2083C394" w14:textId="5E89BE57" w:rsidR="002302E4" w:rsidRPr="00F81095" w:rsidRDefault="002302E4" w:rsidP="00EE7DC2">
      <w:pPr>
        <w:pStyle w:val="OutlineNumbered1"/>
      </w:pPr>
      <w:r w:rsidRPr="00F81095">
        <w:t>As with the modelling of any program with long</w:t>
      </w:r>
      <w:r w:rsidR="006E1916" w:rsidRPr="00F81095">
        <w:t>-</w:t>
      </w:r>
      <w:r w:rsidRPr="00F81095">
        <w:t>term financial implications, there is inherent uncertainty of any estimation of such long</w:t>
      </w:r>
      <w:r w:rsidR="006E1916" w:rsidRPr="00F81095">
        <w:t>-</w:t>
      </w:r>
      <w:r w:rsidRPr="00F81095">
        <w:t>term costs. Issues of uncertainty are discussed later in this report, and give rise to the need for the provided sensitivity analyses around the reported results.</w:t>
      </w:r>
      <w:bookmarkStart w:id="61" w:name="_Toc31983431"/>
    </w:p>
    <w:p w14:paraId="79F2BC6F" w14:textId="40067194" w:rsidR="002302E4" w:rsidRPr="005E1284" w:rsidRDefault="002302E4" w:rsidP="002C30FE">
      <w:pPr>
        <w:pStyle w:val="Heading2"/>
      </w:pPr>
      <w:bookmarkStart w:id="62" w:name="_Toc31983432"/>
      <w:bookmarkStart w:id="63" w:name="_Toc36555790"/>
      <w:bookmarkStart w:id="64" w:name="_Toc36563889"/>
      <w:bookmarkStart w:id="65" w:name="_Toc36655860"/>
      <w:bookmarkStart w:id="66" w:name="_Toc37931070"/>
      <w:bookmarkStart w:id="67" w:name="_Toc38007014"/>
      <w:bookmarkStart w:id="68" w:name="_Toc38458539"/>
      <w:bookmarkStart w:id="69" w:name="_Toc39071797"/>
      <w:bookmarkStart w:id="70" w:name="_Toc39243427"/>
      <w:bookmarkStart w:id="71" w:name="_Toc100131551"/>
      <w:r w:rsidRPr="007C0BB0">
        <w:t>Professional</w:t>
      </w:r>
      <w:r w:rsidRPr="005E1284">
        <w:t xml:space="preserve"> </w:t>
      </w:r>
      <w:r w:rsidR="00F22F4D">
        <w:t>s</w:t>
      </w:r>
      <w:r w:rsidRPr="005E1284">
        <w:t xml:space="preserve">tandards </w:t>
      </w:r>
      <w:r w:rsidR="00F22F4D">
        <w:t>u</w:t>
      </w:r>
      <w:r w:rsidRPr="005E1284">
        <w:t>nderlying</w:t>
      </w:r>
      <w:bookmarkEnd w:id="62"/>
      <w:r w:rsidRPr="005E1284">
        <w:t xml:space="preserve"> this </w:t>
      </w:r>
      <w:r w:rsidR="00F22F4D">
        <w:t>r</w:t>
      </w:r>
      <w:r w:rsidRPr="005E1284">
        <w:t>eport</w:t>
      </w:r>
      <w:bookmarkEnd w:id="63"/>
      <w:bookmarkEnd w:id="64"/>
      <w:bookmarkEnd w:id="65"/>
      <w:bookmarkEnd w:id="66"/>
      <w:bookmarkEnd w:id="67"/>
      <w:bookmarkEnd w:id="68"/>
      <w:bookmarkEnd w:id="69"/>
      <w:bookmarkEnd w:id="70"/>
      <w:bookmarkEnd w:id="71"/>
    </w:p>
    <w:p w14:paraId="7033ECF3" w14:textId="161E2CE5" w:rsidR="002302E4" w:rsidRPr="005E1284" w:rsidRDefault="002302E4" w:rsidP="00EE7DC2">
      <w:pPr>
        <w:pStyle w:val="OutlineNumbered1"/>
        <w:rPr>
          <w:color w:val="auto"/>
        </w:rPr>
      </w:pPr>
      <w:r w:rsidRPr="00D559F6">
        <w:t>The advice in this report is intended to satisfy the Code of Professional Conduct issued by the Actuaries Institute. No other Australian Professional Standards are relevant to this work.</w:t>
      </w:r>
    </w:p>
    <w:p w14:paraId="13162595" w14:textId="5B482BA2" w:rsidR="002302E4" w:rsidRPr="005E1284" w:rsidRDefault="002302E4" w:rsidP="00EE7DC2">
      <w:pPr>
        <w:pStyle w:val="OutlineNumbered1"/>
        <w:rPr>
          <w:color w:val="auto"/>
        </w:rPr>
      </w:pPr>
      <w:r>
        <w:t>T</w:t>
      </w:r>
      <w:r w:rsidRPr="005E1284">
        <w:rPr>
          <w:snapToGrid w:val="0"/>
        </w:rPr>
        <w:t>he International Actuarial Association’s International Standard of Actuarial Practice 2 (ISAP 2) provides (non-binding) guidance to actuaries performing financial analyses of Social Security Programs (SSPs), or</w:t>
      </w:r>
      <w:r>
        <w:rPr>
          <w:snapToGrid w:val="0"/>
        </w:rPr>
        <w:t xml:space="preserve"> for</w:t>
      </w:r>
      <w:r w:rsidRPr="005E1284">
        <w:rPr>
          <w:snapToGrid w:val="0"/>
        </w:rPr>
        <w:t xml:space="preserve"> reviewing, advising on, or opining on such analyses. </w:t>
      </w:r>
      <w:r>
        <w:rPr>
          <w:snapToGrid w:val="0"/>
        </w:rPr>
        <w:t xml:space="preserve">Whilst ISAP 2 is </w:t>
      </w:r>
      <w:r w:rsidRPr="005E1284">
        <w:rPr>
          <w:snapToGrid w:val="0"/>
        </w:rPr>
        <w:t xml:space="preserve">not directly applicable to </w:t>
      </w:r>
      <w:r>
        <w:rPr>
          <w:snapToGrid w:val="0"/>
        </w:rPr>
        <w:t>this valuation</w:t>
      </w:r>
      <w:r w:rsidRPr="005E1284">
        <w:rPr>
          <w:snapToGrid w:val="0"/>
        </w:rPr>
        <w:t>, our approach is aligned with the suggested practices that are relevant to this report.</w:t>
      </w:r>
      <w:bookmarkEnd w:id="61"/>
    </w:p>
    <w:p w14:paraId="49BC1EC6" w14:textId="446450E0" w:rsidR="00610331" w:rsidRPr="009A259E" w:rsidRDefault="002302E4" w:rsidP="002C30FE">
      <w:pPr>
        <w:pStyle w:val="Heading2"/>
      </w:pPr>
      <w:bookmarkStart w:id="72" w:name="_Toc36555791"/>
      <w:bookmarkStart w:id="73" w:name="_Toc36563890"/>
      <w:bookmarkStart w:id="74" w:name="_Toc36655861"/>
      <w:bookmarkStart w:id="75" w:name="_Toc37931071"/>
      <w:bookmarkStart w:id="76" w:name="_Toc38007015"/>
      <w:bookmarkStart w:id="77" w:name="_Toc38458540"/>
      <w:bookmarkStart w:id="78" w:name="_Toc39071798"/>
      <w:bookmarkStart w:id="79" w:name="_Toc39243428"/>
      <w:bookmarkStart w:id="80" w:name="_Toc100131552"/>
      <w:r w:rsidRPr="007C0BB0">
        <w:t>Reliances</w:t>
      </w:r>
      <w:bookmarkEnd w:id="72"/>
      <w:bookmarkEnd w:id="73"/>
      <w:bookmarkEnd w:id="74"/>
      <w:bookmarkEnd w:id="75"/>
      <w:bookmarkEnd w:id="76"/>
      <w:bookmarkEnd w:id="77"/>
      <w:bookmarkEnd w:id="78"/>
      <w:bookmarkEnd w:id="79"/>
      <w:bookmarkEnd w:id="80"/>
    </w:p>
    <w:p w14:paraId="1E1C7BA2" w14:textId="53E9C1C9" w:rsidR="002302E4" w:rsidRPr="005E1284" w:rsidRDefault="002302E4" w:rsidP="00EE7DC2">
      <w:pPr>
        <w:pStyle w:val="OutlineNumbered1"/>
        <w:rPr>
          <w:color w:val="auto"/>
        </w:rPr>
      </w:pPr>
      <w:r>
        <w:t xml:space="preserve">The report relies on the completeness and accuracy of information compiled and provided by </w:t>
      </w:r>
      <w:r w:rsidR="00A85BE0">
        <w:t>DSS</w:t>
      </w:r>
      <w:r>
        <w:t xml:space="preserve">. Although the modelling process requires and prompts checks for internal consistency and for consistency with other information, ultimate assurance of the fidelity and accuracy of the data resides with </w:t>
      </w:r>
      <w:r w:rsidR="00A85BE0">
        <w:t>DSS</w:t>
      </w:r>
      <w:r>
        <w:t>.</w:t>
      </w:r>
    </w:p>
    <w:p w14:paraId="7AA0BE49" w14:textId="744E8F59" w:rsidR="0025763F" w:rsidRPr="00CE4DA9" w:rsidRDefault="002302E4" w:rsidP="00EE7DC2">
      <w:pPr>
        <w:pStyle w:val="OutlineNumbered1"/>
        <w:rPr>
          <w:color w:val="auto"/>
        </w:rPr>
      </w:pPr>
      <w:r>
        <w:t xml:space="preserve">This report has been prepared by the Australian Government Actuary at the request of </w:t>
      </w:r>
      <w:r w:rsidR="00A85BE0">
        <w:t>DSS</w:t>
      </w:r>
      <w:r>
        <w:t>. It is not intended, or necessarily suitable, for any other purpose other than that described in this report.</w:t>
      </w:r>
    </w:p>
    <w:p w14:paraId="2704BB92" w14:textId="5057329E" w:rsidR="002C6BA9" w:rsidRDefault="002C6BA9" w:rsidP="00EE7DC2">
      <w:pPr>
        <w:pStyle w:val="OutlineNumbered1"/>
      </w:pPr>
      <w:r>
        <w:br w:type="page"/>
      </w:r>
    </w:p>
    <w:p w14:paraId="55E92D08" w14:textId="4ABD8BD1" w:rsidR="00E102F0" w:rsidRDefault="00526F25" w:rsidP="002C30FE">
      <w:pPr>
        <w:pStyle w:val="Heading1"/>
      </w:pPr>
      <w:bookmarkStart w:id="81" w:name="_Toc36555792"/>
      <w:bookmarkStart w:id="82" w:name="_Toc36563891"/>
      <w:bookmarkStart w:id="83" w:name="_Toc36655862"/>
      <w:bookmarkStart w:id="84" w:name="_Toc37931072"/>
      <w:bookmarkStart w:id="85" w:name="_Toc38007016"/>
      <w:bookmarkStart w:id="86" w:name="_Toc38458541"/>
      <w:bookmarkStart w:id="87" w:name="_Toc39071799"/>
      <w:bookmarkStart w:id="88" w:name="_Toc39243429"/>
      <w:bookmarkStart w:id="89" w:name="_Toc100131553"/>
      <w:r>
        <w:lastRenderedPageBreak/>
        <w:t>Modelling approach</w:t>
      </w:r>
      <w:bookmarkEnd w:id="81"/>
      <w:bookmarkEnd w:id="82"/>
      <w:bookmarkEnd w:id="83"/>
      <w:bookmarkEnd w:id="84"/>
      <w:bookmarkEnd w:id="85"/>
      <w:bookmarkEnd w:id="86"/>
      <w:bookmarkEnd w:id="87"/>
      <w:bookmarkEnd w:id="88"/>
      <w:bookmarkEnd w:id="89"/>
    </w:p>
    <w:p w14:paraId="0F42E901" w14:textId="71805964" w:rsidR="004C439E" w:rsidRDefault="004C439E" w:rsidP="004C439E">
      <w:pPr>
        <w:pStyle w:val="Heading2"/>
      </w:pPr>
      <w:bookmarkStart w:id="90" w:name="_Toc100131554"/>
      <w:r>
        <w:t>Overview</w:t>
      </w:r>
      <w:bookmarkEnd w:id="90"/>
    </w:p>
    <w:p w14:paraId="52E6CA9D" w14:textId="3EC7BA4D" w:rsidR="000E1CC7" w:rsidRPr="00006B5F" w:rsidRDefault="000E1CC7" w:rsidP="00EE7DC2">
      <w:pPr>
        <w:pStyle w:val="OutlineNumbered1"/>
      </w:pPr>
      <w:r w:rsidRPr="00006B5F">
        <w:t xml:space="preserve">In order to establish an expected value of the financial cost of the welfare system, two key parameters need to be estimated. First, the number of people expected to receive </w:t>
      </w:r>
      <w:r w:rsidR="003C6D18" w:rsidRPr="00006B5F">
        <w:t xml:space="preserve">each of the different welfare </w:t>
      </w:r>
      <w:r w:rsidRPr="00006B5F">
        <w:t xml:space="preserve">payment </w:t>
      </w:r>
      <w:r w:rsidR="003C6D18" w:rsidRPr="00006B5F">
        <w:t xml:space="preserve">types </w:t>
      </w:r>
      <w:r w:rsidRPr="00006B5F">
        <w:t>at a point in time, and secondly, the expected size of each payment made. The product of those two parameters, summed up across a given population, gives rise to the total expected financial cost of the welfare system at that point in time.</w:t>
      </w:r>
    </w:p>
    <w:p w14:paraId="7AF7C95A" w14:textId="63B55CD1" w:rsidR="000E1CC7" w:rsidRPr="00006B5F" w:rsidRDefault="000E1CC7" w:rsidP="00EE7DC2">
      <w:pPr>
        <w:pStyle w:val="OutlineNumbered1"/>
      </w:pPr>
      <w:r w:rsidRPr="00006B5F">
        <w:t>Projecting the financial cost for every future year forward of the valuation date</w:t>
      </w:r>
      <w:r w:rsidR="00EA4E7D" w:rsidRPr="00006B5F">
        <w:t xml:space="preserve"> of 30</w:t>
      </w:r>
      <w:r w:rsidR="009473B0">
        <w:t> </w:t>
      </w:r>
      <w:r w:rsidR="00EA4E7D" w:rsidRPr="00006B5F">
        <w:t>June</w:t>
      </w:r>
      <w:r w:rsidR="009473B0">
        <w:t> </w:t>
      </w:r>
      <w:r w:rsidR="00EA4E7D" w:rsidRPr="00006B5F">
        <w:t>2019</w:t>
      </w:r>
      <w:r w:rsidRPr="00006B5F">
        <w:t xml:space="preserve">, and summing these year-on-year estimated costs, then gives rise to an expected overall future cost of the welfare system. </w:t>
      </w:r>
    </w:p>
    <w:p w14:paraId="0EF481D3" w14:textId="33C360FD" w:rsidR="000E1CC7" w:rsidRPr="00C2294D" w:rsidRDefault="000E1CC7" w:rsidP="00EE7DC2">
      <w:pPr>
        <w:pStyle w:val="OutlineNumbered1"/>
        <w:rPr>
          <w:color w:val="auto"/>
        </w:rPr>
      </w:pPr>
      <w:r>
        <w:t xml:space="preserve">To account for the time value of money, an appropriate interest rate is applied to discount the financial costs estimated in each future year, to give an expected cost in today’s dollars. This present value of the expected overall future cost of the welfare system is what this report refers to as the </w:t>
      </w:r>
      <w:r w:rsidR="002A2F33">
        <w:t>Lifetime Cost</w:t>
      </w:r>
      <w:r>
        <w:t>.</w:t>
      </w:r>
    </w:p>
    <w:p w14:paraId="55254681" w14:textId="67225F7A" w:rsidR="000E1CC7" w:rsidRPr="00EC69F2" w:rsidRDefault="000E1CC7" w:rsidP="00EE7DC2">
      <w:pPr>
        <w:pStyle w:val="OutlineNumbered1"/>
        <w:rPr>
          <w:color w:val="auto"/>
        </w:rPr>
      </w:pPr>
      <w:r>
        <w:t>The interest rate used to discount the financial costs of each future year, to the current valuation date of 30</w:t>
      </w:r>
      <w:r w:rsidR="009473B0">
        <w:t> </w:t>
      </w:r>
      <w:r>
        <w:t>June</w:t>
      </w:r>
      <w:r w:rsidR="009473B0">
        <w:t> </w:t>
      </w:r>
      <w:r>
        <w:t xml:space="preserve">2019, is equal to 5%. This value aligns with that used by </w:t>
      </w:r>
      <w:r w:rsidR="004E675A">
        <w:t>t</w:t>
      </w:r>
      <w:r>
        <w:t>he Australian Government Actuary in assessing other long</w:t>
      </w:r>
      <w:r w:rsidR="006E1916">
        <w:t>-</w:t>
      </w:r>
      <w:r>
        <w:t xml:space="preserve">term Commonwealth Government liabilities, in particular Commonwealth superannuation liabilities. The choice of interest rate </w:t>
      </w:r>
      <w:r w:rsidRPr="00187EC8">
        <w:t xml:space="preserve">does not impact the projected cashflows </w:t>
      </w:r>
      <w:r>
        <w:t xml:space="preserve">in each future year, </w:t>
      </w:r>
      <w:r w:rsidRPr="00187EC8">
        <w:t xml:space="preserve">but </w:t>
      </w:r>
      <w:r>
        <w:t xml:space="preserve">does impact the present value of the </w:t>
      </w:r>
      <w:r w:rsidR="002A2F33">
        <w:t>Lifetime Cost</w:t>
      </w:r>
      <w:r>
        <w:t xml:space="preserve"> as at the valuation date in each future year.</w:t>
      </w:r>
    </w:p>
    <w:p w14:paraId="120EAE50" w14:textId="1E04CB44" w:rsidR="000E1CC7" w:rsidRPr="00DC586F" w:rsidRDefault="000E1CC7" w:rsidP="00EE7DC2">
      <w:pPr>
        <w:pStyle w:val="OutlineNumbered1"/>
        <w:rPr>
          <w:color w:val="auto"/>
        </w:rPr>
      </w:pPr>
      <w:r>
        <w:t>This valuation applies the above approach to the entire Australian (</w:t>
      </w:r>
      <w:r w:rsidR="006E1916">
        <w:t>w</w:t>
      </w:r>
      <w:r>
        <w:t>elfare and non-</w:t>
      </w:r>
      <w:r w:rsidR="006E1916">
        <w:t>w</w:t>
      </w:r>
      <w:r>
        <w:t>elfare) population as at 30</w:t>
      </w:r>
      <w:r w:rsidR="009473B0">
        <w:t> </w:t>
      </w:r>
      <w:r>
        <w:t>June</w:t>
      </w:r>
      <w:r w:rsidR="009473B0">
        <w:t> </w:t>
      </w:r>
      <w:r>
        <w:t xml:space="preserve">2019, to give rise to the </w:t>
      </w:r>
      <w:r w:rsidR="002A2F33">
        <w:t>Lifetime Cost</w:t>
      </w:r>
      <w:r>
        <w:t xml:space="preserve"> as at that date.</w:t>
      </w:r>
    </w:p>
    <w:p w14:paraId="5841F8AB" w14:textId="77777777" w:rsidR="000E1CC7" w:rsidRPr="00DC586F" w:rsidRDefault="000E1CC7" w:rsidP="00EE7DC2">
      <w:pPr>
        <w:pStyle w:val="OutlineNumbered1"/>
        <w:rPr>
          <w:color w:val="auto"/>
        </w:rPr>
      </w:pPr>
      <w:r>
        <w:t>The valuation modelling process requires, as a minimum:</w:t>
      </w:r>
    </w:p>
    <w:p w14:paraId="75EDAE81" w14:textId="4FD1C351" w:rsidR="000E1CC7" w:rsidRDefault="006E1916" w:rsidP="00610331">
      <w:pPr>
        <w:pStyle w:val="Bullet1"/>
      </w:pPr>
      <w:r>
        <w:t>a</w:t>
      </w:r>
      <w:r w:rsidR="000E1CC7">
        <w:t>ppropriate details of the model population as at 30</w:t>
      </w:r>
      <w:r w:rsidR="009473B0">
        <w:t> </w:t>
      </w:r>
      <w:r w:rsidR="000E1CC7">
        <w:t>June</w:t>
      </w:r>
      <w:r w:rsidR="009473B0">
        <w:t> </w:t>
      </w:r>
      <w:r w:rsidR="000E1CC7">
        <w:t>2019;</w:t>
      </w:r>
    </w:p>
    <w:p w14:paraId="3A4C8AC4" w14:textId="460841D6" w:rsidR="000E1CC7" w:rsidRDefault="006E1916" w:rsidP="00610331">
      <w:pPr>
        <w:pStyle w:val="Bullet1"/>
      </w:pPr>
      <w:r>
        <w:t>d</w:t>
      </w:r>
      <w:r w:rsidR="000E1CC7">
        <w:t>ata relating to past experiences of those both inside and outside the welfare system;</w:t>
      </w:r>
    </w:p>
    <w:p w14:paraId="25745D71" w14:textId="45D2965E" w:rsidR="000E1CC7" w:rsidRDefault="006E1916" w:rsidP="00610331">
      <w:pPr>
        <w:pStyle w:val="Bullet1"/>
      </w:pPr>
      <w:r>
        <w:t>a</w:t>
      </w:r>
      <w:r w:rsidR="000E1CC7">
        <w:t xml:space="preserve">nalysis of past experience relating to rates of entry, exit, and transfers within the welfare system;  </w:t>
      </w:r>
    </w:p>
    <w:p w14:paraId="4C342F15" w14:textId="3ADF7601" w:rsidR="000E1CC7" w:rsidRDefault="006E1916" w:rsidP="00610331">
      <w:pPr>
        <w:pStyle w:val="Bullet1"/>
      </w:pPr>
      <w:r>
        <w:t>a</w:t>
      </w:r>
      <w:r w:rsidR="000E1CC7">
        <w:t xml:space="preserve">nalysis of past experience relating to entitlements and payments within each welfare program (or class);  </w:t>
      </w:r>
    </w:p>
    <w:p w14:paraId="08FF1312" w14:textId="29BEE6BF" w:rsidR="000E1CC7" w:rsidRDefault="00703378" w:rsidP="00610331">
      <w:pPr>
        <w:pStyle w:val="Bullet1"/>
      </w:pPr>
      <w:r>
        <w:t>a</w:t>
      </w:r>
      <w:r w:rsidR="000E1CC7">
        <w:t xml:space="preserve">djustments to the above experience, to account for both trends over time, and to account for various changes to the welfare system that have been </w:t>
      </w:r>
      <w:r w:rsidR="000E1CC7">
        <w:lastRenderedPageBreak/>
        <w:t>legislated, but whose impacts are not yet fully evident in the data to date;</w:t>
      </w:r>
      <w:r>
        <w:t xml:space="preserve"> and</w:t>
      </w:r>
    </w:p>
    <w:p w14:paraId="3C8B563B" w14:textId="1BA6F3D2" w:rsidR="000E1CC7" w:rsidRDefault="00703378" w:rsidP="00610331">
      <w:pPr>
        <w:pStyle w:val="Bullet1"/>
      </w:pPr>
      <w:r>
        <w:t>a</w:t>
      </w:r>
      <w:r w:rsidR="000E1CC7">
        <w:t xml:space="preserve"> framework to examine, and appropriately model, the many varied and inter-dependent categories of welfare assistance within the Australian system.</w:t>
      </w:r>
    </w:p>
    <w:p w14:paraId="4877F438" w14:textId="6EE48F3C" w:rsidR="000E1CC7" w:rsidRPr="00EC69F2" w:rsidRDefault="000E1CC7" w:rsidP="00EE7DC2">
      <w:pPr>
        <w:pStyle w:val="OutlineNumbered1"/>
        <w:rPr>
          <w:color w:val="auto"/>
        </w:rPr>
      </w:pPr>
      <w:r>
        <w:rPr>
          <w:color w:val="auto"/>
        </w:rPr>
        <w:t xml:space="preserve">With respect to the latter point, the following diagram </w:t>
      </w:r>
      <w:r w:rsidR="00D74E8C">
        <w:rPr>
          <w:color w:val="auto"/>
        </w:rPr>
        <w:t xml:space="preserve">provides </w:t>
      </w:r>
      <w:r>
        <w:rPr>
          <w:color w:val="auto"/>
        </w:rPr>
        <w:t xml:space="preserve">an overview of the broad </w:t>
      </w:r>
      <w:r>
        <w:t xml:space="preserve">dynamics of the welfare system. This indicates the high-level movements of entries to and exits from the welfare system, and transfers between the broad welfare categories of </w:t>
      </w:r>
      <w:r w:rsidR="001F0FCC">
        <w:t>Age Pension</w:t>
      </w:r>
      <w:r>
        <w:t xml:space="preserve">, other income support, and </w:t>
      </w:r>
      <w:r w:rsidR="00621A46">
        <w:t>non-income</w:t>
      </w:r>
      <w:r>
        <w:t xml:space="preserve"> support.</w:t>
      </w:r>
    </w:p>
    <w:p w14:paraId="708607AF" w14:textId="6DB9DC64" w:rsidR="00630BF8" w:rsidRDefault="00630BF8" w:rsidP="000B1493">
      <w:pPr>
        <w:pStyle w:val="Caption"/>
      </w:pPr>
      <w:bookmarkStart w:id="91" w:name="_Toc100131511"/>
      <w:bookmarkStart w:id="92" w:name="_Ref38392875"/>
      <w:r w:rsidRPr="00EC69F2">
        <w:lastRenderedPageBreak/>
        <w:t xml:space="preserve">Figure </w:t>
      </w:r>
      <w:r w:rsidRPr="00EC69F2">
        <w:rPr>
          <w:noProof/>
        </w:rPr>
        <w:fldChar w:fldCharType="begin"/>
      </w:r>
      <w:r w:rsidRPr="00EC69F2">
        <w:rPr>
          <w:noProof/>
        </w:rPr>
        <w:instrText xml:space="preserve"> SEQ Figure \* ARABIC </w:instrText>
      </w:r>
      <w:r w:rsidRPr="00EC69F2">
        <w:rPr>
          <w:noProof/>
        </w:rPr>
        <w:fldChar w:fldCharType="separate"/>
      </w:r>
      <w:r w:rsidR="00751625">
        <w:rPr>
          <w:noProof/>
        </w:rPr>
        <w:t>1</w:t>
      </w:r>
      <w:r w:rsidRPr="00EC69F2">
        <w:rPr>
          <w:noProof/>
        </w:rPr>
        <w:fldChar w:fldCharType="end"/>
      </w:r>
      <w:r w:rsidRPr="00EC69F2">
        <w:t xml:space="preserve">: Overview </w:t>
      </w:r>
      <w:r w:rsidRPr="009133C2">
        <w:t>of</w:t>
      </w:r>
      <w:r w:rsidRPr="00EC69F2">
        <w:t xml:space="preserve"> the </w:t>
      </w:r>
      <w:r>
        <w:t>D</w:t>
      </w:r>
      <w:r w:rsidRPr="00EC69F2">
        <w:t xml:space="preserve">ynamics of the </w:t>
      </w:r>
      <w:r>
        <w:t>W</w:t>
      </w:r>
      <w:r w:rsidRPr="00EC69F2">
        <w:t xml:space="preserve">elfare </w:t>
      </w:r>
      <w:r>
        <w:t>S</w:t>
      </w:r>
      <w:r w:rsidRPr="00EC69F2">
        <w:t>ystem</w:t>
      </w:r>
      <w:bookmarkEnd w:id="91"/>
    </w:p>
    <w:p w14:paraId="07D0E93F" w14:textId="764DB718" w:rsidR="00630BF8" w:rsidRDefault="008D4701" w:rsidP="00AA26EE">
      <w:pPr>
        <w:pStyle w:val="ChartGraphic"/>
        <w:jc w:val="left"/>
      </w:pPr>
      <w:r w:rsidRPr="008D4701">
        <w:rPr>
          <w:noProof/>
        </w:rPr>
        <w:drawing>
          <wp:inline distT="0" distB="0" distL="0" distR="0" wp14:anchorId="32598A02" wp14:editId="706AD1FF">
            <wp:extent cx="4895850" cy="5453892"/>
            <wp:effectExtent l="0" t="0" r="0" b="0"/>
            <wp:docPr id="1048" name="Picture 1048" descr="This flow diagram shows the modelled transitions for an individual life, in the context of the welfare system. The within welfare transitions are shown as being between Pre-Retirement Income Support (Classes 1-5) and Non Income Support (Classes 7-9), with both potentially leading to Post-Retirement Income Support (Class 6). The wider picture also shows entries and exits to the non-welfare recipient group (Classes 10-12), which includes those who have died (Clas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Picture 1048" descr="This flow diagram shows the modelled transitions for an individual life, in the context of the welfare system. The within welfare transitions are shown as being between Pre-Retirement Income Support (Classes 1-5) and Non Income Support (Classes 7-9), with both potentially leading to Post-Retirement Income Support (Class 6). The wider picture also shows entries and exits to the non-welfare recipient group (Classes 10-12), which includes those who have died (Class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95850" cy="5453892"/>
                    </a:xfrm>
                    <a:prstGeom prst="rect">
                      <a:avLst/>
                    </a:prstGeom>
                    <a:noFill/>
                    <a:ln>
                      <a:noFill/>
                    </a:ln>
                  </pic:spPr>
                </pic:pic>
              </a:graphicData>
            </a:graphic>
          </wp:inline>
        </w:drawing>
      </w:r>
    </w:p>
    <w:p w14:paraId="40ACA1C1" w14:textId="77777777" w:rsidR="00630BF8" w:rsidRPr="00630BF8" w:rsidRDefault="00630BF8" w:rsidP="00630BF8">
      <w:pPr>
        <w:pStyle w:val="SingleParagraph"/>
      </w:pPr>
    </w:p>
    <w:bookmarkEnd w:id="92"/>
    <w:p w14:paraId="709DE9DE" w14:textId="78D8159F" w:rsidR="000E1CC7" w:rsidRPr="00F35088" w:rsidRDefault="000E1CC7" w:rsidP="00EE7DC2">
      <w:pPr>
        <w:pStyle w:val="OutlineNumbered1"/>
        <w:rPr>
          <w:color w:val="auto"/>
        </w:rPr>
      </w:pPr>
      <w:r w:rsidRPr="00187EC8">
        <w:t>The model projects individuals’ trajectories through life and their interactions with the welfare system.</w:t>
      </w:r>
      <w:r>
        <w:t xml:space="preserve"> The average </w:t>
      </w:r>
      <w:r w:rsidR="002A2F33">
        <w:t>Lifetime Cost</w:t>
      </w:r>
      <w:r>
        <w:t xml:space="preserve"> for people in each class is driven by the probability of an </w:t>
      </w:r>
      <w:r w:rsidR="00E46DEC">
        <w:t>individual in</w:t>
      </w:r>
      <w:r>
        <w:t xml:space="preserve"> that starting population entering, remaining in or leaving the system in each future year; combined with the type and amount of payments they are likely to receive while they are active in the system.</w:t>
      </w:r>
    </w:p>
    <w:p w14:paraId="35DF8A59" w14:textId="7ACCE45E" w:rsidR="00E06DDF" w:rsidRPr="00B4381F" w:rsidRDefault="00E46DEC" w:rsidP="002C30FE">
      <w:pPr>
        <w:pStyle w:val="Heading2"/>
      </w:pPr>
      <w:bookmarkStart w:id="93" w:name="_Toc36555794"/>
      <w:bookmarkStart w:id="94" w:name="_Toc36563893"/>
      <w:bookmarkStart w:id="95" w:name="_Toc36655864"/>
      <w:bookmarkStart w:id="96" w:name="_Toc37931074"/>
      <w:bookmarkStart w:id="97" w:name="_Toc38007018"/>
      <w:bookmarkStart w:id="98" w:name="_Toc38458543"/>
      <w:bookmarkStart w:id="99" w:name="_Toc39071801"/>
      <w:bookmarkStart w:id="100" w:name="_Toc39243431"/>
      <w:bookmarkStart w:id="101" w:name="_Toc100131555"/>
      <w:r w:rsidRPr="007C0BB0">
        <w:t>Data</w:t>
      </w:r>
      <w:bookmarkEnd w:id="93"/>
      <w:bookmarkEnd w:id="94"/>
      <w:bookmarkEnd w:id="95"/>
      <w:bookmarkEnd w:id="96"/>
      <w:bookmarkEnd w:id="97"/>
      <w:bookmarkEnd w:id="98"/>
      <w:bookmarkEnd w:id="99"/>
      <w:bookmarkEnd w:id="100"/>
      <w:bookmarkEnd w:id="101"/>
    </w:p>
    <w:p w14:paraId="739B0362" w14:textId="19E3182E" w:rsidR="00CC53E3" w:rsidRPr="00FA191B" w:rsidRDefault="009100AF" w:rsidP="00EE7DC2">
      <w:pPr>
        <w:pStyle w:val="OutlineNumbered1"/>
        <w:rPr>
          <w:color w:val="auto"/>
        </w:rPr>
      </w:pPr>
      <w:r>
        <w:t>Detailed data</w:t>
      </w:r>
      <w:r w:rsidR="00CE4DA9">
        <w:t xml:space="preserve"> for each person in the model population</w:t>
      </w:r>
      <w:r>
        <w:t xml:space="preserve"> is required in order to </w:t>
      </w:r>
      <w:r w:rsidR="00CC53E3">
        <w:t xml:space="preserve">project an </w:t>
      </w:r>
      <w:r w:rsidR="00CC53E3" w:rsidRPr="00187EC8">
        <w:t>individual</w:t>
      </w:r>
      <w:r w:rsidR="00D74E8C">
        <w:t>’</w:t>
      </w:r>
      <w:r w:rsidR="00CC53E3" w:rsidRPr="00187EC8">
        <w:t>s trajector</w:t>
      </w:r>
      <w:r w:rsidR="00CC53E3">
        <w:t>y</w:t>
      </w:r>
      <w:r w:rsidR="00CC53E3" w:rsidRPr="00187EC8">
        <w:t xml:space="preserve"> through life</w:t>
      </w:r>
      <w:r>
        <w:t>, in terms of their interaction</w:t>
      </w:r>
      <w:r w:rsidR="00CC53E3" w:rsidRPr="00187EC8">
        <w:t xml:space="preserve"> with the </w:t>
      </w:r>
      <w:r w:rsidR="00CC53E3" w:rsidRPr="00187EC8">
        <w:lastRenderedPageBreak/>
        <w:t>welfare system</w:t>
      </w:r>
      <w:r w:rsidR="00CC53E3">
        <w:t xml:space="preserve">. DSS produces and maintains a </w:t>
      </w:r>
      <w:r w:rsidR="00CC53E3" w:rsidRPr="00187EC8">
        <w:t>longitudinal dataset covering welfare use</w:t>
      </w:r>
      <w:r w:rsidR="00CC53E3">
        <w:t xml:space="preserve"> in Australia. This dataset provides the major source of relevant information relating to the welfare population, transitions into and out of the welfare population over time, and payments made.</w:t>
      </w:r>
    </w:p>
    <w:p w14:paraId="1CDDBAE5" w14:textId="5D6555BF" w:rsidR="00CC53E3" w:rsidRPr="000D1FBF" w:rsidRDefault="00CC53E3" w:rsidP="00EE7DC2">
      <w:pPr>
        <w:pStyle w:val="OutlineNumbered1"/>
      </w:pPr>
      <w:r w:rsidRPr="009578AE">
        <w:t>Other supplementary data also supports the modelling</w:t>
      </w:r>
      <w:r w:rsidR="009100AF">
        <w:t xml:space="preserve"> process</w:t>
      </w:r>
      <w:r w:rsidRPr="009578AE">
        <w:t>. This includes past Census data, the Australian Life Tables, data from the Australian Bureau of Statistics (ABS), and t</w:t>
      </w:r>
      <w:r w:rsidRPr="009578AE">
        <w:rPr>
          <w:rFonts w:cs="Arial"/>
        </w:rPr>
        <w:t xml:space="preserve">he </w:t>
      </w:r>
      <w:r w:rsidRPr="009578AE">
        <w:rPr>
          <w:rFonts w:cs="Arial"/>
          <w:bCs/>
        </w:rPr>
        <w:t>Household, Income and Labour Dynamics in Australia</w:t>
      </w:r>
      <w:r w:rsidRPr="009578AE">
        <w:rPr>
          <w:rFonts w:cs="Arial"/>
        </w:rPr>
        <w:t xml:space="preserve"> (</w:t>
      </w:r>
      <w:r w:rsidRPr="009578AE">
        <w:rPr>
          <w:rFonts w:cs="Arial"/>
          <w:bCs/>
        </w:rPr>
        <w:t>HILDA</w:t>
      </w:r>
      <w:r w:rsidRPr="009578AE">
        <w:rPr>
          <w:rFonts w:cs="Arial"/>
        </w:rPr>
        <w:t>) Survey.</w:t>
      </w:r>
    </w:p>
    <w:p w14:paraId="01579313" w14:textId="1627FE7B" w:rsidR="00CC53E3" w:rsidRPr="00A51B60" w:rsidRDefault="00CC53E3" w:rsidP="00EE7DC2">
      <w:pPr>
        <w:pStyle w:val="OutlineNumbered1"/>
        <w:rPr>
          <w:color w:val="auto"/>
        </w:rPr>
      </w:pPr>
      <w:r w:rsidRPr="00187EC8">
        <w:t>At this valuation</w:t>
      </w:r>
      <w:r w:rsidR="00D74E8C">
        <w:t>,</w:t>
      </w:r>
      <w:r w:rsidRPr="00187EC8">
        <w:t xml:space="preserve"> we have used a data extraction </w:t>
      </w:r>
      <w:r>
        <w:t xml:space="preserve">(census) </w:t>
      </w:r>
      <w:r w:rsidRPr="00187EC8">
        <w:t xml:space="preserve">date </w:t>
      </w:r>
      <w:r>
        <w:t xml:space="preserve">for DSS data </w:t>
      </w:r>
      <w:r w:rsidRPr="00187EC8">
        <w:t>of 30</w:t>
      </w:r>
      <w:r w:rsidR="009473B0">
        <w:t> </w:t>
      </w:r>
      <w:r>
        <w:t>September rather than 30</w:t>
      </w:r>
      <w:r w:rsidR="009473B0">
        <w:t> </w:t>
      </w:r>
      <w:r>
        <w:t xml:space="preserve">June. This follows the approach used in the 2018 valuation. </w:t>
      </w:r>
    </w:p>
    <w:p w14:paraId="17B1F601" w14:textId="543E2DA5" w:rsidR="00CC53E3" w:rsidRPr="00A51B60" w:rsidRDefault="00CC53E3" w:rsidP="00EE7DC2">
      <w:pPr>
        <w:pStyle w:val="OutlineNumbered1"/>
        <w:rPr>
          <w:color w:val="auto"/>
        </w:rPr>
      </w:pPr>
      <w:r>
        <w:t>A date later than the valuation date of 30</w:t>
      </w:r>
      <w:r w:rsidR="009473B0">
        <w:t> </w:t>
      </w:r>
      <w:r>
        <w:t>June</w:t>
      </w:r>
      <w:r w:rsidR="009473B0">
        <w:t> </w:t>
      </w:r>
      <w:r>
        <w:t>2019 is used because some entrants into, and exits from</w:t>
      </w:r>
      <w:r w:rsidR="00EA2EA1">
        <w:t>,</w:t>
      </w:r>
      <w:r>
        <w:t xml:space="preserve"> the welfare system may not have that movement recorded as it occurs</w:t>
      </w:r>
      <w:r w:rsidR="00CC5ADE">
        <w:t xml:space="preserve">. Rather, </w:t>
      </w:r>
      <w:r>
        <w:t xml:space="preserve">it is collated after the event due to </w:t>
      </w:r>
      <w:r w:rsidRPr="00A51B60">
        <w:rPr>
          <w:snapToGrid w:val="0"/>
        </w:rPr>
        <w:t>delays in processing applications and reporting.</w:t>
      </w:r>
      <w:r>
        <w:t xml:space="preserve"> If an extraction date of 30</w:t>
      </w:r>
      <w:r w:rsidR="00753715">
        <w:t> </w:t>
      </w:r>
      <w:r>
        <w:t>June was used instead, then information recorded after this date relating to historical entitlements would not be part of the collected data. This data maturity issue would particularly impact the experience recorded for the most recent year.</w:t>
      </w:r>
    </w:p>
    <w:p w14:paraId="21373D63" w14:textId="7A889594" w:rsidR="00CC53E3" w:rsidRPr="00A51B60" w:rsidRDefault="00CC53E3" w:rsidP="00EE7DC2">
      <w:pPr>
        <w:pStyle w:val="OutlineNumbered1"/>
        <w:rPr>
          <w:color w:val="auto"/>
        </w:rPr>
      </w:pPr>
      <w:r>
        <w:t>Hence, adopting a</w:t>
      </w:r>
      <w:r w:rsidRPr="00187EC8">
        <w:t xml:space="preserve"> </w:t>
      </w:r>
      <w:r>
        <w:t xml:space="preserve">date of data extraction </w:t>
      </w:r>
      <w:r w:rsidR="00CC5ADE">
        <w:t>as at 30</w:t>
      </w:r>
      <w:r w:rsidR="00753715">
        <w:t> </w:t>
      </w:r>
      <w:r w:rsidR="00CC5ADE">
        <w:t>September</w:t>
      </w:r>
      <w:r w:rsidR="00753715">
        <w:t> </w:t>
      </w:r>
      <w:r w:rsidR="00CC5ADE">
        <w:t>2019, in respect of the model population as at 30</w:t>
      </w:r>
      <w:r w:rsidR="00753715">
        <w:t> </w:t>
      </w:r>
      <w:r w:rsidR="00CC5ADE">
        <w:t>June</w:t>
      </w:r>
      <w:r w:rsidR="00753715">
        <w:t> </w:t>
      </w:r>
      <w:r w:rsidR="00CC5ADE">
        <w:t xml:space="preserve">2019, </w:t>
      </w:r>
      <w:r w:rsidRPr="00187EC8">
        <w:t>provide</w:t>
      </w:r>
      <w:r w:rsidR="00825A49">
        <w:t>s</w:t>
      </w:r>
      <w:r w:rsidRPr="00187EC8">
        <w:t xml:space="preserve"> more certa</w:t>
      </w:r>
      <w:r>
        <w:t xml:space="preserve">inty </w:t>
      </w:r>
      <w:r w:rsidR="00825A49">
        <w:t>for</w:t>
      </w:r>
      <w:r>
        <w:t xml:space="preserve"> </w:t>
      </w:r>
      <w:r w:rsidR="00825A49">
        <w:t xml:space="preserve">early projection years </w:t>
      </w:r>
      <w:r>
        <w:t xml:space="preserve">in </w:t>
      </w:r>
      <w:r w:rsidR="00825A49">
        <w:t>particular</w:t>
      </w:r>
      <w:r>
        <w:t>.</w:t>
      </w:r>
    </w:p>
    <w:p w14:paraId="57E358A6" w14:textId="7F1B28DC" w:rsidR="003010B3" w:rsidRDefault="000C2F64" w:rsidP="002C30FE">
      <w:pPr>
        <w:pStyle w:val="Heading2"/>
      </w:pPr>
      <w:bookmarkStart w:id="102" w:name="_Toc36555795"/>
      <w:bookmarkStart w:id="103" w:name="_Toc36563894"/>
      <w:bookmarkStart w:id="104" w:name="_Toc36655865"/>
      <w:bookmarkStart w:id="105" w:name="_Toc37931075"/>
      <w:bookmarkStart w:id="106" w:name="_Toc38007019"/>
      <w:bookmarkStart w:id="107" w:name="_Toc38458544"/>
      <w:bookmarkStart w:id="108" w:name="_Toc39071802"/>
      <w:bookmarkStart w:id="109" w:name="_Toc39243432"/>
      <w:bookmarkStart w:id="110" w:name="_Toc100131556"/>
      <w:r w:rsidRPr="007C0BB0">
        <w:t>Modelling</w:t>
      </w:r>
      <w:r>
        <w:t xml:space="preserve"> </w:t>
      </w:r>
      <w:r w:rsidR="008F25CB">
        <w:t>p</w:t>
      </w:r>
      <w:r w:rsidRPr="001F14FC">
        <w:t>rocess</w:t>
      </w:r>
      <w:bookmarkEnd w:id="102"/>
      <w:bookmarkEnd w:id="103"/>
      <w:bookmarkEnd w:id="104"/>
      <w:bookmarkEnd w:id="105"/>
      <w:bookmarkEnd w:id="106"/>
      <w:bookmarkEnd w:id="107"/>
      <w:bookmarkEnd w:id="108"/>
      <w:bookmarkEnd w:id="109"/>
      <w:bookmarkEnd w:id="110"/>
    </w:p>
    <w:p w14:paraId="6D006325" w14:textId="6D60FE08" w:rsidR="00CC53E3" w:rsidRPr="00F64D44" w:rsidRDefault="00CC5ADE" w:rsidP="00EE7DC2">
      <w:pPr>
        <w:pStyle w:val="OutlineNumbered1"/>
        <w:rPr>
          <w:color w:val="auto"/>
        </w:rPr>
      </w:pPr>
      <w:r>
        <w:t>An individual’s contribution to t</w:t>
      </w:r>
      <w:r w:rsidR="00CC53E3">
        <w:t xml:space="preserve">he </w:t>
      </w:r>
      <w:r w:rsidR="002A2F33">
        <w:t>Lifetime Cost</w:t>
      </w:r>
      <w:r w:rsidR="00CC53E3" w:rsidRPr="00187EC8">
        <w:t xml:space="preserve"> </w:t>
      </w:r>
      <w:r>
        <w:t xml:space="preserve">will </w:t>
      </w:r>
      <w:r w:rsidR="00CC53E3" w:rsidRPr="00187EC8">
        <w:t xml:space="preserve">vary significantly for </w:t>
      </w:r>
      <w:r w:rsidR="00CC53E3">
        <w:t xml:space="preserve">different </w:t>
      </w:r>
      <w:r w:rsidR="00CC53E3" w:rsidRPr="00187EC8">
        <w:t xml:space="preserve">people, based on their </w:t>
      </w:r>
      <w:r w:rsidR="00CC53E3">
        <w:t xml:space="preserve">particular </w:t>
      </w:r>
      <w:r w:rsidR="00CC53E3" w:rsidRPr="00187EC8">
        <w:t>circumstances or characteristics</w:t>
      </w:r>
      <w:r w:rsidR="00CC53E3">
        <w:t>. T</w:t>
      </w:r>
      <w:r w:rsidR="00CC53E3" w:rsidRPr="00187EC8">
        <w:t xml:space="preserve">he extent to which these </w:t>
      </w:r>
      <w:r w:rsidR="00CC53E3">
        <w:t xml:space="preserve">characteristics </w:t>
      </w:r>
      <w:r w:rsidR="00CC53E3" w:rsidRPr="00187EC8">
        <w:t>are shown to be important differentiators of welfare utilisation or payment size</w:t>
      </w:r>
      <w:r w:rsidR="00CC53E3">
        <w:t>, is therefore a key element of the modelling process</w:t>
      </w:r>
      <w:r w:rsidR="00CC53E3" w:rsidRPr="00187EC8">
        <w:t xml:space="preserve">. </w:t>
      </w:r>
    </w:p>
    <w:p w14:paraId="42E876CE" w14:textId="32077143" w:rsidR="00CC53E3" w:rsidRPr="00E55D07" w:rsidRDefault="00CC53E3" w:rsidP="00EE7DC2">
      <w:pPr>
        <w:pStyle w:val="OutlineNumbered1"/>
      </w:pPr>
      <w:r>
        <w:t xml:space="preserve">The modelling process identifies appropriate weightings to be given to each characteristic that drives welfare entry, exit, and payment size. Importantly, this identification and allocation of weighting occurs within a class structure, with different welfare classes defined based on the types of payments received over the last year. These classes are </w:t>
      </w:r>
      <w:r w:rsidRPr="00E55D07">
        <w:t xml:space="preserve">defined </w:t>
      </w:r>
      <w:r w:rsidR="00D74E8C" w:rsidRPr="00E55D07">
        <w:t xml:space="preserve">in </w:t>
      </w:r>
      <w:hyperlink w:anchor="Table1" w:history="1">
        <w:r w:rsidR="00D74E8C" w:rsidRPr="00E55D07">
          <w:t>Table 1</w:t>
        </w:r>
      </w:hyperlink>
      <w:r w:rsidRPr="00E55D07">
        <w:t>.</w:t>
      </w:r>
    </w:p>
    <w:p w14:paraId="39F9036D" w14:textId="4B98B434" w:rsidR="00CC53E3" w:rsidRDefault="00CC53E3" w:rsidP="000B1493">
      <w:pPr>
        <w:pStyle w:val="Caption"/>
      </w:pPr>
      <w:bookmarkStart w:id="111" w:name="Table1"/>
      <w:bookmarkStart w:id="112" w:name="_Ref505589301"/>
      <w:bookmarkEnd w:id="111"/>
      <w:r>
        <w:lastRenderedPageBreak/>
        <w:t xml:space="preserve">Table </w:t>
      </w:r>
      <w:r>
        <w:fldChar w:fldCharType="begin"/>
      </w:r>
      <w:r>
        <w:rPr>
          <w:noProof/>
        </w:rPr>
        <w:instrText xml:space="preserve"> SEQ Table \* ARABIC </w:instrText>
      </w:r>
      <w:r>
        <w:fldChar w:fldCharType="separate"/>
      </w:r>
      <w:r w:rsidR="00751625">
        <w:rPr>
          <w:noProof/>
        </w:rPr>
        <w:t>1</w:t>
      </w:r>
      <w:r>
        <w:fldChar w:fldCharType="end"/>
      </w:r>
      <w:r>
        <w:t xml:space="preserve">: Welfare </w:t>
      </w:r>
      <w:r w:rsidR="009133C2">
        <w:t>C</w:t>
      </w:r>
      <w:r>
        <w:t>lasses</w:t>
      </w:r>
      <w:bookmarkEnd w:id="112"/>
      <w:r w:rsidRPr="00CC53E3">
        <w:t xml:space="preserve"> </w:t>
      </w:r>
    </w:p>
    <w:tbl>
      <w:tblPr>
        <w:tblStyle w:val="ListTable3-Accent1"/>
        <w:tblW w:w="4968" w:type="pct"/>
        <w:tblLayout w:type="fixed"/>
        <w:tblLook w:val="04A0" w:firstRow="1" w:lastRow="0" w:firstColumn="1" w:lastColumn="0" w:noHBand="0" w:noVBand="1"/>
      </w:tblPr>
      <w:tblGrid>
        <w:gridCol w:w="1020"/>
        <w:gridCol w:w="1707"/>
        <w:gridCol w:w="4924"/>
      </w:tblGrid>
      <w:tr w:rsidR="00CC53E3" w:rsidRPr="001C59A6" w14:paraId="60F1443A" w14:textId="77777777" w:rsidTr="006F58B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1" w:type="dxa"/>
            <w:vAlign w:val="center"/>
            <w:hideMark/>
          </w:tcPr>
          <w:p w14:paraId="210531E9" w14:textId="17640C6D" w:rsidR="00CC53E3" w:rsidRPr="00072160" w:rsidRDefault="00CC53E3" w:rsidP="00072160">
            <w:pPr>
              <w:pStyle w:val="TableTextSmall"/>
              <w:keepNext/>
              <w:rPr>
                <w:rFonts w:ascii="Arial" w:hAnsi="Arial"/>
                <w:color w:val="auto"/>
                <w:sz w:val="18"/>
              </w:rPr>
            </w:pPr>
            <w:r w:rsidRPr="00072160">
              <w:rPr>
                <w:rFonts w:ascii="Arial" w:hAnsi="Arial"/>
                <w:color w:val="auto"/>
                <w:sz w:val="18"/>
              </w:rPr>
              <w:t xml:space="preserve">Class </w:t>
            </w:r>
            <w:r w:rsidR="009133C2" w:rsidRPr="00072160">
              <w:rPr>
                <w:rFonts w:ascii="Arial" w:hAnsi="Arial"/>
                <w:color w:val="auto"/>
                <w:sz w:val="18"/>
              </w:rPr>
              <w:t>C</w:t>
            </w:r>
            <w:r w:rsidRPr="00072160">
              <w:rPr>
                <w:rFonts w:ascii="Arial" w:hAnsi="Arial"/>
                <w:color w:val="auto"/>
                <w:sz w:val="18"/>
              </w:rPr>
              <w:t>ategory</w:t>
            </w:r>
          </w:p>
        </w:tc>
        <w:tc>
          <w:tcPr>
            <w:tcW w:w="1708" w:type="dxa"/>
            <w:vAlign w:val="center"/>
          </w:tcPr>
          <w:p w14:paraId="5F586BCB" w14:textId="2FEA809A" w:rsidR="00CC53E3" w:rsidRPr="00072160" w:rsidRDefault="00CC53E3" w:rsidP="00072160">
            <w:pPr>
              <w:pStyle w:val="TableTextSmall"/>
              <w:keepNext/>
              <w:cnfStyle w:val="100000000000" w:firstRow="1" w:lastRow="0" w:firstColumn="0" w:lastColumn="0" w:oddVBand="0" w:evenVBand="0" w:oddHBand="0" w:evenHBand="0" w:firstRowFirstColumn="0" w:firstRowLastColumn="0" w:lastRowFirstColumn="0" w:lastRowLastColumn="0"/>
              <w:rPr>
                <w:rFonts w:ascii="Arial" w:eastAsia="Times New Roman" w:hAnsi="Arial"/>
                <w:color w:val="auto"/>
                <w:sz w:val="18"/>
                <w:lang w:eastAsia="en-AU"/>
              </w:rPr>
            </w:pPr>
            <w:r w:rsidRPr="00072160">
              <w:rPr>
                <w:rFonts w:ascii="Arial" w:hAnsi="Arial"/>
                <w:color w:val="auto"/>
                <w:sz w:val="18"/>
              </w:rPr>
              <w:t xml:space="preserve">Class </w:t>
            </w:r>
            <w:r w:rsidR="009133C2" w:rsidRPr="00072160">
              <w:rPr>
                <w:rFonts w:ascii="Arial" w:hAnsi="Arial"/>
                <w:color w:val="auto"/>
                <w:sz w:val="18"/>
              </w:rPr>
              <w:t>N</w:t>
            </w:r>
            <w:r w:rsidRPr="00072160">
              <w:rPr>
                <w:rFonts w:ascii="Arial" w:hAnsi="Arial"/>
                <w:color w:val="auto"/>
                <w:sz w:val="18"/>
              </w:rPr>
              <w:t>umber</w:t>
            </w:r>
          </w:p>
        </w:tc>
        <w:tc>
          <w:tcPr>
            <w:tcW w:w="4927" w:type="dxa"/>
            <w:vAlign w:val="center"/>
            <w:hideMark/>
          </w:tcPr>
          <w:p w14:paraId="5E2C34C5" w14:textId="77777777" w:rsidR="00CC53E3" w:rsidRPr="00072160" w:rsidRDefault="00CC53E3" w:rsidP="00072160">
            <w:pPr>
              <w:pStyle w:val="TableTextSmall"/>
              <w:keepNext/>
              <w:cnfStyle w:val="100000000000" w:firstRow="1" w:lastRow="0" w:firstColumn="0" w:lastColumn="0" w:oddVBand="0" w:evenVBand="0" w:oddHBand="0" w:evenHBand="0" w:firstRowFirstColumn="0" w:firstRowLastColumn="0" w:lastRowFirstColumn="0" w:lastRowLastColumn="0"/>
              <w:rPr>
                <w:rFonts w:ascii="Arial" w:hAnsi="Arial"/>
                <w:color w:val="auto"/>
                <w:sz w:val="18"/>
              </w:rPr>
            </w:pPr>
            <w:r w:rsidRPr="00072160">
              <w:rPr>
                <w:rFonts w:ascii="Arial" w:hAnsi="Arial"/>
                <w:color w:val="auto"/>
                <w:sz w:val="18"/>
              </w:rPr>
              <w:t>Description</w:t>
            </w:r>
          </w:p>
        </w:tc>
      </w:tr>
      <w:tr w:rsidR="00CC53E3" w:rsidRPr="001C59A6" w14:paraId="1F4C9C42" w14:textId="77777777" w:rsidTr="000721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dxa"/>
            <w:vMerge w:val="restart"/>
            <w:hideMark/>
          </w:tcPr>
          <w:p w14:paraId="22D35D08" w14:textId="77777777" w:rsidR="00CC53E3" w:rsidRPr="001C5E9B" w:rsidRDefault="00CC53E3" w:rsidP="00905916">
            <w:pPr>
              <w:pStyle w:val="TableTextSmall"/>
              <w:keepNext/>
              <w:spacing w:line="260" w:lineRule="exact"/>
              <w:rPr>
                <w:rFonts w:ascii="Arial" w:hAnsi="Arial"/>
                <w:color w:val="auto"/>
                <w:sz w:val="18"/>
              </w:rPr>
            </w:pPr>
            <w:r w:rsidRPr="001C5E9B">
              <w:rPr>
                <w:rFonts w:ascii="Arial" w:hAnsi="Arial"/>
                <w:color w:val="auto"/>
                <w:sz w:val="18"/>
              </w:rPr>
              <w:t>Active – income support (IS)</w:t>
            </w:r>
          </w:p>
        </w:tc>
        <w:tc>
          <w:tcPr>
            <w:tcW w:w="1708" w:type="dxa"/>
          </w:tcPr>
          <w:p w14:paraId="21A4CE54" w14:textId="77777777" w:rsidR="00CC53E3" w:rsidRPr="001D0437" w:rsidRDefault="00CC53E3" w:rsidP="00905916">
            <w:pPr>
              <w:pStyle w:val="TableTextSmalltopic"/>
              <w:keepNext/>
              <w:spacing w:line="260" w:lineRule="exact"/>
              <w:cnfStyle w:val="000000100000" w:firstRow="0" w:lastRow="0" w:firstColumn="0" w:lastColumn="0" w:oddVBand="0" w:evenVBand="0" w:oddHBand="1" w:evenHBand="0" w:firstRowFirstColumn="0" w:firstRowLastColumn="0" w:lastRowFirstColumn="0" w:lastRowLastColumn="0"/>
              <w:rPr>
                <w:rFonts w:ascii="Arial" w:hAnsi="Arial"/>
                <w:color w:val="auto"/>
                <w:sz w:val="18"/>
              </w:rPr>
            </w:pPr>
            <w:r w:rsidRPr="001D0437">
              <w:rPr>
                <w:rFonts w:ascii="Arial" w:hAnsi="Arial"/>
                <w:color w:val="auto"/>
                <w:sz w:val="18"/>
              </w:rPr>
              <w:t xml:space="preserve">1 Studying </w:t>
            </w:r>
          </w:p>
          <w:p w14:paraId="4A8C3EDD" w14:textId="77777777" w:rsidR="00CC53E3" w:rsidRPr="001D0437" w:rsidRDefault="00CC53E3" w:rsidP="00905916">
            <w:pPr>
              <w:pStyle w:val="TableTextSmall"/>
              <w:keepNext/>
              <w:spacing w:line="260" w:lineRule="exac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auto"/>
                <w:sz w:val="18"/>
                <w:lang w:eastAsia="en-AU"/>
              </w:rPr>
            </w:pPr>
          </w:p>
        </w:tc>
        <w:tc>
          <w:tcPr>
            <w:tcW w:w="4927" w:type="dxa"/>
            <w:hideMark/>
          </w:tcPr>
          <w:p w14:paraId="01546FAB" w14:textId="197C3464" w:rsidR="00CC53E3" w:rsidRPr="001D0437" w:rsidRDefault="00CC53E3" w:rsidP="00905916">
            <w:pPr>
              <w:pStyle w:val="TableTextSmall"/>
              <w:keepNext/>
              <w:spacing w:line="260" w:lineRule="exact"/>
              <w:cnfStyle w:val="000000100000" w:firstRow="0" w:lastRow="0" w:firstColumn="0" w:lastColumn="0" w:oddVBand="0" w:evenVBand="0" w:oddHBand="1" w:evenHBand="0" w:firstRowFirstColumn="0" w:firstRowLastColumn="0" w:lastRowFirstColumn="0" w:lastRowLastColumn="0"/>
              <w:rPr>
                <w:rFonts w:ascii="Arial" w:hAnsi="Arial"/>
                <w:color w:val="auto"/>
                <w:sz w:val="18"/>
              </w:rPr>
            </w:pPr>
            <w:r w:rsidRPr="001D0437">
              <w:rPr>
                <w:rFonts w:ascii="Arial" w:hAnsi="Arial"/>
                <w:color w:val="auto"/>
                <w:sz w:val="18"/>
              </w:rPr>
              <w:t>People receiving Austudy, ABSTUDY or Youth Allowance (Student) as their most recent income support payment.</w:t>
            </w:r>
          </w:p>
        </w:tc>
      </w:tr>
      <w:tr w:rsidR="00CC53E3" w:rsidRPr="001C59A6" w14:paraId="20EDC7A2" w14:textId="77777777" w:rsidTr="00072160">
        <w:tc>
          <w:tcPr>
            <w:cnfStyle w:val="001000000000" w:firstRow="0" w:lastRow="0" w:firstColumn="1" w:lastColumn="0" w:oddVBand="0" w:evenVBand="0" w:oddHBand="0" w:evenHBand="0" w:firstRowFirstColumn="0" w:firstRowLastColumn="0" w:lastRowFirstColumn="0" w:lastRowLastColumn="0"/>
            <w:tcW w:w="1021" w:type="dxa"/>
            <w:vMerge/>
            <w:hideMark/>
          </w:tcPr>
          <w:p w14:paraId="59135F1A" w14:textId="77777777" w:rsidR="00CC53E3" w:rsidRPr="001D0437" w:rsidRDefault="00CC53E3" w:rsidP="00905916">
            <w:pPr>
              <w:pStyle w:val="TableTextSmall"/>
              <w:keepNext/>
              <w:spacing w:line="260" w:lineRule="exact"/>
              <w:rPr>
                <w:rFonts w:ascii="Arial" w:hAnsi="Arial"/>
                <w:color w:val="auto"/>
                <w:sz w:val="18"/>
              </w:rPr>
            </w:pPr>
          </w:p>
        </w:tc>
        <w:tc>
          <w:tcPr>
            <w:tcW w:w="1708" w:type="dxa"/>
          </w:tcPr>
          <w:p w14:paraId="57344697" w14:textId="77777777" w:rsidR="00CC53E3" w:rsidRPr="001D0437" w:rsidRDefault="00CC53E3" w:rsidP="00905916">
            <w:pPr>
              <w:pStyle w:val="TableTextSmalltopic"/>
              <w:keepNext/>
              <w:spacing w:line="260" w:lineRule="exact"/>
              <w:cnfStyle w:val="000000000000" w:firstRow="0" w:lastRow="0" w:firstColumn="0" w:lastColumn="0" w:oddVBand="0" w:evenVBand="0" w:oddHBand="0" w:evenHBand="0" w:firstRowFirstColumn="0" w:firstRowLastColumn="0" w:lastRowFirstColumn="0" w:lastRowLastColumn="0"/>
              <w:rPr>
                <w:rFonts w:ascii="Arial" w:hAnsi="Arial"/>
                <w:color w:val="auto"/>
                <w:sz w:val="18"/>
              </w:rPr>
            </w:pPr>
            <w:r w:rsidRPr="001D0437">
              <w:rPr>
                <w:rFonts w:ascii="Arial" w:hAnsi="Arial"/>
                <w:color w:val="auto"/>
                <w:sz w:val="18"/>
              </w:rPr>
              <w:t xml:space="preserve">2 Working Age </w:t>
            </w:r>
          </w:p>
          <w:p w14:paraId="0B8504CC" w14:textId="77777777" w:rsidR="00CC53E3" w:rsidRPr="001D0437" w:rsidRDefault="00CC53E3" w:rsidP="00905916">
            <w:pPr>
              <w:spacing w:before="40" w:after="40"/>
              <w:cnfStyle w:val="000000000000" w:firstRow="0" w:lastRow="0" w:firstColumn="0" w:lastColumn="0" w:oddVBand="0" w:evenVBand="0" w:oddHBand="0" w:evenHBand="0" w:firstRowFirstColumn="0" w:firstRowLastColumn="0" w:lastRowFirstColumn="0" w:lastRowLastColumn="0"/>
              <w:rPr>
                <w:rFonts w:cs="Arial"/>
                <w:color w:val="auto"/>
                <w:sz w:val="18"/>
                <w:szCs w:val="18"/>
              </w:rPr>
            </w:pPr>
          </w:p>
        </w:tc>
        <w:tc>
          <w:tcPr>
            <w:tcW w:w="4927" w:type="dxa"/>
            <w:hideMark/>
          </w:tcPr>
          <w:p w14:paraId="0915B5D8" w14:textId="385EB3C7" w:rsidR="00CC53E3" w:rsidRPr="001D0437" w:rsidRDefault="00CC53E3" w:rsidP="00905916">
            <w:pPr>
              <w:spacing w:before="40" w:after="40"/>
              <w:cnfStyle w:val="000000000000" w:firstRow="0" w:lastRow="0" w:firstColumn="0" w:lastColumn="0" w:oddVBand="0" w:evenVBand="0" w:oddHBand="0" w:evenHBand="0" w:firstRowFirstColumn="0" w:firstRowLastColumn="0" w:lastRowFirstColumn="0" w:lastRowLastColumn="0"/>
              <w:rPr>
                <w:rFonts w:cs="Arial"/>
                <w:color w:val="auto"/>
                <w:sz w:val="18"/>
                <w:szCs w:val="18"/>
              </w:rPr>
            </w:pPr>
            <w:r w:rsidRPr="001D0437">
              <w:rPr>
                <w:rFonts w:cs="Arial"/>
                <w:color w:val="auto"/>
                <w:sz w:val="18"/>
                <w:szCs w:val="18"/>
              </w:rPr>
              <w:t>People receiving Newstart Allowance or Youth Allowance (Other) as their most recent income support payment (</w:t>
            </w:r>
            <w:r w:rsidR="00174C6D">
              <w:rPr>
                <w:rFonts w:cs="Arial"/>
                <w:sz w:val="18"/>
                <w:szCs w:val="18"/>
              </w:rPr>
              <w:t>plus</w:t>
            </w:r>
            <w:r w:rsidRPr="001D0437">
              <w:rPr>
                <w:rFonts w:cs="Arial"/>
                <w:color w:val="auto"/>
                <w:sz w:val="18"/>
                <w:szCs w:val="18"/>
              </w:rPr>
              <w:t xml:space="preserve"> a small number of other recipients).</w:t>
            </w:r>
            <w:r w:rsidR="00174C6D" w:rsidRPr="00174C6D">
              <w:rPr>
                <w:rFonts w:cs="Arial"/>
                <w:color w:val="auto"/>
                <w:sz w:val="18"/>
                <w:szCs w:val="18"/>
              </w:rPr>
              <w:t xml:space="preserve"> Note – we will use the updated term of Job</w:t>
            </w:r>
            <w:r w:rsidR="0005731E">
              <w:rPr>
                <w:rFonts w:cs="Arial"/>
                <w:color w:val="auto"/>
                <w:sz w:val="18"/>
                <w:szCs w:val="18"/>
              </w:rPr>
              <w:t>S</w:t>
            </w:r>
            <w:r w:rsidR="00174C6D" w:rsidRPr="00174C6D">
              <w:rPr>
                <w:rFonts w:cs="Arial"/>
                <w:color w:val="auto"/>
                <w:sz w:val="18"/>
                <w:szCs w:val="18"/>
              </w:rPr>
              <w:t xml:space="preserve">eeker </w:t>
            </w:r>
            <w:r w:rsidR="00D74E8C">
              <w:rPr>
                <w:rFonts w:cs="Arial"/>
                <w:color w:val="auto"/>
                <w:sz w:val="18"/>
                <w:szCs w:val="18"/>
              </w:rPr>
              <w:t xml:space="preserve">Payment </w:t>
            </w:r>
            <w:r w:rsidR="00174C6D" w:rsidRPr="00174C6D">
              <w:rPr>
                <w:rFonts w:cs="Arial"/>
                <w:color w:val="auto"/>
                <w:sz w:val="18"/>
                <w:szCs w:val="18"/>
              </w:rPr>
              <w:t xml:space="preserve">rather than Newstart </w:t>
            </w:r>
            <w:r w:rsidR="00D74E8C">
              <w:rPr>
                <w:rFonts w:cs="Arial"/>
                <w:color w:val="auto"/>
                <w:sz w:val="18"/>
                <w:szCs w:val="18"/>
              </w:rPr>
              <w:t xml:space="preserve">Allowance </w:t>
            </w:r>
            <w:r w:rsidR="00174C6D">
              <w:rPr>
                <w:rFonts w:cs="Arial"/>
                <w:color w:val="auto"/>
                <w:sz w:val="18"/>
                <w:szCs w:val="18"/>
              </w:rPr>
              <w:t>throughout the document</w:t>
            </w:r>
            <w:r w:rsidR="00174C6D" w:rsidRPr="00174C6D">
              <w:rPr>
                <w:rFonts w:cs="Arial"/>
                <w:color w:val="auto"/>
                <w:sz w:val="18"/>
                <w:szCs w:val="18"/>
              </w:rPr>
              <w:t>.</w:t>
            </w:r>
          </w:p>
        </w:tc>
      </w:tr>
      <w:tr w:rsidR="00CC53E3" w:rsidRPr="001C59A6" w14:paraId="1E9C802C" w14:textId="77777777" w:rsidTr="000721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dxa"/>
            <w:vMerge/>
            <w:hideMark/>
          </w:tcPr>
          <w:p w14:paraId="5D10531D" w14:textId="77777777" w:rsidR="00CC53E3" w:rsidRPr="001D0437" w:rsidRDefault="00CC53E3" w:rsidP="00905916">
            <w:pPr>
              <w:pStyle w:val="TableTextSmall"/>
              <w:keepNext/>
              <w:spacing w:line="260" w:lineRule="exact"/>
              <w:rPr>
                <w:rFonts w:ascii="Arial" w:hAnsi="Arial"/>
                <w:color w:val="auto"/>
                <w:sz w:val="18"/>
              </w:rPr>
            </w:pPr>
          </w:p>
        </w:tc>
        <w:tc>
          <w:tcPr>
            <w:tcW w:w="1708" w:type="dxa"/>
          </w:tcPr>
          <w:p w14:paraId="56516164" w14:textId="77777777" w:rsidR="00CC53E3" w:rsidRPr="001D0437" w:rsidRDefault="00CC53E3" w:rsidP="00905916">
            <w:pPr>
              <w:pStyle w:val="TableTextSmalltopic"/>
              <w:keepNext/>
              <w:spacing w:line="260" w:lineRule="exact"/>
              <w:cnfStyle w:val="000000100000" w:firstRow="0" w:lastRow="0" w:firstColumn="0" w:lastColumn="0" w:oddVBand="0" w:evenVBand="0" w:oddHBand="1" w:evenHBand="0" w:firstRowFirstColumn="0" w:firstRowLastColumn="0" w:lastRowFirstColumn="0" w:lastRowLastColumn="0"/>
              <w:rPr>
                <w:rFonts w:ascii="Arial" w:hAnsi="Arial"/>
                <w:color w:val="auto"/>
                <w:sz w:val="18"/>
              </w:rPr>
            </w:pPr>
            <w:r w:rsidRPr="001D0437">
              <w:rPr>
                <w:rFonts w:ascii="Arial" w:hAnsi="Arial"/>
                <w:color w:val="auto"/>
                <w:sz w:val="18"/>
              </w:rPr>
              <w:t xml:space="preserve">3 Parenting </w:t>
            </w:r>
          </w:p>
          <w:p w14:paraId="0B121BB6" w14:textId="77777777" w:rsidR="00CC53E3" w:rsidRPr="001D0437" w:rsidRDefault="00CC53E3" w:rsidP="00905916">
            <w:pPr>
              <w:pStyle w:val="TableTextSmall"/>
              <w:keepNext/>
              <w:spacing w:line="260" w:lineRule="exac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auto"/>
                <w:sz w:val="18"/>
                <w:lang w:eastAsia="en-AU"/>
              </w:rPr>
            </w:pPr>
          </w:p>
        </w:tc>
        <w:tc>
          <w:tcPr>
            <w:tcW w:w="4927" w:type="dxa"/>
            <w:hideMark/>
          </w:tcPr>
          <w:p w14:paraId="50BDDB8D" w14:textId="77777777" w:rsidR="00CC53E3" w:rsidRPr="001D0437" w:rsidRDefault="00CC53E3" w:rsidP="00905916">
            <w:pPr>
              <w:pStyle w:val="TableTextSmall"/>
              <w:keepNext/>
              <w:spacing w:line="260" w:lineRule="exact"/>
              <w:cnfStyle w:val="000000100000" w:firstRow="0" w:lastRow="0" w:firstColumn="0" w:lastColumn="0" w:oddVBand="0" w:evenVBand="0" w:oddHBand="1" w:evenHBand="0" w:firstRowFirstColumn="0" w:firstRowLastColumn="0" w:lastRowFirstColumn="0" w:lastRowLastColumn="0"/>
              <w:rPr>
                <w:rFonts w:ascii="Arial" w:hAnsi="Arial"/>
                <w:color w:val="auto"/>
                <w:sz w:val="18"/>
              </w:rPr>
            </w:pPr>
            <w:r w:rsidRPr="001D0437">
              <w:rPr>
                <w:rFonts w:ascii="Arial" w:hAnsi="Arial"/>
                <w:color w:val="auto"/>
                <w:sz w:val="18"/>
              </w:rPr>
              <w:t>People receiving Parenting Payment (Partnered or Single) as their most recent income support payment.</w:t>
            </w:r>
          </w:p>
        </w:tc>
      </w:tr>
      <w:tr w:rsidR="00CC53E3" w:rsidRPr="001C59A6" w14:paraId="2A17700F" w14:textId="77777777" w:rsidTr="00072160">
        <w:tc>
          <w:tcPr>
            <w:cnfStyle w:val="001000000000" w:firstRow="0" w:lastRow="0" w:firstColumn="1" w:lastColumn="0" w:oddVBand="0" w:evenVBand="0" w:oddHBand="0" w:evenHBand="0" w:firstRowFirstColumn="0" w:firstRowLastColumn="0" w:lastRowFirstColumn="0" w:lastRowLastColumn="0"/>
            <w:tcW w:w="1021" w:type="dxa"/>
            <w:vMerge/>
            <w:hideMark/>
          </w:tcPr>
          <w:p w14:paraId="74EDEA8D" w14:textId="77777777" w:rsidR="00CC53E3" w:rsidRPr="001D0437" w:rsidRDefault="00CC53E3" w:rsidP="00905916">
            <w:pPr>
              <w:pStyle w:val="TableTextSmall"/>
              <w:keepNext/>
              <w:spacing w:line="260" w:lineRule="exact"/>
              <w:rPr>
                <w:rFonts w:ascii="Arial" w:hAnsi="Arial"/>
                <w:color w:val="auto"/>
                <w:sz w:val="18"/>
              </w:rPr>
            </w:pPr>
          </w:p>
        </w:tc>
        <w:tc>
          <w:tcPr>
            <w:tcW w:w="1708" w:type="dxa"/>
          </w:tcPr>
          <w:p w14:paraId="664C29DE" w14:textId="77777777" w:rsidR="00CC53E3" w:rsidRPr="001D0437" w:rsidRDefault="00CC53E3" w:rsidP="00905916">
            <w:pPr>
              <w:pStyle w:val="TableTextSmalltopic"/>
              <w:keepNext/>
              <w:spacing w:line="260" w:lineRule="exact"/>
              <w:cnfStyle w:val="000000000000" w:firstRow="0" w:lastRow="0" w:firstColumn="0" w:lastColumn="0" w:oddVBand="0" w:evenVBand="0" w:oddHBand="0" w:evenHBand="0" w:firstRowFirstColumn="0" w:firstRowLastColumn="0" w:lastRowFirstColumn="0" w:lastRowLastColumn="0"/>
              <w:rPr>
                <w:rFonts w:ascii="Arial" w:hAnsi="Arial"/>
                <w:color w:val="auto"/>
                <w:sz w:val="18"/>
              </w:rPr>
            </w:pPr>
            <w:r w:rsidRPr="001D0437">
              <w:rPr>
                <w:rFonts w:ascii="Arial" w:hAnsi="Arial"/>
                <w:color w:val="auto"/>
                <w:sz w:val="18"/>
              </w:rPr>
              <w:t xml:space="preserve">4 Carers </w:t>
            </w:r>
          </w:p>
          <w:p w14:paraId="12EF133A" w14:textId="77777777" w:rsidR="00CC53E3" w:rsidRPr="001D0437" w:rsidRDefault="00CC53E3" w:rsidP="00905916">
            <w:pPr>
              <w:pStyle w:val="TableTextSmall"/>
              <w:keepNext/>
              <w:spacing w:line="260" w:lineRule="exac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auto"/>
                <w:sz w:val="18"/>
                <w:lang w:eastAsia="en-AU"/>
              </w:rPr>
            </w:pPr>
          </w:p>
        </w:tc>
        <w:tc>
          <w:tcPr>
            <w:tcW w:w="4927" w:type="dxa"/>
          </w:tcPr>
          <w:p w14:paraId="78C148EC" w14:textId="77777777" w:rsidR="00CC53E3" w:rsidRPr="001D0437" w:rsidRDefault="00CC53E3" w:rsidP="00905916">
            <w:pPr>
              <w:pStyle w:val="TableTextSmall"/>
              <w:keepNext/>
              <w:spacing w:line="260" w:lineRule="exact"/>
              <w:cnfStyle w:val="000000000000" w:firstRow="0" w:lastRow="0" w:firstColumn="0" w:lastColumn="0" w:oddVBand="0" w:evenVBand="0" w:oddHBand="0" w:evenHBand="0" w:firstRowFirstColumn="0" w:firstRowLastColumn="0" w:lastRowFirstColumn="0" w:lastRowLastColumn="0"/>
              <w:rPr>
                <w:rFonts w:ascii="Arial" w:hAnsi="Arial"/>
                <w:color w:val="auto"/>
                <w:sz w:val="18"/>
              </w:rPr>
            </w:pPr>
            <w:r w:rsidRPr="001D0437">
              <w:rPr>
                <w:rFonts w:ascii="Arial" w:hAnsi="Arial"/>
                <w:color w:val="auto"/>
                <w:sz w:val="18"/>
              </w:rPr>
              <w:t>People receiving Carer Payment as their most recent income support payment.</w:t>
            </w:r>
          </w:p>
        </w:tc>
      </w:tr>
      <w:tr w:rsidR="00CC53E3" w:rsidRPr="001C59A6" w14:paraId="1E42E018" w14:textId="77777777" w:rsidTr="000721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dxa"/>
            <w:vMerge/>
            <w:hideMark/>
          </w:tcPr>
          <w:p w14:paraId="6032BFB2" w14:textId="77777777" w:rsidR="00CC53E3" w:rsidRPr="001D0437" w:rsidRDefault="00CC53E3" w:rsidP="00905916">
            <w:pPr>
              <w:pStyle w:val="TableTextSmall"/>
              <w:keepNext/>
              <w:spacing w:line="260" w:lineRule="exact"/>
              <w:rPr>
                <w:rFonts w:ascii="Arial" w:hAnsi="Arial"/>
                <w:color w:val="auto"/>
                <w:sz w:val="18"/>
              </w:rPr>
            </w:pPr>
          </w:p>
        </w:tc>
        <w:tc>
          <w:tcPr>
            <w:tcW w:w="1708" w:type="dxa"/>
          </w:tcPr>
          <w:p w14:paraId="15F0FE1C" w14:textId="77777777" w:rsidR="00CC53E3" w:rsidRPr="001D0437" w:rsidRDefault="00CC53E3" w:rsidP="00905916">
            <w:pPr>
              <w:pStyle w:val="TableTextSmalltopic"/>
              <w:keepNext/>
              <w:spacing w:line="260" w:lineRule="exac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auto"/>
                <w:sz w:val="18"/>
                <w:lang w:eastAsia="en-AU"/>
              </w:rPr>
            </w:pPr>
            <w:r w:rsidRPr="001D0437">
              <w:rPr>
                <w:rFonts w:ascii="Arial" w:hAnsi="Arial"/>
                <w:color w:val="auto"/>
                <w:sz w:val="18"/>
              </w:rPr>
              <w:t>5 Disability support</w:t>
            </w:r>
          </w:p>
        </w:tc>
        <w:tc>
          <w:tcPr>
            <w:tcW w:w="4927" w:type="dxa"/>
          </w:tcPr>
          <w:p w14:paraId="595147F8" w14:textId="77777777" w:rsidR="00CC53E3" w:rsidRPr="001D0437" w:rsidRDefault="00CC53E3" w:rsidP="00905916">
            <w:pPr>
              <w:pStyle w:val="TableTextSmalltopic"/>
              <w:spacing w:line="260" w:lineRule="exact"/>
              <w:cnfStyle w:val="000000100000" w:firstRow="0" w:lastRow="0" w:firstColumn="0" w:lastColumn="0" w:oddVBand="0" w:evenVBand="0" w:oddHBand="1" w:evenHBand="0" w:firstRowFirstColumn="0" w:firstRowLastColumn="0" w:lastRowFirstColumn="0" w:lastRowLastColumn="0"/>
              <w:rPr>
                <w:rFonts w:ascii="Arial" w:hAnsi="Arial"/>
                <w:b w:val="0"/>
                <w:color w:val="auto"/>
                <w:sz w:val="18"/>
              </w:rPr>
            </w:pPr>
            <w:r w:rsidRPr="001D0437">
              <w:rPr>
                <w:rFonts w:ascii="Arial" w:hAnsi="Arial"/>
                <w:b w:val="0"/>
                <w:color w:val="auto"/>
                <w:sz w:val="18"/>
              </w:rPr>
              <w:t>People receiving Disability Support Pension as their most recent income support payment.</w:t>
            </w:r>
          </w:p>
        </w:tc>
      </w:tr>
      <w:tr w:rsidR="00CC53E3" w:rsidRPr="001C59A6" w14:paraId="0A18E5D8" w14:textId="77777777" w:rsidTr="00072160">
        <w:tc>
          <w:tcPr>
            <w:cnfStyle w:val="001000000000" w:firstRow="0" w:lastRow="0" w:firstColumn="1" w:lastColumn="0" w:oddVBand="0" w:evenVBand="0" w:oddHBand="0" w:evenHBand="0" w:firstRowFirstColumn="0" w:firstRowLastColumn="0" w:lastRowFirstColumn="0" w:lastRowLastColumn="0"/>
            <w:tcW w:w="1021" w:type="dxa"/>
            <w:vMerge/>
          </w:tcPr>
          <w:p w14:paraId="069BBAE2" w14:textId="77777777" w:rsidR="00CC53E3" w:rsidRPr="001D0437" w:rsidRDefault="00CC53E3" w:rsidP="00905916">
            <w:pPr>
              <w:pStyle w:val="TableTextSmall"/>
              <w:keepNext/>
              <w:spacing w:line="260" w:lineRule="exact"/>
              <w:rPr>
                <w:rFonts w:ascii="Arial" w:hAnsi="Arial"/>
                <w:color w:val="auto"/>
                <w:sz w:val="18"/>
              </w:rPr>
            </w:pPr>
          </w:p>
        </w:tc>
        <w:tc>
          <w:tcPr>
            <w:tcW w:w="1708" w:type="dxa"/>
          </w:tcPr>
          <w:p w14:paraId="1F5D327E" w14:textId="77777777" w:rsidR="00CC53E3" w:rsidRPr="001D0437" w:rsidRDefault="00CC53E3" w:rsidP="00905916">
            <w:pPr>
              <w:pStyle w:val="TableTextSmalltopic"/>
              <w:spacing w:line="260" w:lineRule="exact"/>
              <w:cnfStyle w:val="000000000000" w:firstRow="0" w:lastRow="0" w:firstColumn="0" w:lastColumn="0" w:oddVBand="0" w:evenVBand="0" w:oddHBand="0" w:evenHBand="0" w:firstRowFirstColumn="0" w:firstRowLastColumn="0" w:lastRowFirstColumn="0" w:lastRowLastColumn="0"/>
              <w:rPr>
                <w:rFonts w:ascii="Arial" w:hAnsi="Arial"/>
                <w:color w:val="auto"/>
                <w:sz w:val="18"/>
              </w:rPr>
            </w:pPr>
            <w:r w:rsidRPr="001D0437">
              <w:rPr>
                <w:rFonts w:ascii="Arial" w:hAnsi="Arial"/>
                <w:color w:val="auto"/>
                <w:sz w:val="18"/>
              </w:rPr>
              <w:t xml:space="preserve">6 Pension Age </w:t>
            </w:r>
          </w:p>
          <w:p w14:paraId="5566BCB3" w14:textId="77777777" w:rsidR="00CC53E3" w:rsidRPr="001D0437" w:rsidRDefault="00CC53E3" w:rsidP="00905916">
            <w:pPr>
              <w:pStyle w:val="TableTextSmalltopic"/>
              <w:keepNext/>
              <w:spacing w:line="260" w:lineRule="exact"/>
              <w:cnfStyle w:val="000000000000" w:firstRow="0" w:lastRow="0" w:firstColumn="0" w:lastColumn="0" w:oddVBand="0" w:evenVBand="0" w:oddHBand="0" w:evenHBand="0" w:firstRowFirstColumn="0" w:firstRowLastColumn="0" w:lastRowFirstColumn="0" w:lastRowLastColumn="0"/>
              <w:rPr>
                <w:rFonts w:ascii="Arial" w:hAnsi="Arial"/>
                <w:color w:val="auto"/>
                <w:sz w:val="18"/>
              </w:rPr>
            </w:pPr>
          </w:p>
        </w:tc>
        <w:tc>
          <w:tcPr>
            <w:tcW w:w="4927" w:type="dxa"/>
          </w:tcPr>
          <w:p w14:paraId="61621051" w14:textId="73B4ED71" w:rsidR="00CC53E3" w:rsidRPr="001D0437" w:rsidRDefault="00CC53E3" w:rsidP="00905916">
            <w:pPr>
              <w:pStyle w:val="TableTextSmalltopic"/>
              <w:spacing w:line="260" w:lineRule="exact"/>
              <w:cnfStyle w:val="000000000000" w:firstRow="0" w:lastRow="0" w:firstColumn="0" w:lastColumn="0" w:oddVBand="0" w:evenVBand="0" w:oddHBand="0" w:evenHBand="0" w:firstRowFirstColumn="0" w:firstRowLastColumn="0" w:lastRowFirstColumn="0" w:lastRowLastColumn="0"/>
              <w:rPr>
                <w:rFonts w:ascii="Arial" w:hAnsi="Arial"/>
                <w:b w:val="0"/>
                <w:color w:val="auto"/>
                <w:sz w:val="18"/>
              </w:rPr>
            </w:pPr>
            <w:r w:rsidRPr="001D0437">
              <w:rPr>
                <w:rFonts w:ascii="Arial" w:hAnsi="Arial"/>
                <w:b w:val="0"/>
                <w:color w:val="auto"/>
                <w:sz w:val="18"/>
              </w:rPr>
              <w:t xml:space="preserve">People receiving any </w:t>
            </w:r>
            <w:r w:rsidR="001F0FCC">
              <w:rPr>
                <w:rFonts w:ascii="Arial" w:hAnsi="Arial"/>
                <w:b w:val="0"/>
                <w:color w:val="auto"/>
                <w:sz w:val="18"/>
              </w:rPr>
              <w:t>Age Pension</w:t>
            </w:r>
            <w:r w:rsidRPr="001D0437">
              <w:rPr>
                <w:rFonts w:ascii="Arial" w:hAnsi="Arial"/>
                <w:b w:val="0"/>
                <w:color w:val="auto"/>
                <w:sz w:val="18"/>
              </w:rPr>
              <w:t xml:space="preserve"> as their most recent income support payment (</w:t>
            </w:r>
            <w:r>
              <w:rPr>
                <w:rFonts w:ascii="Arial" w:hAnsi="Arial"/>
                <w:b w:val="0"/>
                <w:color w:val="auto"/>
                <w:sz w:val="18"/>
              </w:rPr>
              <w:t>also includes</w:t>
            </w:r>
            <w:r w:rsidRPr="001D0437">
              <w:rPr>
                <w:rFonts w:ascii="Arial" w:hAnsi="Arial"/>
                <w:b w:val="0"/>
                <w:color w:val="auto"/>
                <w:sz w:val="18"/>
              </w:rPr>
              <w:t xml:space="preserve"> a small number of Widow B Pension and Wife Pension recipients).</w:t>
            </w:r>
          </w:p>
        </w:tc>
      </w:tr>
      <w:tr w:rsidR="00CC53E3" w:rsidRPr="001C59A6" w14:paraId="66941029" w14:textId="77777777" w:rsidTr="000721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dxa"/>
            <w:vMerge w:val="restart"/>
            <w:hideMark/>
          </w:tcPr>
          <w:p w14:paraId="783650F4" w14:textId="12F341E9" w:rsidR="00CC53E3" w:rsidRPr="001C5E9B" w:rsidRDefault="00CC53E3" w:rsidP="00905916">
            <w:pPr>
              <w:pStyle w:val="TableTextSmall"/>
              <w:spacing w:line="260" w:lineRule="exact"/>
              <w:rPr>
                <w:rFonts w:ascii="Arial" w:hAnsi="Arial"/>
                <w:color w:val="auto"/>
                <w:sz w:val="18"/>
              </w:rPr>
            </w:pPr>
            <w:r w:rsidRPr="001C5E9B">
              <w:rPr>
                <w:rFonts w:ascii="Arial" w:hAnsi="Arial"/>
                <w:color w:val="auto"/>
                <w:sz w:val="18"/>
              </w:rPr>
              <w:t xml:space="preserve">Active – </w:t>
            </w:r>
            <w:r w:rsidR="00621A46" w:rsidRPr="001C5E9B">
              <w:rPr>
                <w:rFonts w:ascii="Arial" w:hAnsi="Arial"/>
                <w:color w:val="auto"/>
                <w:sz w:val="18"/>
              </w:rPr>
              <w:t>non-income</w:t>
            </w:r>
            <w:r w:rsidRPr="001C5E9B">
              <w:rPr>
                <w:rFonts w:ascii="Arial" w:hAnsi="Arial"/>
                <w:color w:val="auto"/>
                <w:sz w:val="18"/>
              </w:rPr>
              <w:t xml:space="preserve"> support (Non IS)</w:t>
            </w:r>
          </w:p>
        </w:tc>
        <w:tc>
          <w:tcPr>
            <w:tcW w:w="1708" w:type="dxa"/>
          </w:tcPr>
          <w:p w14:paraId="56CC9767" w14:textId="77777777" w:rsidR="00CC53E3" w:rsidRPr="001D0437" w:rsidRDefault="00CC53E3" w:rsidP="00905916">
            <w:pPr>
              <w:pStyle w:val="TableTextSmalltopic"/>
              <w:keepNext/>
              <w:spacing w:line="260" w:lineRule="exact"/>
              <w:cnfStyle w:val="000000100000" w:firstRow="0" w:lastRow="0" w:firstColumn="0" w:lastColumn="0" w:oddVBand="0" w:evenVBand="0" w:oddHBand="1" w:evenHBand="0" w:firstRowFirstColumn="0" w:firstRowLastColumn="0" w:lastRowFirstColumn="0" w:lastRowLastColumn="0"/>
              <w:rPr>
                <w:rFonts w:ascii="Arial" w:hAnsi="Arial"/>
                <w:color w:val="auto"/>
                <w:sz w:val="18"/>
              </w:rPr>
            </w:pPr>
            <w:r w:rsidRPr="001D0437">
              <w:rPr>
                <w:rFonts w:ascii="Arial" w:hAnsi="Arial"/>
                <w:color w:val="auto"/>
                <w:sz w:val="18"/>
              </w:rPr>
              <w:t>7 Non IS Family</w:t>
            </w:r>
          </w:p>
          <w:p w14:paraId="01D92084" w14:textId="77777777" w:rsidR="00CC53E3" w:rsidRPr="001D0437" w:rsidRDefault="00CC53E3" w:rsidP="00905916">
            <w:pPr>
              <w:pStyle w:val="TableTextSmall"/>
              <w:spacing w:line="260" w:lineRule="exac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auto"/>
                <w:sz w:val="18"/>
                <w:lang w:eastAsia="en-AU"/>
              </w:rPr>
            </w:pPr>
          </w:p>
        </w:tc>
        <w:tc>
          <w:tcPr>
            <w:tcW w:w="4927" w:type="dxa"/>
          </w:tcPr>
          <w:p w14:paraId="01C1101E" w14:textId="2A676A5E" w:rsidR="00CC53E3" w:rsidRPr="001D0437" w:rsidRDefault="00CC53E3" w:rsidP="006B3A08">
            <w:pPr>
              <w:pStyle w:val="TableTextSmall"/>
              <w:spacing w:line="260" w:lineRule="exact"/>
              <w:cnfStyle w:val="000000100000" w:firstRow="0" w:lastRow="0" w:firstColumn="0" w:lastColumn="0" w:oddVBand="0" w:evenVBand="0" w:oddHBand="1" w:evenHBand="0" w:firstRowFirstColumn="0" w:firstRowLastColumn="0" w:lastRowFirstColumn="0" w:lastRowLastColumn="0"/>
              <w:rPr>
                <w:rFonts w:ascii="Arial" w:hAnsi="Arial"/>
                <w:color w:val="auto"/>
                <w:sz w:val="18"/>
              </w:rPr>
            </w:pPr>
            <w:r w:rsidRPr="001D0437">
              <w:rPr>
                <w:rFonts w:ascii="Arial" w:hAnsi="Arial"/>
                <w:color w:val="auto"/>
                <w:sz w:val="18"/>
              </w:rPr>
              <w:t xml:space="preserve">People not receiving any </w:t>
            </w:r>
            <w:r w:rsidR="004648F9">
              <w:rPr>
                <w:rFonts w:ascii="Arial" w:hAnsi="Arial"/>
                <w:color w:val="auto"/>
                <w:sz w:val="18"/>
              </w:rPr>
              <w:t>c</w:t>
            </w:r>
            <w:r w:rsidRPr="001D0437">
              <w:rPr>
                <w:rFonts w:ascii="Arial" w:hAnsi="Arial"/>
                <w:color w:val="auto"/>
                <w:sz w:val="18"/>
              </w:rPr>
              <w:t xml:space="preserve">arer payments but receiving one or more family supplement payments </w:t>
            </w:r>
            <w:r w:rsidR="0042742F">
              <w:rPr>
                <w:rFonts w:ascii="Arial" w:hAnsi="Arial"/>
                <w:color w:val="auto"/>
                <w:sz w:val="18"/>
              </w:rPr>
              <w:t>(such as a Family Tax Benefit or Child Care Subsidy</w:t>
            </w:r>
            <w:r w:rsidR="006B3A08">
              <w:rPr>
                <w:rFonts w:ascii="Arial" w:hAnsi="Arial"/>
                <w:color w:val="auto"/>
                <w:sz w:val="18"/>
              </w:rPr>
              <w:t xml:space="preserve"> – see categories H, I and J in Appendix C for a full list</w:t>
            </w:r>
            <w:r w:rsidR="0042742F">
              <w:rPr>
                <w:rFonts w:ascii="Arial" w:hAnsi="Arial"/>
                <w:color w:val="auto"/>
                <w:sz w:val="18"/>
              </w:rPr>
              <w:t xml:space="preserve">) </w:t>
            </w:r>
            <w:r w:rsidRPr="001D0437">
              <w:rPr>
                <w:rFonts w:ascii="Arial" w:hAnsi="Arial"/>
                <w:color w:val="auto"/>
                <w:sz w:val="18"/>
              </w:rPr>
              <w:t>in the previous year.</w:t>
            </w:r>
          </w:p>
        </w:tc>
      </w:tr>
      <w:tr w:rsidR="00CC53E3" w:rsidRPr="001C59A6" w14:paraId="235BE05A" w14:textId="77777777" w:rsidTr="00072160">
        <w:tc>
          <w:tcPr>
            <w:cnfStyle w:val="001000000000" w:firstRow="0" w:lastRow="0" w:firstColumn="1" w:lastColumn="0" w:oddVBand="0" w:evenVBand="0" w:oddHBand="0" w:evenHBand="0" w:firstRowFirstColumn="0" w:firstRowLastColumn="0" w:lastRowFirstColumn="0" w:lastRowLastColumn="0"/>
            <w:tcW w:w="1021" w:type="dxa"/>
            <w:vMerge/>
          </w:tcPr>
          <w:p w14:paraId="593CEDBF" w14:textId="77777777" w:rsidR="00CC53E3" w:rsidRPr="001C5E9B" w:rsidRDefault="00CC53E3" w:rsidP="00905916">
            <w:pPr>
              <w:pStyle w:val="TableTextSmall"/>
              <w:spacing w:line="260" w:lineRule="exact"/>
              <w:rPr>
                <w:rFonts w:ascii="Arial" w:hAnsi="Arial"/>
                <w:color w:val="auto"/>
                <w:sz w:val="18"/>
              </w:rPr>
            </w:pPr>
          </w:p>
        </w:tc>
        <w:tc>
          <w:tcPr>
            <w:tcW w:w="1708" w:type="dxa"/>
          </w:tcPr>
          <w:p w14:paraId="1179B06D" w14:textId="77777777" w:rsidR="00CC53E3" w:rsidRPr="001D0437" w:rsidRDefault="00CC53E3" w:rsidP="00905916">
            <w:pPr>
              <w:pStyle w:val="TableTextSmalltopic"/>
              <w:keepNext/>
              <w:spacing w:line="260" w:lineRule="exact"/>
              <w:cnfStyle w:val="000000000000" w:firstRow="0" w:lastRow="0" w:firstColumn="0" w:lastColumn="0" w:oddVBand="0" w:evenVBand="0" w:oddHBand="0" w:evenHBand="0" w:firstRowFirstColumn="0" w:firstRowLastColumn="0" w:lastRowFirstColumn="0" w:lastRowLastColumn="0"/>
              <w:rPr>
                <w:rFonts w:ascii="Arial" w:hAnsi="Arial"/>
                <w:color w:val="auto"/>
                <w:sz w:val="18"/>
              </w:rPr>
            </w:pPr>
            <w:r w:rsidRPr="001D0437">
              <w:rPr>
                <w:rFonts w:ascii="Arial" w:hAnsi="Arial"/>
                <w:color w:val="auto"/>
                <w:sz w:val="18"/>
              </w:rPr>
              <w:t>8 Non IS Carer</w:t>
            </w:r>
          </w:p>
        </w:tc>
        <w:tc>
          <w:tcPr>
            <w:tcW w:w="4927" w:type="dxa"/>
          </w:tcPr>
          <w:p w14:paraId="0471F8A1" w14:textId="77777777" w:rsidR="00CC53E3" w:rsidRPr="001D0437" w:rsidRDefault="00CC53E3" w:rsidP="00905916">
            <w:pPr>
              <w:pStyle w:val="TableTextSmall"/>
              <w:spacing w:line="260" w:lineRule="exact"/>
              <w:cnfStyle w:val="000000000000" w:firstRow="0" w:lastRow="0" w:firstColumn="0" w:lastColumn="0" w:oddVBand="0" w:evenVBand="0" w:oddHBand="0" w:evenHBand="0" w:firstRowFirstColumn="0" w:firstRowLastColumn="0" w:lastRowFirstColumn="0" w:lastRowLastColumn="0"/>
              <w:rPr>
                <w:rFonts w:ascii="Arial" w:hAnsi="Arial"/>
                <w:color w:val="auto"/>
                <w:sz w:val="18"/>
              </w:rPr>
            </w:pPr>
            <w:r w:rsidRPr="001D0437">
              <w:rPr>
                <w:rFonts w:ascii="Arial" w:hAnsi="Arial"/>
                <w:color w:val="auto"/>
                <w:sz w:val="18"/>
              </w:rPr>
              <w:t>People receiving Carer Allowance.</w:t>
            </w:r>
          </w:p>
        </w:tc>
      </w:tr>
      <w:tr w:rsidR="00CC53E3" w:rsidRPr="001C59A6" w14:paraId="5DB64A2C" w14:textId="77777777" w:rsidTr="000721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dxa"/>
            <w:vMerge/>
          </w:tcPr>
          <w:p w14:paraId="16BAA873" w14:textId="77777777" w:rsidR="00CC53E3" w:rsidRPr="001C5E9B" w:rsidRDefault="00CC53E3" w:rsidP="00905916">
            <w:pPr>
              <w:pStyle w:val="TableTextSmall"/>
              <w:spacing w:line="260" w:lineRule="exact"/>
              <w:rPr>
                <w:rFonts w:ascii="Arial" w:hAnsi="Arial"/>
                <w:color w:val="auto"/>
                <w:sz w:val="18"/>
              </w:rPr>
            </w:pPr>
          </w:p>
        </w:tc>
        <w:tc>
          <w:tcPr>
            <w:tcW w:w="1708" w:type="dxa"/>
          </w:tcPr>
          <w:p w14:paraId="11DD0FC2" w14:textId="77777777" w:rsidR="00CC53E3" w:rsidRPr="001D0437" w:rsidRDefault="00CC53E3" w:rsidP="00905916">
            <w:pPr>
              <w:pStyle w:val="TableTextSmalltopic"/>
              <w:keepNext/>
              <w:spacing w:line="260" w:lineRule="exact"/>
              <w:cnfStyle w:val="000000100000" w:firstRow="0" w:lastRow="0" w:firstColumn="0" w:lastColumn="0" w:oddVBand="0" w:evenVBand="0" w:oddHBand="1" w:evenHBand="0" w:firstRowFirstColumn="0" w:firstRowLastColumn="0" w:lastRowFirstColumn="0" w:lastRowLastColumn="0"/>
              <w:rPr>
                <w:rFonts w:ascii="Arial" w:hAnsi="Arial"/>
                <w:color w:val="auto"/>
                <w:sz w:val="18"/>
              </w:rPr>
            </w:pPr>
            <w:r w:rsidRPr="001D0437">
              <w:rPr>
                <w:rFonts w:ascii="Arial" w:hAnsi="Arial"/>
                <w:color w:val="auto"/>
                <w:sz w:val="18"/>
              </w:rPr>
              <w:t>9 Non IS Other</w:t>
            </w:r>
          </w:p>
          <w:p w14:paraId="68B23FFE" w14:textId="77777777" w:rsidR="00CC53E3" w:rsidRPr="001D0437" w:rsidRDefault="00CC53E3" w:rsidP="00905916">
            <w:pPr>
              <w:pStyle w:val="TableTextSmalltopic"/>
              <w:keepNext/>
              <w:spacing w:line="260" w:lineRule="exact"/>
              <w:cnfStyle w:val="000000100000" w:firstRow="0" w:lastRow="0" w:firstColumn="0" w:lastColumn="0" w:oddVBand="0" w:evenVBand="0" w:oddHBand="1" w:evenHBand="0" w:firstRowFirstColumn="0" w:firstRowLastColumn="0" w:lastRowFirstColumn="0" w:lastRowLastColumn="0"/>
              <w:rPr>
                <w:rFonts w:ascii="Arial" w:hAnsi="Arial"/>
                <w:color w:val="auto"/>
                <w:sz w:val="18"/>
              </w:rPr>
            </w:pPr>
          </w:p>
        </w:tc>
        <w:tc>
          <w:tcPr>
            <w:tcW w:w="4927" w:type="dxa"/>
          </w:tcPr>
          <w:p w14:paraId="194DEE29" w14:textId="0EF39CAB" w:rsidR="00CC53E3" w:rsidRPr="001D0437" w:rsidRDefault="00CC53E3" w:rsidP="00AB4162">
            <w:pPr>
              <w:pStyle w:val="TableTextSmall"/>
              <w:spacing w:line="260" w:lineRule="exact"/>
              <w:cnfStyle w:val="000000100000" w:firstRow="0" w:lastRow="0" w:firstColumn="0" w:lastColumn="0" w:oddVBand="0" w:evenVBand="0" w:oddHBand="1" w:evenHBand="0" w:firstRowFirstColumn="0" w:firstRowLastColumn="0" w:lastRowFirstColumn="0" w:lastRowLastColumn="0"/>
              <w:rPr>
                <w:rFonts w:ascii="Arial" w:hAnsi="Arial"/>
                <w:color w:val="auto"/>
                <w:sz w:val="18"/>
              </w:rPr>
            </w:pPr>
            <w:r w:rsidRPr="001D0437">
              <w:rPr>
                <w:rFonts w:ascii="Arial" w:hAnsi="Arial"/>
                <w:color w:val="auto"/>
                <w:sz w:val="18"/>
              </w:rPr>
              <w:t xml:space="preserve">People receiving payments but not in any other welfare recipient </w:t>
            </w:r>
            <w:r>
              <w:rPr>
                <w:rFonts w:ascii="Arial" w:hAnsi="Arial"/>
                <w:color w:val="auto"/>
                <w:sz w:val="18"/>
              </w:rPr>
              <w:t>class</w:t>
            </w:r>
            <w:r w:rsidR="00AB4162">
              <w:rPr>
                <w:rFonts w:ascii="Arial" w:hAnsi="Arial"/>
                <w:color w:val="auto"/>
                <w:sz w:val="18"/>
              </w:rPr>
              <w:t xml:space="preserve"> (such as those receiving Assistance for Isolated Children or Crisis Payment)</w:t>
            </w:r>
            <w:r w:rsidRPr="001D0437">
              <w:rPr>
                <w:rFonts w:ascii="Arial" w:hAnsi="Arial"/>
                <w:color w:val="auto"/>
                <w:sz w:val="18"/>
              </w:rPr>
              <w:t>.</w:t>
            </w:r>
          </w:p>
        </w:tc>
      </w:tr>
      <w:tr w:rsidR="00CC53E3" w:rsidRPr="001C59A6" w14:paraId="7121B6D1" w14:textId="77777777" w:rsidTr="00072160">
        <w:tc>
          <w:tcPr>
            <w:cnfStyle w:val="001000000000" w:firstRow="0" w:lastRow="0" w:firstColumn="1" w:lastColumn="0" w:oddVBand="0" w:evenVBand="0" w:oddHBand="0" w:evenHBand="0" w:firstRowFirstColumn="0" w:firstRowLastColumn="0" w:lastRowFirstColumn="0" w:lastRowLastColumn="0"/>
            <w:tcW w:w="1021" w:type="dxa"/>
            <w:vMerge w:val="restart"/>
          </w:tcPr>
          <w:p w14:paraId="35486B6D" w14:textId="77777777" w:rsidR="00CC53E3" w:rsidRPr="001C5E9B" w:rsidRDefault="00CC53E3" w:rsidP="00905916">
            <w:pPr>
              <w:pStyle w:val="TableTextSmall"/>
              <w:spacing w:line="260" w:lineRule="exact"/>
              <w:rPr>
                <w:rFonts w:ascii="Arial" w:hAnsi="Arial"/>
                <w:color w:val="auto"/>
                <w:sz w:val="18"/>
              </w:rPr>
            </w:pPr>
            <w:r w:rsidRPr="001C5E9B">
              <w:rPr>
                <w:rFonts w:ascii="Arial" w:hAnsi="Arial"/>
                <w:color w:val="auto"/>
                <w:sz w:val="18"/>
              </w:rPr>
              <w:t>Inactive classes</w:t>
            </w:r>
          </w:p>
        </w:tc>
        <w:tc>
          <w:tcPr>
            <w:tcW w:w="1708" w:type="dxa"/>
          </w:tcPr>
          <w:p w14:paraId="364E0E96" w14:textId="77777777" w:rsidR="00CC53E3" w:rsidRPr="001D0437" w:rsidRDefault="00CC53E3" w:rsidP="00905916">
            <w:pPr>
              <w:pStyle w:val="TableTextSmalltopic"/>
              <w:keepNext/>
              <w:spacing w:line="260" w:lineRule="exact"/>
              <w:cnfStyle w:val="000000000000" w:firstRow="0" w:lastRow="0" w:firstColumn="0" w:lastColumn="0" w:oddVBand="0" w:evenVBand="0" w:oddHBand="0" w:evenHBand="0" w:firstRowFirstColumn="0" w:firstRowLastColumn="0" w:lastRowFirstColumn="0" w:lastRowLastColumn="0"/>
              <w:rPr>
                <w:rFonts w:ascii="Arial" w:hAnsi="Arial"/>
                <w:color w:val="auto"/>
                <w:sz w:val="18"/>
              </w:rPr>
            </w:pPr>
            <w:r w:rsidRPr="001D0437">
              <w:rPr>
                <w:rFonts w:ascii="Arial" w:hAnsi="Arial"/>
                <w:color w:val="auto"/>
                <w:sz w:val="18"/>
              </w:rPr>
              <w:t>10 Previous welfare recipient</w:t>
            </w:r>
          </w:p>
          <w:p w14:paraId="6B927019" w14:textId="77777777" w:rsidR="00CC53E3" w:rsidRPr="001D0437" w:rsidRDefault="00CC53E3" w:rsidP="00905916">
            <w:pPr>
              <w:pStyle w:val="TableTextSmalltopic"/>
              <w:keepNext/>
              <w:spacing w:line="260" w:lineRule="exact"/>
              <w:cnfStyle w:val="000000000000" w:firstRow="0" w:lastRow="0" w:firstColumn="0" w:lastColumn="0" w:oddVBand="0" w:evenVBand="0" w:oddHBand="0" w:evenHBand="0" w:firstRowFirstColumn="0" w:firstRowLastColumn="0" w:lastRowFirstColumn="0" w:lastRowLastColumn="0"/>
              <w:rPr>
                <w:rFonts w:ascii="Arial" w:hAnsi="Arial"/>
                <w:color w:val="auto"/>
                <w:sz w:val="18"/>
              </w:rPr>
            </w:pPr>
          </w:p>
        </w:tc>
        <w:tc>
          <w:tcPr>
            <w:tcW w:w="4927" w:type="dxa"/>
          </w:tcPr>
          <w:p w14:paraId="6BE36697" w14:textId="77777777" w:rsidR="00CC53E3" w:rsidRPr="001D0437" w:rsidRDefault="00CC53E3" w:rsidP="00905916">
            <w:pPr>
              <w:pStyle w:val="TableTextSmall"/>
              <w:keepNext/>
              <w:spacing w:line="260" w:lineRule="exact"/>
              <w:cnfStyle w:val="000000000000" w:firstRow="0" w:lastRow="0" w:firstColumn="0" w:lastColumn="0" w:oddVBand="0" w:evenVBand="0" w:oddHBand="0" w:evenHBand="0" w:firstRowFirstColumn="0" w:firstRowLastColumn="0" w:lastRowFirstColumn="0" w:lastRowLastColumn="0"/>
              <w:rPr>
                <w:rFonts w:ascii="Arial" w:hAnsi="Arial"/>
                <w:color w:val="auto"/>
                <w:sz w:val="18"/>
              </w:rPr>
            </w:pPr>
            <w:r w:rsidRPr="001D0437">
              <w:rPr>
                <w:rFonts w:ascii="Arial" w:hAnsi="Arial"/>
                <w:color w:val="auto"/>
                <w:sz w:val="18"/>
              </w:rPr>
              <w:t xml:space="preserve">People who have been in one of </w:t>
            </w:r>
            <w:r>
              <w:rPr>
                <w:rFonts w:ascii="Arial" w:hAnsi="Arial"/>
                <w:color w:val="auto"/>
                <w:sz w:val="18"/>
              </w:rPr>
              <w:t>class</w:t>
            </w:r>
            <w:r w:rsidRPr="001D0437">
              <w:rPr>
                <w:rFonts w:ascii="Arial" w:hAnsi="Arial"/>
                <w:color w:val="auto"/>
                <w:sz w:val="18"/>
              </w:rPr>
              <w:t xml:space="preserve">es 1 to 9 within the previous 18 years*, but are not in one of these </w:t>
            </w:r>
            <w:r>
              <w:rPr>
                <w:rFonts w:ascii="Arial" w:hAnsi="Arial"/>
                <w:color w:val="auto"/>
                <w:sz w:val="18"/>
              </w:rPr>
              <w:t>class</w:t>
            </w:r>
            <w:r w:rsidRPr="001D0437">
              <w:rPr>
                <w:rFonts w:ascii="Arial" w:hAnsi="Arial"/>
                <w:color w:val="auto"/>
                <w:sz w:val="18"/>
              </w:rPr>
              <w:t>es for the latest year.</w:t>
            </w:r>
          </w:p>
          <w:p w14:paraId="0DE3A446" w14:textId="14C516EE" w:rsidR="00CC53E3" w:rsidRPr="001D0437" w:rsidRDefault="00CC53E3" w:rsidP="00905916">
            <w:pPr>
              <w:pStyle w:val="TableTextSmall"/>
              <w:spacing w:line="260" w:lineRule="exact"/>
              <w:cnfStyle w:val="000000000000" w:firstRow="0" w:lastRow="0" w:firstColumn="0" w:lastColumn="0" w:oddVBand="0" w:evenVBand="0" w:oddHBand="0" w:evenHBand="0" w:firstRowFirstColumn="0" w:firstRowLastColumn="0" w:lastRowFirstColumn="0" w:lastRowLastColumn="0"/>
              <w:rPr>
                <w:rFonts w:ascii="Arial" w:hAnsi="Arial"/>
                <w:color w:val="auto"/>
                <w:sz w:val="18"/>
              </w:rPr>
            </w:pPr>
            <w:r w:rsidRPr="001D0437">
              <w:rPr>
                <w:rFonts w:ascii="Arial" w:hAnsi="Arial"/>
                <w:i/>
                <w:color w:val="auto"/>
                <w:sz w:val="18"/>
              </w:rPr>
              <w:t xml:space="preserve">* 18 years is selected here as the modelling dataset to </w:t>
            </w:r>
            <w:r w:rsidR="004648F9">
              <w:rPr>
                <w:rFonts w:ascii="Arial" w:hAnsi="Arial"/>
                <w:i/>
                <w:color w:val="auto"/>
                <w:sz w:val="18"/>
              </w:rPr>
              <w:br/>
            </w:r>
            <w:r w:rsidRPr="001D0437">
              <w:rPr>
                <w:rFonts w:ascii="Arial" w:hAnsi="Arial"/>
                <w:i/>
                <w:color w:val="auto"/>
                <w:sz w:val="18"/>
              </w:rPr>
              <w:t>30</w:t>
            </w:r>
            <w:r w:rsidR="00753715">
              <w:rPr>
                <w:rFonts w:ascii="Arial" w:hAnsi="Arial"/>
                <w:i/>
                <w:color w:val="auto"/>
                <w:sz w:val="18"/>
              </w:rPr>
              <w:t> </w:t>
            </w:r>
            <w:r w:rsidRPr="001D0437">
              <w:rPr>
                <w:rFonts w:ascii="Arial" w:hAnsi="Arial"/>
                <w:i/>
                <w:color w:val="auto"/>
                <w:sz w:val="18"/>
              </w:rPr>
              <w:t>June</w:t>
            </w:r>
            <w:r w:rsidR="00753715">
              <w:rPr>
                <w:rFonts w:ascii="Arial" w:hAnsi="Arial"/>
                <w:i/>
                <w:color w:val="auto"/>
                <w:sz w:val="18"/>
              </w:rPr>
              <w:t> </w:t>
            </w:r>
            <w:r w:rsidRPr="001D0437">
              <w:rPr>
                <w:rFonts w:ascii="Arial" w:hAnsi="Arial"/>
                <w:i/>
                <w:color w:val="auto"/>
                <w:sz w:val="18"/>
              </w:rPr>
              <w:t>2019 has a maximum of 18 years welfare history.</w:t>
            </w:r>
            <w:r w:rsidR="00E451AA">
              <w:rPr>
                <w:rFonts w:ascii="Arial" w:hAnsi="Arial"/>
                <w:i/>
                <w:color w:val="auto"/>
                <w:sz w:val="18"/>
              </w:rPr>
              <w:t xml:space="preserve"> That is, the current data cannot indicate if someone’s last welfare interaction was more than 18 years ago.</w:t>
            </w:r>
          </w:p>
        </w:tc>
      </w:tr>
      <w:tr w:rsidR="00CC53E3" w:rsidRPr="001C59A6" w14:paraId="628E1283" w14:textId="77777777" w:rsidTr="000721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dxa"/>
            <w:vMerge/>
          </w:tcPr>
          <w:p w14:paraId="356F6244" w14:textId="77777777" w:rsidR="00CC53E3" w:rsidRPr="001D0437" w:rsidRDefault="00CC53E3" w:rsidP="00905916">
            <w:pPr>
              <w:pStyle w:val="TableTextSmall"/>
              <w:spacing w:line="260" w:lineRule="exact"/>
              <w:rPr>
                <w:rFonts w:ascii="Arial" w:hAnsi="Arial"/>
                <w:b w:val="0"/>
                <w:color w:val="auto"/>
                <w:sz w:val="18"/>
              </w:rPr>
            </w:pPr>
          </w:p>
        </w:tc>
        <w:tc>
          <w:tcPr>
            <w:tcW w:w="1708" w:type="dxa"/>
          </w:tcPr>
          <w:p w14:paraId="0D19ABBD" w14:textId="77777777" w:rsidR="00CC53E3" w:rsidRPr="001D0437" w:rsidRDefault="00CC53E3" w:rsidP="00905916">
            <w:pPr>
              <w:pStyle w:val="TableTextSmalltopic"/>
              <w:keepNext/>
              <w:spacing w:line="260" w:lineRule="exact"/>
              <w:cnfStyle w:val="000000100000" w:firstRow="0" w:lastRow="0" w:firstColumn="0" w:lastColumn="0" w:oddVBand="0" w:evenVBand="0" w:oddHBand="1" w:evenHBand="0" w:firstRowFirstColumn="0" w:firstRowLastColumn="0" w:lastRowFirstColumn="0" w:lastRowLastColumn="0"/>
              <w:rPr>
                <w:rFonts w:ascii="Arial" w:hAnsi="Arial"/>
                <w:color w:val="auto"/>
                <w:sz w:val="18"/>
              </w:rPr>
            </w:pPr>
            <w:r w:rsidRPr="001D0437">
              <w:rPr>
                <w:rFonts w:ascii="Arial" w:hAnsi="Arial"/>
                <w:color w:val="auto"/>
                <w:sz w:val="18"/>
              </w:rPr>
              <w:t>11 Dead</w:t>
            </w:r>
          </w:p>
        </w:tc>
        <w:tc>
          <w:tcPr>
            <w:tcW w:w="4927" w:type="dxa"/>
          </w:tcPr>
          <w:p w14:paraId="2CDE2DC1" w14:textId="77777777" w:rsidR="00CC53E3" w:rsidRPr="001D0437" w:rsidRDefault="00CC53E3" w:rsidP="00905916">
            <w:pPr>
              <w:pStyle w:val="TableTextSmall"/>
              <w:spacing w:line="260" w:lineRule="exact"/>
              <w:cnfStyle w:val="000000100000" w:firstRow="0" w:lastRow="0" w:firstColumn="0" w:lastColumn="0" w:oddVBand="0" w:evenVBand="0" w:oddHBand="1" w:evenHBand="0" w:firstRowFirstColumn="0" w:firstRowLastColumn="0" w:lastRowFirstColumn="0" w:lastRowLastColumn="0"/>
              <w:rPr>
                <w:rFonts w:ascii="Arial" w:hAnsi="Arial"/>
                <w:color w:val="auto"/>
                <w:sz w:val="18"/>
              </w:rPr>
            </w:pPr>
            <w:r w:rsidRPr="001D0437">
              <w:rPr>
                <w:rFonts w:ascii="Arial" w:hAnsi="Arial"/>
                <w:color w:val="auto"/>
                <w:sz w:val="18"/>
              </w:rPr>
              <w:t>People who have died during the previous year or in prior years.</w:t>
            </w:r>
          </w:p>
        </w:tc>
      </w:tr>
      <w:tr w:rsidR="00CC53E3" w:rsidRPr="001C59A6" w14:paraId="3106F898" w14:textId="77777777" w:rsidTr="00072160">
        <w:tc>
          <w:tcPr>
            <w:cnfStyle w:val="001000000000" w:firstRow="0" w:lastRow="0" w:firstColumn="1" w:lastColumn="0" w:oddVBand="0" w:evenVBand="0" w:oddHBand="0" w:evenHBand="0" w:firstRowFirstColumn="0" w:firstRowLastColumn="0" w:lastRowFirstColumn="0" w:lastRowLastColumn="0"/>
            <w:tcW w:w="1021" w:type="dxa"/>
            <w:vMerge/>
          </w:tcPr>
          <w:p w14:paraId="7F691DC7" w14:textId="77777777" w:rsidR="00CC53E3" w:rsidRPr="001D0437" w:rsidRDefault="00CC53E3" w:rsidP="00905916">
            <w:pPr>
              <w:pStyle w:val="TableTextSmall"/>
              <w:spacing w:line="260" w:lineRule="exact"/>
              <w:rPr>
                <w:rFonts w:ascii="Arial" w:hAnsi="Arial"/>
                <w:b w:val="0"/>
                <w:color w:val="auto"/>
                <w:sz w:val="18"/>
              </w:rPr>
            </w:pPr>
          </w:p>
        </w:tc>
        <w:tc>
          <w:tcPr>
            <w:tcW w:w="1708" w:type="dxa"/>
          </w:tcPr>
          <w:p w14:paraId="7EA85499" w14:textId="77777777" w:rsidR="00CC53E3" w:rsidRPr="001D0437" w:rsidRDefault="00CC53E3" w:rsidP="00905916">
            <w:pPr>
              <w:pStyle w:val="TableTextSmalltopic"/>
              <w:keepNext/>
              <w:spacing w:line="260" w:lineRule="exact"/>
              <w:cnfStyle w:val="000000000000" w:firstRow="0" w:lastRow="0" w:firstColumn="0" w:lastColumn="0" w:oddVBand="0" w:evenVBand="0" w:oddHBand="0" w:evenHBand="0" w:firstRowFirstColumn="0" w:firstRowLastColumn="0" w:lastRowFirstColumn="0" w:lastRowLastColumn="0"/>
              <w:rPr>
                <w:rFonts w:ascii="Arial" w:hAnsi="Arial"/>
                <w:color w:val="auto"/>
                <w:sz w:val="18"/>
              </w:rPr>
            </w:pPr>
            <w:r w:rsidRPr="001D0437">
              <w:rPr>
                <w:rFonts w:ascii="Arial" w:hAnsi="Arial"/>
                <w:color w:val="auto"/>
                <w:sz w:val="18"/>
              </w:rPr>
              <w:t>12 Rest of Aust. population</w:t>
            </w:r>
          </w:p>
        </w:tc>
        <w:tc>
          <w:tcPr>
            <w:tcW w:w="4927" w:type="dxa"/>
          </w:tcPr>
          <w:p w14:paraId="1AC274C9" w14:textId="77777777" w:rsidR="00CC53E3" w:rsidRPr="001D0437" w:rsidRDefault="00CC53E3" w:rsidP="00905916">
            <w:pPr>
              <w:pStyle w:val="TableTextSmall"/>
              <w:spacing w:line="260" w:lineRule="exact"/>
              <w:cnfStyle w:val="000000000000" w:firstRow="0" w:lastRow="0" w:firstColumn="0" w:lastColumn="0" w:oddVBand="0" w:evenVBand="0" w:oddHBand="0" w:evenHBand="0" w:firstRowFirstColumn="0" w:firstRowLastColumn="0" w:lastRowFirstColumn="0" w:lastRowLastColumn="0"/>
              <w:rPr>
                <w:rFonts w:ascii="Arial" w:hAnsi="Arial"/>
                <w:color w:val="auto"/>
                <w:sz w:val="18"/>
              </w:rPr>
            </w:pPr>
            <w:r w:rsidRPr="001D0437">
              <w:rPr>
                <w:rFonts w:ascii="Arial" w:hAnsi="Arial"/>
                <w:color w:val="auto"/>
                <w:sz w:val="18"/>
              </w:rPr>
              <w:t>Rest of modelled population.</w:t>
            </w:r>
          </w:p>
        </w:tc>
      </w:tr>
    </w:tbl>
    <w:p w14:paraId="737BB42F" w14:textId="77777777" w:rsidR="00CC53E3" w:rsidRDefault="00CC53E3" w:rsidP="009133C2">
      <w:pPr>
        <w:spacing w:after="0"/>
      </w:pPr>
    </w:p>
    <w:p w14:paraId="19EB5360" w14:textId="77777777" w:rsidR="00CC53E3" w:rsidRPr="00EE34F2" w:rsidRDefault="00CC53E3" w:rsidP="00EE7DC2">
      <w:pPr>
        <w:pStyle w:val="OutlineNumbered1"/>
      </w:pPr>
      <w:r>
        <w:t xml:space="preserve">The </w:t>
      </w:r>
      <w:r w:rsidRPr="00EE34F2">
        <w:t xml:space="preserve">experience of an individual within </w:t>
      </w:r>
      <w:r>
        <w:t>each welfare class</w:t>
      </w:r>
      <w:r w:rsidRPr="00EE34F2">
        <w:t xml:space="preserve"> </w:t>
      </w:r>
      <w:r>
        <w:t>is influenced by various factors. Significant influences include:</w:t>
      </w:r>
    </w:p>
    <w:p w14:paraId="73EA4D02" w14:textId="097180C3" w:rsidR="00CC53E3" w:rsidRPr="00EF126D" w:rsidRDefault="004648F9" w:rsidP="007B016B">
      <w:pPr>
        <w:pStyle w:val="Bullet1"/>
      </w:pPr>
      <w:r>
        <w:lastRenderedPageBreak/>
        <w:t>t</w:t>
      </w:r>
      <w:r w:rsidR="00CC53E3" w:rsidRPr="00EF126D">
        <w:t xml:space="preserve">he particular structure of a </w:t>
      </w:r>
      <w:r w:rsidR="00CC53E3">
        <w:t>w</w:t>
      </w:r>
      <w:r w:rsidR="00CC53E3" w:rsidRPr="00EF126D">
        <w:t xml:space="preserve">elfare </w:t>
      </w:r>
      <w:r w:rsidR="00CC53E3">
        <w:t>class. This includes t</w:t>
      </w:r>
      <w:r w:rsidR="00CC53E3" w:rsidRPr="00EF126D">
        <w:t>he eligibility criteria and parameters regarding the length of time for which benefits can be received (for example</w:t>
      </w:r>
      <w:r>
        <w:t>,</w:t>
      </w:r>
      <w:r w:rsidR="00CC53E3" w:rsidRPr="00EF126D">
        <w:t xml:space="preserve"> age</w:t>
      </w:r>
      <w:r>
        <w:t xml:space="preserve"> or</w:t>
      </w:r>
      <w:r w:rsidR="00CC53E3" w:rsidRPr="00EF126D">
        <w:t xml:space="preserve"> age of youngest child);</w:t>
      </w:r>
    </w:p>
    <w:p w14:paraId="7E993C56" w14:textId="541CB6F0" w:rsidR="00CC53E3" w:rsidRPr="00EF126D" w:rsidRDefault="004648F9" w:rsidP="007B016B">
      <w:pPr>
        <w:pStyle w:val="Bullet1"/>
      </w:pPr>
      <w:r>
        <w:t>a</w:t>
      </w:r>
      <w:r w:rsidR="00CC53E3">
        <w:t>n</w:t>
      </w:r>
      <w:r w:rsidR="00CC53E3" w:rsidRPr="00EF126D">
        <w:t xml:space="preserve"> individual</w:t>
      </w:r>
      <w:r w:rsidR="00CC53E3">
        <w:t>’s</w:t>
      </w:r>
      <w:r w:rsidR="00CC53E3" w:rsidRPr="00EF126D">
        <w:t xml:space="preserve"> characteristics</w:t>
      </w:r>
      <w:r w:rsidR="00CC53E3">
        <w:t>,</w:t>
      </w:r>
      <w:r w:rsidR="00CC53E3" w:rsidRPr="00EF126D">
        <w:t xml:space="preserve"> which inform the expected persistency of receiving a payment (for example</w:t>
      </w:r>
      <w:r>
        <w:t>,</w:t>
      </w:r>
      <w:r w:rsidR="00CC53E3" w:rsidRPr="00EF126D">
        <w:t xml:space="preserve"> age when first entering welfare system</w:t>
      </w:r>
      <w:r>
        <w:t xml:space="preserve"> or</w:t>
      </w:r>
      <w:r w:rsidR="00CC53E3" w:rsidRPr="00EF126D">
        <w:t xml:space="preserve"> duration on income support);</w:t>
      </w:r>
      <w:r>
        <w:t xml:space="preserve"> and</w:t>
      </w:r>
    </w:p>
    <w:p w14:paraId="57AC9DC3" w14:textId="7CE1A6BE" w:rsidR="00CC53E3" w:rsidRPr="00EF126D" w:rsidRDefault="004648F9" w:rsidP="007B016B">
      <w:pPr>
        <w:pStyle w:val="Bullet1"/>
      </w:pPr>
      <w:r>
        <w:t>a</w:t>
      </w:r>
      <w:r w:rsidR="00CC53E3">
        <w:t>n</w:t>
      </w:r>
      <w:r w:rsidR="00CC53E3" w:rsidRPr="00EF126D">
        <w:t xml:space="preserve"> individual</w:t>
      </w:r>
      <w:r w:rsidR="00CC53E3">
        <w:t>’s</w:t>
      </w:r>
      <w:r w:rsidR="00CC53E3" w:rsidRPr="00EF126D">
        <w:t xml:space="preserve"> characteristics</w:t>
      </w:r>
      <w:r w:rsidR="00CC53E3">
        <w:t>,</w:t>
      </w:r>
      <w:r w:rsidR="00CC53E3" w:rsidRPr="00EF126D">
        <w:t xml:space="preserve"> which inform the level of payment received (for example</w:t>
      </w:r>
      <w:r>
        <w:t>,</w:t>
      </w:r>
      <w:r w:rsidR="00CC53E3" w:rsidRPr="00EF126D">
        <w:t xml:space="preserve"> gender</w:t>
      </w:r>
      <w:r>
        <w:t xml:space="preserve"> or</w:t>
      </w:r>
      <w:r w:rsidR="00CC53E3" w:rsidRPr="00EF126D">
        <w:t xml:space="preserve"> partnering status).</w:t>
      </w:r>
    </w:p>
    <w:p w14:paraId="142D18AF" w14:textId="07E4C8BC" w:rsidR="00CC53E3" w:rsidRPr="00CF6A57" w:rsidRDefault="00CC53E3" w:rsidP="00EE7DC2">
      <w:pPr>
        <w:pStyle w:val="OutlineNumbered1"/>
        <w:rPr>
          <w:color w:val="auto"/>
        </w:rPr>
      </w:pPr>
      <w:r>
        <w:t>T</w:t>
      </w:r>
      <w:r w:rsidRPr="00CF6A57">
        <w:t xml:space="preserve">he annual simulation </w:t>
      </w:r>
      <w:r>
        <w:t xml:space="preserve">of welfare use in each future year is </w:t>
      </w:r>
      <w:r w:rsidR="007133D6">
        <w:t xml:space="preserve">illustrated in </w:t>
      </w:r>
      <w:hyperlink w:anchor="Figure2" w:history="1">
        <w:r w:rsidR="005A618F" w:rsidRPr="007133D6">
          <w:rPr>
            <w:rStyle w:val="Hyperlink"/>
          </w:rPr>
          <w:fldChar w:fldCharType="begin"/>
        </w:r>
        <w:r w:rsidR="005A618F" w:rsidRPr="007133D6">
          <w:rPr>
            <w:rStyle w:val="Hyperlink"/>
          </w:rPr>
          <w:instrText xml:space="preserve"> REF _Ref35948417 \h </w:instrText>
        </w:r>
        <w:r w:rsidR="007133D6" w:rsidRPr="007133D6">
          <w:rPr>
            <w:rStyle w:val="Hyperlink"/>
          </w:rPr>
          <w:instrText xml:space="preserve"> \* MERGEFORMAT </w:instrText>
        </w:r>
        <w:r w:rsidR="005A618F" w:rsidRPr="007133D6">
          <w:rPr>
            <w:rStyle w:val="Hyperlink"/>
          </w:rPr>
        </w:r>
        <w:r w:rsidR="005A618F" w:rsidRPr="007133D6">
          <w:rPr>
            <w:rStyle w:val="Hyperlink"/>
          </w:rPr>
          <w:fldChar w:fldCharType="separate"/>
        </w:r>
        <w:r w:rsidR="00751625" w:rsidRPr="00751625">
          <w:rPr>
            <w:rStyle w:val="Hyperlink"/>
          </w:rPr>
          <w:t>Figure</w:t>
        </w:r>
        <w:r w:rsidR="00751625">
          <w:t xml:space="preserve"> </w:t>
        </w:r>
        <w:r w:rsidR="00751625">
          <w:rPr>
            <w:noProof/>
          </w:rPr>
          <w:t>2</w:t>
        </w:r>
        <w:r w:rsidR="005A618F" w:rsidRPr="007133D6">
          <w:rPr>
            <w:rStyle w:val="Hyperlink"/>
          </w:rPr>
          <w:fldChar w:fldCharType="end"/>
        </w:r>
      </w:hyperlink>
      <w:r w:rsidRPr="007133D6">
        <w:rPr>
          <w:rStyle w:val="Hyperlink"/>
        </w:rPr>
        <w:t>.</w:t>
      </w:r>
      <w:r w:rsidRPr="00CF6A57">
        <w:t xml:space="preserve"> This also shows the order in which each variable is simulated.</w:t>
      </w:r>
    </w:p>
    <w:p w14:paraId="268030EC" w14:textId="69FB7B2D" w:rsidR="00E06DDF" w:rsidRDefault="00CE49CB" w:rsidP="000B1493">
      <w:pPr>
        <w:pStyle w:val="Caption"/>
      </w:pPr>
      <w:bookmarkStart w:id="113" w:name="Figure2"/>
      <w:bookmarkStart w:id="114" w:name="_Ref35948417"/>
      <w:bookmarkStart w:id="115" w:name="_Ref35948364"/>
      <w:bookmarkStart w:id="116" w:name="_Toc100131512"/>
      <w:bookmarkEnd w:id="113"/>
      <w:r>
        <w:t xml:space="preserve">Figure </w:t>
      </w:r>
      <w:r w:rsidR="00215A2C">
        <w:fldChar w:fldCharType="begin"/>
      </w:r>
      <w:r w:rsidR="00215A2C">
        <w:instrText xml:space="preserve"> SEQ Figure \* ARABIC </w:instrText>
      </w:r>
      <w:r w:rsidR="00215A2C">
        <w:fldChar w:fldCharType="separate"/>
      </w:r>
      <w:r w:rsidR="00751625">
        <w:rPr>
          <w:noProof/>
        </w:rPr>
        <w:t>2</w:t>
      </w:r>
      <w:r w:rsidR="00215A2C">
        <w:rPr>
          <w:noProof/>
        </w:rPr>
        <w:fldChar w:fldCharType="end"/>
      </w:r>
      <w:bookmarkEnd w:id="114"/>
      <w:r w:rsidR="00E06DDF">
        <w:t xml:space="preserve">: Illustration of the </w:t>
      </w:r>
      <w:r w:rsidR="009133C2">
        <w:t>S</w:t>
      </w:r>
      <w:r w:rsidR="00E06DDF">
        <w:t xml:space="preserve">imulation </w:t>
      </w:r>
      <w:r w:rsidR="009133C2">
        <w:t>M</w:t>
      </w:r>
      <w:r w:rsidR="00E06DDF">
        <w:t xml:space="preserve">odel </w:t>
      </w:r>
      <w:r w:rsidR="009133C2">
        <w:t>S</w:t>
      </w:r>
      <w:r w:rsidR="00E06DDF">
        <w:t>tructure</w:t>
      </w:r>
      <w:bookmarkEnd w:id="115"/>
      <w:bookmarkEnd w:id="116"/>
    </w:p>
    <w:tbl>
      <w:tblPr>
        <w:tblStyle w:val="SmartTextTable2"/>
        <w:tblW w:w="5000" w:type="pct"/>
        <w:tblInd w:w="0" w:type="dxa"/>
        <w:tblLook w:val="04A0" w:firstRow="1" w:lastRow="0" w:firstColumn="1" w:lastColumn="0" w:noHBand="0" w:noVBand="1"/>
        <w:tblCaption w:val=" Illustration of the simulation model structure&#10;"/>
        <w:tblDescription w:val="This figure is an infographic diagram which provides an overview of the modelling sequence for the 2018 valuation.  It shows the annual projection cycle broken down into the component models and processes that are used to update the population dataset.  The projection cycle is broken down into six broad stages: 1) Starting population at the valuation date t (consideration of current characteristics, and data maturity adjustments).   2) Simulate demographic characters (intergenerational welfare use, ageing, mortality, partner status, children, highest level of education and location).  3) Simulate welfare class and class specific variables (welfare class, DSP medical condition for class 5, care recipient variables for classes 4 and 8, partial capacity to work for class 2, employment earnings for classes 1-5, payment type for classes 1 to 3 and education sector for class 4). Simulate payment category utilisation.   5) Simulate payment category amounts.  6) Update the population dataset to year t+1.   Discussion of the elements shown in the diagram can be found within the report. "/>
      </w:tblPr>
      <w:tblGrid>
        <w:gridCol w:w="7710"/>
      </w:tblGrid>
      <w:tr w:rsidR="00E06DDF" w:rsidRPr="000F09DE" w14:paraId="4F20E08F" w14:textId="77777777" w:rsidTr="00B81531">
        <w:trPr>
          <w:tblHeader/>
        </w:trPr>
        <w:tc>
          <w:tcPr>
            <w:tcW w:w="5000" w:type="pct"/>
            <w:tcBorders>
              <w:top w:val="nil"/>
              <w:left w:val="nil"/>
              <w:bottom w:val="nil"/>
              <w:right w:val="nil"/>
            </w:tcBorders>
            <w:hideMark/>
          </w:tcPr>
          <w:p w14:paraId="4DF87156" w14:textId="77777777" w:rsidR="00E06DDF" w:rsidRPr="000F09DE" w:rsidRDefault="00E06DDF" w:rsidP="00161700">
            <w:pPr>
              <w:spacing w:after="0" w:line="240" w:lineRule="auto"/>
              <w:ind w:left="709" w:hanging="709"/>
              <w:jc w:val="left"/>
              <w:rPr>
                <w:rFonts w:cs="Arial"/>
                <w:color w:val="404040"/>
              </w:rPr>
            </w:pPr>
            <w:r w:rsidRPr="000F09DE">
              <w:rPr>
                <w:rFonts w:cs="Arial"/>
                <w:noProof/>
                <w:color w:val="404040"/>
              </w:rPr>
              <w:drawing>
                <wp:inline distT="0" distB="0" distL="0" distR="0" wp14:anchorId="14F3CF90" wp14:editId="7039F878">
                  <wp:extent cx="4803956" cy="3258761"/>
                  <wp:effectExtent l="0" t="0" r="0" b="0"/>
                  <wp:docPr id="3" name="Picture 223" descr="This flow diagram shows the circular nature of the annual projection cycle. Beginning with the starting population at the valuation date, the relevant variables for a given person are simulated in a particular order. The progression is demographics, welfare class and relevant variables, payment category utilisation, and finally payment category amounts. The cycle then repeats again for the next year as needed."/>
                  <wp:cNvGraphicFramePr/>
                  <a:graphic xmlns:a="http://schemas.openxmlformats.org/drawingml/2006/main">
                    <a:graphicData uri="http://schemas.openxmlformats.org/drawingml/2006/picture">
                      <pic:pic xmlns:pic="http://schemas.openxmlformats.org/drawingml/2006/picture">
                        <pic:nvPicPr>
                          <pic:cNvPr id="3" name="Picture 223" descr="This flow diagram shows the circular nature of the annual projection cycle. Beginning with the starting population at the valuation date, the relevant variables for a given person are simulated in a particular order. The progression is demographics, welfare class and relevant variables, payment category utilisation, and finally payment category amounts. The cycle then repeats again for the next year as needed."/>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33247" cy="3278631"/>
                          </a:xfrm>
                          <a:prstGeom prst="rect">
                            <a:avLst/>
                          </a:prstGeom>
                          <a:noFill/>
                          <a:ln>
                            <a:noFill/>
                          </a:ln>
                        </pic:spPr>
                      </pic:pic>
                    </a:graphicData>
                  </a:graphic>
                </wp:inline>
              </w:drawing>
            </w:r>
          </w:p>
        </w:tc>
      </w:tr>
      <w:tr w:rsidR="00EA2EA1" w:rsidRPr="000F09DE" w14:paraId="29874A46" w14:textId="77777777" w:rsidTr="00B81531">
        <w:trPr>
          <w:tblHeader/>
        </w:trPr>
        <w:tc>
          <w:tcPr>
            <w:tcW w:w="5000" w:type="pct"/>
            <w:tcBorders>
              <w:top w:val="nil"/>
              <w:left w:val="nil"/>
              <w:bottom w:val="nil"/>
              <w:right w:val="nil"/>
            </w:tcBorders>
          </w:tcPr>
          <w:p w14:paraId="3E10E754" w14:textId="77777777" w:rsidR="00EA2EA1" w:rsidRPr="000F09DE" w:rsidRDefault="00EA2EA1" w:rsidP="00161700">
            <w:pPr>
              <w:spacing w:after="0" w:line="240" w:lineRule="auto"/>
              <w:ind w:left="709" w:hanging="709"/>
              <w:jc w:val="left"/>
              <w:rPr>
                <w:rFonts w:cs="Arial"/>
                <w:noProof/>
                <w:color w:val="404040"/>
              </w:rPr>
            </w:pPr>
          </w:p>
        </w:tc>
      </w:tr>
    </w:tbl>
    <w:p w14:paraId="0D3F0D01" w14:textId="1B88A9C1" w:rsidR="00CC53E3" w:rsidRPr="003010B3" w:rsidRDefault="004648F9" w:rsidP="00EE7DC2">
      <w:pPr>
        <w:pStyle w:val="OutlineNumbered1"/>
        <w:rPr>
          <w:color w:val="auto"/>
        </w:rPr>
      </w:pPr>
      <w:r>
        <w:t>U</w:t>
      </w:r>
      <w:r w:rsidR="00CC53E3">
        <w:t xml:space="preserve">nderneath the welfare class structure is another modelling structure based on approximately 85 individual payment types, which are themselves grouped into </w:t>
      </w:r>
      <w:r w:rsidR="00621A46">
        <w:t>seventeen</w:t>
      </w:r>
      <w:r w:rsidR="00CC53E3">
        <w:t xml:space="preserve"> payment categories. Seven of these payment categories relate to income support payments, and ten relate to </w:t>
      </w:r>
      <w:r w:rsidR="00621A46">
        <w:t>non-income</w:t>
      </w:r>
      <w:r w:rsidR="00CC53E3">
        <w:t xml:space="preserve"> support payments.</w:t>
      </w:r>
    </w:p>
    <w:p w14:paraId="46E29636" w14:textId="77777777" w:rsidR="00CC53E3" w:rsidRPr="003010B3" w:rsidRDefault="00CC53E3" w:rsidP="00EE7DC2">
      <w:pPr>
        <w:pStyle w:val="OutlineNumbered1"/>
        <w:rPr>
          <w:color w:val="auto"/>
        </w:rPr>
      </w:pPr>
      <w:r>
        <w:t>Although each person is allocated to a single unique class in a year, the model simulates the possibility of payment utilisation for each possible payment category. As such, the model allows for individuals to receive payments from multiple categories (and classes) in the same year.</w:t>
      </w:r>
    </w:p>
    <w:p w14:paraId="7DA96DF4" w14:textId="79B4F13F" w:rsidR="00CC53E3" w:rsidRPr="00CF6A57" w:rsidRDefault="00CC53E3" w:rsidP="00EE7DC2">
      <w:pPr>
        <w:pStyle w:val="OutlineNumbered1"/>
        <w:rPr>
          <w:color w:val="auto"/>
        </w:rPr>
      </w:pPr>
      <w:r>
        <w:t xml:space="preserve">The welfare classes are treated in a hierarchical order. For example, if someone receives multiple payments during a given year, being in an income support </w:t>
      </w:r>
      <w:r>
        <w:lastRenderedPageBreak/>
        <w:t xml:space="preserve">class (classes 1 to 6) will take precedence over being in a </w:t>
      </w:r>
      <w:r w:rsidR="00621A46">
        <w:t>non-income</w:t>
      </w:r>
      <w:r>
        <w:t xml:space="preserve"> support class (classes 7 to 9).</w:t>
      </w:r>
    </w:p>
    <w:p w14:paraId="5128E76F" w14:textId="2EDD8F57" w:rsidR="000962FF" w:rsidRPr="009A259E" w:rsidRDefault="000C2F64" w:rsidP="002C30FE">
      <w:pPr>
        <w:pStyle w:val="Heading2"/>
      </w:pPr>
      <w:bookmarkStart w:id="117" w:name="_Toc36555796"/>
      <w:bookmarkStart w:id="118" w:name="_Toc36563895"/>
      <w:bookmarkStart w:id="119" w:name="_Toc36655866"/>
      <w:bookmarkStart w:id="120" w:name="_Toc37931076"/>
      <w:bookmarkStart w:id="121" w:name="_Toc38007020"/>
      <w:bookmarkStart w:id="122" w:name="_Toc38458545"/>
      <w:bookmarkStart w:id="123" w:name="_Toc39071803"/>
      <w:bookmarkStart w:id="124" w:name="_Toc39243433"/>
      <w:bookmarkStart w:id="125" w:name="_Toc100131557"/>
      <w:r>
        <w:t xml:space="preserve">Model </w:t>
      </w:r>
      <w:r w:rsidR="008F25CB">
        <w:t>u</w:t>
      </w:r>
      <w:r>
        <w:t>pdates</w:t>
      </w:r>
      <w:bookmarkEnd w:id="117"/>
      <w:bookmarkEnd w:id="118"/>
      <w:bookmarkEnd w:id="119"/>
      <w:bookmarkEnd w:id="120"/>
      <w:bookmarkEnd w:id="121"/>
      <w:bookmarkEnd w:id="122"/>
      <w:bookmarkEnd w:id="123"/>
      <w:bookmarkEnd w:id="124"/>
      <w:bookmarkEnd w:id="125"/>
    </w:p>
    <w:p w14:paraId="61926EBF" w14:textId="151E9438" w:rsidR="00CC53E3" w:rsidRPr="002E7660" w:rsidRDefault="00CC53E3" w:rsidP="00EE7DC2">
      <w:pPr>
        <w:pStyle w:val="OutlineNumbered1"/>
        <w:rPr>
          <w:color w:val="auto"/>
        </w:rPr>
      </w:pPr>
      <w:r>
        <w:t>A number of updates to the modelling approach have been conducted for the purposes of the 2019 valuation. These are described in the following paragraphs.</w:t>
      </w:r>
    </w:p>
    <w:p w14:paraId="24E33168" w14:textId="77777777" w:rsidR="00CF7B6B" w:rsidRDefault="00CC53E3" w:rsidP="00EE7DC2">
      <w:pPr>
        <w:pStyle w:val="OutlineNumbered1"/>
        <w:rPr>
          <w:rFonts w:cs="Arial"/>
          <w:color w:val="auto"/>
        </w:rPr>
      </w:pPr>
      <w:r>
        <w:t xml:space="preserve">Changes have been made to the modelling algorithms. Previous valuations (as described in those respective reports) were based on a relatively manual process of fitting Generalised Linear Models (GLMs) to underlying data, in a staged approach, overlaid with a range of adjustment factors where needed. The updated </w:t>
      </w:r>
      <w:r w:rsidRPr="002E7660">
        <w:rPr>
          <w:rFonts w:cs="Arial"/>
          <w:color w:val="auto"/>
        </w:rPr>
        <w:t>approach utilises a more automated process (machine learning) to fit Neural Networks, and to consolidate selections of models to give greater simulation efficiency.</w:t>
      </w:r>
      <w:r w:rsidR="00CF7B6B">
        <w:rPr>
          <w:rFonts w:cs="Arial"/>
          <w:color w:val="auto"/>
        </w:rPr>
        <w:t xml:space="preserve"> </w:t>
      </w:r>
    </w:p>
    <w:p w14:paraId="49AF8481" w14:textId="0C7E8D75" w:rsidR="00CC53E3" w:rsidRDefault="00CF7B6B" w:rsidP="00EE7DC2">
      <w:pPr>
        <w:pStyle w:val="OutlineNumbered1"/>
        <w:rPr>
          <w:color w:val="auto"/>
        </w:rPr>
      </w:pPr>
      <w:r>
        <w:rPr>
          <w:color w:val="auto"/>
        </w:rPr>
        <w:t>Neural Networks have replaced GLMs as they</w:t>
      </w:r>
      <w:r>
        <w:t xml:space="preserve"> require less manual fitting and are more able to identify complex patterns in the data such as interactions between predictors. This means that </w:t>
      </w:r>
      <w:r w:rsidR="00043C5F">
        <w:t xml:space="preserve">for the PIA modelling, they are </w:t>
      </w:r>
      <w:r>
        <w:t>general</w:t>
      </w:r>
      <w:r w:rsidR="00043C5F">
        <w:t>ly</w:t>
      </w:r>
      <w:r>
        <w:t xml:space="preserve"> both more efficient and more accurate than the GLMs. </w:t>
      </w:r>
    </w:p>
    <w:p w14:paraId="6D7B3103" w14:textId="77777777" w:rsidR="00CC53E3" w:rsidRPr="002E7660" w:rsidRDefault="00CC53E3" w:rsidP="00EE7DC2">
      <w:pPr>
        <w:pStyle w:val="OutlineNumbered1"/>
      </w:pPr>
      <w:r>
        <w:t>T</w:t>
      </w:r>
      <w:r w:rsidRPr="002E7660">
        <w:t>he demographic module</w:t>
      </w:r>
      <w:r>
        <w:t xml:space="preserve"> has been updated</w:t>
      </w:r>
      <w:r w:rsidRPr="002E7660">
        <w:t xml:space="preserve">. </w:t>
      </w:r>
      <w:r>
        <w:t>Changes made</w:t>
      </w:r>
      <w:r w:rsidRPr="002E7660">
        <w:t xml:space="preserve"> include:</w:t>
      </w:r>
    </w:p>
    <w:p w14:paraId="2A142C5D" w14:textId="64E517B2" w:rsidR="00CC53E3" w:rsidRPr="002E7660" w:rsidRDefault="00216EFE" w:rsidP="000962FF">
      <w:pPr>
        <w:pStyle w:val="Bullet1"/>
      </w:pPr>
      <w:r>
        <w:t>f</w:t>
      </w:r>
      <w:r w:rsidR="009949C9">
        <w:t>urther u</w:t>
      </w:r>
      <w:r w:rsidR="00CC53E3" w:rsidRPr="002E7660">
        <w:t xml:space="preserve">tilising HILDA data analysis to inform trends in non-welfare </w:t>
      </w:r>
      <w:r w:rsidR="00CC53E3">
        <w:t>class</w:t>
      </w:r>
      <w:r w:rsidR="00CC53E3" w:rsidRPr="002E7660">
        <w:t>es;</w:t>
      </w:r>
    </w:p>
    <w:p w14:paraId="62F6B164" w14:textId="43CAE58D" w:rsidR="00CC53E3" w:rsidRPr="005352CD" w:rsidRDefault="00216EFE" w:rsidP="000962FF">
      <w:pPr>
        <w:pStyle w:val="Bullet1"/>
      </w:pPr>
      <w:r>
        <w:t>u</w:t>
      </w:r>
      <w:r w:rsidR="00CC53E3" w:rsidRPr="002E7660">
        <w:t xml:space="preserve">pdating the data window used, to make more use of more recent (2015-18) </w:t>
      </w:r>
      <w:r w:rsidR="00CC53E3" w:rsidRPr="005352CD">
        <w:t>demographic data for relevant experience analyses;</w:t>
      </w:r>
    </w:p>
    <w:p w14:paraId="2D003FB7" w14:textId="59D51C8D" w:rsidR="00CC53E3" w:rsidRPr="005352CD" w:rsidRDefault="00216EFE" w:rsidP="000962FF">
      <w:pPr>
        <w:pStyle w:val="Bullet1"/>
      </w:pPr>
      <w:r>
        <w:t>u</w:t>
      </w:r>
      <w:r w:rsidR="00BA493E">
        <w:t xml:space="preserve">pdating the process for </w:t>
      </w:r>
      <w:r w:rsidR="00CC53E3" w:rsidRPr="005352CD">
        <w:t>model fitting at older ages;</w:t>
      </w:r>
    </w:p>
    <w:p w14:paraId="7D992904" w14:textId="5FB52E41" w:rsidR="00CC53E3" w:rsidRDefault="00216EFE" w:rsidP="000962FF">
      <w:pPr>
        <w:pStyle w:val="Bullet1"/>
      </w:pPr>
      <w:r>
        <w:t>m</w:t>
      </w:r>
      <w:r w:rsidR="00CC53E3" w:rsidRPr="005352CD">
        <w:t>odifying the previous application of mortality data</w:t>
      </w:r>
      <w:r w:rsidR="00CC53E3">
        <w:t xml:space="preserve">. This includes using </w:t>
      </w:r>
      <w:r w:rsidR="00CC53E3" w:rsidRPr="005352CD">
        <w:t>a longer term mortality improvement factor</w:t>
      </w:r>
      <w:r w:rsidR="00CC53E3">
        <w:t xml:space="preserve"> and aligning</w:t>
      </w:r>
      <w:r w:rsidR="00CC53E3" w:rsidRPr="005352CD">
        <w:t xml:space="preserve"> aggregate mortality across the whole population (indigenous and non-indigenous) with the Australian Life Tables;</w:t>
      </w:r>
    </w:p>
    <w:p w14:paraId="3CEF581D" w14:textId="44BC5612" w:rsidR="00E80FA6" w:rsidRPr="005352CD" w:rsidRDefault="00216EFE" w:rsidP="000962FF">
      <w:pPr>
        <w:pStyle w:val="Bullet1"/>
      </w:pPr>
      <w:r>
        <w:t>c</w:t>
      </w:r>
      <w:r w:rsidR="00096886">
        <w:t xml:space="preserve">reating a new dataset to represent the number of children within the non-welfare population. Previously, data regarding children from the welfare population was modified </w:t>
      </w:r>
      <w:r w:rsidR="00622130">
        <w:t>to serve as</w:t>
      </w:r>
      <w:r w:rsidR="00096886">
        <w:t xml:space="preserve"> an approximation for the non-welfare population; </w:t>
      </w:r>
      <w:r>
        <w:t>and</w:t>
      </w:r>
    </w:p>
    <w:p w14:paraId="77C780FA" w14:textId="6A099260" w:rsidR="00CC53E3" w:rsidRPr="005352CD" w:rsidRDefault="00216EFE" w:rsidP="000962FF">
      <w:pPr>
        <w:pStyle w:val="Bullet1"/>
      </w:pPr>
      <w:r>
        <w:t>a</w:t>
      </w:r>
      <w:r w:rsidR="00CC53E3" w:rsidRPr="005352CD">
        <w:t xml:space="preserve">ccommodating transfers to </w:t>
      </w:r>
      <w:r w:rsidR="00CA521F">
        <w:t>C</w:t>
      </w:r>
      <w:r w:rsidR="00CC53E3">
        <w:t>lass</w:t>
      </w:r>
      <w:r w:rsidR="00CC53E3" w:rsidRPr="005352CD">
        <w:t xml:space="preserve"> 1</w:t>
      </w:r>
      <w:r w:rsidR="00CC047C">
        <w:t>2</w:t>
      </w:r>
      <w:r w:rsidR="00CC53E3" w:rsidRPr="005352CD">
        <w:t xml:space="preserve"> within the demographic model.</w:t>
      </w:r>
    </w:p>
    <w:p w14:paraId="3BABE0D8" w14:textId="77777777" w:rsidR="00CC53E3" w:rsidRPr="005352CD" w:rsidRDefault="00CC53E3" w:rsidP="00EE7DC2">
      <w:pPr>
        <w:pStyle w:val="OutlineNumbered1"/>
      </w:pPr>
      <w:r>
        <w:t>T</w:t>
      </w:r>
      <w:r w:rsidRPr="005352CD">
        <w:t>he population module</w:t>
      </w:r>
      <w:r>
        <w:t xml:space="preserve"> has been updated, in order to</w:t>
      </w:r>
      <w:r w:rsidRPr="005352CD">
        <w:t>:</w:t>
      </w:r>
    </w:p>
    <w:p w14:paraId="4BDD9935" w14:textId="0C416630" w:rsidR="00CC53E3" w:rsidRPr="005352CD" w:rsidRDefault="00216EFE" w:rsidP="000962FF">
      <w:pPr>
        <w:pStyle w:val="Bullet1"/>
      </w:pPr>
      <w:r>
        <w:t>i</w:t>
      </w:r>
      <w:r w:rsidR="00CC53E3" w:rsidRPr="005352CD">
        <w:t>mput</w:t>
      </w:r>
      <w:r w:rsidR="00CC53E3">
        <w:t>e</w:t>
      </w:r>
      <w:r w:rsidR="00CC53E3" w:rsidRPr="005352CD">
        <w:t xml:space="preserve"> missing values in the starting population; and</w:t>
      </w:r>
    </w:p>
    <w:p w14:paraId="0F4B5ED3" w14:textId="6758E7A2" w:rsidR="00CC53E3" w:rsidRPr="005352CD" w:rsidRDefault="00216EFE" w:rsidP="000962FF">
      <w:pPr>
        <w:pStyle w:val="Bullet1"/>
      </w:pPr>
      <w:r>
        <w:t>g</w:t>
      </w:r>
      <w:r w:rsidR="00CC53E3" w:rsidRPr="005352CD">
        <w:t>enerat</w:t>
      </w:r>
      <w:r w:rsidR="00CC53E3">
        <w:t>e</w:t>
      </w:r>
      <w:r w:rsidR="00CC53E3" w:rsidRPr="005352CD">
        <w:t xml:space="preserve"> a more representative age distribution of the </w:t>
      </w:r>
      <w:r>
        <w:t>I</w:t>
      </w:r>
      <w:r w:rsidR="00CC53E3" w:rsidRPr="005352CD">
        <w:t xml:space="preserve">ndigenous population. </w:t>
      </w:r>
    </w:p>
    <w:p w14:paraId="59816C97" w14:textId="6FD13513" w:rsidR="00CC53E3" w:rsidRDefault="00CC53E3" w:rsidP="00EE7DC2">
      <w:pPr>
        <w:pStyle w:val="OutlineNumbered1"/>
      </w:pPr>
      <w:r>
        <w:lastRenderedPageBreak/>
        <w:t>T</w:t>
      </w:r>
      <w:r w:rsidRPr="005352CD">
        <w:t xml:space="preserve">he </w:t>
      </w:r>
      <w:r w:rsidR="00020188">
        <w:t xml:space="preserve">data extraction and </w:t>
      </w:r>
      <w:r>
        <w:t>s</w:t>
      </w:r>
      <w:r w:rsidRPr="005352CD">
        <w:t>imulation process</w:t>
      </w:r>
      <w:r w:rsidR="00020188">
        <w:t>es</w:t>
      </w:r>
      <w:r>
        <w:t xml:space="preserve"> ha</w:t>
      </w:r>
      <w:r w:rsidR="00020188">
        <w:t>ve</w:t>
      </w:r>
      <w:r>
        <w:t xml:space="preserve"> been updated</w:t>
      </w:r>
      <w:r w:rsidRPr="005352CD">
        <w:t xml:space="preserve">. This includes modifying the transition rules from </w:t>
      </w:r>
      <w:r w:rsidR="00CA521F">
        <w:t>C</w:t>
      </w:r>
      <w:r>
        <w:t>lass</w:t>
      </w:r>
      <w:r w:rsidRPr="005352CD">
        <w:t xml:space="preserve"> 10 to </w:t>
      </w:r>
      <w:r w:rsidR="00CA521F">
        <w:t>C</w:t>
      </w:r>
      <w:r>
        <w:t>lass</w:t>
      </w:r>
      <w:r w:rsidRPr="005352CD">
        <w:t xml:space="preserve"> 12. For data to 30</w:t>
      </w:r>
      <w:r w:rsidR="00753715">
        <w:t> </w:t>
      </w:r>
      <w:r w:rsidRPr="005352CD">
        <w:t>June</w:t>
      </w:r>
      <w:r w:rsidR="00753715">
        <w:t> </w:t>
      </w:r>
      <w:r w:rsidRPr="005352CD">
        <w:t xml:space="preserve">2019, it is not possible to infer information about historical welfare use for individuals prior to 2001-02. Therefore, </w:t>
      </w:r>
      <w:r w:rsidRPr="0039515B">
        <w:t xml:space="preserve">to ensure consistency between </w:t>
      </w:r>
      <w:r w:rsidR="00CA521F">
        <w:t>C</w:t>
      </w:r>
      <w:r>
        <w:t>lass</w:t>
      </w:r>
      <w:r w:rsidR="00D93CB1">
        <w:t> </w:t>
      </w:r>
      <w:r w:rsidRPr="0039515B">
        <w:t xml:space="preserve">10 and </w:t>
      </w:r>
      <w:r w:rsidR="00CA521F">
        <w:t>C</w:t>
      </w:r>
      <w:r>
        <w:t>lass</w:t>
      </w:r>
      <w:r w:rsidR="00D93CB1">
        <w:t> </w:t>
      </w:r>
      <w:r w:rsidRPr="0039515B">
        <w:t xml:space="preserve">12, individuals projected to have no welfare history in the 18 years immediately prior to a given year, will transition to </w:t>
      </w:r>
      <w:r w:rsidR="00CA521F">
        <w:t>C</w:t>
      </w:r>
      <w:r>
        <w:t>lass</w:t>
      </w:r>
      <w:r w:rsidR="00D93CB1">
        <w:t> </w:t>
      </w:r>
      <w:r w:rsidRPr="0039515B">
        <w:t xml:space="preserve">12 rather than remain in </w:t>
      </w:r>
      <w:r w:rsidR="00CA521F">
        <w:t>C</w:t>
      </w:r>
      <w:r>
        <w:t>lass</w:t>
      </w:r>
      <w:r w:rsidR="00D93CB1">
        <w:t> </w:t>
      </w:r>
      <w:r w:rsidRPr="0039515B">
        <w:t xml:space="preserve">10. This means that </w:t>
      </w:r>
      <w:r w:rsidR="00CA521F">
        <w:t>C</w:t>
      </w:r>
      <w:r>
        <w:t>lass</w:t>
      </w:r>
      <w:r w:rsidR="00D93CB1">
        <w:t> </w:t>
      </w:r>
      <w:r w:rsidRPr="0039515B">
        <w:t>10 is defined as those with no welfare use in the previous 18 years, across the entire projection.</w:t>
      </w:r>
    </w:p>
    <w:p w14:paraId="216F88A0" w14:textId="4182D383" w:rsidR="00CC53E3" w:rsidRDefault="00CC53E3" w:rsidP="00EE7DC2">
      <w:pPr>
        <w:pStyle w:val="OutlineNumbered1"/>
      </w:pPr>
      <w:r w:rsidRPr="0039515B">
        <w:t>Indexation forecasts</w:t>
      </w:r>
      <w:r>
        <w:t xml:space="preserve"> have been updated</w:t>
      </w:r>
      <w:r w:rsidRPr="0039515B">
        <w:t>. AWE and CPI will continue to be linked to Budget forecasts. However, the Pensioner and Beneficiary Living Cost Index (PBLCI) will now use the Treasury Department Forecast (instead of a rolling average forecast)</w:t>
      </w:r>
      <w:r>
        <w:t>,</w:t>
      </w:r>
      <w:r w:rsidRPr="0039515B">
        <w:t xml:space="preserve"> and the national minimum wage (NMW) will be directly linked to AWE.</w:t>
      </w:r>
    </w:p>
    <w:p w14:paraId="4ED91D05" w14:textId="4F99EA74" w:rsidR="00CC53E3" w:rsidRPr="0039515B" w:rsidRDefault="00CC53E3" w:rsidP="00EE7DC2">
      <w:pPr>
        <w:pStyle w:val="OutlineNumbered1"/>
      </w:pPr>
      <w:r>
        <w:t>There is now a</w:t>
      </w:r>
      <w:r w:rsidRPr="0039515B">
        <w:t>lignment of the census date for policy changes, with that of the starting population. The population data is ‘as at’ 30</w:t>
      </w:r>
      <w:r w:rsidR="00753715">
        <w:t> </w:t>
      </w:r>
      <w:r w:rsidRPr="0039515B">
        <w:t>June</w:t>
      </w:r>
      <w:r w:rsidR="00753715">
        <w:t> </w:t>
      </w:r>
      <w:r w:rsidRPr="0039515B">
        <w:t>2019, but ‘as known at’ 30</w:t>
      </w:r>
      <w:r w:rsidR="00753715">
        <w:t> </w:t>
      </w:r>
      <w:r w:rsidRPr="0039515B">
        <w:t>September</w:t>
      </w:r>
      <w:r w:rsidR="00753715">
        <w:t> </w:t>
      </w:r>
      <w:r w:rsidRPr="0039515B">
        <w:t>2019 to allow for any maturity corrections / updates to the data. As such, policy changes up to 30</w:t>
      </w:r>
      <w:r w:rsidR="00753715">
        <w:t> </w:t>
      </w:r>
      <w:r w:rsidRPr="0039515B">
        <w:t>September</w:t>
      </w:r>
      <w:r w:rsidR="00753715">
        <w:t> </w:t>
      </w:r>
      <w:r w:rsidRPr="0039515B">
        <w:t>2019 (rather than 30</w:t>
      </w:r>
      <w:r w:rsidR="00753715">
        <w:t> </w:t>
      </w:r>
      <w:r w:rsidRPr="0039515B">
        <w:t>June</w:t>
      </w:r>
      <w:r w:rsidR="00753715">
        <w:t> </w:t>
      </w:r>
      <w:r w:rsidRPr="0039515B">
        <w:t>2019) are now also considered as part of any model update.</w:t>
      </w:r>
    </w:p>
    <w:p w14:paraId="0354C706" w14:textId="0E99712F" w:rsidR="000962FF" w:rsidRPr="009A259E" w:rsidRDefault="000C2F64" w:rsidP="002C30FE">
      <w:pPr>
        <w:pStyle w:val="Heading2"/>
      </w:pPr>
      <w:bookmarkStart w:id="126" w:name="_Toc36555797"/>
      <w:bookmarkStart w:id="127" w:name="_Toc36563896"/>
      <w:bookmarkStart w:id="128" w:name="_Toc36655867"/>
      <w:bookmarkStart w:id="129" w:name="_Toc37931077"/>
      <w:bookmarkStart w:id="130" w:name="_Toc38007021"/>
      <w:bookmarkStart w:id="131" w:name="_Toc38458546"/>
      <w:bookmarkStart w:id="132" w:name="_Toc39071804"/>
      <w:bookmarkStart w:id="133" w:name="_Toc39243434"/>
      <w:bookmarkStart w:id="134" w:name="_Toc100131558"/>
      <w:r w:rsidRPr="007C0BB0">
        <w:t>Rebase</w:t>
      </w:r>
      <w:r>
        <w:t xml:space="preserve"> of 2018 </w:t>
      </w:r>
      <w:r w:rsidR="008F25CB">
        <w:t>r</w:t>
      </w:r>
      <w:r>
        <w:t>esults</w:t>
      </w:r>
      <w:bookmarkEnd w:id="126"/>
      <w:bookmarkEnd w:id="127"/>
      <w:bookmarkEnd w:id="128"/>
      <w:bookmarkEnd w:id="129"/>
      <w:bookmarkEnd w:id="130"/>
      <w:bookmarkEnd w:id="131"/>
      <w:bookmarkEnd w:id="132"/>
      <w:bookmarkEnd w:id="133"/>
      <w:bookmarkEnd w:id="134"/>
    </w:p>
    <w:p w14:paraId="7793F18B" w14:textId="5D41613A" w:rsidR="00CC53E3" w:rsidRPr="00393726" w:rsidRDefault="00CC53E3" w:rsidP="00EE7DC2">
      <w:pPr>
        <w:pStyle w:val="OutlineNumbered1"/>
      </w:pPr>
      <w:r w:rsidRPr="00393726">
        <w:t>In light of the model changes discussed above, and to enable a meaningful analysis of change between the 2018 valuation result and the 2019 valuation result, we have re-run the updated modelling process on the 2018 population. This gives us a valuation as at 30</w:t>
      </w:r>
      <w:r w:rsidR="00753715">
        <w:t> </w:t>
      </w:r>
      <w:r w:rsidRPr="00393726">
        <w:t>June</w:t>
      </w:r>
      <w:r w:rsidR="00753715">
        <w:t> </w:t>
      </w:r>
      <w:r w:rsidRPr="00393726">
        <w:t xml:space="preserve">2018 of </w:t>
      </w:r>
      <w:r w:rsidR="00050E1E" w:rsidRPr="00393726">
        <w:t>$5,701</w:t>
      </w:r>
      <w:r w:rsidR="004C1C68">
        <w:t xml:space="preserve"> billion</w:t>
      </w:r>
      <w:r w:rsidRPr="00393726">
        <w:t xml:space="preserve">, which is </w:t>
      </w:r>
      <w:r w:rsidR="00050E1E" w:rsidRPr="00393726">
        <w:t>0.7</w:t>
      </w:r>
      <w:r w:rsidRPr="00393726">
        <w:t>% higher than the previously modelled 30</w:t>
      </w:r>
      <w:r w:rsidR="00753715">
        <w:t> </w:t>
      </w:r>
      <w:r w:rsidRPr="00393726">
        <w:t>June</w:t>
      </w:r>
      <w:r w:rsidR="00753715">
        <w:t> </w:t>
      </w:r>
      <w:r w:rsidRPr="00393726">
        <w:t>2018 result of $5,662 billion.</w:t>
      </w:r>
    </w:p>
    <w:p w14:paraId="01A6545E" w14:textId="0022514C" w:rsidR="00CC53E3" w:rsidRDefault="00CC53E3" w:rsidP="00EE7DC2">
      <w:pPr>
        <w:pStyle w:val="OutlineNumbered1"/>
      </w:pPr>
      <w:r>
        <w:t xml:space="preserve">This rebasing of the 2018 valuation result is important, because it supports </w:t>
      </w:r>
      <w:r w:rsidRPr="00570E54">
        <w:t>comparability of the 2018 and 2019 results. In particular, it ensures that changes between those valuations can be attributed to relevant changes over the 2018</w:t>
      </w:r>
      <w:r w:rsidR="00216EFE">
        <w:t>-</w:t>
      </w:r>
      <w:r w:rsidRPr="00570E54">
        <w:t xml:space="preserve">19 period. For example, changes in the underlying population, legislative changes, </w:t>
      </w:r>
      <w:r w:rsidR="00617DFE">
        <w:t xml:space="preserve">and </w:t>
      </w:r>
      <w:r w:rsidRPr="00570E54">
        <w:t>changes in experience.</w:t>
      </w:r>
    </w:p>
    <w:p w14:paraId="64FF38CB" w14:textId="3F9588E2" w:rsidR="00CC53E3" w:rsidRDefault="00CC53E3" w:rsidP="00EE7DC2">
      <w:pPr>
        <w:pStyle w:val="OutlineNumbered1"/>
      </w:pPr>
      <w:r w:rsidRPr="00570E54">
        <w:t xml:space="preserve">If the 2018 result was not rebased, then changes between the 2018 and 2019 valuations would be attributed to features that have no relevance to the </w:t>
      </w:r>
      <w:r>
        <w:t xml:space="preserve">actual experience of the </w:t>
      </w:r>
      <w:r w:rsidRPr="00570E54">
        <w:t xml:space="preserve">welfare system </w:t>
      </w:r>
      <w:r w:rsidRPr="00570E54">
        <w:rPr>
          <w:i/>
        </w:rPr>
        <w:t>per se</w:t>
      </w:r>
      <w:r w:rsidRPr="00570E54">
        <w:t xml:space="preserve"> – such as updates to the modelling process, use of certain data, and other aspects of the modelling discussed above.</w:t>
      </w:r>
    </w:p>
    <w:p w14:paraId="2E32A8C1" w14:textId="66B10963" w:rsidR="00CC53E3" w:rsidRDefault="00CC53E3" w:rsidP="00EE7DC2">
      <w:pPr>
        <w:pStyle w:val="OutlineNumbered1"/>
      </w:pPr>
      <w:r>
        <w:t xml:space="preserve">An analysis of the rebased 2018 result, compared to the previous 2018 result, </w:t>
      </w:r>
      <w:r w:rsidR="00216EFE">
        <w:t>follows</w:t>
      </w:r>
      <w:r>
        <w:t>.</w:t>
      </w:r>
    </w:p>
    <w:p w14:paraId="43622D50" w14:textId="3AAEAE02" w:rsidR="003A0188" w:rsidRPr="003A0188" w:rsidRDefault="001C02B4" w:rsidP="003A0188">
      <w:pPr>
        <w:pStyle w:val="Caption"/>
      </w:pPr>
      <w:bookmarkStart w:id="135" w:name="Figure3"/>
      <w:bookmarkStart w:id="136" w:name="_Toc100131513"/>
      <w:bookmarkEnd w:id="135"/>
      <w:r w:rsidRPr="005832F3">
        <w:lastRenderedPageBreak/>
        <w:t xml:space="preserve">Figure </w:t>
      </w:r>
      <w:r w:rsidRPr="005832F3">
        <w:fldChar w:fldCharType="begin"/>
      </w:r>
      <w:r w:rsidRPr="005832F3">
        <w:rPr>
          <w:noProof/>
        </w:rPr>
        <w:instrText xml:space="preserve"> SEQ Figure \* ARABIC </w:instrText>
      </w:r>
      <w:r w:rsidRPr="005832F3">
        <w:fldChar w:fldCharType="separate"/>
      </w:r>
      <w:r w:rsidR="00751625">
        <w:rPr>
          <w:noProof/>
        </w:rPr>
        <w:t>3</w:t>
      </w:r>
      <w:r w:rsidRPr="005832F3">
        <w:fldChar w:fldCharType="end"/>
      </w:r>
      <w:r w:rsidRPr="005832F3">
        <w:t xml:space="preserve">: </w:t>
      </w:r>
      <w:r w:rsidR="0050077E">
        <w:t>Rebase of the 2018 V</w:t>
      </w:r>
      <w:r w:rsidR="0014656F">
        <w:t>aluation</w:t>
      </w:r>
      <w:bookmarkEnd w:id="136"/>
    </w:p>
    <w:p w14:paraId="6598D963" w14:textId="28D3787B" w:rsidR="001C02B4" w:rsidRDefault="003A0188" w:rsidP="000B1493">
      <w:pPr>
        <w:pStyle w:val="Caption"/>
      </w:pPr>
      <w:r w:rsidRPr="00577243">
        <w:rPr>
          <w:noProof/>
        </w:rPr>
        <w:drawing>
          <wp:inline distT="0" distB="0" distL="0" distR="0" wp14:anchorId="246076A2" wp14:editId="37ABC3F2">
            <wp:extent cx="4895850" cy="2545715"/>
            <wp:effectExtent l="0" t="0" r="0" b="6985"/>
            <wp:docPr id="30" name="Picture 30" descr="This waterfall chart shows the incremental progression from the 2018 valuation ($5,662 billion) to the more comparable rebased 2018 valuation ($5,701 billion). This describes the major valuation differences between the two reports, covering data maturity (+$36 billion), new methodology (+$621 billion), and updated mortality assumptions (-$619 b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his waterfall chart shows the incremental progression from the 2018 valuation ($5,662 billion) to the more comparable rebased 2018 valuation ($5,701 billion). This describes the major valuation differences between the two reports, covering data maturity (+$36 billion), new methodology (+$621 billion), and updated mortality assumptions (-$619 billio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95850" cy="2545715"/>
                    </a:xfrm>
                    <a:prstGeom prst="rect">
                      <a:avLst/>
                    </a:prstGeom>
                    <a:noFill/>
                    <a:ln>
                      <a:noFill/>
                    </a:ln>
                  </pic:spPr>
                </pic:pic>
              </a:graphicData>
            </a:graphic>
          </wp:inline>
        </w:drawing>
      </w:r>
    </w:p>
    <w:p w14:paraId="69CC449F" w14:textId="4E014C6D" w:rsidR="00465564" w:rsidRDefault="00617DFE" w:rsidP="000962FF">
      <w:r>
        <w:t xml:space="preserve">The </w:t>
      </w:r>
      <w:r w:rsidR="004C1C68">
        <w:t>updated modelling approach</w:t>
      </w:r>
      <w:r>
        <w:t xml:space="preserve"> produced a </w:t>
      </w:r>
      <w:r w:rsidR="004C1C68">
        <w:t xml:space="preserve">slightly </w:t>
      </w:r>
      <w:r>
        <w:t>higher valuation result</w:t>
      </w:r>
      <w:r w:rsidR="004C1C68">
        <w:t xml:space="preserve"> as at the valuation date of 30</w:t>
      </w:r>
      <w:r w:rsidR="00753715">
        <w:t> </w:t>
      </w:r>
      <w:r w:rsidR="004C1C68">
        <w:t>June</w:t>
      </w:r>
      <w:r w:rsidR="00753715">
        <w:t> </w:t>
      </w:r>
      <w:r w:rsidR="004C1C68">
        <w:t>2018. This slight change arose from three main sources:</w:t>
      </w:r>
    </w:p>
    <w:p w14:paraId="6B134A9C" w14:textId="3B6DCD15" w:rsidR="00781416" w:rsidRDefault="004C1C68" w:rsidP="005F533C">
      <w:pPr>
        <w:pStyle w:val="Bullet"/>
      </w:pPr>
      <w:r w:rsidRPr="00781416">
        <w:t xml:space="preserve">Data maturity, </w:t>
      </w:r>
      <w:r w:rsidR="006674D8">
        <w:t>with</w:t>
      </w:r>
      <w:r w:rsidRPr="00781416">
        <w:t xml:space="preserve"> more now known about the model population as at 30</w:t>
      </w:r>
      <w:r w:rsidR="00753715">
        <w:t> </w:t>
      </w:r>
      <w:r w:rsidRPr="00781416">
        <w:t>June</w:t>
      </w:r>
      <w:r w:rsidR="00753715">
        <w:t> </w:t>
      </w:r>
      <w:r w:rsidRPr="00781416">
        <w:t>2018</w:t>
      </w:r>
      <w:r w:rsidR="006674D8">
        <w:t xml:space="preserve">, compared to when the </w:t>
      </w:r>
      <w:r w:rsidRPr="00781416">
        <w:t>valuation was conducted</w:t>
      </w:r>
      <w:r w:rsidR="006674D8">
        <w:t xml:space="preserve"> 12 months </w:t>
      </w:r>
      <w:r w:rsidR="006674D8" w:rsidRPr="00781416">
        <w:t>previously</w:t>
      </w:r>
      <w:r w:rsidR="00216EFE">
        <w:t>.</w:t>
      </w:r>
    </w:p>
    <w:p w14:paraId="1349CAF4" w14:textId="46D0E2B6" w:rsidR="00781416" w:rsidRDefault="00781416" w:rsidP="005F533C">
      <w:pPr>
        <w:pStyle w:val="Bullet"/>
      </w:pPr>
      <w:r w:rsidRPr="00781416">
        <w:t>I</w:t>
      </w:r>
      <w:r w:rsidR="004C1C68" w:rsidRPr="00781416">
        <w:t xml:space="preserve">ncreases in projected average payments for </w:t>
      </w:r>
      <w:r w:rsidRPr="00781416">
        <w:t xml:space="preserve">both ‘Income Support – Aged’ and ‘Income Support – Disability’. </w:t>
      </w:r>
      <w:r>
        <w:t>These changed due to differences</w:t>
      </w:r>
      <w:r w:rsidR="00465564">
        <w:t xml:space="preserve"> in underlying demographic projections</w:t>
      </w:r>
      <w:r>
        <w:t xml:space="preserve"> (</w:t>
      </w:r>
      <w:r w:rsidR="00465564">
        <w:t>including partnership rates and social economic status</w:t>
      </w:r>
      <w:r>
        <w:t>); p</w:t>
      </w:r>
      <w:r w:rsidR="00BE1897">
        <w:t>rojections in the distribution of people across</w:t>
      </w:r>
      <w:r>
        <w:t xml:space="preserve"> the disability medical group; and proj</w:t>
      </w:r>
      <w:r w:rsidR="00BE1897">
        <w:t xml:space="preserve">ected </w:t>
      </w:r>
      <w:r w:rsidR="00216EFE">
        <w:t>A</w:t>
      </w:r>
      <w:r w:rsidR="00BE1897">
        <w:t xml:space="preserve">ge </w:t>
      </w:r>
      <w:r w:rsidR="00216EFE">
        <w:t>P</w:t>
      </w:r>
      <w:r w:rsidR="00BE1897">
        <w:t xml:space="preserve">ension usage based on past </w:t>
      </w:r>
      <w:r w:rsidR="00D77A77">
        <w:t>data</w:t>
      </w:r>
      <w:r w:rsidR="00BE1897">
        <w:t xml:space="preserve">. </w:t>
      </w:r>
    </w:p>
    <w:p w14:paraId="7EF127EB" w14:textId="569633A0" w:rsidR="00022CDE" w:rsidRPr="00781416" w:rsidRDefault="00EA4AB8" w:rsidP="005F533C">
      <w:pPr>
        <w:pStyle w:val="Bullet"/>
      </w:pPr>
      <w:r w:rsidRPr="00781416">
        <w:t>U</w:t>
      </w:r>
      <w:r w:rsidR="00022CDE" w:rsidRPr="00781416">
        <w:t xml:space="preserve">pdated assumptions </w:t>
      </w:r>
      <w:r w:rsidRPr="00781416">
        <w:t>regarding long</w:t>
      </w:r>
      <w:r w:rsidR="00216EFE">
        <w:t>-</w:t>
      </w:r>
      <w:r w:rsidRPr="00781416">
        <w:t>term mortality</w:t>
      </w:r>
      <w:r w:rsidR="00216EFE">
        <w:t>,</w:t>
      </w:r>
      <w:r w:rsidRPr="00781416">
        <w:t xml:space="preserve"> which now allows for lower levels of future improvement than was previously the case. Payments relating to ‘Income Support – Aged’ are the most </w:t>
      </w:r>
      <w:r w:rsidR="00D6099E" w:rsidRPr="00781416">
        <w:t xml:space="preserve">sensitive to </w:t>
      </w:r>
      <w:r w:rsidRPr="00781416">
        <w:t>changes in mortality assumptions</w:t>
      </w:r>
      <w:r w:rsidR="00D77A77">
        <w:t xml:space="preserve">, hence </w:t>
      </w:r>
      <w:r w:rsidRPr="00781416">
        <w:t xml:space="preserve">these future payments </w:t>
      </w:r>
      <w:r w:rsidR="00D77A77">
        <w:t>constituted</w:t>
      </w:r>
      <w:r w:rsidRPr="00781416">
        <w:t xml:space="preserve"> the </w:t>
      </w:r>
      <w:r w:rsidR="00D77A77">
        <w:t>major portion</w:t>
      </w:r>
      <w:r w:rsidRPr="00781416">
        <w:t xml:space="preserve"> of </w:t>
      </w:r>
      <w:r w:rsidR="00D77A77">
        <w:t>the resulting decrease in value</w:t>
      </w:r>
      <w:r w:rsidRPr="00781416">
        <w:t xml:space="preserve">. </w:t>
      </w:r>
    </w:p>
    <w:p w14:paraId="78DD58E2" w14:textId="0D354759" w:rsidR="000C2F64" w:rsidRDefault="000C2F64" w:rsidP="002C30FE">
      <w:pPr>
        <w:pStyle w:val="Heading2"/>
      </w:pPr>
      <w:bookmarkStart w:id="137" w:name="_Toc36555798"/>
      <w:bookmarkStart w:id="138" w:name="_Toc36563897"/>
      <w:bookmarkStart w:id="139" w:name="_Toc36655868"/>
      <w:bookmarkStart w:id="140" w:name="_Toc37931078"/>
      <w:bookmarkStart w:id="141" w:name="_Toc38007022"/>
      <w:bookmarkStart w:id="142" w:name="_Toc38458547"/>
      <w:bookmarkStart w:id="143" w:name="_Toc39071805"/>
      <w:bookmarkStart w:id="144" w:name="_Toc39243435"/>
      <w:bookmarkStart w:id="145" w:name="_Toc100131559"/>
      <w:r>
        <w:t xml:space="preserve">Policy </w:t>
      </w:r>
      <w:r w:rsidR="008F25CB">
        <w:t>u</w:t>
      </w:r>
      <w:r w:rsidRPr="007C0BB0">
        <w:t>pdates</w:t>
      </w:r>
      <w:r>
        <w:t xml:space="preserve"> for 2019</w:t>
      </w:r>
      <w:bookmarkEnd w:id="137"/>
      <w:bookmarkEnd w:id="138"/>
      <w:bookmarkEnd w:id="139"/>
      <w:bookmarkEnd w:id="140"/>
      <w:bookmarkEnd w:id="141"/>
      <w:bookmarkEnd w:id="142"/>
      <w:bookmarkEnd w:id="143"/>
      <w:bookmarkEnd w:id="144"/>
      <w:bookmarkEnd w:id="145"/>
    </w:p>
    <w:p w14:paraId="415630C3" w14:textId="3539DAD6" w:rsidR="00CC53E3" w:rsidRPr="00FB5A33" w:rsidRDefault="00CC53E3" w:rsidP="00EE7DC2">
      <w:pPr>
        <w:pStyle w:val="OutlineNumbered1"/>
        <w:rPr>
          <w:color w:val="auto"/>
        </w:rPr>
      </w:pPr>
      <w:r w:rsidRPr="00187EC8">
        <w:t xml:space="preserve">The actuarial valuation reflects </w:t>
      </w:r>
      <w:r>
        <w:t>relevant</w:t>
      </w:r>
      <w:r w:rsidRPr="00187EC8">
        <w:t xml:space="preserve"> policy as legislated at the valuation date</w:t>
      </w:r>
      <w:r>
        <w:t xml:space="preserve">, and </w:t>
      </w:r>
      <w:r w:rsidRPr="00187EC8">
        <w:t>assumes that these policy settings will persist in perpetuity.</w:t>
      </w:r>
      <w:r>
        <w:t xml:space="preserve"> </w:t>
      </w:r>
      <w:r w:rsidRPr="00187EC8">
        <w:t>This means future changes in payment design or eligibility have been allowed for in the valuation</w:t>
      </w:r>
      <w:r>
        <w:t>,</w:t>
      </w:r>
      <w:r w:rsidRPr="00187EC8">
        <w:t xml:space="preserve"> if the related legislation is in place</w:t>
      </w:r>
      <w:r w:rsidR="00CC047C">
        <w:t xml:space="preserve"> for those changes to occur in the future</w:t>
      </w:r>
      <w:r>
        <w:t>.</w:t>
      </w:r>
    </w:p>
    <w:p w14:paraId="22996F46" w14:textId="77D5200D" w:rsidR="00CC53E3" w:rsidRPr="00FB5A33" w:rsidRDefault="00CC53E3" w:rsidP="00EE7DC2">
      <w:pPr>
        <w:pStyle w:val="OutlineNumbered1"/>
      </w:pPr>
      <w:r w:rsidRPr="00FB5A33">
        <w:t xml:space="preserve">A number of changes can be made in any given year to the policies </w:t>
      </w:r>
      <w:r>
        <w:t xml:space="preserve">underpinning </w:t>
      </w:r>
      <w:r w:rsidRPr="00FB5A33">
        <w:t xml:space="preserve">the welfare system. This </w:t>
      </w:r>
      <w:r>
        <w:t>30</w:t>
      </w:r>
      <w:r w:rsidR="00753715">
        <w:t> </w:t>
      </w:r>
      <w:r>
        <w:t>June</w:t>
      </w:r>
      <w:r w:rsidR="00753715">
        <w:t> </w:t>
      </w:r>
      <w:r>
        <w:t xml:space="preserve">2019 </w:t>
      </w:r>
      <w:r w:rsidRPr="00FB5A33">
        <w:t xml:space="preserve">valuation incorporates changes made </w:t>
      </w:r>
      <w:r w:rsidRPr="00FB5A33">
        <w:lastRenderedPageBreak/>
        <w:t>since 1</w:t>
      </w:r>
      <w:r w:rsidR="00753715">
        <w:t> </w:t>
      </w:r>
      <w:r w:rsidRPr="00FB5A33">
        <w:t>July</w:t>
      </w:r>
      <w:r w:rsidR="00753715">
        <w:t> </w:t>
      </w:r>
      <w:r w:rsidRPr="00FB5A33">
        <w:t xml:space="preserve">2018, as these may impact the </w:t>
      </w:r>
      <w:r w:rsidRPr="00FB5A33">
        <w:rPr>
          <w:rFonts w:cs="Arial"/>
        </w:rPr>
        <w:t>types of payments available, the eligibility criteria</w:t>
      </w:r>
      <w:r w:rsidRPr="00FB5A33">
        <w:t>,</w:t>
      </w:r>
      <w:r w:rsidRPr="00FB5A33">
        <w:rPr>
          <w:rFonts w:cs="Arial"/>
        </w:rPr>
        <w:t xml:space="preserve"> and </w:t>
      </w:r>
      <w:r>
        <w:rPr>
          <w:rFonts w:cs="Arial"/>
        </w:rPr>
        <w:t>entitlement amounts</w:t>
      </w:r>
      <w:r w:rsidRPr="00FB5A33">
        <w:rPr>
          <w:rFonts w:cs="Arial"/>
        </w:rPr>
        <w:t xml:space="preserve">. </w:t>
      </w:r>
      <w:r w:rsidRPr="00FB5A33">
        <w:t>These in turn will impact t</w:t>
      </w:r>
      <w:r w:rsidRPr="00FB5A33">
        <w:rPr>
          <w:rFonts w:cs="Arial"/>
        </w:rPr>
        <w:t>he projected trajectories and payments in the model.</w:t>
      </w:r>
    </w:p>
    <w:p w14:paraId="734EA060" w14:textId="203147F1" w:rsidR="00CC53E3" w:rsidRPr="00161700" w:rsidRDefault="00CC53E3" w:rsidP="00EE7DC2">
      <w:pPr>
        <w:pStyle w:val="OutlineNumbered1"/>
        <w:rPr>
          <w:color w:val="auto"/>
        </w:rPr>
      </w:pPr>
      <w:r>
        <w:rPr>
          <w:color w:val="auto"/>
        </w:rPr>
        <w:t>E</w:t>
      </w:r>
      <w:r>
        <w:t xml:space="preserve">xplicit allowances are made as part of the modelling process for </w:t>
      </w:r>
      <w:r w:rsidRPr="00187EC8">
        <w:t>material changes to policy. The</w:t>
      </w:r>
      <w:r>
        <w:t>se</w:t>
      </w:r>
      <w:r w:rsidRPr="00187EC8">
        <w:t xml:space="preserve"> allowances reflect the estimat</w:t>
      </w:r>
      <w:r>
        <w:t xml:space="preserve">ed direct impact of the changes. No </w:t>
      </w:r>
      <w:r w:rsidRPr="00187EC8">
        <w:t xml:space="preserve">second order </w:t>
      </w:r>
      <w:r>
        <w:t xml:space="preserve">or indirect </w:t>
      </w:r>
      <w:r w:rsidRPr="00187EC8">
        <w:t>allowance has been made for any flow</w:t>
      </w:r>
      <w:r>
        <w:t>-</w:t>
      </w:r>
      <w:r w:rsidRPr="00187EC8">
        <w:t>on impacts</w:t>
      </w:r>
      <w:r>
        <w:t>,</w:t>
      </w:r>
      <w:r w:rsidRPr="00187EC8">
        <w:t xml:space="preserve"> or behavioural responses</w:t>
      </w:r>
      <w:r>
        <w:t>,</w:t>
      </w:r>
      <w:r w:rsidRPr="00187EC8">
        <w:t xml:space="preserve"> to the changes. </w:t>
      </w:r>
      <w:r>
        <w:t>Rather, t</w:t>
      </w:r>
      <w:r w:rsidRPr="00187EC8">
        <w:t>hese will be reflected in the emerging experience as they take effect.</w:t>
      </w:r>
    </w:p>
    <w:p w14:paraId="2A6B7BD0" w14:textId="4AC6D320" w:rsidR="00CC53E3" w:rsidRPr="009D7504" w:rsidRDefault="00CC53E3" w:rsidP="00EE7DC2">
      <w:pPr>
        <w:pStyle w:val="OutlineNumbered1"/>
        <w:rPr>
          <w:color w:val="auto"/>
        </w:rPr>
      </w:pPr>
      <w:r>
        <w:t xml:space="preserve">The table below outlines the </w:t>
      </w:r>
      <w:r w:rsidR="00813894">
        <w:t xml:space="preserve">material </w:t>
      </w:r>
      <w:r>
        <w:t>policy changes that have been advised by DSS since the 30</w:t>
      </w:r>
      <w:r w:rsidR="00753715">
        <w:t> </w:t>
      </w:r>
      <w:r>
        <w:t>June</w:t>
      </w:r>
      <w:r w:rsidR="00753715">
        <w:t> </w:t>
      </w:r>
      <w:r>
        <w:t>2018 valuation. The influence of these changes has been accounted for with adjustments to the modelling process for the current valuation.</w:t>
      </w:r>
    </w:p>
    <w:p w14:paraId="787994A1" w14:textId="5EA18E57" w:rsidR="00CC53E3" w:rsidRPr="00DA0FD5" w:rsidRDefault="00CC53E3" w:rsidP="000B1493">
      <w:pPr>
        <w:pStyle w:val="Caption"/>
      </w:pPr>
      <w:bookmarkStart w:id="146" w:name="Table2"/>
      <w:bookmarkEnd w:id="146"/>
      <w:r w:rsidRPr="00DA0FD5">
        <w:t xml:space="preserve">Table </w:t>
      </w:r>
      <w:r w:rsidR="00215A2C">
        <w:fldChar w:fldCharType="begin"/>
      </w:r>
      <w:r w:rsidR="00215A2C">
        <w:instrText xml:space="preserve"> SEQ Table \* ARABIC </w:instrText>
      </w:r>
      <w:r w:rsidR="00215A2C">
        <w:fldChar w:fldCharType="separate"/>
      </w:r>
      <w:r w:rsidR="00751625">
        <w:rPr>
          <w:noProof/>
        </w:rPr>
        <w:t>2</w:t>
      </w:r>
      <w:r w:rsidR="00215A2C">
        <w:rPr>
          <w:noProof/>
        </w:rPr>
        <w:fldChar w:fldCharType="end"/>
      </w:r>
      <w:r w:rsidRPr="00DA0FD5">
        <w:t xml:space="preserve">: Summary of </w:t>
      </w:r>
      <w:r w:rsidR="0050077E">
        <w:t>M</w:t>
      </w:r>
      <w:r w:rsidRPr="00DA0FD5">
        <w:t xml:space="preserve">ain </w:t>
      </w:r>
      <w:r w:rsidR="0050077E">
        <w:t>M</w:t>
      </w:r>
      <w:r w:rsidRPr="00DA0FD5">
        <w:t xml:space="preserve">aterial </w:t>
      </w:r>
      <w:r w:rsidR="0050077E">
        <w:t>P</w:t>
      </w:r>
      <w:r w:rsidRPr="00DA0FD5">
        <w:t xml:space="preserve">olicy </w:t>
      </w:r>
      <w:r w:rsidR="0050077E">
        <w:t>C</w:t>
      </w:r>
      <w:r w:rsidRPr="00DA0FD5">
        <w:t xml:space="preserve">hanges (legislated 1 Jul 2018 to 30 </w:t>
      </w:r>
      <w:r>
        <w:t>Sep</w:t>
      </w:r>
      <w:r w:rsidRPr="00DA0FD5">
        <w:t xml:space="preserve"> 2019</w:t>
      </w:r>
      <w:r>
        <w:t>*</w:t>
      </w:r>
      <w:r w:rsidRPr="00DA0FD5">
        <w:t>)</w:t>
      </w:r>
    </w:p>
    <w:tbl>
      <w:tblPr>
        <w:tblStyle w:val="ListTable3-Accent1"/>
        <w:tblW w:w="5000" w:type="pct"/>
        <w:tblLook w:val="04A0" w:firstRow="1" w:lastRow="0" w:firstColumn="1" w:lastColumn="0" w:noHBand="0" w:noVBand="1"/>
        <w:tblCaption w:val="Summary of main material policy changes (legislated 1 July 2017 to 30 June 2018)"/>
        <w:tblDescription w:val="This table lists material changes that have occurred since the 2017 valuation. It lists two policy changes along with their description and expected influence on the welfare system."/>
      </w:tblPr>
      <w:tblGrid>
        <w:gridCol w:w="2186"/>
        <w:gridCol w:w="5514"/>
      </w:tblGrid>
      <w:tr w:rsidR="00CC53E3" w:rsidRPr="00DA0FD5" w14:paraId="54042374" w14:textId="77777777" w:rsidTr="00630BF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41" w:type="dxa"/>
            <w:hideMark/>
          </w:tcPr>
          <w:p w14:paraId="6B47DBEC" w14:textId="77777777" w:rsidR="00CC53E3" w:rsidRPr="00963EF7" w:rsidRDefault="00CC53E3" w:rsidP="00533E0A">
            <w:pPr>
              <w:pStyle w:val="TableTextSmall"/>
              <w:keepNext/>
              <w:rPr>
                <w:rFonts w:ascii="Arial" w:hAnsi="Arial"/>
                <w:color w:val="auto"/>
                <w:sz w:val="18"/>
              </w:rPr>
            </w:pPr>
            <w:r w:rsidRPr="00963EF7">
              <w:rPr>
                <w:rFonts w:ascii="Arial" w:hAnsi="Arial"/>
                <w:color w:val="auto"/>
                <w:sz w:val="18"/>
              </w:rPr>
              <w:t>Policy Change</w:t>
            </w:r>
          </w:p>
        </w:tc>
        <w:tc>
          <w:tcPr>
            <w:tcW w:w="5401" w:type="dxa"/>
            <w:hideMark/>
          </w:tcPr>
          <w:p w14:paraId="3ECCDB41" w14:textId="77777777" w:rsidR="00CC53E3" w:rsidRPr="00963EF7" w:rsidRDefault="00CC53E3" w:rsidP="00533E0A">
            <w:pPr>
              <w:pStyle w:val="TableTextSmall"/>
              <w:keepNext/>
              <w:cnfStyle w:val="100000000000" w:firstRow="1" w:lastRow="0" w:firstColumn="0" w:lastColumn="0" w:oddVBand="0" w:evenVBand="0" w:oddHBand="0" w:evenHBand="0" w:firstRowFirstColumn="0" w:firstRowLastColumn="0" w:lastRowFirstColumn="0" w:lastRowLastColumn="0"/>
              <w:rPr>
                <w:rFonts w:ascii="Arial" w:hAnsi="Arial"/>
                <w:color w:val="auto"/>
                <w:sz w:val="18"/>
              </w:rPr>
            </w:pPr>
            <w:r w:rsidRPr="00963EF7">
              <w:rPr>
                <w:rFonts w:ascii="Arial" w:hAnsi="Arial"/>
                <w:color w:val="auto"/>
                <w:sz w:val="18"/>
              </w:rPr>
              <w:t>Description of Policy Change</w:t>
            </w:r>
          </w:p>
        </w:tc>
      </w:tr>
      <w:tr w:rsidR="00CC53E3" w:rsidRPr="00DA0FD5" w14:paraId="55FC13C1" w14:textId="77777777" w:rsidTr="00630B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1" w:type="dxa"/>
            <w:hideMark/>
          </w:tcPr>
          <w:p w14:paraId="3DD106FC" w14:textId="77777777" w:rsidR="00CC53E3" w:rsidRPr="00DA0FD5" w:rsidRDefault="00CC53E3" w:rsidP="00963EF7">
            <w:pPr>
              <w:pStyle w:val="TableTextSmall"/>
              <w:spacing w:line="260" w:lineRule="exact"/>
              <w:rPr>
                <w:rFonts w:ascii="Arial" w:hAnsi="Arial"/>
                <w:color w:val="auto"/>
                <w:sz w:val="18"/>
              </w:rPr>
            </w:pPr>
            <w:r w:rsidRPr="00DA0FD5">
              <w:rPr>
                <w:rFonts w:ascii="Arial" w:hAnsi="Arial"/>
                <w:color w:val="auto"/>
                <w:sz w:val="18"/>
              </w:rPr>
              <w:t>FTBA HIFA increase</w:t>
            </w:r>
          </w:p>
        </w:tc>
        <w:tc>
          <w:tcPr>
            <w:tcW w:w="5401" w:type="dxa"/>
            <w:hideMark/>
          </w:tcPr>
          <w:p w14:paraId="1705D654" w14:textId="77777777" w:rsidR="00CC53E3" w:rsidRPr="00DA0FD5" w:rsidRDefault="00CC53E3" w:rsidP="00963EF7">
            <w:pPr>
              <w:pStyle w:val="TableTextSmall"/>
              <w:spacing w:line="260" w:lineRule="exact"/>
              <w:cnfStyle w:val="000000100000" w:firstRow="0" w:lastRow="0" w:firstColumn="0" w:lastColumn="0" w:oddVBand="0" w:evenVBand="0" w:oddHBand="1" w:evenHBand="0" w:firstRowFirstColumn="0" w:firstRowLastColumn="0" w:lastRowFirstColumn="0" w:lastRowLastColumn="0"/>
              <w:rPr>
                <w:rFonts w:ascii="Arial" w:hAnsi="Arial"/>
                <w:color w:val="auto"/>
                <w:sz w:val="18"/>
              </w:rPr>
            </w:pPr>
            <w:r w:rsidRPr="00DA0FD5">
              <w:rPr>
                <w:rFonts w:ascii="Arial" w:hAnsi="Arial"/>
                <w:color w:val="auto"/>
                <w:sz w:val="18"/>
              </w:rPr>
              <w:t xml:space="preserve">The Higher Income Free Area (HIFA) for FTBA has increased from $94,316 to $98,988. </w:t>
            </w:r>
            <w:r>
              <w:rPr>
                <w:rFonts w:ascii="Arial" w:hAnsi="Arial"/>
                <w:color w:val="auto"/>
                <w:sz w:val="18"/>
              </w:rPr>
              <w:t xml:space="preserve">In addition, </w:t>
            </w:r>
            <w:r w:rsidRPr="00DA0FD5">
              <w:rPr>
                <w:rFonts w:ascii="Arial" w:hAnsi="Arial"/>
                <w:color w:val="auto"/>
                <w:sz w:val="18"/>
              </w:rPr>
              <w:t>changes to the FTBA Method 1 income test taper rate</w:t>
            </w:r>
            <w:r>
              <w:rPr>
                <w:rFonts w:ascii="Arial" w:hAnsi="Arial"/>
                <w:color w:val="auto"/>
                <w:sz w:val="18"/>
              </w:rPr>
              <w:t xml:space="preserve"> </w:t>
            </w:r>
            <w:r w:rsidRPr="00DA0FD5">
              <w:rPr>
                <w:rFonts w:ascii="Arial" w:hAnsi="Arial"/>
                <w:color w:val="auto"/>
                <w:sz w:val="18"/>
              </w:rPr>
              <w:t>now reduce the rate of FTB Part A by 30 cents for each dollar of income over $98,988 (up from 20 cents previously).</w:t>
            </w:r>
          </w:p>
        </w:tc>
      </w:tr>
      <w:tr w:rsidR="00CC53E3" w:rsidRPr="00DA0FD5" w14:paraId="6E7F0365" w14:textId="77777777" w:rsidTr="00630BF8">
        <w:tc>
          <w:tcPr>
            <w:cnfStyle w:val="001000000000" w:firstRow="0" w:lastRow="0" w:firstColumn="1" w:lastColumn="0" w:oddVBand="0" w:evenVBand="0" w:oddHBand="0" w:evenHBand="0" w:firstRowFirstColumn="0" w:firstRowLastColumn="0" w:lastRowFirstColumn="0" w:lastRowLastColumn="0"/>
            <w:tcW w:w="2141" w:type="dxa"/>
            <w:hideMark/>
          </w:tcPr>
          <w:p w14:paraId="428EB8A4" w14:textId="77777777" w:rsidR="00CC53E3" w:rsidRPr="00DA0FD5" w:rsidRDefault="00CC53E3" w:rsidP="00963EF7">
            <w:pPr>
              <w:pStyle w:val="TableTextSmall"/>
              <w:spacing w:line="260" w:lineRule="exact"/>
              <w:rPr>
                <w:rFonts w:ascii="Arial" w:hAnsi="Arial"/>
                <w:color w:val="auto"/>
                <w:sz w:val="18"/>
              </w:rPr>
            </w:pPr>
            <w:r w:rsidRPr="00DA0FD5">
              <w:rPr>
                <w:rFonts w:ascii="Arial" w:hAnsi="Arial"/>
                <w:color w:val="auto"/>
                <w:sz w:val="18"/>
              </w:rPr>
              <w:t>Work Bonus</w:t>
            </w:r>
          </w:p>
        </w:tc>
        <w:tc>
          <w:tcPr>
            <w:tcW w:w="5401" w:type="dxa"/>
            <w:hideMark/>
          </w:tcPr>
          <w:p w14:paraId="784E4A22" w14:textId="2657AD46" w:rsidR="00CC53E3" w:rsidRPr="00DA0FD5" w:rsidRDefault="00CC53E3" w:rsidP="00963EF7">
            <w:pPr>
              <w:pStyle w:val="TableTextSmall"/>
              <w:spacing w:line="260" w:lineRule="exact"/>
              <w:cnfStyle w:val="000000000000" w:firstRow="0" w:lastRow="0" w:firstColumn="0" w:lastColumn="0" w:oddVBand="0" w:evenVBand="0" w:oddHBand="0" w:evenHBand="0" w:firstRowFirstColumn="0" w:firstRowLastColumn="0" w:lastRowFirstColumn="0" w:lastRowLastColumn="0"/>
              <w:rPr>
                <w:rFonts w:ascii="Arial" w:hAnsi="Arial"/>
                <w:color w:val="auto"/>
                <w:sz w:val="18"/>
              </w:rPr>
            </w:pPr>
            <w:r>
              <w:rPr>
                <w:rFonts w:ascii="Arial" w:hAnsi="Arial"/>
                <w:color w:val="auto"/>
                <w:sz w:val="18"/>
              </w:rPr>
              <w:t>T</w:t>
            </w:r>
            <w:r w:rsidRPr="00DA0FD5">
              <w:rPr>
                <w:rFonts w:ascii="Arial" w:hAnsi="Arial"/>
                <w:color w:val="auto"/>
                <w:sz w:val="18"/>
              </w:rPr>
              <w:t xml:space="preserve">he Work Bonus </w:t>
            </w:r>
            <w:r>
              <w:rPr>
                <w:rFonts w:ascii="Arial" w:hAnsi="Arial"/>
                <w:color w:val="auto"/>
                <w:sz w:val="18"/>
              </w:rPr>
              <w:t xml:space="preserve">increased </w:t>
            </w:r>
            <w:r w:rsidRPr="00DA0FD5">
              <w:rPr>
                <w:rFonts w:ascii="Arial" w:hAnsi="Arial"/>
                <w:color w:val="auto"/>
                <w:sz w:val="18"/>
              </w:rPr>
              <w:t xml:space="preserve">from $250 to $300 per fortnight for People on Carer’s Payment, DSP or </w:t>
            </w:r>
            <w:r w:rsidR="001F0FCC">
              <w:rPr>
                <w:rFonts w:ascii="Arial" w:hAnsi="Arial"/>
                <w:color w:val="auto"/>
                <w:sz w:val="18"/>
              </w:rPr>
              <w:t>Age Pension</w:t>
            </w:r>
            <w:r w:rsidRPr="00DA0FD5">
              <w:rPr>
                <w:rFonts w:ascii="Arial" w:hAnsi="Arial"/>
                <w:color w:val="auto"/>
                <w:sz w:val="18"/>
              </w:rPr>
              <w:t xml:space="preserve"> who are 66 years or older.</w:t>
            </w:r>
          </w:p>
        </w:tc>
      </w:tr>
      <w:tr w:rsidR="00CC53E3" w:rsidRPr="00DA0FD5" w14:paraId="50E75210" w14:textId="77777777" w:rsidTr="00630B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1" w:type="dxa"/>
            <w:hideMark/>
          </w:tcPr>
          <w:p w14:paraId="19B21C13" w14:textId="77777777" w:rsidR="00CC53E3" w:rsidRPr="00DA0FD5" w:rsidRDefault="00CC53E3" w:rsidP="00963EF7">
            <w:pPr>
              <w:pStyle w:val="TableTextSmall"/>
              <w:keepLines/>
              <w:spacing w:line="260" w:lineRule="exact"/>
              <w:rPr>
                <w:rFonts w:ascii="Arial" w:hAnsi="Arial"/>
                <w:color w:val="auto"/>
                <w:sz w:val="18"/>
              </w:rPr>
            </w:pPr>
            <w:r w:rsidRPr="00DA0FD5">
              <w:rPr>
                <w:rFonts w:ascii="Arial" w:hAnsi="Arial"/>
                <w:color w:val="auto"/>
                <w:sz w:val="18"/>
              </w:rPr>
              <w:t>Social Security Deeming Rates</w:t>
            </w:r>
          </w:p>
        </w:tc>
        <w:tc>
          <w:tcPr>
            <w:tcW w:w="5401" w:type="dxa"/>
            <w:hideMark/>
          </w:tcPr>
          <w:p w14:paraId="60EBCB68" w14:textId="2B61A814" w:rsidR="00CC53E3" w:rsidRPr="00DA0FD5" w:rsidRDefault="00CC53E3" w:rsidP="00963EF7">
            <w:pPr>
              <w:pStyle w:val="TableTextSmall"/>
              <w:keepLines/>
              <w:spacing w:line="260" w:lineRule="exact"/>
              <w:cnfStyle w:val="000000100000" w:firstRow="0" w:lastRow="0" w:firstColumn="0" w:lastColumn="0" w:oddVBand="0" w:evenVBand="0" w:oddHBand="1" w:evenHBand="0" w:firstRowFirstColumn="0" w:firstRowLastColumn="0" w:lastRowFirstColumn="0" w:lastRowLastColumn="0"/>
              <w:rPr>
                <w:rFonts w:ascii="Arial" w:hAnsi="Arial"/>
                <w:color w:val="auto"/>
                <w:sz w:val="18"/>
              </w:rPr>
            </w:pPr>
            <w:r w:rsidRPr="00DA0FD5">
              <w:rPr>
                <w:rFonts w:ascii="Arial" w:hAnsi="Arial"/>
                <w:color w:val="auto"/>
                <w:sz w:val="18"/>
              </w:rPr>
              <w:t>Social security income test deeming rates reduced from 1.75% to 1.00% for those earning below the threshold ($51,800 for singles)</w:t>
            </w:r>
            <w:r>
              <w:rPr>
                <w:rFonts w:ascii="Arial" w:hAnsi="Arial"/>
                <w:color w:val="auto"/>
                <w:sz w:val="18"/>
              </w:rPr>
              <w:t xml:space="preserve">. Above the threshold, the deeming rate </w:t>
            </w:r>
            <w:r w:rsidRPr="00DA0FD5">
              <w:rPr>
                <w:rFonts w:ascii="Arial" w:hAnsi="Arial"/>
                <w:color w:val="auto"/>
                <w:sz w:val="18"/>
              </w:rPr>
              <w:t>reduced from 3.25% to 3.00%</w:t>
            </w:r>
            <w:r w:rsidR="00960311">
              <w:rPr>
                <w:rStyle w:val="FootnoteReference"/>
                <w:rFonts w:ascii="Arial" w:hAnsi="Arial"/>
                <w:color w:val="auto"/>
                <w:sz w:val="18"/>
              </w:rPr>
              <w:footnoteReference w:id="2"/>
            </w:r>
            <w:r w:rsidRPr="00DA0FD5">
              <w:rPr>
                <w:rFonts w:ascii="Arial" w:hAnsi="Arial"/>
                <w:color w:val="auto"/>
                <w:sz w:val="18"/>
              </w:rPr>
              <w:t>.</w:t>
            </w:r>
          </w:p>
        </w:tc>
      </w:tr>
    </w:tbl>
    <w:p w14:paraId="5543FE43" w14:textId="5364CFA7" w:rsidR="00CC53E3" w:rsidRDefault="00CC53E3" w:rsidP="00CC53E3">
      <w:pPr>
        <w:pStyle w:val="PwCNormal"/>
        <w:numPr>
          <w:ilvl w:val="0"/>
          <w:numId w:val="0"/>
        </w:numPr>
        <w:rPr>
          <w:rFonts w:ascii="Arial" w:hAnsi="Arial"/>
          <w:color w:val="auto"/>
          <w:sz w:val="16"/>
          <w:szCs w:val="16"/>
        </w:rPr>
      </w:pPr>
      <w:r>
        <w:rPr>
          <w:rFonts w:ascii="Arial" w:hAnsi="Arial"/>
          <w:color w:val="auto"/>
          <w:sz w:val="16"/>
          <w:szCs w:val="16"/>
        </w:rPr>
        <w:t xml:space="preserve">* </w:t>
      </w:r>
      <w:r w:rsidRPr="00212634">
        <w:rPr>
          <w:rFonts w:ascii="Arial" w:hAnsi="Arial"/>
          <w:color w:val="auto"/>
          <w:sz w:val="16"/>
          <w:szCs w:val="16"/>
        </w:rPr>
        <w:t>30</w:t>
      </w:r>
      <w:r w:rsidR="00753715">
        <w:rPr>
          <w:rFonts w:ascii="Arial" w:hAnsi="Arial"/>
          <w:color w:val="auto"/>
          <w:sz w:val="16"/>
          <w:szCs w:val="16"/>
        </w:rPr>
        <w:t> </w:t>
      </w:r>
      <w:r w:rsidRPr="00212634">
        <w:rPr>
          <w:rFonts w:ascii="Arial" w:hAnsi="Arial"/>
          <w:color w:val="auto"/>
          <w:sz w:val="16"/>
          <w:szCs w:val="16"/>
        </w:rPr>
        <w:t>September</w:t>
      </w:r>
      <w:r w:rsidR="00753715">
        <w:rPr>
          <w:rFonts w:ascii="Arial" w:hAnsi="Arial"/>
          <w:color w:val="auto"/>
          <w:sz w:val="16"/>
          <w:szCs w:val="16"/>
        </w:rPr>
        <w:t> </w:t>
      </w:r>
      <w:r w:rsidRPr="00212634">
        <w:rPr>
          <w:rFonts w:ascii="Arial" w:hAnsi="Arial"/>
          <w:color w:val="auto"/>
          <w:sz w:val="16"/>
          <w:szCs w:val="16"/>
        </w:rPr>
        <w:t>2019 is referenced here</w:t>
      </w:r>
      <w:r w:rsidR="007C1EAB">
        <w:rPr>
          <w:rFonts w:ascii="Arial" w:hAnsi="Arial"/>
          <w:color w:val="auto"/>
          <w:sz w:val="16"/>
          <w:szCs w:val="16"/>
        </w:rPr>
        <w:t>,</w:t>
      </w:r>
      <w:r w:rsidRPr="00212634">
        <w:rPr>
          <w:rFonts w:ascii="Arial" w:hAnsi="Arial"/>
          <w:color w:val="auto"/>
          <w:sz w:val="16"/>
          <w:szCs w:val="16"/>
        </w:rPr>
        <w:t xml:space="preserve"> rather than the valuation date of 30</w:t>
      </w:r>
      <w:r w:rsidR="00753715">
        <w:rPr>
          <w:rFonts w:ascii="Arial" w:hAnsi="Arial"/>
          <w:color w:val="auto"/>
          <w:sz w:val="16"/>
          <w:szCs w:val="16"/>
        </w:rPr>
        <w:t> </w:t>
      </w:r>
      <w:r w:rsidRPr="00212634">
        <w:rPr>
          <w:rFonts w:ascii="Arial" w:hAnsi="Arial"/>
          <w:color w:val="auto"/>
          <w:sz w:val="16"/>
          <w:szCs w:val="16"/>
        </w:rPr>
        <w:t>June</w:t>
      </w:r>
      <w:r w:rsidR="00753715">
        <w:rPr>
          <w:rFonts w:ascii="Arial" w:hAnsi="Arial"/>
          <w:color w:val="auto"/>
          <w:sz w:val="16"/>
          <w:szCs w:val="16"/>
        </w:rPr>
        <w:t> </w:t>
      </w:r>
      <w:r w:rsidRPr="00212634">
        <w:rPr>
          <w:rFonts w:ascii="Arial" w:hAnsi="Arial"/>
          <w:color w:val="auto"/>
          <w:sz w:val="16"/>
          <w:szCs w:val="16"/>
        </w:rPr>
        <w:t xml:space="preserve">2019, as </w:t>
      </w:r>
      <w:r>
        <w:rPr>
          <w:rFonts w:ascii="Arial" w:hAnsi="Arial"/>
          <w:color w:val="auto"/>
          <w:sz w:val="16"/>
          <w:szCs w:val="16"/>
        </w:rPr>
        <w:t>30</w:t>
      </w:r>
      <w:r w:rsidR="00753715">
        <w:rPr>
          <w:rFonts w:ascii="Arial" w:hAnsi="Arial"/>
          <w:color w:val="auto"/>
          <w:sz w:val="16"/>
          <w:szCs w:val="16"/>
        </w:rPr>
        <w:t> </w:t>
      </w:r>
      <w:r>
        <w:rPr>
          <w:rFonts w:ascii="Arial" w:hAnsi="Arial"/>
          <w:color w:val="auto"/>
          <w:sz w:val="16"/>
          <w:szCs w:val="16"/>
        </w:rPr>
        <w:t>September</w:t>
      </w:r>
      <w:r w:rsidR="00753715">
        <w:rPr>
          <w:rFonts w:ascii="Arial" w:hAnsi="Arial"/>
          <w:color w:val="auto"/>
          <w:sz w:val="16"/>
          <w:szCs w:val="16"/>
        </w:rPr>
        <w:t> </w:t>
      </w:r>
      <w:r>
        <w:rPr>
          <w:rFonts w:ascii="Arial" w:hAnsi="Arial"/>
          <w:color w:val="auto"/>
          <w:sz w:val="16"/>
          <w:szCs w:val="16"/>
        </w:rPr>
        <w:t>2019 is</w:t>
      </w:r>
      <w:r w:rsidRPr="00212634">
        <w:rPr>
          <w:rFonts w:ascii="Arial" w:hAnsi="Arial"/>
          <w:color w:val="auto"/>
          <w:sz w:val="16"/>
          <w:szCs w:val="16"/>
        </w:rPr>
        <w:t xml:space="preserve"> the census date </w:t>
      </w:r>
      <w:r>
        <w:rPr>
          <w:rFonts w:ascii="Arial" w:hAnsi="Arial"/>
          <w:color w:val="auto"/>
          <w:sz w:val="16"/>
          <w:szCs w:val="16"/>
        </w:rPr>
        <w:t>adopted</w:t>
      </w:r>
      <w:r w:rsidRPr="00212634">
        <w:rPr>
          <w:rFonts w:ascii="Arial" w:hAnsi="Arial"/>
          <w:color w:val="auto"/>
          <w:sz w:val="16"/>
          <w:szCs w:val="16"/>
        </w:rPr>
        <w:t xml:space="preserve"> </w:t>
      </w:r>
      <w:r>
        <w:rPr>
          <w:rFonts w:ascii="Arial" w:hAnsi="Arial"/>
          <w:color w:val="auto"/>
          <w:sz w:val="16"/>
          <w:szCs w:val="16"/>
        </w:rPr>
        <w:t>to enable utilisation of</w:t>
      </w:r>
      <w:r w:rsidRPr="00212634">
        <w:rPr>
          <w:rFonts w:ascii="Arial" w:hAnsi="Arial"/>
          <w:color w:val="auto"/>
          <w:sz w:val="16"/>
          <w:szCs w:val="16"/>
        </w:rPr>
        <w:t xml:space="preserve"> </w:t>
      </w:r>
      <w:r>
        <w:rPr>
          <w:rFonts w:ascii="Arial" w:hAnsi="Arial"/>
          <w:color w:val="auto"/>
          <w:sz w:val="16"/>
          <w:szCs w:val="16"/>
        </w:rPr>
        <w:t>more mature</w:t>
      </w:r>
      <w:r w:rsidRPr="00212634">
        <w:rPr>
          <w:rFonts w:ascii="Arial" w:hAnsi="Arial"/>
          <w:color w:val="auto"/>
          <w:sz w:val="16"/>
          <w:szCs w:val="16"/>
        </w:rPr>
        <w:t xml:space="preserve"> </w:t>
      </w:r>
      <w:r>
        <w:rPr>
          <w:rFonts w:ascii="Arial" w:hAnsi="Arial"/>
          <w:color w:val="auto"/>
          <w:sz w:val="16"/>
          <w:szCs w:val="16"/>
        </w:rPr>
        <w:t xml:space="preserve">population and </w:t>
      </w:r>
      <w:r w:rsidRPr="00212634">
        <w:rPr>
          <w:rFonts w:ascii="Arial" w:hAnsi="Arial"/>
          <w:color w:val="auto"/>
          <w:sz w:val="16"/>
          <w:szCs w:val="16"/>
        </w:rPr>
        <w:t>policy information</w:t>
      </w:r>
      <w:r>
        <w:rPr>
          <w:rFonts w:ascii="Arial" w:hAnsi="Arial"/>
          <w:color w:val="auto"/>
          <w:sz w:val="16"/>
          <w:szCs w:val="16"/>
        </w:rPr>
        <w:t xml:space="preserve"> than would be the case of a census date of 30</w:t>
      </w:r>
      <w:r w:rsidR="00753715">
        <w:rPr>
          <w:rFonts w:ascii="Arial" w:hAnsi="Arial"/>
          <w:color w:val="auto"/>
          <w:sz w:val="16"/>
          <w:szCs w:val="16"/>
        </w:rPr>
        <w:t> </w:t>
      </w:r>
      <w:r>
        <w:rPr>
          <w:rFonts w:ascii="Arial" w:hAnsi="Arial"/>
          <w:color w:val="auto"/>
          <w:sz w:val="16"/>
          <w:szCs w:val="16"/>
        </w:rPr>
        <w:t>June</w:t>
      </w:r>
      <w:r w:rsidR="00753715">
        <w:rPr>
          <w:rFonts w:ascii="Arial" w:hAnsi="Arial"/>
          <w:color w:val="auto"/>
          <w:sz w:val="16"/>
          <w:szCs w:val="16"/>
        </w:rPr>
        <w:t> </w:t>
      </w:r>
      <w:r>
        <w:rPr>
          <w:rFonts w:ascii="Arial" w:hAnsi="Arial"/>
          <w:color w:val="auto"/>
          <w:sz w:val="16"/>
          <w:szCs w:val="16"/>
        </w:rPr>
        <w:t>2019</w:t>
      </w:r>
      <w:r w:rsidRPr="00212634">
        <w:rPr>
          <w:rFonts w:ascii="Arial" w:hAnsi="Arial"/>
          <w:color w:val="auto"/>
          <w:sz w:val="16"/>
          <w:szCs w:val="16"/>
        </w:rPr>
        <w:t xml:space="preserve">. </w:t>
      </w:r>
    </w:p>
    <w:p w14:paraId="6490D427" w14:textId="77777777" w:rsidR="00B32202" w:rsidRDefault="00B32202" w:rsidP="00CC53E3">
      <w:pPr>
        <w:pStyle w:val="PwCNormal"/>
        <w:numPr>
          <w:ilvl w:val="0"/>
          <w:numId w:val="0"/>
        </w:numPr>
        <w:rPr>
          <w:rFonts w:ascii="Arial" w:hAnsi="Arial"/>
          <w:color w:val="auto"/>
          <w:sz w:val="16"/>
          <w:szCs w:val="16"/>
        </w:rPr>
      </w:pPr>
    </w:p>
    <w:p w14:paraId="16998BB6" w14:textId="2F7ACE4B" w:rsidR="00E0449A" w:rsidRDefault="000C2F64" w:rsidP="002C30FE">
      <w:pPr>
        <w:pStyle w:val="Heading2"/>
        <w:rPr>
          <w:snapToGrid w:val="0"/>
        </w:rPr>
      </w:pPr>
      <w:bookmarkStart w:id="147" w:name="_Toc437690628"/>
      <w:bookmarkStart w:id="148" w:name="_Toc437704583"/>
      <w:bookmarkStart w:id="149" w:name="_Toc437858539"/>
      <w:bookmarkStart w:id="150" w:name="_Toc437864089"/>
      <w:bookmarkStart w:id="151" w:name="_Toc437881441"/>
      <w:bookmarkStart w:id="152" w:name="_Toc437690637"/>
      <w:bookmarkStart w:id="153" w:name="_Toc437704592"/>
      <w:bookmarkStart w:id="154" w:name="_Toc437858549"/>
      <w:bookmarkStart w:id="155" w:name="_Toc437864099"/>
      <w:bookmarkStart w:id="156" w:name="_Toc437881451"/>
      <w:bookmarkStart w:id="157" w:name="_Toc441133850"/>
      <w:bookmarkStart w:id="158" w:name="_Toc441246315"/>
      <w:bookmarkStart w:id="159" w:name="_Toc441246431"/>
      <w:bookmarkStart w:id="160" w:name="_Toc441312323"/>
      <w:bookmarkStart w:id="161" w:name="_Toc441337448"/>
      <w:bookmarkStart w:id="162" w:name="_Toc441562814"/>
      <w:bookmarkStart w:id="163" w:name="_Toc441562940"/>
      <w:bookmarkStart w:id="164" w:name="_Toc36555800"/>
      <w:bookmarkStart w:id="165" w:name="_Toc36563899"/>
      <w:bookmarkStart w:id="166" w:name="_Toc36655870"/>
      <w:bookmarkStart w:id="167" w:name="_Toc37931080"/>
      <w:bookmarkStart w:id="168" w:name="_Toc38007024"/>
      <w:bookmarkStart w:id="169" w:name="_Toc38458549"/>
      <w:bookmarkStart w:id="170" w:name="_Toc39071807"/>
      <w:bookmarkStart w:id="171" w:name="_Toc39243437"/>
      <w:bookmarkStart w:id="172" w:name="_Toc100131560"/>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r>
        <w:rPr>
          <w:snapToGrid w:val="0"/>
        </w:rPr>
        <w:t xml:space="preserve">Model </w:t>
      </w:r>
      <w:r w:rsidRPr="007C0BB0">
        <w:t>population</w:t>
      </w:r>
      <w:bookmarkEnd w:id="164"/>
      <w:bookmarkEnd w:id="165"/>
      <w:bookmarkEnd w:id="166"/>
      <w:bookmarkEnd w:id="167"/>
      <w:bookmarkEnd w:id="168"/>
      <w:bookmarkEnd w:id="169"/>
      <w:bookmarkEnd w:id="170"/>
      <w:bookmarkEnd w:id="171"/>
      <w:bookmarkEnd w:id="172"/>
    </w:p>
    <w:p w14:paraId="04C6C46C" w14:textId="1B491C82" w:rsidR="00331CEF" w:rsidRPr="001827A0" w:rsidRDefault="00331CEF" w:rsidP="00EE7DC2">
      <w:pPr>
        <w:pStyle w:val="OutlineNumbered1"/>
        <w:rPr>
          <w:snapToGrid w:val="0"/>
        </w:rPr>
      </w:pPr>
      <w:r>
        <w:t xml:space="preserve">An external driver of the valuation result relates to movement in the underlying population base that is either currently receiving welfare assistance, or </w:t>
      </w:r>
      <w:r w:rsidR="00B62E3D">
        <w:t xml:space="preserve">is </w:t>
      </w:r>
      <w:r w:rsidR="00C57804">
        <w:t>not currently receiving</w:t>
      </w:r>
      <w:r>
        <w:t xml:space="preserve"> welfare assistance </w:t>
      </w:r>
      <w:r w:rsidR="00C57804">
        <w:t xml:space="preserve">but </w:t>
      </w:r>
      <w:r>
        <w:t xml:space="preserve">could receive </w:t>
      </w:r>
      <w:r w:rsidR="00C57804">
        <w:t xml:space="preserve">this </w:t>
      </w:r>
      <w:r>
        <w:t xml:space="preserve">in the future. As </w:t>
      </w:r>
      <w:r>
        <w:lastRenderedPageBreak/>
        <w:t>such, the current size and profile of the in</w:t>
      </w:r>
      <w:r w:rsidR="00911E03">
        <w:t>-</w:t>
      </w:r>
      <w:r>
        <w:t>scope (model) population is of interest, as is the movement in this population since 30</w:t>
      </w:r>
      <w:r w:rsidR="009D216E">
        <w:t> </w:t>
      </w:r>
      <w:r>
        <w:t>June</w:t>
      </w:r>
      <w:r w:rsidR="009D216E">
        <w:t> </w:t>
      </w:r>
      <w:r>
        <w:t>2018.</w:t>
      </w:r>
    </w:p>
    <w:p w14:paraId="586A2492" w14:textId="1AFD0899" w:rsidR="00331CEF" w:rsidRPr="00A733BD" w:rsidRDefault="00331CEF" w:rsidP="00746DB7">
      <w:pPr>
        <w:pStyle w:val="Heading3notnumbered"/>
      </w:pPr>
      <w:r w:rsidRPr="00A733BD">
        <w:t>Current Model Population</w:t>
      </w:r>
    </w:p>
    <w:p w14:paraId="7B09DDDC" w14:textId="38B0D289" w:rsidR="00331CEF" w:rsidRPr="00B32202" w:rsidRDefault="00331CEF" w:rsidP="00B32202">
      <w:pPr>
        <w:pStyle w:val="OutlineNumbered1"/>
      </w:pPr>
      <w:r>
        <w:t>The total model population as at 30</w:t>
      </w:r>
      <w:r w:rsidR="009D216E">
        <w:t> </w:t>
      </w:r>
      <w:r>
        <w:t>June</w:t>
      </w:r>
      <w:r w:rsidR="009D216E">
        <w:t> </w:t>
      </w:r>
      <w:r>
        <w:t>2019 is equal to 25.</w:t>
      </w:r>
      <w:r w:rsidR="00BE03B8">
        <w:t>48</w:t>
      </w:r>
      <w:r>
        <w:t xml:space="preserve"> million people. This </w:t>
      </w:r>
      <w:r w:rsidRPr="00B32202">
        <w:t xml:space="preserve">consists of the Australian estimated resident population of </w:t>
      </w:r>
      <w:r w:rsidR="00BE03B8" w:rsidRPr="00B32202">
        <w:t>25.38</w:t>
      </w:r>
      <w:r w:rsidRPr="00B32202">
        <w:t xml:space="preserve"> million, and approximately 0.1 million who are current welfare recipients residing overseas (</w:t>
      </w:r>
      <w:r w:rsidR="00877DAE" w:rsidRPr="00B32202">
        <w:t>primarily</w:t>
      </w:r>
      <w:r w:rsidRPr="00B32202">
        <w:t xml:space="preserve"> </w:t>
      </w:r>
      <w:r w:rsidR="009E447D" w:rsidRPr="00B32202">
        <w:t>a</w:t>
      </w:r>
      <w:r w:rsidR="001F0FCC" w:rsidRPr="00B32202">
        <w:t xml:space="preserve">ge </w:t>
      </w:r>
      <w:r w:rsidR="009E447D" w:rsidRPr="00B32202">
        <w:t>p</w:t>
      </w:r>
      <w:r w:rsidR="001F0FCC" w:rsidRPr="00B32202">
        <w:t>ension</w:t>
      </w:r>
      <w:r w:rsidRPr="00B32202">
        <w:t xml:space="preserve">ers). </w:t>
      </w:r>
    </w:p>
    <w:p w14:paraId="60FB63CB" w14:textId="69BE3752" w:rsidR="00FB3BBF" w:rsidRPr="00B32202" w:rsidRDefault="00FB3BBF" w:rsidP="00B32202">
      <w:pPr>
        <w:pStyle w:val="OutlineNumbered1"/>
      </w:pPr>
      <w:r w:rsidRPr="00B32202">
        <w:t>The overall change in population from 30</w:t>
      </w:r>
      <w:r w:rsidR="009D216E">
        <w:t> </w:t>
      </w:r>
      <w:r w:rsidRPr="00B32202">
        <w:t>June</w:t>
      </w:r>
      <w:r w:rsidR="009D216E">
        <w:t> </w:t>
      </w:r>
      <w:r w:rsidRPr="00B32202">
        <w:t>2018 to 30</w:t>
      </w:r>
      <w:r w:rsidR="009D216E">
        <w:t> </w:t>
      </w:r>
      <w:r w:rsidRPr="00B32202">
        <w:t>June</w:t>
      </w:r>
      <w:r w:rsidR="009D216E">
        <w:t> </w:t>
      </w:r>
      <w:r w:rsidRPr="00B32202">
        <w:t xml:space="preserve">2019 is 1.8%, an increase of 449,000 people. </w:t>
      </w:r>
    </w:p>
    <w:p w14:paraId="4491458C" w14:textId="0A847C76" w:rsidR="00331CEF" w:rsidRPr="00BD5709" w:rsidRDefault="00331CEF" w:rsidP="00B32202">
      <w:pPr>
        <w:pStyle w:val="OutlineNumbered1"/>
        <w:rPr>
          <w:snapToGrid w:val="0"/>
        </w:rPr>
      </w:pPr>
      <w:r w:rsidRPr="00B32202">
        <w:t>A more detailed breakdown of the composition of the model population as at 30</w:t>
      </w:r>
      <w:r w:rsidR="008C791B">
        <w:t> </w:t>
      </w:r>
      <w:r w:rsidRPr="00B32202">
        <w:t>June</w:t>
      </w:r>
      <w:r w:rsidR="008C791B">
        <w:t> </w:t>
      </w:r>
      <w:r w:rsidRPr="00B32202">
        <w:t xml:space="preserve">2019 is </w:t>
      </w:r>
      <w:r w:rsidR="008C3F35" w:rsidRPr="00DE6F08">
        <w:t>shown in</w:t>
      </w:r>
      <w:r w:rsidR="00D8603B" w:rsidRPr="00DE6F08">
        <w:t xml:space="preserve"> </w:t>
      </w:r>
      <w:r w:rsidR="000C3CDF">
        <w:fldChar w:fldCharType="begin"/>
      </w:r>
      <w:r w:rsidR="000C3CDF">
        <w:instrText xml:space="preserve"> REF  Figure4 \* Caps \h </w:instrText>
      </w:r>
      <w:r w:rsidR="000C3CDF">
        <w:fldChar w:fldCharType="separate"/>
      </w:r>
      <w:r w:rsidR="00751625">
        <w:t xml:space="preserve">Figure </w:t>
      </w:r>
      <w:r w:rsidR="00751625">
        <w:rPr>
          <w:noProof/>
        </w:rPr>
        <w:t>4</w:t>
      </w:r>
      <w:r w:rsidR="000C3CDF">
        <w:fldChar w:fldCharType="end"/>
      </w:r>
      <w:r w:rsidRPr="00DE6F08">
        <w:t>.</w:t>
      </w:r>
    </w:p>
    <w:p w14:paraId="1425D2D2" w14:textId="3A3047FD" w:rsidR="00331CEF" w:rsidRDefault="00331CEF" w:rsidP="000B1493">
      <w:pPr>
        <w:pStyle w:val="Caption"/>
      </w:pPr>
      <w:bookmarkStart w:id="173" w:name="Figure4"/>
      <w:bookmarkStart w:id="174" w:name="_Toc100131514"/>
      <w:r>
        <w:t xml:space="preserve">Figure </w:t>
      </w:r>
      <w:r>
        <w:rPr>
          <w:noProof/>
        </w:rPr>
        <w:fldChar w:fldCharType="begin"/>
      </w:r>
      <w:r>
        <w:rPr>
          <w:noProof/>
        </w:rPr>
        <w:instrText xml:space="preserve"> SEQ Figure \* ARABIC </w:instrText>
      </w:r>
      <w:r>
        <w:rPr>
          <w:noProof/>
        </w:rPr>
        <w:fldChar w:fldCharType="separate"/>
      </w:r>
      <w:r w:rsidR="00751625">
        <w:rPr>
          <w:noProof/>
        </w:rPr>
        <w:t>4</w:t>
      </w:r>
      <w:r>
        <w:rPr>
          <w:noProof/>
        </w:rPr>
        <w:fldChar w:fldCharType="end"/>
      </w:r>
      <w:bookmarkEnd w:id="173"/>
      <w:r>
        <w:t xml:space="preserve">: </w:t>
      </w:r>
      <w:r w:rsidR="00A44811">
        <w:t xml:space="preserve">Total Model </w:t>
      </w:r>
      <w:r>
        <w:t xml:space="preserve">Population </w:t>
      </w:r>
      <w:r w:rsidR="00A44811">
        <w:t xml:space="preserve">25.48 million </w:t>
      </w:r>
      <w:r>
        <w:t xml:space="preserve">at 30 June </w:t>
      </w:r>
      <w:r w:rsidR="00850EC4">
        <w:t>2019</w:t>
      </w:r>
      <w:bookmarkEnd w:id="174"/>
    </w:p>
    <w:tbl>
      <w:tblPr>
        <w:tblStyle w:val="SmartTextTable3"/>
        <w:tblW w:w="0" w:type="auto"/>
        <w:tblInd w:w="0" w:type="dxa"/>
        <w:tblLook w:val="04A0" w:firstRow="1" w:lastRow="0" w:firstColumn="1" w:lastColumn="0" w:noHBand="0" w:noVBand="1"/>
        <w:tblCaption w:val=" Population at 30 June 2018&#10;"/>
        <w:tblDescription w:val="This figure is a Venn diagram.  It consists of three groups: the Australian resident population, previous welfare recipients and current welfare recipients.  The diagram shows that there are 24. 93 million people in the Australian resident population, that there are 4. 82 million previous welfare recipients who are also Australian residents and that there are 7. 95 million current welfare recipients, 0. 10 million of which currently reside overseas.  "/>
      </w:tblPr>
      <w:tblGrid>
        <w:gridCol w:w="7710"/>
      </w:tblGrid>
      <w:tr w:rsidR="000C6DB8" w:rsidRPr="00185BD9" w14:paraId="17D3C628" w14:textId="77777777" w:rsidTr="00D97D13">
        <w:trPr>
          <w:tblHeader/>
        </w:trPr>
        <w:tc>
          <w:tcPr>
            <w:tcW w:w="7710" w:type="dxa"/>
            <w:tcBorders>
              <w:top w:val="nil"/>
              <w:left w:val="nil"/>
              <w:bottom w:val="nil"/>
              <w:right w:val="nil"/>
            </w:tcBorders>
            <w:hideMark/>
          </w:tcPr>
          <w:p w14:paraId="0D051A6F" w14:textId="7414B797" w:rsidR="000C6DB8" w:rsidRPr="00185BD9" w:rsidRDefault="00D95FBD" w:rsidP="00A46AA4">
            <w:pPr>
              <w:spacing w:after="0" w:line="240" w:lineRule="auto"/>
              <w:jc w:val="left"/>
              <w:rPr>
                <w:rFonts w:cs="Arial"/>
                <w:color w:val="404040"/>
              </w:rPr>
            </w:pPr>
            <w:r>
              <w:rPr>
                <w:noProof/>
              </w:rPr>
              <mc:AlternateContent>
                <mc:Choice Requires="wpg">
                  <w:drawing>
                    <wp:inline distT="0" distB="0" distL="0" distR="0" wp14:anchorId="07033F63" wp14:editId="17175D9E">
                      <wp:extent cx="5624830" cy="3566160"/>
                      <wp:effectExtent l="0" t="0" r="0" b="0"/>
                      <wp:docPr id="1057" name="Canvas 1067" descr="This infographic shows an outline of the map of Australia with text overlayed describing the (rounded) numbers of people receiving and not receiving welfare as at 30 June 2019. There are 0.1 million welfare recipients residing overseas, 7.78 million residents currently receiving welfare, and 17.6 million residents not currently receiving welfare. Of this last group, 5.11 million have been welfare recipients within the last 18 years."/>
                      <wp:cNvGraphicFramePr/>
                      <a:graphic xmlns:a="http://schemas.openxmlformats.org/drawingml/2006/main">
                        <a:graphicData uri="http://schemas.microsoft.com/office/word/2010/wordprocessingGroup">
                          <wpg:wgp>
                            <wpg:cNvGrpSpPr/>
                            <wpg:grpSpPr>
                              <a:xfrm>
                                <a:off x="0" y="0"/>
                                <a:ext cx="5624830" cy="3566160"/>
                                <a:chOff x="0" y="0"/>
                                <a:chExt cx="5624830" cy="3566160"/>
                              </a:xfrm>
                            </wpg:grpSpPr>
                            <wps:wsp>
                              <wps:cNvPr id="1068" name="Rectangle 1068"/>
                              <wps:cNvSpPr/>
                              <wps:spPr>
                                <a:xfrm>
                                  <a:off x="0" y="0"/>
                                  <a:ext cx="5624830" cy="3566160"/>
                                </a:xfrm>
                                <a:prstGeom prst="rect">
                                  <a:avLst/>
                                </a:prstGeom>
                                <a:noFill/>
                                <a:ln>
                                  <a:noFill/>
                                </a:ln>
                              </wps:spPr>
                              <wps:bodyPr/>
                            </wps:wsp>
                            <pic:pic xmlns:pic="http://schemas.openxmlformats.org/drawingml/2006/picture">
                              <pic:nvPicPr>
                                <pic:cNvPr id="1069" name="Picture 106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59055"/>
                                  <a:ext cx="3901440" cy="3507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0" name="Rectangle 1070"/>
                              <wps:cNvSpPr>
                                <a:spLocks noChangeArrowheads="1"/>
                              </wps:cNvSpPr>
                              <wps:spPr bwMode="auto">
                                <a:xfrm>
                                  <a:off x="371476" y="1628775"/>
                                  <a:ext cx="3219450" cy="6857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861F2" w14:textId="161395C2" w:rsidR="0042742F" w:rsidRPr="003E1C2D" w:rsidRDefault="0042742F" w:rsidP="003E1C2D">
                                    <w:pPr>
                                      <w:pStyle w:val="NormalWeb"/>
                                      <w:jc w:val="center"/>
                                      <w:rPr>
                                        <w:color w:val="0E3044" w:themeColor="accent2"/>
                                      </w:rPr>
                                    </w:pPr>
                                    <w:r w:rsidRPr="003E1C2D">
                                      <w:rPr>
                                        <w:rFonts w:ascii="Arial" w:hAnsi="Arial" w:cs="Arial"/>
                                        <w:b/>
                                        <w:bCs/>
                                        <w:color w:val="0E3044" w:themeColor="accent2"/>
                                        <w:lang w:val="en-US"/>
                                      </w:rPr>
                                      <w:t xml:space="preserve">17.6 million </w:t>
                                    </w:r>
                                    <w:r w:rsidRPr="003E1C2D">
                                      <w:rPr>
                                        <w:rFonts w:ascii="Arial" w:hAnsi="Arial" w:cs="Arial"/>
                                        <w:color w:val="0E3044" w:themeColor="accent2"/>
                                        <w:lang w:val="en-US"/>
                                      </w:rPr>
                                      <w:t xml:space="preserve">Australian residents </w:t>
                                    </w:r>
                                    <w:r>
                                      <w:rPr>
                                        <w:rFonts w:ascii="Arial" w:hAnsi="Arial" w:cs="Arial"/>
                                        <w:color w:val="0E3044" w:themeColor="accent2"/>
                                        <w:lang w:val="en-US"/>
                                      </w:rPr>
                                      <w:t xml:space="preserve">not currently </w:t>
                                    </w:r>
                                    <w:r w:rsidRPr="003E1C2D">
                                      <w:rPr>
                                        <w:rFonts w:ascii="Arial" w:hAnsi="Arial" w:cs="Arial"/>
                                        <w:color w:val="0E3044" w:themeColor="accent2"/>
                                        <w:lang w:val="en-US"/>
                                      </w:rPr>
                                      <w:t xml:space="preserve">receiving welfare, of which </w:t>
                                    </w:r>
                                    <w:r w:rsidRPr="003E1C2D">
                                      <w:rPr>
                                        <w:rFonts w:ascii="Arial" w:hAnsi="Arial" w:cs="Arial"/>
                                        <w:b/>
                                        <w:bCs/>
                                        <w:color w:val="0E3044" w:themeColor="accent2"/>
                                        <w:lang w:val="en-US"/>
                                      </w:rPr>
                                      <w:t xml:space="preserve">5.11 million </w:t>
                                    </w:r>
                                    <w:r w:rsidRPr="003E1C2D">
                                      <w:rPr>
                                        <w:rFonts w:ascii="Arial" w:hAnsi="Arial" w:cs="Arial"/>
                                        <w:color w:val="0E3044" w:themeColor="accent2"/>
                                        <w:lang w:val="en-US"/>
                                      </w:rPr>
                                      <w:t xml:space="preserve">have been </w:t>
                                    </w:r>
                                    <w:r>
                                      <w:rPr>
                                        <w:rFonts w:ascii="Arial" w:hAnsi="Arial" w:cs="Arial"/>
                                        <w:color w:val="0E3044" w:themeColor="accent2"/>
                                        <w:lang w:val="en-US"/>
                                      </w:rPr>
                                      <w:t>w</w:t>
                                    </w:r>
                                    <w:r w:rsidRPr="003E1C2D">
                                      <w:rPr>
                                        <w:rFonts w:ascii="Arial" w:hAnsi="Arial" w:cs="Arial"/>
                                        <w:color w:val="0E3044" w:themeColor="accent2"/>
                                        <w:lang w:val="en-US"/>
                                      </w:rPr>
                                      <w:t>elfare recipients within the last 18 years</w:t>
                                    </w:r>
                                  </w:p>
                                  <w:p w14:paraId="0B2E91AC" w14:textId="77777777" w:rsidR="0042742F" w:rsidRPr="003E1C2D" w:rsidRDefault="0042742F" w:rsidP="003E1C2D">
                                    <w:pPr>
                                      <w:pStyle w:val="NormalWeb"/>
                                      <w:jc w:val="center"/>
                                      <w:rPr>
                                        <w:color w:val="0E3044" w:themeColor="accent2"/>
                                      </w:rPr>
                                    </w:pPr>
                                  </w:p>
                                  <w:p w14:paraId="20F88376" w14:textId="77777777" w:rsidR="0042742F" w:rsidRPr="003E1C2D" w:rsidRDefault="0042742F" w:rsidP="003E1C2D">
                                    <w:pPr>
                                      <w:pStyle w:val="NormalWeb"/>
                                      <w:jc w:val="center"/>
                                      <w:rPr>
                                        <w:color w:val="0E3044" w:themeColor="accent2"/>
                                      </w:rPr>
                                    </w:pPr>
                                  </w:p>
                                  <w:p w14:paraId="281F28AB" w14:textId="77777777" w:rsidR="0042742F" w:rsidRPr="003E1C2D" w:rsidRDefault="0042742F" w:rsidP="003E1C2D">
                                    <w:pPr>
                                      <w:pStyle w:val="NormalWeb"/>
                                      <w:jc w:val="center"/>
                                      <w:rPr>
                                        <w:color w:val="0E3044" w:themeColor="accent2"/>
                                      </w:rPr>
                                    </w:pPr>
                                  </w:p>
                                  <w:p w14:paraId="60B9CFBC" w14:textId="198DD6BF" w:rsidR="0042742F" w:rsidRPr="003E1C2D" w:rsidRDefault="0042742F" w:rsidP="003E1C2D">
                                    <w:pPr>
                                      <w:pStyle w:val="NormalWeb"/>
                                      <w:jc w:val="center"/>
                                      <w:rPr>
                                        <w:color w:val="0E3044" w:themeColor="accent2"/>
                                      </w:rPr>
                                    </w:pPr>
                                  </w:p>
                                  <w:p w14:paraId="609399E9" w14:textId="77777777" w:rsidR="0042742F" w:rsidRPr="003E1C2D" w:rsidRDefault="0042742F" w:rsidP="003E1C2D">
                                    <w:pPr>
                                      <w:pStyle w:val="NormalWeb"/>
                                      <w:jc w:val="center"/>
                                      <w:rPr>
                                        <w:color w:val="0E3044" w:themeColor="accent2"/>
                                      </w:rPr>
                                    </w:pPr>
                                  </w:p>
                                </w:txbxContent>
                              </wps:txbx>
                              <wps:bodyPr rot="0" vert="horz" wrap="square" lIns="0" tIns="0" rIns="0" bIns="0" anchor="t" anchorCtr="0">
                                <a:noAutofit/>
                              </wps:bodyPr>
                            </wps:wsp>
                            <wps:wsp>
                              <wps:cNvPr id="1076" name="Rectangle 1076"/>
                              <wps:cNvSpPr>
                                <a:spLocks noChangeArrowheads="1"/>
                              </wps:cNvSpPr>
                              <wps:spPr bwMode="auto">
                                <a:xfrm>
                                  <a:off x="2787650" y="1755775"/>
                                  <a:ext cx="3556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2A50F" w14:textId="77777777" w:rsidR="0042742F" w:rsidRDefault="0042742F" w:rsidP="00D248CE">
                                    <w:pPr>
                                      <w:pStyle w:val="NormalWeb"/>
                                    </w:pPr>
                                    <w:r>
                                      <w:rPr>
                                        <w:rFonts w:ascii="Arial" w:hAnsi="Arial"/>
                                        <w:sz w:val="20"/>
                                        <w:szCs w:val="20"/>
                                      </w:rPr>
                                      <w:t> </w:t>
                                    </w:r>
                                  </w:p>
                                </w:txbxContent>
                              </wps:txbx>
                              <wps:bodyPr rot="0" vert="horz" wrap="none" lIns="0" tIns="0" rIns="0" bIns="0" anchor="t" anchorCtr="0">
                                <a:spAutoFit/>
                              </wps:bodyPr>
                            </wps:wsp>
                            <wps:wsp>
                              <wps:cNvPr id="1079" name="Rectangle 1079"/>
                              <wps:cNvSpPr>
                                <a:spLocks noChangeArrowheads="1"/>
                              </wps:cNvSpPr>
                              <wps:spPr bwMode="auto">
                                <a:xfrm>
                                  <a:off x="113030" y="38100"/>
                                  <a:ext cx="1315720" cy="77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128EB" w14:textId="77777777" w:rsidR="0042742F" w:rsidRPr="006C32C6" w:rsidRDefault="0042742F" w:rsidP="003E1C2D">
                                    <w:pPr>
                                      <w:pStyle w:val="NormalWeb"/>
                                      <w:spacing w:after="0"/>
                                      <w:rPr>
                                        <w:color w:val="0E3044" w:themeColor="accent2"/>
                                      </w:rPr>
                                    </w:pPr>
                                    <w:r w:rsidRPr="006C32C6">
                                      <w:rPr>
                                        <w:rFonts w:ascii="Arial" w:hAnsi="Arial" w:cs="Arial"/>
                                        <w:b/>
                                        <w:bCs/>
                                        <w:color w:val="0E3044" w:themeColor="accent2"/>
                                        <w:lang w:val="en-US"/>
                                      </w:rPr>
                                      <w:t xml:space="preserve">0.1 million </w:t>
                                    </w:r>
                                  </w:p>
                                  <w:p w14:paraId="3912E0E4" w14:textId="77777777" w:rsidR="0042742F" w:rsidRPr="006C32C6" w:rsidRDefault="0042742F" w:rsidP="003E1C2D">
                                    <w:pPr>
                                      <w:pStyle w:val="NormalWeb"/>
                                      <w:spacing w:after="0"/>
                                      <w:jc w:val="left"/>
                                      <w:rPr>
                                        <w:color w:val="0E3044" w:themeColor="accent2"/>
                                      </w:rPr>
                                    </w:pPr>
                                    <w:r w:rsidRPr="006C32C6">
                                      <w:rPr>
                                        <w:rFonts w:ascii="Arial" w:hAnsi="Arial" w:cs="Arial"/>
                                        <w:color w:val="0E3044" w:themeColor="accent2"/>
                                        <w:lang w:val="en-US"/>
                                      </w:rPr>
                                      <w:t xml:space="preserve">Welfare recipients residing </w:t>
                                    </w:r>
                                    <w:r w:rsidRPr="006C32C6">
                                      <w:rPr>
                                        <w:rFonts w:ascii="Arial" w:hAnsi="Arial" w:cs="Arial"/>
                                        <w:color w:val="0E3044" w:themeColor="accent2"/>
                                        <w:lang w:val="en-US"/>
                                      </w:rPr>
                                      <w:br/>
                                      <w:t xml:space="preserve">overseas </w:t>
                                    </w:r>
                                  </w:p>
                                  <w:p w14:paraId="4ED85938" w14:textId="5F4FEDC2" w:rsidR="0042742F" w:rsidRPr="004E7C93" w:rsidRDefault="0042742F" w:rsidP="003E1C2D">
                                    <w:pPr>
                                      <w:pStyle w:val="NormalWeb"/>
                                      <w:spacing w:after="0"/>
                                      <w:jc w:val="left"/>
                                      <w:rPr>
                                        <w:color w:val="0E3044" w:themeColor="accent2"/>
                                      </w:rPr>
                                    </w:pPr>
                                    <w:r w:rsidRPr="004E7C93">
                                      <w:rPr>
                                        <w:rFonts w:ascii="Arial" w:hAnsi="Arial" w:cs="Arial"/>
                                        <w:color w:val="0E3044" w:themeColor="accent2"/>
                                        <w:u w:val="single"/>
                                        <w:lang w:val="en-US"/>
                                      </w:rPr>
                                      <w:t xml:space="preserve"> </w:t>
                                    </w:r>
                                  </w:p>
                                </w:txbxContent>
                              </wps:txbx>
                              <wps:bodyPr rot="0" vert="horz" wrap="square" lIns="0" tIns="0" rIns="0" bIns="0" anchor="t" anchorCtr="0">
                                <a:noAutofit/>
                              </wps:bodyPr>
                            </wps:wsp>
                            <wps:wsp>
                              <wps:cNvPr id="1087" name="Rectangle 1087"/>
                              <wps:cNvSpPr>
                                <a:spLocks noChangeArrowheads="1"/>
                              </wps:cNvSpPr>
                              <wps:spPr bwMode="auto">
                                <a:xfrm>
                                  <a:off x="548640" y="949960"/>
                                  <a:ext cx="2733675" cy="506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E95C4" w14:textId="77777777" w:rsidR="0042742F" w:rsidRPr="003E1C2D" w:rsidRDefault="0042742F" w:rsidP="003E1C2D">
                                    <w:pPr>
                                      <w:pStyle w:val="NormalWeb"/>
                                      <w:spacing w:after="0"/>
                                      <w:jc w:val="center"/>
                                      <w:rPr>
                                        <w:rFonts w:ascii="Arial" w:hAnsi="Arial" w:cs="Arial"/>
                                        <w:color w:val="008080"/>
                                        <w:lang w:val="en-US"/>
                                      </w:rPr>
                                    </w:pPr>
                                    <w:r w:rsidRPr="003E1C2D">
                                      <w:rPr>
                                        <w:rFonts w:ascii="Arial" w:hAnsi="Arial" w:cs="Arial"/>
                                        <w:b/>
                                        <w:bCs/>
                                        <w:color w:val="0E3044" w:themeColor="accent2"/>
                                        <w:lang w:val="en-US"/>
                                      </w:rPr>
                                      <w:t xml:space="preserve">7.78 million </w:t>
                                    </w:r>
                                    <w:r w:rsidRPr="003E1C2D">
                                      <w:rPr>
                                        <w:rFonts w:ascii="Arial" w:hAnsi="Arial" w:cs="Arial"/>
                                        <w:color w:val="0E3044" w:themeColor="accent2"/>
                                        <w:lang w:val="en-US"/>
                                      </w:rPr>
                                      <w:t>Australian</w:t>
                                    </w:r>
                                    <w:r w:rsidRPr="003E1C2D">
                                      <w:rPr>
                                        <w:rFonts w:ascii="Arial" w:hAnsi="Arial" w:cs="Arial"/>
                                        <w:color w:val="008080"/>
                                        <w:lang w:val="en-US"/>
                                      </w:rPr>
                                      <w:t xml:space="preserve"> </w:t>
                                    </w:r>
                                  </w:p>
                                  <w:p w14:paraId="13FB758C" w14:textId="54E443EC" w:rsidR="0042742F" w:rsidRPr="003E1C2D" w:rsidRDefault="0042742F" w:rsidP="003E1C2D">
                                    <w:pPr>
                                      <w:pStyle w:val="NormalWeb"/>
                                      <w:spacing w:after="0"/>
                                      <w:jc w:val="center"/>
                                      <w:rPr>
                                        <w:color w:val="0E3044" w:themeColor="accent2"/>
                                      </w:rPr>
                                    </w:pPr>
                                    <w:r w:rsidRPr="003E1C2D">
                                      <w:rPr>
                                        <w:rFonts w:ascii="Arial" w:hAnsi="Arial" w:cs="Arial"/>
                                        <w:color w:val="0E3044" w:themeColor="accent2"/>
                                        <w:lang w:val="en-US"/>
                                      </w:rPr>
                                      <w:t>residents currently receiving welfare</w:t>
                                    </w:r>
                                  </w:p>
                                  <w:p w14:paraId="64D822C5" w14:textId="77777777" w:rsidR="0042742F" w:rsidRDefault="0042742F" w:rsidP="003E1C2D">
                                    <w:pPr>
                                      <w:pStyle w:val="NormalWeb"/>
                                      <w:spacing w:after="0"/>
                                      <w:jc w:val="center"/>
                                    </w:pPr>
                                  </w:p>
                                  <w:p w14:paraId="45CA125C" w14:textId="5FBC3B7A" w:rsidR="0042742F" w:rsidRPr="00E454D1" w:rsidRDefault="0042742F" w:rsidP="003E1C2D">
                                    <w:pPr>
                                      <w:pStyle w:val="NormalWeb"/>
                                      <w:spacing w:after="0"/>
                                      <w:jc w:val="center"/>
                                      <w:rPr>
                                        <w:color w:val="0E3044" w:themeColor="accent2"/>
                                      </w:rPr>
                                    </w:pPr>
                                  </w:p>
                                </w:txbxContent>
                              </wps:txbx>
                              <wps:bodyPr rot="0" vert="horz" wrap="square" lIns="0" tIns="0" rIns="0" bIns="0" anchor="t" anchorCtr="0">
                                <a:noAutofit/>
                              </wps:bodyPr>
                            </wps:wsp>
                          </wpg:wgp>
                        </a:graphicData>
                      </a:graphic>
                    </wp:inline>
                  </w:drawing>
                </mc:Choice>
                <mc:Fallback>
                  <w:pict>
                    <v:group w14:anchorId="07033F63" id="Canvas 1067" o:spid="_x0000_s1026" alt="This infographic shows an outline of the map of Australia with text overlayed describing the (rounded) numbers of people receiving and not receiving welfare as at 30 June 2019. There are 0.1 million welfare recipients residing overseas, 7.78 million residents currently receiving welfare, and 17.6 million residents not currently receiving welfare. Of this last group, 5.11 million have been welfare recipients within the last 18 years." style="width:442.9pt;height:280.8pt;mso-position-horizontal-relative:char;mso-position-vertical-relative:line" coordsize="56248,35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">
                      <v:rect id="Rectangle 1068" o:spid="_x0000_s1027" style="position:absolute;width:56248;height:35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69" o:spid="_x0000_s1028" type="#_x0000_t75" style="position:absolute;top:590;width:39014;height:35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">
                        <v:imagedata r:id="rId38" o:title=""/>
                      </v:shape>
                      <v:rect id="Rectangle 1070" o:spid="_x0000_s1029" style="position:absolute;left:3714;top:16287;width:32195;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" filled="f" stroked="f">
                        <v:textbox inset="0,0,0,0">
                          <w:txbxContent>
                            <w:p w14:paraId="13D861F2" w14:textId="161395C2" w:rsidR="0042742F" w:rsidRPr="003E1C2D" w:rsidRDefault="0042742F" w:rsidP="003E1C2D">
                              <w:pPr>
                                <w:pStyle w:val="NormalWeb"/>
                                <w:jc w:val="center"/>
                                <w:rPr>
                                  <w:color w:val="0E3044" w:themeColor="accent2"/>
                                </w:rPr>
                              </w:pPr>
                              <w:r w:rsidRPr="003E1C2D">
                                <w:rPr>
                                  <w:rFonts w:ascii="Arial" w:hAnsi="Arial" w:cs="Arial"/>
                                  <w:b/>
                                  <w:bCs/>
                                  <w:color w:val="0E3044" w:themeColor="accent2"/>
                                  <w:lang w:val="en-US"/>
                                </w:rPr>
                                <w:t xml:space="preserve">17.6 million </w:t>
                              </w:r>
                              <w:r w:rsidRPr="003E1C2D">
                                <w:rPr>
                                  <w:rFonts w:ascii="Arial" w:hAnsi="Arial" w:cs="Arial"/>
                                  <w:color w:val="0E3044" w:themeColor="accent2"/>
                                  <w:lang w:val="en-US"/>
                                </w:rPr>
                                <w:t xml:space="preserve">Australian residents </w:t>
                              </w:r>
                              <w:r>
                                <w:rPr>
                                  <w:rFonts w:ascii="Arial" w:hAnsi="Arial" w:cs="Arial"/>
                                  <w:color w:val="0E3044" w:themeColor="accent2"/>
                                  <w:lang w:val="en-US"/>
                                </w:rPr>
                                <w:t xml:space="preserve">not currently </w:t>
                              </w:r>
                              <w:r w:rsidRPr="003E1C2D">
                                <w:rPr>
                                  <w:rFonts w:ascii="Arial" w:hAnsi="Arial" w:cs="Arial"/>
                                  <w:color w:val="0E3044" w:themeColor="accent2"/>
                                  <w:lang w:val="en-US"/>
                                </w:rPr>
                                <w:t xml:space="preserve">receiving welfare, of which </w:t>
                              </w:r>
                              <w:r w:rsidRPr="003E1C2D">
                                <w:rPr>
                                  <w:rFonts w:ascii="Arial" w:hAnsi="Arial" w:cs="Arial"/>
                                  <w:b/>
                                  <w:bCs/>
                                  <w:color w:val="0E3044" w:themeColor="accent2"/>
                                  <w:lang w:val="en-US"/>
                                </w:rPr>
                                <w:t xml:space="preserve">5.11 million </w:t>
                              </w:r>
                              <w:r w:rsidRPr="003E1C2D">
                                <w:rPr>
                                  <w:rFonts w:ascii="Arial" w:hAnsi="Arial" w:cs="Arial"/>
                                  <w:color w:val="0E3044" w:themeColor="accent2"/>
                                  <w:lang w:val="en-US"/>
                                </w:rPr>
                                <w:t xml:space="preserve">have been </w:t>
                              </w:r>
                              <w:r>
                                <w:rPr>
                                  <w:rFonts w:ascii="Arial" w:hAnsi="Arial" w:cs="Arial"/>
                                  <w:color w:val="0E3044" w:themeColor="accent2"/>
                                  <w:lang w:val="en-US"/>
                                </w:rPr>
                                <w:t>w</w:t>
                              </w:r>
                              <w:r w:rsidRPr="003E1C2D">
                                <w:rPr>
                                  <w:rFonts w:ascii="Arial" w:hAnsi="Arial" w:cs="Arial"/>
                                  <w:color w:val="0E3044" w:themeColor="accent2"/>
                                  <w:lang w:val="en-US"/>
                                </w:rPr>
                                <w:t>elfare recipients within the last 18 years</w:t>
                              </w:r>
                            </w:p>
                            <w:p w14:paraId="0B2E91AC" w14:textId="77777777" w:rsidR="0042742F" w:rsidRPr="003E1C2D" w:rsidRDefault="0042742F" w:rsidP="003E1C2D">
                              <w:pPr>
                                <w:pStyle w:val="NormalWeb"/>
                                <w:jc w:val="center"/>
                                <w:rPr>
                                  <w:color w:val="0E3044" w:themeColor="accent2"/>
                                </w:rPr>
                              </w:pPr>
                            </w:p>
                            <w:p w14:paraId="20F88376" w14:textId="77777777" w:rsidR="0042742F" w:rsidRPr="003E1C2D" w:rsidRDefault="0042742F" w:rsidP="003E1C2D">
                              <w:pPr>
                                <w:pStyle w:val="NormalWeb"/>
                                <w:jc w:val="center"/>
                                <w:rPr>
                                  <w:color w:val="0E3044" w:themeColor="accent2"/>
                                </w:rPr>
                              </w:pPr>
                            </w:p>
                            <w:p w14:paraId="281F28AB" w14:textId="77777777" w:rsidR="0042742F" w:rsidRPr="003E1C2D" w:rsidRDefault="0042742F" w:rsidP="003E1C2D">
                              <w:pPr>
                                <w:pStyle w:val="NormalWeb"/>
                                <w:jc w:val="center"/>
                                <w:rPr>
                                  <w:color w:val="0E3044" w:themeColor="accent2"/>
                                </w:rPr>
                              </w:pPr>
                            </w:p>
                            <w:p w14:paraId="60B9CFBC" w14:textId="198DD6BF" w:rsidR="0042742F" w:rsidRPr="003E1C2D" w:rsidRDefault="0042742F" w:rsidP="003E1C2D">
                              <w:pPr>
                                <w:pStyle w:val="NormalWeb"/>
                                <w:jc w:val="center"/>
                                <w:rPr>
                                  <w:color w:val="0E3044" w:themeColor="accent2"/>
                                </w:rPr>
                              </w:pPr>
                            </w:p>
                            <w:p w14:paraId="609399E9" w14:textId="77777777" w:rsidR="0042742F" w:rsidRPr="003E1C2D" w:rsidRDefault="0042742F" w:rsidP="003E1C2D">
                              <w:pPr>
                                <w:pStyle w:val="NormalWeb"/>
                                <w:jc w:val="center"/>
                                <w:rPr>
                                  <w:color w:val="0E3044" w:themeColor="accent2"/>
                                </w:rPr>
                              </w:pPr>
                            </w:p>
                          </w:txbxContent>
                        </v:textbox>
                      </v:rect>
                      <v:rect id="Rectangle 1076" o:spid="_x0000_s1030" style="position:absolute;left:27876;top:17557;width:356;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" filled="f" stroked="f">
                        <v:textbox style="mso-fit-shape-to-text:t" inset="0,0,0,0">
                          <w:txbxContent>
                            <w:p w14:paraId="1C62A50F" w14:textId="77777777" w:rsidR="0042742F" w:rsidRDefault="0042742F" w:rsidP="00D248CE">
                              <w:pPr>
                                <w:pStyle w:val="NormalWeb"/>
                              </w:pPr>
                              <w:r>
                                <w:rPr>
                                  <w:rFonts w:ascii="Arial" w:hAnsi="Arial"/>
                                  <w:sz w:val="20"/>
                                  <w:szCs w:val="20"/>
                                </w:rPr>
                                <w:t> </w:t>
                              </w:r>
                            </w:p>
                          </w:txbxContent>
                        </v:textbox>
                      </v:rect>
                      <v:rect id="Rectangle 1079" o:spid="_x0000_s1031" style="position:absolute;left:1130;top:381;width:13157;height:7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" filled="f" stroked="f">
                        <v:textbox inset="0,0,0,0">
                          <w:txbxContent>
                            <w:p w14:paraId="20C128EB" w14:textId="77777777" w:rsidR="0042742F" w:rsidRPr="006C32C6" w:rsidRDefault="0042742F" w:rsidP="003E1C2D">
                              <w:pPr>
                                <w:pStyle w:val="NormalWeb"/>
                                <w:spacing w:after="0"/>
                                <w:rPr>
                                  <w:color w:val="0E3044" w:themeColor="accent2"/>
                                </w:rPr>
                              </w:pPr>
                              <w:r w:rsidRPr="006C32C6">
                                <w:rPr>
                                  <w:rFonts w:ascii="Arial" w:hAnsi="Arial" w:cs="Arial"/>
                                  <w:b/>
                                  <w:bCs/>
                                  <w:color w:val="0E3044" w:themeColor="accent2"/>
                                  <w:lang w:val="en-US"/>
                                </w:rPr>
                                <w:t xml:space="preserve">0.1 million </w:t>
                              </w:r>
                            </w:p>
                            <w:p w14:paraId="3912E0E4" w14:textId="77777777" w:rsidR="0042742F" w:rsidRPr="006C32C6" w:rsidRDefault="0042742F" w:rsidP="003E1C2D">
                              <w:pPr>
                                <w:pStyle w:val="NormalWeb"/>
                                <w:spacing w:after="0"/>
                                <w:jc w:val="left"/>
                                <w:rPr>
                                  <w:color w:val="0E3044" w:themeColor="accent2"/>
                                </w:rPr>
                              </w:pPr>
                              <w:r w:rsidRPr="006C32C6">
                                <w:rPr>
                                  <w:rFonts w:ascii="Arial" w:hAnsi="Arial" w:cs="Arial"/>
                                  <w:color w:val="0E3044" w:themeColor="accent2"/>
                                  <w:lang w:val="en-US"/>
                                </w:rPr>
                                <w:t xml:space="preserve">Welfare recipients residing </w:t>
                              </w:r>
                              <w:r w:rsidRPr="006C32C6">
                                <w:rPr>
                                  <w:rFonts w:ascii="Arial" w:hAnsi="Arial" w:cs="Arial"/>
                                  <w:color w:val="0E3044" w:themeColor="accent2"/>
                                  <w:lang w:val="en-US"/>
                                </w:rPr>
                                <w:br/>
                                <w:t xml:space="preserve">overseas </w:t>
                              </w:r>
                            </w:p>
                            <w:p w14:paraId="4ED85938" w14:textId="5F4FEDC2" w:rsidR="0042742F" w:rsidRPr="004E7C93" w:rsidRDefault="0042742F" w:rsidP="003E1C2D">
                              <w:pPr>
                                <w:pStyle w:val="NormalWeb"/>
                                <w:spacing w:after="0"/>
                                <w:jc w:val="left"/>
                                <w:rPr>
                                  <w:color w:val="0E3044" w:themeColor="accent2"/>
                                </w:rPr>
                              </w:pPr>
                              <w:r w:rsidRPr="004E7C93">
                                <w:rPr>
                                  <w:rFonts w:ascii="Arial" w:hAnsi="Arial" w:cs="Arial"/>
                                  <w:color w:val="0E3044" w:themeColor="accent2"/>
                                  <w:u w:val="single"/>
                                  <w:lang w:val="en-US"/>
                                </w:rPr>
                                <w:t xml:space="preserve"> </w:t>
                              </w:r>
                            </w:p>
                          </w:txbxContent>
                        </v:textbox>
                      </v:rect>
                      <v:rect id="Rectangle 1087" o:spid="_x0000_s1032" style="position:absolute;left:5486;top:9499;width:27337;height:5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" filled="f" stroked="f">
                        <v:textbox inset="0,0,0,0">
                          <w:txbxContent>
                            <w:p w14:paraId="540E95C4" w14:textId="77777777" w:rsidR="0042742F" w:rsidRPr="003E1C2D" w:rsidRDefault="0042742F" w:rsidP="003E1C2D">
                              <w:pPr>
                                <w:pStyle w:val="NormalWeb"/>
                                <w:spacing w:after="0"/>
                                <w:jc w:val="center"/>
                                <w:rPr>
                                  <w:rFonts w:ascii="Arial" w:hAnsi="Arial" w:cs="Arial"/>
                                  <w:color w:val="008080"/>
                                  <w:lang w:val="en-US"/>
                                </w:rPr>
                              </w:pPr>
                              <w:r w:rsidRPr="003E1C2D">
                                <w:rPr>
                                  <w:rFonts w:ascii="Arial" w:hAnsi="Arial" w:cs="Arial"/>
                                  <w:b/>
                                  <w:bCs/>
                                  <w:color w:val="0E3044" w:themeColor="accent2"/>
                                  <w:lang w:val="en-US"/>
                                </w:rPr>
                                <w:t xml:space="preserve">7.78 million </w:t>
                              </w:r>
                              <w:r w:rsidRPr="003E1C2D">
                                <w:rPr>
                                  <w:rFonts w:ascii="Arial" w:hAnsi="Arial" w:cs="Arial"/>
                                  <w:color w:val="0E3044" w:themeColor="accent2"/>
                                  <w:lang w:val="en-US"/>
                                </w:rPr>
                                <w:t>Australian</w:t>
                              </w:r>
                              <w:r w:rsidRPr="003E1C2D">
                                <w:rPr>
                                  <w:rFonts w:ascii="Arial" w:hAnsi="Arial" w:cs="Arial"/>
                                  <w:color w:val="008080"/>
                                  <w:lang w:val="en-US"/>
                                </w:rPr>
                                <w:t xml:space="preserve"> </w:t>
                              </w:r>
                            </w:p>
                            <w:p w14:paraId="13FB758C" w14:textId="54E443EC" w:rsidR="0042742F" w:rsidRPr="003E1C2D" w:rsidRDefault="0042742F" w:rsidP="003E1C2D">
                              <w:pPr>
                                <w:pStyle w:val="NormalWeb"/>
                                <w:spacing w:after="0"/>
                                <w:jc w:val="center"/>
                                <w:rPr>
                                  <w:color w:val="0E3044" w:themeColor="accent2"/>
                                </w:rPr>
                              </w:pPr>
                              <w:r w:rsidRPr="003E1C2D">
                                <w:rPr>
                                  <w:rFonts w:ascii="Arial" w:hAnsi="Arial" w:cs="Arial"/>
                                  <w:color w:val="0E3044" w:themeColor="accent2"/>
                                  <w:lang w:val="en-US"/>
                                </w:rPr>
                                <w:t>residents currently receiving welfare</w:t>
                              </w:r>
                            </w:p>
                            <w:p w14:paraId="64D822C5" w14:textId="77777777" w:rsidR="0042742F" w:rsidRDefault="0042742F" w:rsidP="003E1C2D">
                              <w:pPr>
                                <w:pStyle w:val="NormalWeb"/>
                                <w:spacing w:after="0"/>
                                <w:jc w:val="center"/>
                              </w:pPr>
                            </w:p>
                            <w:p w14:paraId="45CA125C" w14:textId="5FBC3B7A" w:rsidR="0042742F" w:rsidRPr="00E454D1" w:rsidRDefault="0042742F" w:rsidP="003E1C2D">
                              <w:pPr>
                                <w:pStyle w:val="NormalWeb"/>
                                <w:spacing w:after="0"/>
                                <w:jc w:val="center"/>
                                <w:rPr>
                                  <w:color w:val="0E3044" w:themeColor="accent2"/>
                                </w:rPr>
                              </w:pPr>
                            </w:p>
                          </w:txbxContent>
                        </v:textbox>
                      </v:rect>
                      <w10:anchorlock/>
                    </v:group>
                  </w:pict>
                </mc:Fallback>
              </mc:AlternateContent>
            </w:r>
          </w:p>
        </w:tc>
      </w:tr>
    </w:tbl>
    <w:p w14:paraId="7DA1A541" w14:textId="69CDA75C" w:rsidR="00630BF8" w:rsidRPr="00630BF8" w:rsidRDefault="00630BF8" w:rsidP="00630BF8">
      <w:pPr>
        <w:pStyle w:val="SingleParagraph"/>
        <w:rPr>
          <w:snapToGrid w:val="0"/>
        </w:rPr>
      </w:pPr>
    </w:p>
    <w:p w14:paraId="625348B0" w14:textId="3FE334BA" w:rsidR="00D72517" w:rsidRPr="001827A0" w:rsidRDefault="009B36AE" w:rsidP="00B32202">
      <w:pPr>
        <w:pStyle w:val="OutlineNumbered1"/>
        <w:rPr>
          <w:snapToGrid w:val="0"/>
        </w:rPr>
      </w:pPr>
      <w:r w:rsidRPr="00746DB7">
        <w:t>A</w:t>
      </w:r>
      <w:r w:rsidR="001827A0" w:rsidRPr="00746DB7">
        <w:t xml:space="preserve">n additional breakdown of the </w:t>
      </w:r>
      <w:r w:rsidR="00D72517" w:rsidRPr="00746DB7">
        <w:t>current welfare population</w:t>
      </w:r>
      <w:r w:rsidR="001827A0" w:rsidRPr="00746DB7">
        <w:t xml:space="preserve">, </w:t>
      </w:r>
      <w:r w:rsidR="00D72517" w:rsidRPr="00746DB7">
        <w:t xml:space="preserve">distributed </w:t>
      </w:r>
      <w:r w:rsidR="001827A0" w:rsidRPr="00746DB7">
        <w:t xml:space="preserve">across the </w:t>
      </w:r>
      <w:r w:rsidR="00D72517" w:rsidRPr="00B32202">
        <w:t>different</w:t>
      </w:r>
      <w:r w:rsidR="00D72517" w:rsidRPr="00746DB7">
        <w:t xml:space="preserve"> welfare </w:t>
      </w:r>
      <w:r w:rsidR="00B62E3D" w:rsidRPr="00746DB7">
        <w:t>c</w:t>
      </w:r>
      <w:r w:rsidR="00895D81" w:rsidRPr="00746DB7">
        <w:t>lass</w:t>
      </w:r>
      <w:r w:rsidR="00D72517" w:rsidRPr="00746DB7">
        <w:t>es</w:t>
      </w:r>
      <w:r w:rsidR="001827A0" w:rsidRPr="00746DB7">
        <w:t>,</w:t>
      </w:r>
      <w:r w:rsidR="00D72517" w:rsidRPr="00746DB7">
        <w:t xml:space="preserve"> is </w:t>
      </w:r>
      <w:r w:rsidR="001827A0" w:rsidRPr="00746DB7">
        <w:t xml:space="preserve">also </w:t>
      </w:r>
      <w:r w:rsidR="00EC23BC" w:rsidRPr="00746DB7">
        <w:t>provided</w:t>
      </w:r>
      <w:r w:rsidR="00EC23BC">
        <w:t xml:space="preserve"> in </w:t>
      </w:r>
      <w:r w:rsidR="006E1978">
        <w:fldChar w:fldCharType="begin"/>
      </w:r>
      <w:r w:rsidR="006E1978">
        <w:instrText xml:space="preserve"> REF  Figure5 \h </w:instrText>
      </w:r>
      <w:r w:rsidR="006E1978">
        <w:fldChar w:fldCharType="separate"/>
      </w:r>
      <w:r w:rsidR="00751625">
        <w:t xml:space="preserve">Figure </w:t>
      </w:r>
      <w:r w:rsidR="00751625">
        <w:rPr>
          <w:noProof/>
        </w:rPr>
        <w:t>5</w:t>
      </w:r>
      <w:r w:rsidR="006E1978">
        <w:fldChar w:fldCharType="end"/>
      </w:r>
      <w:r w:rsidR="00D72517">
        <w:t>.</w:t>
      </w:r>
    </w:p>
    <w:p w14:paraId="30187662" w14:textId="40CDCBDF" w:rsidR="00D72517" w:rsidRDefault="00D72517" w:rsidP="000B1493">
      <w:pPr>
        <w:pStyle w:val="Caption"/>
      </w:pPr>
      <w:bookmarkStart w:id="175" w:name="Figure5"/>
      <w:bookmarkStart w:id="176" w:name="_Toc100131515"/>
      <w:r>
        <w:lastRenderedPageBreak/>
        <w:t xml:space="preserve">Figure </w:t>
      </w:r>
      <w:r>
        <w:rPr>
          <w:noProof/>
        </w:rPr>
        <w:fldChar w:fldCharType="begin"/>
      </w:r>
      <w:r>
        <w:rPr>
          <w:noProof/>
        </w:rPr>
        <w:instrText xml:space="preserve"> SEQ Figure \* ARABIC </w:instrText>
      </w:r>
      <w:r>
        <w:rPr>
          <w:noProof/>
        </w:rPr>
        <w:fldChar w:fldCharType="separate"/>
      </w:r>
      <w:r w:rsidR="00751625">
        <w:rPr>
          <w:noProof/>
        </w:rPr>
        <w:t>5</w:t>
      </w:r>
      <w:r>
        <w:rPr>
          <w:noProof/>
        </w:rPr>
        <w:fldChar w:fldCharType="end"/>
      </w:r>
      <w:bookmarkEnd w:id="175"/>
      <w:r w:rsidR="007C7A19">
        <w:t>: Current</w:t>
      </w:r>
      <w:r w:rsidR="00CB67B0">
        <w:t xml:space="preserve"> </w:t>
      </w:r>
      <w:r w:rsidR="007C7A19">
        <w:t>W</w:t>
      </w:r>
      <w:r>
        <w:t xml:space="preserve">elfare </w:t>
      </w:r>
      <w:r w:rsidR="007C7A19">
        <w:t>R</w:t>
      </w:r>
      <w:r>
        <w:t xml:space="preserve">ecipient </w:t>
      </w:r>
      <w:r w:rsidR="007C7A19">
        <w:t>P</w:t>
      </w:r>
      <w:r>
        <w:t xml:space="preserve">opulation by </w:t>
      </w:r>
      <w:r w:rsidR="007C7A19">
        <w:t>W</w:t>
      </w:r>
      <w:r>
        <w:t xml:space="preserve">elfare </w:t>
      </w:r>
      <w:r w:rsidR="007C7A19">
        <w:t>C</w:t>
      </w:r>
      <w:r w:rsidR="00895D81">
        <w:t>lass</w:t>
      </w:r>
      <w:bookmarkEnd w:id="176"/>
      <w:r w:rsidR="00CB67B0">
        <w:t xml:space="preserve"> </w:t>
      </w:r>
    </w:p>
    <w:tbl>
      <w:tblPr>
        <w:tblStyle w:val="SmartTextTable5"/>
        <w:tblW w:w="0" w:type="auto"/>
        <w:tblInd w:w="0" w:type="dxa"/>
        <w:tblLook w:val="04A0" w:firstRow="1" w:lastRow="0" w:firstColumn="1" w:lastColumn="0" w:noHBand="0" w:noVBand="1"/>
        <w:tblCaption w:val=" Current welfare recipient population by welfare class&#10;"/>
        <w:tblDescription w:val="This figure is a horizontal bar chart that shows the current welfare recipient population by welfare class.  The vertical axis shows the welfare class split by: 1 Studying, 2 Working Age, 3 Parents, 4 Carers, 5 Disability Support, 6 Pension Age, 7 Non IS Family, 8 Non IS Carer, 9 Non IS Other.  The chart shows the number of recipients in each welfare class: 359,000 in the Studying class, 1,240,000 in the Working Age class, 381,000 in the Parents class, 294,000 in the Carers class, 762,000 in the Disability Support class, 2,510,000 in the Pension Age class, 1,540,000 in the Non IS Family class, 218,000 in the Non IS Carer class and 652,000 in the Non IS Other class.  The key features of this chart are described in the accompanying text within the report. "/>
      </w:tblPr>
      <w:tblGrid>
        <w:gridCol w:w="7710"/>
      </w:tblGrid>
      <w:tr w:rsidR="00D72517" w:rsidRPr="001E7D00" w14:paraId="4909C43F" w14:textId="77777777" w:rsidTr="00A46AA4">
        <w:trPr>
          <w:tblHeader/>
        </w:trPr>
        <w:tc>
          <w:tcPr>
            <w:tcW w:w="7710" w:type="dxa"/>
            <w:tcBorders>
              <w:top w:val="nil"/>
              <w:left w:val="nil"/>
              <w:bottom w:val="nil"/>
              <w:right w:val="nil"/>
            </w:tcBorders>
            <w:hideMark/>
          </w:tcPr>
          <w:p w14:paraId="6545FD0D" w14:textId="0E091D9B" w:rsidR="00FF3E39" w:rsidRPr="001E7D00" w:rsidRDefault="00FF3E39" w:rsidP="00A46AA4">
            <w:pPr>
              <w:spacing w:after="0" w:line="240" w:lineRule="auto"/>
              <w:jc w:val="left"/>
              <w:rPr>
                <w:rFonts w:cs="Arial"/>
                <w:color w:val="404040"/>
              </w:rPr>
            </w:pPr>
            <w:bookmarkStart w:id="177" w:name="_Toc497290995"/>
            <w:r w:rsidRPr="00FF3E39">
              <w:rPr>
                <w:rFonts w:cs="Arial"/>
                <w:noProof/>
                <w:color w:val="404040"/>
              </w:rPr>
              <w:drawing>
                <wp:inline distT="0" distB="0" distL="0" distR="0" wp14:anchorId="5674ED03" wp14:editId="65DE4204">
                  <wp:extent cx="4839419" cy="2884930"/>
                  <wp:effectExtent l="0" t="0" r="0" b="0"/>
                  <wp:docPr id="11" name="Picture 11" descr="This bar chart shows the current welfare recipient population, as split by welfare class. The largest groups are Pension Age IS (Class 6; 2.554 million), Non-IS Family (Class 7; 1.547 million) and Working Age IS (Class 2; 1.164 million). The chart also includes a visual representation of the numbers from the previous year, which all look quite similar. The actual numbers can be found in Tabl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is bar chart shows the current welfare recipient population, as split by welfare class. The largest groups are Pension Age IS (Class 6; 2.554 million), Non-IS Family (Class 7; 1.547 million) and Working Age IS (Class 2; 1.164 million). The chart also includes a visual representation of the numbers from the previous year, which all look quite similar. The actual numbers can be found in Tabl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42694" cy="2886882"/>
                          </a:xfrm>
                          <a:prstGeom prst="rect">
                            <a:avLst/>
                          </a:prstGeom>
                          <a:noFill/>
                          <a:ln>
                            <a:noFill/>
                          </a:ln>
                        </pic:spPr>
                      </pic:pic>
                    </a:graphicData>
                  </a:graphic>
                </wp:inline>
              </w:drawing>
            </w:r>
          </w:p>
        </w:tc>
        <w:bookmarkEnd w:id="177"/>
      </w:tr>
      <w:tr w:rsidR="00CB67B0" w:rsidRPr="001E7D00" w14:paraId="1560ADCC" w14:textId="77777777" w:rsidTr="00A46AA4">
        <w:trPr>
          <w:tblHeader/>
        </w:trPr>
        <w:tc>
          <w:tcPr>
            <w:tcW w:w="7710" w:type="dxa"/>
            <w:tcBorders>
              <w:top w:val="nil"/>
              <w:left w:val="nil"/>
              <w:bottom w:val="nil"/>
              <w:right w:val="nil"/>
            </w:tcBorders>
          </w:tcPr>
          <w:p w14:paraId="35496DB6" w14:textId="69ED8221" w:rsidR="00CB67B0" w:rsidRDefault="00CB67B0" w:rsidP="00CB67B0">
            <w:pPr>
              <w:pStyle w:val="Glossaryterm"/>
            </w:pPr>
            <w:r>
              <w:t xml:space="preserve">Black bars show previous year’s population (numbers can be found in </w:t>
            </w:r>
            <w:r>
              <w:fldChar w:fldCharType="begin"/>
            </w:r>
            <w:r>
              <w:instrText xml:space="preserve"> REF  Table3 \h  \* MERGEFORMAT </w:instrText>
            </w:r>
            <w:r>
              <w:fldChar w:fldCharType="separate"/>
            </w:r>
            <w:r w:rsidR="00751625">
              <w:t xml:space="preserve">Table </w:t>
            </w:r>
            <w:r w:rsidR="00751625">
              <w:rPr>
                <w:noProof/>
              </w:rPr>
              <w:t>3</w:t>
            </w:r>
            <w:r>
              <w:fldChar w:fldCharType="end"/>
            </w:r>
            <w:r>
              <w:t>)</w:t>
            </w:r>
          </w:p>
          <w:p w14:paraId="21675CD2" w14:textId="3C878015" w:rsidR="00CB67B0" w:rsidRPr="00FF3E39" w:rsidRDefault="00CB67B0" w:rsidP="00A46AA4">
            <w:pPr>
              <w:spacing w:after="0" w:line="240" w:lineRule="auto"/>
              <w:jc w:val="left"/>
              <w:rPr>
                <w:rFonts w:cs="Arial"/>
                <w:noProof/>
                <w:color w:val="404040"/>
              </w:rPr>
            </w:pPr>
          </w:p>
        </w:tc>
      </w:tr>
    </w:tbl>
    <w:p w14:paraId="4D793413" w14:textId="063E339C" w:rsidR="00331CEF" w:rsidRPr="001827A0" w:rsidRDefault="00331CEF" w:rsidP="00EE7DC2">
      <w:pPr>
        <w:pStyle w:val="OutlineNumbered1"/>
        <w:rPr>
          <w:snapToGrid w:val="0"/>
        </w:rPr>
      </w:pPr>
      <w:r w:rsidRPr="001827A0">
        <w:t xml:space="preserve">It is also of interest to consider how current welfare recipients relate to the whole population. The following population pyramid shows the composition of the </w:t>
      </w:r>
      <w:r>
        <w:t>model</w:t>
      </w:r>
      <w:r w:rsidRPr="001827A0">
        <w:t xml:space="preserve"> population by age and gender, to illustrate the demographic profile within each welfare </w:t>
      </w:r>
      <w:r w:rsidR="00C47795">
        <w:t>c</w:t>
      </w:r>
      <w:r>
        <w:t>lass</w:t>
      </w:r>
      <w:r w:rsidRPr="001827A0">
        <w:t>. It also demonstrates the proportions of different combinations of age and gender</w:t>
      </w:r>
      <w:r w:rsidR="00C47795">
        <w:t xml:space="preserve"> for</w:t>
      </w:r>
      <w:r w:rsidRPr="001827A0">
        <w:t xml:space="preserve"> current welfare recipients. </w:t>
      </w:r>
    </w:p>
    <w:tbl>
      <w:tblPr>
        <w:tblStyle w:val="SmartTextTable6"/>
        <w:tblW w:w="0" w:type="auto"/>
        <w:tblInd w:w="0" w:type="dxa"/>
        <w:tblLook w:val="04A0" w:firstRow="1" w:lastRow="0" w:firstColumn="1" w:lastColumn="0" w:noHBand="0" w:noVBand="1"/>
        <w:tblCaption w:val=" Model population with class utilisation (June 2018) &#10;"/>
        <w:tblDescription w:val="This figure is a horizontal bar chart showing the number of people in the Australian population by age for males and females separately.  The vertical axis shows age ranging from 0 to 100.  The horizontal axis shows the number of people within each age group (by year of age) ranging from 0 to 200,000.  The number of males at each age is shown by the horizontal bars to the left of the vertical axis and the number of females at each age is shown by horizontal bars to the right. The bars for each given age and gender are split into the number of people in each of the nine active and two inactive (previous welfare recipients and rest of the Australian population) welfare classes at the valuation date (30 June 2018). All 25. 0 million people in the model population are represented in the chart.  Up to age 65, the number of males and females by age in the Australian population are broadly similar.  For ages above 65, there are more females than males.  The key features of this chart are described in the accompanying text within the report. "/>
      </w:tblPr>
      <w:tblGrid>
        <w:gridCol w:w="7710"/>
      </w:tblGrid>
      <w:tr w:rsidR="00D72517" w:rsidRPr="001E7D00" w14:paraId="00FDE196" w14:textId="77777777" w:rsidTr="00A46AA4">
        <w:trPr>
          <w:tblHeader/>
        </w:trPr>
        <w:tc>
          <w:tcPr>
            <w:tcW w:w="9855" w:type="dxa"/>
            <w:tcBorders>
              <w:top w:val="nil"/>
              <w:left w:val="nil"/>
              <w:bottom w:val="nil"/>
              <w:right w:val="nil"/>
            </w:tcBorders>
            <w:hideMark/>
          </w:tcPr>
          <w:p w14:paraId="02DA04FC" w14:textId="7061D607" w:rsidR="00D72517" w:rsidRPr="001E7D00" w:rsidRDefault="00D72517" w:rsidP="000B1493">
            <w:pPr>
              <w:pStyle w:val="Caption"/>
            </w:pPr>
            <w:bookmarkStart w:id="178" w:name="_Toc100131516"/>
            <w:r>
              <w:lastRenderedPageBreak/>
              <w:t xml:space="preserve">Figure </w:t>
            </w:r>
            <w:r>
              <w:rPr>
                <w:noProof/>
              </w:rPr>
              <w:fldChar w:fldCharType="begin"/>
            </w:r>
            <w:r>
              <w:rPr>
                <w:noProof/>
              </w:rPr>
              <w:instrText xml:space="preserve"> SEQ Figure \* ARABIC </w:instrText>
            </w:r>
            <w:r>
              <w:rPr>
                <w:noProof/>
              </w:rPr>
              <w:fldChar w:fldCharType="separate"/>
            </w:r>
            <w:r w:rsidR="00751625">
              <w:rPr>
                <w:noProof/>
              </w:rPr>
              <w:t>6</w:t>
            </w:r>
            <w:r>
              <w:rPr>
                <w:noProof/>
              </w:rPr>
              <w:fldChar w:fldCharType="end"/>
            </w:r>
            <w:r w:rsidR="007C7A19">
              <w:t>: Model P</w:t>
            </w:r>
            <w:r>
              <w:t xml:space="preserve">opulation with </w:t>
            </w:r>
            <w:r w:rsidR="007C7A19">
              <w:t>C</w:t>
            </w:r>
            <w:r w:rsidR="00895D81">
              <w:t>lass</w:t>
            </w:r>
            <w:r>
              <w:t xml:space="preserve"> </w:t>
            </w:r>
            <w:r w:rsidR="007C7A19">
              <w:t>U</w:t>
            </w:r>
            <w:r>
              <w:t>tilisation</w:t>
            </w:r>
            <w:bookmarkEnd w:id="178"/>
            <w:r>
              <w:t xml:space="preserve"> </w:t>
            </w:r>
          </w:p>
        </w:tc>
      </w:tr>
      <w:tr w:rsidR="000E6C15" w:rsidRPr="001E7D00" w14:paraId="7B5ACF5A" w14:textId="77777777" w:rsidTr="00A46AA4">
        <w:trPr>
          <w:tblHeader/>
        </w:trPr>
        <w:tc>
          <w:tcPr>
            <w:tcW w:w="9855" w:type="dxa"/>
            <w:tcBorders>
              <w:top w:val="nil"/>
              <w:left w:val="nil"/>
              <w:bottom w:val="nil"/>
              <w:right w:val="nil"/>
            </w:tcBorders>
          </w:tcPr>
          <w:p w14:paraId="325B806E" w14:textId="32094F5D" w:rsidR="000E6C15" w:rsidRDefault="000E6C15" w:rsidP="00A46AA4">
            <w:pPr>
              <w:spacing w:after="0" w:line="240" w:lineRule="auto"/>
              <w:jc w:val="left"/>
              <w:rPr>
                <w:rFonts w:cs="Arial"/>
                <w:noProof/>
                <w:color w:val="404040"/>
              </w:rPr>
            </w:pPr>
            <w:r w:rsidRPr="000E6C15">
              <w:rPr>
                <w:rFonts w:cs="Arial"/>
                <w:noProof/>
                <w:color w:val="404040"/>
              </w:rPr>
              <w:drawing>
                <wp:inline distT="0" distB="0" distL="0" distR="0" wp14:anchorId="19CCEAA1" wp14:editId="68BE7FD5">
                  <wp:extent cx="4886325" cy="3379470"/>
                  <wp:effectExtent l="0" t="0" r="9525" b="0"/>
                  <wp:docPr id="297" name="Picture 297" descr="This population pyramid shows the current welfare usage by age and gender. The chart is relatively symmetrical between gender, except for females claiming most of the family-related payments and having a longer life expectancy. By age, welfare usage starts slowly with young adults receiving Studying and Working Age payments, before leaning toward family-based payments and finally almost entirely Pension Age pay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descr="This population pyramid shows the current welfare usage by age and gender. The chart is relatively symmetrical between gender, except for females claiming most of the family-related payments and having a longer life expectancy. By age, welfare usage starts slowly with young adults receiving Studying and Working Age payments, before leaning toward family-based payments and finally almost entirely Pension Age payment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86325" cy="3379470"/>
                          </a:xfrm>
                          <a:prstGeom prst="rect">
                            <a:avLst/>
                          </a:prstGeom>
                          <a:noFill/>
                          <a:ln>
                            <a:noFill/>
                          </a:ln>
                        </pic:spPr>
                      </pic:pic>
                    </a:graphicData>
                  </a:graphic>
                </wp:inline>
              </w:drawing>
            </w:r>
          </w:p>
        </w:tc>
      </w:tr>
    </w:tbl>
    <w:p w14:paraId="26C3E727" w14:textId="5F52B8A1" w:rsidR="00D72517" w:rsidRDefault="00D72517" w:rsidP="00D72517">
      <w:pPr>
        <w:kinsoku w:val="0"/>
        <w:overflowPunct w:val="0"/>
        <w:autoSpaceDE w:val="0"/>
        <w:autoSpaceDN w:val="0"/>
        <w:adjustRightInd w:val="0"/>
        <w:snapToGrid w:val="0"/>
        <w:spacing w:after="0" w:line="240" w:lineRule="auto"/>
        <w:jc w:val="left"/>
        <w:rPr>
          <w:rFonts w:cs="Arial"/>
          <w:color w:val="404040"/>
          <w:lang w:eastAsia="en-US"/>
        </w:rPr>
      </w:pPr>
    </w:p>
    <w:p w14:paraId="42F8692F" w14:textId="17370C23" w:rsidR="001827A0" w:rsidRPr="007C7A19" w:rsidRDefault="001827A0" w:rsidP="007112D7">
      <w:pPr>
        <w:keepNext/>
        <w:kinsoku w:val="0"/>
        <w:overflowPunct w:val="0"/>
        <w:autoSpaceDE w:val="0"/>
        <w:autoSpaceDN w:val="0"/>
        <w:adjustRightInd w:val="0"/>
        <w:snapToGrid w:val="0"/>
        <w:jc w:val="left"/>
        <w:rPr>
          <w:rFonts w:cs="Arial"/>
          <w:i/>
          <w:color w:val="auto"/>
          <w:lang w:eastAsia="en-US"/>
        </w:rPr>
      </w:pPr>
      <w:r w:rsidRPr="007C7A19">
        <w:rPr>
          <w:rFonts w:cs="Arial"/>
          <w:i/>
          <w:color w:val="auto"/>
          <w:lang w:eastAsia="en-US"/>
        </w:rPr>
        <w:t>Features of Current Population</w:t>
      </w:r>
    </w:p>
    <w:p w14:paraId="378C4865" w14:textId="5E7E2128" w:rsidR="007B5800" w:rsidRDefault="007B5800" w:rsidP="00EE7DC2">
      <w:pPr>
        <w:pStyle w:val="OutlineNumbered1"/>
      </w:pPr>
      <w:r w:rsidRPr="001827A0">
        <w:rPr>
          <w:color w:val="auto"/>
        </w:rPr>
        <w:t xml:space="preserve">The age of </w:t>
      </w:r>
      <w:r>
        <w:rPr>
          <w:color w:val="auto"/>
        </w:rPr>
        <w:t xml:space="preserve">first direct </w:t>
      </w:r>
      <w:r w:rsidRPr="001827A0">
        <w:rPr>
          <w:color w:val="auto"/>
        </w:rPr>
        <w:t xml:space="preserve">access to the </w:t>
      </w:r>
      <w:r>
        <w:t>welfare system is typically from the late teens</w:t>
      </w:r>
      <w:r w:rsidR="002D66BB">
        <w:t xml:space="preserve"> and will occur via class</w:t>
      </w:r>
      <w:r w:rsidR="00CA521F">
        <w:t>es</w:t>
      </w:r>
      <w:r w:rsidR="002D66BB">
        <w:t xml:space="preserve"> 1</w:t>
      </w:r>
      <w:r w:rsidR="00070F2A">
        <w:t xml:space="preserve"> or 2</w:t>
      </w:r>
      <w:r>
        <w:t>.</w:t>
      </w:r>
    </w:p>
    <w:p w14:paraId="1C9447F6" w14:textId="567F4EB7" w:rsidR="00D72517" w:rsidRDefault="001827A0" w:rsidP="00EE7DC2">
      <w:pPr>
        <w:pStyle w:val="OutlineNumbered1"/>
      </w:pPr>
      <w:r w:rsidRPr="001827A0">
        <w:rPr>
          <w:color w:val="auto"/>
        </w:rPr>
        <w:t xml:space="preserve">As </w:t>
      </w:r>
      <w:r>
        <w:rPr>
          <w:color w:val="auto"/>
        </w:rPr>
        <w:t>expected</w:t>
      </w:r>
      <w:r w:rsidRPr="001827A0">
        <w:rPr>
          <w:color w:val="auto"/>
        </w:rPr>
        <w:t xml:space="preserve"> with a government</w:t>
      </w:r>
      <w:r w:rsidR="00911E03">
        <w:rPr>
          <w:color w:val="auto"/>
        </w:rPr>
        <w:t>-</w:t>
      </w:r>
      <w:r w:rsidRPr="001827A0">
        <w:rPr>
          <w:color w:val="auto"/>
        </w:rPr>
        <w:t xml:space="preserve">provided </w:t>
      </w:r>
      <w:r w:rsidR="001F0FCC">
        <w:rPr>
          <w:color w:val="auto"/>
        </w:rPr>
        <w:t>Age Pension</w:t>
      </w:r>
      <w:r w:rsidRPr="001827A0">
        <w:rPr>
          <w:color w:val="auto"/>
        </w:rPr>
        <w:t xml:space="preserve">, a </w:t>
      </w:r>
      <w:r w:rsidR="00D72517">
        <w:t xml:space="preserve">large proportion of </w:t>
      </w:r>
      <w:r>
        <w:t xml:space="preserve">those aged </w:t>
      </w:r>
      <w:r w:rsidR="00D72517">
        <w:t>65</w:t>
      </w:r>
      <w:r>
        <w:t xml:space="preserve"> and over </w:t>
      </w:r>
      <w:r w:rsidR="00D72517">
        <w:t xml:space="preserve">are in receipt of </w:t>
      </w:r>
      <w:r>
        <w:t>welfare payments.</w:t>
      </w:r>
      <w:r w:rsidR="007B5800">
        <w:t xml:space="preserve"> </w:t>
      </w:r>
      <w:r w:rsidR="002D66BB">
        <w:t xml:space="preserve">In addition, this proportion increases with age. </w:t>
      </w:r>
      <w:r w:rsidR="007B5800">
        <w:t xml:space="preserve">In the years leading up to eligibility </w:t>
      </w:r>
      <w:r w:rsidR="00911E03">
        <w:t>for</w:t>
      </w:r>
      <w:r w:rsidR="007B5800">
        <w:t xml:space="preserve"> the </w:t>
      </w:r>
      <w:r w:rsidR="001F0FCC">
        <w:t>Age Pension</w:t>
      </w:r>
      <w:r w:rsidR="007B5800">
        <w:t>, there is a slight increase in welfare utilisation</w:t>
      </w:r>
      <w:r w:rsidR="002D66BB">
        <w:t>, mainly in respect of working age, carer and disability support (</w:t>
      </w:r>
      <w:r w:rsidR="00911E03">
        <w:t>that is</w:t>
      </w:r>
      <w:r w:rsidR="002D66BB">
        <w:t>, classes 2, 4 and 5 respectively).</w:t>
      </w:r>
    </w:p>
    <w:p w14:paraId="31AAB71C" w14:textId="6AE2B6A2" w:rsidR="007B5800" w:rsidRDefault="007B5800" w:rsidP="00EE7DC2">
      <w:pPr>
        <w:pStyle w:val="OutlineNumbered1"/>
      </w:pPr>
      <w:r>
        <w:t>There are significant differences in the patterns and type of welfare utilisation between females and males.</w:t>
      </w:r>
      <w:r w:rsidR="0094340F">
        <w:t xml:space="preserve"> </w:t>
      </w:r>
      <w:r w:rsidR="002D66BB">
        <w:t>F</w:t>
      </w:r>
      <w:r w:rsidR="0094340F">
        <w:t xml:space="preserve">emales are more likely to receive </w:t>
      </w:r>
      <w:r w:rsidR="00B70689">
        <w:rPr>
          <w:rFonts w:cs="Arial"/>
        </w:rPr>
        <w:t xml:space="preserve">families </w:t>
      </w:r>
      <w:r w:rsidR="0094340F">
        <w:t xml:space="preserve">payments, </w:t>
      </w:r>
      <w:r w:rsidR="002D66BB">
        <w:t>as well as larger A</w:t>
      </w:r>
      <w:r w:rsidR="0094340F">
        <w:t xml:space="preserve">ge </w:t>
      </w:r>
      <w:r w:rsidR="002D66BB">
        <w:t>P</w:t>
      </w:r>
      <w:r w:rsidR="0094340F">
        <w:t xml:space="preserve">ension payments </w:t>
      </w:r>
      <w:r w:rsidR="002D66BB">
        <w:t xml:space="preserve">over time </w:t>
      </w:r>
      <w:r w:rsidR="0094340F">
        <w:t xml:space="preserve">due to longer life expectancy. </w:t>
      </w:r>
    </w:p>
    <w:p w14:paraId="39EB00C1" w14:textId="3ED593E1" w:rsidR="001827A0" w:rsidRDefault="001827A0" w:rsidP="00746DB7">
      <w:pPr>
        <w:pStyle w:val="Heading3notnumbered"/>
      </w:pPr>
      <w:r>
        <w:t xml:space="preserve">Changes to </w:t>
      </w:r>
      <w:r w:rsidR="00890CAA">
        <w:t>m</w:t>
      </w:r>
      <w:r>
        <w:t xml:space="preserve">odel </w:t>
      </w:r>
      <w:r w:rsidR="00890CAA">
        <w:t>p</w:t>
      </w:r>
      <w:r>
        <w:t>opulation</w:t>
      </w:r>
    </w:p>
    <w:p w14:paraId="302EC84A" w14:textId="71169060" w:rsidR="007B5800" w:rsidRDefault="001B43D4" w:rsidP="00EE7DC2">
      <w:pPr>
        <w:pStyle w:val="OutlineNumbered1"/>
      </w:pPr>
      <w:r>
        <w:t>A summary of changes between the model populations as at 30</w:t>
      </w:r>
      <w:r w:rsidR="008C791B">
        <w:t> </w:t>
      </w:r>
      <w:r>
        <w:t>June</w:t>
      </w:r>
      <w:r w:rsidR="008C791B">
        <w:t> </w:t>
      </w:r>
      <w:r>
        <w:t>2018 and 30</w:t>
      </w:r>
      <w:r w:rsidR="008C791B">
        <w:t> </w:t>
      </w:r>
      <w:r>
        <w:t>June</w:t>
      </w:r>
      <w:r w:rsidR="008C791B">
        <w:t> </w:t>
      </w:r>
      <w:r>
        <w:t xml:space="preserve">2019 is </w:t>
      </w:r>
      <w:r w:rsidR="00911E03">
        <w:t xml:space="preserve">shown in </w:t>
      </w:r>
      <w:r w:rsidR="006E1978">
        <w:fldChar w:fldCharType="begin"/>
      </w:r>
      <w:r w:rsidR="006E1978">
        <w:instrText xml:space="preserve"> REF  Table3 \h </w:instrText>
      </w:r>
      <w:r w:rsidR="006E1978">
        <w:fldChar w:fldCharType="separate"/>
      </w:r>
      <w:r w:rsidR="00751625">
        <w:t xml:space="preserve">Table </w:t>
      </w:r>
      <w:r w:rsidR="00751625">
        <w:rPr>
          <w:noProof/>
        </w:rPr>
        <w:t>3</w:t>
      </w:r>
      <w:r w:rsidR="006E1978">
        <w:fldChar w:fldCharType="end"/>
      </w:r>
      <w:r>
        <w:t>.</w:t>
      </w:r>
      <w:r w:rsidR="00612F83">
        <w:t xml:space="preserve"> Due to more mature data used in section 2.8.1, the population numbers may not match with </w:t>
      </w:r>
      <w:r w:rsidR="00F53CB7">
        <w:t xml:space="preserve">the </w:t>
      </w:r>
      <w:r w:rsidR="00612F83">
        <w:t>30</w:t>
      </w:r>
      <w:r w:rsidR="008C791B">
        <w:t> </w:t>
      </w:r>
      <w:r w:rsidR="00612F83">
        <w:t>June</w:t>
      </w:r>
      <w:r w:rsidR="008C791B">
        <w:t> </w:t>
      </w:r>
      <w:r w:rsidR="00612F83">
        <w:t xml:space="preserve">2018 </w:t>
      </w:r>
      <w:r w:rsidR="003046E2">
        <w:t>reported population numbers</w:t>
      </w:r>
      <w:r w:rsidR="00612F83">
        <w:t>.</w:t>
      </w:r>
    </w:p>
    <w:p w14:paraId="2E00D597" w14:textId="1FC278AE" w:rsidR="00331CEF" w:rsidRDefault="00F846E1" w:rsidP="000B1493">
      <w:pPr>
        <w:pStyle w:val="Caption"/>
      </w:pPr>
      <w:bookmarkStart w:id="179" w:name="Table3"/>
      <w:r>
        <w:lastRenderedPageBreak/>
        <w:t xml:space="preserve">Table </w:t>
      </w:r>
      <w:r>
        <w:rPr>
          <w:noProof/>
        </w:rPr>
        <w:fldChar w:fldCharType="begin"/>
      </w:r>
      <w:r>
        <w:rPr>
          <w:noProof/>
        </w:rPr>
        <w:instrText xml:space="preserve"> SEQ Table \* ARABIC </w:instrText>
      </w:r>
      <w:r>
        <w:rPr>
          <w:noProof/>
        </w:rPr>
        <w:fldChar w:fldCharType="separate"/>
      </w:r>
      <w:r w:rsidR="00751625">
        <w:rPr>
          <w:noProof/>
        </w:rPr>
        <w:t>3</w:t>
      </w:r>
      <w:r>
        <w:rPr>
          <w:noProof/>
        </w:rPr>
        <w:fldChar w:fldCharType="end"/>
      </w:r>
      <w:bookmarkEnd w:id="179"/>
      <w:r>
        <w:t xml:space="preserve">: Summary of </w:t>
      </w:r>
      <w:r w:rsidR="007C7A19">
        <w:t>C</w:t>
      </w:r>
      <w:r>
        <w:t xml:space="preserve">hanges in </w:t>
      </w:r>
      <w:r w:rsidR="007C7A19">
        <w:t>M</w:t>
      </w:r>
      <w:r>
        <w:t xml:space="preserve">odel </w:t>
      </w:r>
      <w:r w:rsidR="007C7A19">
        <w:t>P</w:t>
      </w:r>
      <w:r>
        <w:t>opulation</w:t>
      </w:r>
      <w:r w:rsidR="00331CEF" w:rsidRPr="00331CEF">
        <w:t xml:space="preserve"> </w:t>
      </w:r>
    </w:p>
    <w:tbl>
      <w:tblPr>
        <w:tblStyle w:val="ListTable3-Accent1"/>
        <w:tblW w:w="5000" w:type="pct"/>
        <w:tblLook w:val="04A0" w:firstRow="1" w:lastRow="0" w:firstColumn="1" w:lastColumn="0" w:noHBand="0" w:noVBand="1"/>
        <w:tblCaption w:val=" Summary of changes in welfare recipient population"/>
        <w:tblDescription w:val="This table shows a summary of the number of people in the model population in 2017 compared to 2016. The rows show the number of people in each welfare class, grouped by income support recipients, non income support recipients, previous recipients and the rest of the Australian population. The columns show the number of people in the June 2016 population (in thousands), the proportion of total June 2016 Australian population, number of people in the June 2017 population (in thousands), the proportion of total June 2017 Australian population, and the difference in the number of people between June 2017 and June 2016 (in thousands).&#10;&#10;Further features of the data in this table are discussed in the accompanying text within the report.&#10;"/>
      </w:tblPr>
      <w:tblGrid>
        <w:gridCol w:w="1558"/>
        <w:gridCol w:w="1061"/>
        <w:gridCol w:w="1003"/>
        <w:gridCol w:w="1043"/>
        <w:gridCol w:w="1047"/>
        <w:gridCol w:w="954"/>
        <w:gridCol w:w="1034"/>
      </w:tblGrid>
      <w:tr w:rsidR="00331CEF" w:rsidRPr="00586FBF" w14:paraId="41D0B386" w14:textId="77777777" w:rsidTr="00253CA7">
        <w:trPr>
          <w:cnfStyle w:val="100000000000" w:firstRow="1" w:lastRow="0" w:firstColumn="0" w:lastColumn="0" w:oddVBand="0" w:evenVBand="0" w:oddHBand="0" w:evenHBand="0" w:firstRowFirstColumn="0" w:firstRowLastColumn="0" w:lastRowFirstColumn="0" w:lastRowLastColumn="0"/>
          <w:trHeight w:val="592"/>
        </w:trPr>
        <w:tc>
          <w:tcPr>
            <w:cnfStyle w:val="001000000100" w:firstRow="0" w:lastRow="0" w:firstColumn="1" w:lastColumn="0" w:oddVBand="0" w:evenVBand="0" w:oddHBand="0" w:evenHBand="0" w:firstRowFirstColumn="1" w:firstRowLastColumn="0" w:lastRowFirstColumn="0" w:lastRowLastColumn="0"/>
            <w:tcW w:w="1027" w:type="pct"/>
          </w:tcPr>
          <w:p w14:paraId="16C01E50" w14:textId="3D99B3AA" w:rsidR="00331CEF" w:rsidRPr="00854FF8" w:rsidRDefault="00331CEF" w:rsidP="00E83685">
            <w:pPr>
              <w:pStyle w:val="TableColumnHeadingSmall"/>
              <w:ind w:right="57"/>
              <w:jc w:val="center"/>
              <w:rPr>
                <w:rFonts w:ascii="Arial" w:hAnsi="Arial"/>
                <w:bCs w:val="0"/>
                <w:color w:val="auto"/>
                <w:sz w:val="18"/>
                <w:szCs w:val="18"/>
              </w:rPr>
            </w:pPr>
            <w:r w:rsidRPr="00586FBF">
              <w:rPr>
                <w:rFonts w:ascii="Arial" w:hAnsi="Arial"/>
                <w:b/>
                <w:color w:val="auto"/>
                <w:sz w:val="18"/>
                <w:szCs w:val="18"/>
              </w:rPr>
              <w:t>Class</w:t>
            </w:r>
          </w:p>
        </w:tc>
        <w:tc>
          <w:tcPr>
            <w:tcW w:w="1369" w:type="pct"/>
            <w:gridSpan w:val="2"/>
          </w:tcPr>
          <w:p w14:paraId="7EFB9082" w14:textId="0D9B9C89" w:rsidR="00FD0DAF" w:rsidRPr="00586FBF" w:rsidRDefault="00FD0DAF" w:rsidP="00E83685">
            <w:pPr>
              <w:pStyle w:val="TableColumnHeadingSmall"/>
              <w:ind w:right="57"/>
              <w:jc w:val="center"/>
              <w:cnfStyle w:val="100000000000" w:firstRow="1" w:lastRow="0" w:firstColumn="0" w:lastColumn="0" w:oddVBand="0" w:evenVBand="0" w:oddHBand="0" w:evenHBand="0" w:firstRowFirstColumn="0" w:firstRowLastColumn="0" w:lastRowFirstColumn="0" w:lastRowLastColumn="0"/>
              <w:rPr>
                <w:rFonts w:ascii="Arial" w:hAnsi="Arial"/>
                <w:b/>
                <w:color w:val="auto"/>
                <w:sz w:val="18"/>
                <w:szCs w:val="18"/>
              </w:rPr>
            </w:pPr>
            <w:r w:rsidRPr="00586FBF">
              <w:rPr>
                <w:rFonts w:ascii="Arial" w:hAnsi="Arial"/>
                <w:b/>
                <w:color w:val="auto"/>
                <w:sz w:val="18"/>
                <w:szCs w:val="18"/>
              </w:rPr>
              <w:t>June 2018</w:t>
            </w:r>
          </w:p>
          <w:p w14:paraId="71473E04" w14:textId="13E3C211" w:rsidR="00331CEF" w:rsidRPr="00586FBF" w:rsidRDefault="00FD0DAF" w:rsidP="00E83685">
            <w:pPr>
              <w:pStyle w:val="TableColumnHeadingSmall"/>
              <w:ind w:right="57"/>
              <w:jc w:val="center"/>
              <w:cnfStyle w:val="100000000000" w:firstRow="1" w:lastRow="0" w:firstColumn="0" w:lastColumn="0" w:oddVBand="0" w:evenVBand="0" w:oddHBand="0" w:evenHBand="0" w:firstRowFirstColumn="0" w:firstRowLastColumn="0" w:lastRowFirstColumn="0" w:lastRowLastColumn="0"/>
              <w:rPr>
                <w:rFonts w:ascii="Arial" w:hAnsi="Arial"/>
                <w:b/>
                <w:color w:val="auto"/>
                <w:sz w:val="18"/>
                <w:szCs w:val="18"/>
              </w:rPr>
            </w:pPr>
            <w:r w:rsidRPr="00586FBF">
              <w:rPr>
                <w:rFonts w:ascii="Arial" w:hAnsi="Arial"/>
                <w:b/>
                <w:color w:val="auto"/>
                <w:sz w:val="18"/>
                <w:szCs w:val="18"/>
              </w:rPr>
              <w:t>Population</w:t>
            </w:r>
          </w:p>
        </w:tc>
        <w:tc>
          <w:tcPr>
            <w:tcW w:w="1387" w:type="pct"/>
            <w:gridSpan w:val="2"/>
          </w:tcPr>
          <w:p w14:paraId="55230B33" w14:textId="77777777" w:rsidR="00331CEF" w:rsidRPr="00586FBF" w:rsidRDefault="00331CEF" w:rsidP="00E83685">
            <w:pPr>
              <w:pStyle w:val="TableColumnHeadingSmall"/>
              <w:ind w:right="57"/>
              <w:jc w:val="center"/>
              <w:cnfStyle w:val="100000000000" w:firstRow="1" w:lastRow="0" w:firstColumn="0" w:lastColumn="0" w:oddVBand="0" w:evenVBand="0" w:oddHBand="0" w:evenHBand="0" w:firstRowFirstColumn="0" w:firstRowLastColumn="0" w:lastRowFirstColumn="0" w:lastRowLastColumn="0"/>
              <w:rPr>
                <w:rFonts w:ascii="Arial" w:hAnsi="Arial"/>
                <w:b/>
                <w:color w:val="auto"/>
                <w:sz w:val="18"/>
                <w:szCs w:val="18"/>
              </w:rPr>
            </w:pPr>
            <w:r w:rsidRPr="00586FBF">
              <w:rPr>
                <w:rFonts w:ascii="Arial" w:hAnsi="Arial"/>
                <w:b/>
                <w:color w:val="auto"/>
                <w:sz w:val="18"/>
                <w:szCs w:val="18"/>
              </w:rPr>
              <w:t>June 2019</w:t>
            </w:r>
          </w:p>
          <w:p w14:paraId="3C718529" w14:textId="77777777" w:rsidR="00331CEF" w:rsidRPr="00586FBF" w:rsidRDefault="00331CEF" w:rsidP="00E83685">
            <w:pPr>
              <w:pStyle w:val="TableColumnHeadingSmall"/>
              <w:ind w:right="57"/>
              <w:jc w:val="center"/>
              <w:cnfStyle w:val="100000000000" w:firstRow="1" w:lastRow="0" w:firstColumn="0" w:lastColumn="0" w:oddVBand="0" w:evenVBand="0" w:oddHBand="0" w:evenHBand="0" w:firstRowFirstColumn="0" w:firstRowLastColumn="0" w:lastRowFirstColumn="0" w:lastRowLastColumn="0"/>
              <w:rPr>
                <w:rFonts w:ascii="Arial" w:hAnsi="Arial"/>
                <w:b/>
                <w:color w:val="auto"/>
                <w:sz w:val="18"/>
                <w:szCs w:val="18"/>
              </w:rPr>
            </w:pPr>
            <w:r w:rsidRPr="00586FBF">
              <w:rPr>
                <w:rFonts w:ascii="Arial" w:hAnsi="Arial"/>
                <w:b/>
                <w:color w:val="auto"/>
                <w:sz w:val="18"/>
                <w:szCs w:val="18"/>
              </w:rPr>
              <w:t>Population</w:t>
            </w:r>
          </w:p>
        </w:tc>
        <w:tc>
          <w:tcPr>
            <w:tcW w:w="1217" w:type="pct"/>
            <w:gridSpan w:val="2"/>
          </w:tcPr>
          <w:p w14:paraId="6A0E435E" w14:textId="77777777" w:rsidR="00331CEF" w:rsidRPr="00586FBF" w:rsidRDefault="00331CEF" w:rsidP="00E83685">
            <w:pPr>
              <w:pStyle w:val="TableColumnHeadingSmall"/>
              <w:ind w:right="57"/>
              <w:jc w:val="center"/>
              <w:cnfStyle w:val="100000000000" w:firstRow="1" w:lastRow="0" w:firstColumn="0" w:lastColumn="0" w:oddVBand="0" w:evenVBand="0" w:oddHBand="0" w:evenHBand="0" w:firstRowFirstColumn="0" w:firstRowLastColumn="0" w:lastRowFirstColumn="0" w:lastRowLastColumn="0"/>
              <w:rPr>
                <w:rFonts w:ascii="Arial" w:hAnsi="Arial"/>
                <w:b/>
                <w:color w:val="auto"/>
                <w:sz w:val="18"/>
                <w:szCs w:val="18"/>
              </w:rPr>
            </w:pPr>
            <w:r w:rsidRPr="00586FBF">
              <w:rPr>
                <w:rFonts w:ascii="Arial" w:hAnsi="Arial"/>
                <w:b/>
                <w:color w:val="auto"/>
                <w:sz w:val="18"/>
                <w:szCs w:val="18"/>
              </w:rPr>
              <w:t>Movement from</w:t>
            </w:r>
          </w:p>
          <w:p w14:paraId="403B664F" w14:textId="77777777" w:rsidR="00331CEF" w:rsidRPr="00586FBF" w:rsidRDefault="00331CEF" w:rsidP="00E83685">
            <w:pPr>
              <w:pStyle w:val="TableColumnHeadingSmall"/>
              <w:ind w:right="57"/>
              <w:jc w:val="center"/>
              <w:cnfStyle w:val="100000000000" w:firstRow="1" w:lastRow="0" w:firstColumn="0" w:lastColumn="0" w:oddVBand="0" w:evenVBand="0" w:oddHBand="0" w:evenHBand="0" w:firstRowFirstColumn="0" w:firstRowLastColumn="0" w:lastRowFirstColumn="0" w:lastRowLastColumn="0"/>
              <w:rPr>
                <w:rFonts w:ascii="Arial" w:hAnsi="Arial"/>
                <w:b/>
                <w:color w:val="auto"/>
                <w:sz w:val="18"/>
                <w:szCs w:val="18"/>
              </w:rPr>
            </w:pPr>
            <w:r w:rsidRPr="00586FBF">
              <w:rPr>
                <w:rFonts w:ascii="Arial" w:hAnsi="Arial"/>
                <w:b/>
                <w:color w:val="auto"/>
                <w:sz w:val="18"/>
                <w:szCs w:val="18"/>
              </w:rPr>
              <w:t>2018 to 2019</w:t>
            </w:r>
          </w:p>
        </w:tc>
      </w:tr>
      <w:tr w:rsidR="00F714BF" w:rsidRPr="00586FBF" w14:paraId="7A859ABE" w14:textId="77777777" w:rsidTr="00253CA7">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1027" w:type="pct"/>
            <w:hideMark/>
          </w:tcPr>
          <w:p w14:paraId="7E83F8D0" w14:textId="77777777" w:rsidR="00331CEF" w:rsidRPr="00586FBF" w:rsidRDefault="00331CEF" w:rsidP="00E83685">
            <w:pPr>
              <w:pStyle w:val="TableColumnHeadingSmall"/>
              <w:ind w:right="57"/>
              <w:rPr>
                <w:rFonts w:ascii="Arial" w:hAnsi="Arial"/>
                <w:b/>
                <w:color w:val="auto"/>
                <w:sz w:val="18"/>
                <w:szCs w:val="18"/>
              </w:rPr>
            </w:pPr>
          </w:p>
        </w:tc>
        <w:tc>
          <w:tcPr>
            <w:tcW w:w="704" w:type="pct"/>
            <w:hideMark/>
          </w:tcPr>
          <w:p w14:paraId="27ED3B4D" w14:textId="7FD7786F" w:rsidR="00331CEF" w:rsidRPr="00586FBF" w:rsidRDefault="00331CEF" w:rsidP="00E83685">
            <w:pPr>
              <w:pStyle w:val="TableColumnHeadingSmall"/>
              <w:ind w:right="57"/>
              <w:jc w:val="center"/>
              <w:cnfStyle w:val="000000100000" w:firstRow="0" w:lastRow="0" w:firstColumn="0" w:lastColumn="0" w:oddVBand="0" w:evenVBand="0" w:oddHBand="1" w:evenHBand="0" w:firstRowFirstColumn="0" w:firstRowLastColumn="0" w:lastRowFirstColumn="0" w:lastRowLastColumn="0"/>
              <w:rPr>
                <w:rFonts w:ascii="Arial" w:hAnsi="Arial"/>
                <w:color w:val="auto"/>
                <w:sz w:val="18"/>
                <w:szCs w:val="18"/>
              </w:rPr>
            </w:pPr>
            <w:r w:rsidRPr="00586FBF">
              <w:rPr>
                <w:rFonts w:ascii="Arial" w:hAnsi="Arial"/>
                <w:color w:val="auto"/>
                <w:sz w:val="18"/>
                <w:szCs w:val="18"/>
              </w:rPr>
              <w:t>Number (000s)</w:t>
            </w:r>
          </w:p>
        </w:tc>
        <w:tc>
          <w:tcPr>
            <w:tcW w:w="666" w:type="pct"/>
            <w:hideMark/>
          </w:tcPr>
          <w:p w14:paraId="5308B6A3" w14:textId="77777777" w:rsidR="00331CEF" w:rsidRPr="00586FBF" w:rsidRDefault="00331CEF" w:rsidP="00E83685">
            <w:pPr>
              <w:pStyle w:val="TableColumnHeadingSmall"/>
              <w:ind w:right="57"/>
              <w:jc w:val="center"/>
              <w:cnfStyle w:val="000000100000" w:firstRow="0" w:lastRow="0" w:firstColumn="0" w:lastColumn="0" w:oddVBand="0" w:evenVBand="0" w:oddHBand="1" w:evenHBand="0" w:firstRowFirstColumn="0" w:firstRowLastColumn="0" w:lastRowFirstColumn="0" w:lastRowLastColumn="0"/>
              <w:rPr>
                <w:rFonts w:ascii="Arial" w:hAnsi="Arial"/>
                <w:color w:val="auto"/>
                <w:sz w:val="18"/>
                <w:szCs w:val="18"/>
              </w:rPr>
            </w:pPr>
            <w:r w:rsidRPr="00586FBF">
              <w:rPr>
                <w:rFonts w:ascii="Arial" w:hAnsi="Arial"/>
                <w:color w:val="auto"/>
                <w:sz w:val="18"/>
                <w:szCs w:val="18"/>
              </w:rPr>
              <w:t>% of total</w:t>
            </w:r>
          </w:p>
        </w:tc>
        <w:tc>
          <w:tcPr>
            <w:tcW w:w="692" w:type="pct"/>
            <w:hideMark/>
          </w:tcPr>
          <w:p w14:paraId="105377DD" w14:textId="77777777" w:rsidR="00331CEF" w:rsidRPr="00586FBF" w:rsidRDefault="00331CEF" w:rsidP="00E83685">
            <w:pPr>
              <w:pStyle w:val="TableColumnHeadingSmall"/>
              <w:ind w:right="57"/>
              <w:jc w:val="center"/>
              <w:cnfStyle w:val="000000100000" w:firstRow="0" w:lastRow="0" w:firstColumn="0" w:lastColumn="0" w:oddVBand="0" w:evenVBand="0" w:oddHBand="1" w:evenHBand="0" w:firstRowFirstColumn="0" w:firstRowLastColumn="0" w:lastRowFirstColumn="0" w:lastRowLastColumn="0"/>
              <w:rPr>
                <w:rFonts w:ascii="Arial" w:hAnsi="Arial"/>
                <w:color w:val="auto"/>
                <w:sz w:val="18"/>
                <w:szCs w:val="18"/>
              </w:rPr>
            </w:pPr>
            <w:r w:rsidRPr="00586FBF">
              <w:rPr>
                <w:rFonts w:ascii="Arial" w:hAnsi="Arial"/>
                <w:color w:val="auto"/>
                <w:sz w:val="18"/>
                <w:szCs w:val="18"/>
              </w:rPr>
              <w:t>Number (000s)</w:t>
            </w:r>
          </w:p>
        </w:tc>
        <w:tc>
          <w:tcPr>
            <w:tcW w:w="695" w:type="pct"/>
            <w:hideMark/>
          </w:tcPr>
          <w:p w14:paraId="6D2A1B4B" w14:textId="77777777" w:rsidR="00331CEF" w:rsidRPr="00586FBF" w:rsidRDefault="00331CEF" w:rsidP="00E83685">
            <w:pPr>
              <w:pStyle w:val="TableColumnHeadingSmall"/>
              <w:ind w:right="57"/>
              <w:jc w:val="center"/>
              <w:cnfStyle w:val="000000100000" w:firstRow="0" w:lastRow="0" w:firstColumn="0" w:lastColumn="0" w:oddVBand="0" w:evenVBand="0" w:oddHBand="1" w:evenHBand="0" w:firstRowFirstColumn="0" w:firstRowLastColumn="0" w:lastRowFirstColumn="0" w:lastRowLastColumn="0"/>
              <w:rPr>
                <w:rFonts w:ascii="Arial" w:hAnsi="Arial"/>
                <w:color w:val="auto"/>
                <w:sz w:val="18"/>
                <w:szCs w:val="18"/>
              </w:rPr>
            </w:pPr>
            <w:r w:rsidRPr="00586FBF">
              <w:rPr>
                <w:rFonts w:ascii="Arial" w:hAnsi="Arial"/>
                <w:color w:val="auto"/>
                <w:sz w:val="18"/>
                <w:szCs w:val="18"/>
              </w:rPr>
              <w:t>% of total</w:t>
            </w:r>
          </w:p>
        </w:tc>
        <w:tc>
          <w:tcPr>
            <w:tcW w:w="582" w:type="pct"/>
            <w:hideMark/>
          </w:tcPr>
          <w:p w14:paraId="03660D6D" w14:textId="77777777" w:rsidR="00331CEF" w:rsidRPr="00586FBF" w:rsidRDefault="00331CEF" w:rsidP="00E83685">
            <w:pPr>
              <w:pStyle w:val="TableColumnHeadingSmall"/>
              <w:ind w:right="57"/>
              <w:jc w:val="center"/>
              <w:cnfStyle w:val="000000100000" w:firstRow="0" w:lastRow="0" w:firstColumn="0" w:lastColumn="0" w:oddVBand="0" w:evenVBand="0" w:oddHBand="1" w:evenHBand="0" w:firstRowFirstColumn="0" w:firstRowLastColumn="0" w:lastRowFirstColumn="0" w:lastRowLastColumn="0"/>
              <w:rPr>
                <w:rFonts w:ascii="Arial" w:hAnsi="Arial"/>
                <w:color w:val="auto"/>
                <w:sz w:val="18"/>
                <w:szCs w:val="18"/>
              </w:rPr>
            </w:pPr>
            <w:r w:rsidRPr="00586FBF">
              <w:rPr>
                <w:rFonts w:ascii="Arial" w:hAnsi="Arial"/>
                <w:color w:val="auto"/>
                <w:sz w:val="18"/>
                <w:szCs w:val="18"/>
              </w:rPr>
              <w:t xml:space="preserve">Number </w:t>
            </w:r>
            <w:r w:rsidRPr="00586FBF">
              <w:rPr>
                <w:rFonts w:ascii="Arial" w:hAnsi="Arial"/>
                <w:color w:val="auto"/>
                <w:sz w:val="18"/>
                <w:szCs w:val="18"/>
              </w:rPr>
              <w:br/>
              <w:t>(’000s)</w:t>
            </w:r>
          </w:p>
        </w:tc>
        <w:tc>
          <w:tcPr>
            <w:tcW w:w="634" w:type="pct"/>
          </w:tcPr>
          <w:p w14:paraId="7D1DC7C4" w14:textId="77777777" w:rsidR="00331CEF" w:rsidRPr="00586FBF" w:rsidRDefault="00331CEF" w:rsidP="00E83685">
            <w:pPr>
              <w:pStyle w:val="TableColumnHeadingSmall"/>
              <w:ind w:right="57"/>
              <w:jc w:val="center"/>
              <w:cnfStyle w:val="000000100000" w:firstRow="0" w:lastRow="0" w:firstColumn="0" w:lastColumn="0" w:oddVBand="0" w:evenVBand="0" w:oddHBand="1" w:evenHBand="0" w:firstRowFirstColumn="0" w:firstRowLastColumn="0" w:lastRowFirstColumn="0" w:lastRowLastColumn="0"/>
              <w:rPr>
                <w:rFonts w:ascii="Arial" w:hAnsi="Arial"/>
                <w:color w:val="auto"/>
                <w:sz w:val="18"/>
                <w:szCs w:val="18"/>
              </w:rPr>
            </w:pPr>
            <w:r w:rsidRPr="00586FBF">
              <w:rPr>
                <w:rFonts w:ascii="Arial" w:hAnsi="Arial"/>
                <w:color w:val="auto"/>
                <w:sz w:val="18"/>
                <w:szCs w:val="18"/>
              </w:rPr>
              <w:t>% change in numbers</w:t>
            </w:r>
          </w:p>
        </w:tc>
      </w:tr>
      <w:tr w:rsidR="00F714BF" w:rsidRPr="00586FBF" w14:paraId="0FCD70FF" w14:textId="77777777" w:rsidTr="00253CA7">
        <w:trPr>
          <w:trHeight w:val="256"/>
        </w:trPr>
        <w:tc>
          <w:tcPr>
            <w:cnfStyle w:val="001000000000" w:firstRow="0" w:lastRow="0" w:firstColumn="1" w:lastColumn="0" w:oddVBand="0" w:evenVBand="0" w:oddHBand="0" w:evenHBand="0" w:firstRowFirstColumn="0" w:firstRowLastColumn="0" w:lastRowFirstColumn="0" w:lastRowLastColumn="0"/>
            <w:tcW w:w="1027" w:type="pct"/>
            <w:hideMark/>
          </w:tcPr>
          <w:p w14:paraId="728E64A1" w14:textId="60D8FAC0" w:rsidR="00D05FBC" w:rsidRPr="00586FBF" w:rsidRDefault="00D05FBC" w:rsidP="00E83685">
            <w:pPr>
              <w:pStyle w:val="TableTextSmall"/>
              <w:spacing w:line="240" w:lineRule="exact"/>
              <w:ind w:right="57"/>
              <w:jc w:val="center"/>
              <w:rPr>
                <w:rFonts w:ascii="Arial" w:hAnsi="Arial"/>
                <w:b w:val="0"/>
                <w:color w:val="auto"/>
                <w:sz w:val="18"/>
              </w:rPr>
            </w:pPr>
            <w:r w:rsidRPr="00586FBF">
              <w:rPr>
                <w:sz w:val="18"/>
              </w:rPr>
              <w:t>1 Studying</w:t>
            </w:r>
          </w:p>
        </w:tc>
        <w:tc>
          <w:tcPr>
            <w:tcW w:w="704" w:type="pct"/>
            <w:hideMark/>
          </w:tcPr>
          <w:p w14:paraId="5BB76D32" w14:textId="77777777" w:rsidR="00D05FBC" w:rsidRPr="00586FBF" w:rsidRDefault="00D05FBC" w:rsidP="00E83685">
            <w:pPr>
              <w:pStyle w:val="TableTextSmall"/>
              <w:spacing w:line="240" w:lineRule="exact"/>
              <w:ind w:right="57"/>
              <w:jc w:val="right"/>
              <w:cnfStyle w:val="000000000000" w:firstRow="0" w:lastRow="0" w:firstColumn="0" w:lastColumn="0" w:oddVBand="0" w:evenVBand="0" w:oddHBand="0" w:evenHBand="0" w:firstRowFirstColumn="0" w:firstRowLastColumn="0" w:lastRowFirstColumn="0" w:lastRowLastColumn="0"/>
              <w:rPr>
                <w:rFonts w:ascii="Arial" w:hAnsi="Arial"/>
                <w:color w:val="auto"/>
                <w:sz w:val="18"/>
              </w:rPr>
            </w:pPr>
            <w:r w:rsidRPr="00586FBF">
              <w:rPr>
                <w:rFonts w:ascii="Arial" w:hAnsi="Arial"/>
                <w:color w:val="auto"/>
                <w:sz w:val="18"/>
              </w:rPr>
              <w:t>359</w:t>
            </w:r>
          </w:p>
        </w:tc>
        <w:tc>
          <w:tcPr>
            <w:tcW w:w="666" w:type="pct"/>
            <w:hideMark/>
          </w:tcPr>
          <w:p w14:paraId="26E508FB" w14:textId="77777777" w:rsidR="00D05FBC" w:rsidRPr="00586FBF" w:rsidRDefault="00D05FBC" w:rsidP="00E83685">
            <w:pPr>
              <w:pStyle w:val="TableTextSmall"/>
              <w:spacing w:line="240" w:lineRule="exact"/>
              <w:ind w:right="57"/>
              <w:jc w:val="right"/>
              <w:cnfStyle w:val="000000000000" w:firstRow="0" w:lastRow="0" w:firstColumn="0" w:lastColumn="0" w:oddVBand="0" w:evenVBand="0" w:oddHBand="0" w:evenHBand="0" w:firstRowFirstColumn="0" w:firstRowLastColumn="0" w:lastRowFirstColumn="0" w:lastRowLastColumn="0"/>
              <w:rPr>
                <w:rFonts w:ascii="Arial" w:hAnsi="Arial"/>
                <w:color w:val="auto"/>
                <w:sz w:val="18"/>
              </w:rPr>
            </w:pPr>
            <w:r w:rsidRPr="00586FBF">
              <w:rPr>
                <w:rFonts w:ascii="Arial" w:hAnsi="Arial"/>
                <w:color w:val="auto"/>
                <w:sz w:val="18"/>
              </w:rPr>
              <w:t>1.4%</w:t>
            </w:r>
          </w:p>
        </w:tc>
        <w:tc>
          <w:tcPr>
            <w:tcW w:w="692" w:type="pct"/>
          </w:tcPr>
          <w:p w14:paraId="3B965BA7" w14:textId="01628525" w:rsidR="00D05FBC" w:rsidRPr="00586FBF" w:rsidRDefault="00D05FBC" w:rsidP="00E83685">
            <w:pPr>
              <w:pStyle w:val="TableTextSmall"/>
              <w:spacing w:line="240" w:lineRule="exact"/>
              <w:ind w:right="57"/>
              <w:jc w:val="right"/>
              <w:cnfStyle w:val="000000000000" w:firstRow="0" w:lastRow="0" w:firstColumn="0" w:lastColumn="0" w:oddVBand="0" w:evenVBand="0" w:oddHBand="0" w:evenHBand="0" w:firstRowFirstColumn="0" w:firstRowLastColumn="0" w:lastRowFirstColumn="0" w:lastRowLastColumn="0"/>
              <w:rPr>
                <w:rFonts w:ascii="Arial" w:hAnsi="Arial"/>
                <w:color w:val="auto"/>
                <w:sz w:val="18"/>
              </w:rPr>
            </w:pPr>
            <w:r w:rsidRPr="00586FBF">
              <w:rPr>
                <w:rFonts w:ascii="Arial" w:hAnsi="Arial"/>
                <w:color w:val="auto"/>
                <w:sz w:val="18"/>
              </w:rPr>
              <w:t>340</w:t>
            </w:r>
          </w:p>
        </w:tc>
        <w:tc>
          <w:tcPr>
            <w:tcW w:w="695" w:type="pct"/>
          </w:tcPr>
          <w:p w14:paraId="1246E0AD" w14:textId="1A087BD3" w:rsidR="00D05FBC" w:rsidRPr="00586FBF" w:rsidRDefault="00D05FBC" w:rsidP="00E83685">
            <w:pPr>
              <w:pStyle w:val="TableTextSmall"/>
              <w:spacing w:line="240" w:lineRule="exact"/>
              <w:ind w:right="57"/>
              <w:jc w:val="right"/>
              <w:cnfStyle w:val="000000000000" w:firstRow="0" w:lastRow="0" w:firstColumn="0" w:lastColumn="0" w:oddVBand="0" w:evenVBand="0" w:oddHBand="0" w:evenHBand="0" w:firstRowFirstColumn="0" w:firstRowLastColumn="0" w:lastRowFirstColumn="0" w:lastRowLastColumn="0"/>
              <w:rPr>
                <w:rFonts w:ascii="Arial" w:hAnsi="Arial"/>
                <w:color w:val="auto"/>
                <w:sz w:val="18"/>
              </w:rPr>
            </w:pPr>
            <w:r w:rsidRPr="00586FBF">
              <w:rPr>
                <w:rFonts w:ascii="Arial" w:hAnsi="Arial"/>
                <w:color w:val="auto"/>
                <w:sz w:val="18"/>
              </w:rPr>
              <w:t>1.3%</w:t>
            </w:r>
          </w:p>
        </w:tc>
        <w:tc>
          <w:tcPr>
            <w:tcW w:w="582" w:type="pct"/>
          </w:tcPr>
          <w:p w14:paraId="4425F981" w14:textId="431FCDB2" w:rsidR="00D05FBC" w:rsidRPr="00586FBF" w:rsidRDefault="00D05FBC" w:rsidP="00E83685">
            <w:pPr>
              <w:pStyle w:val="TableTextSmall"/>
              <w:spacing w:line="240" w:lineRule="exact"/>
              <w:ind w:right="57"/>
              <w:jc w:val="right"/>
              <w:cnfStyle w:val="000000000000" w:firstRow="0" w:lastRow="0" w:firstColumn="0" w:lastColumn="0" w:oddVBand="0" w:evenVBand="0" w:oddHBand="0" w:evenHBand="0" w:firstRowFirstColumn="0" w:firstRowLastColumn="0" w:lastRowFirstColumn="0" w:lastRowLastColumn="0"/>
              <w:rPr>
                <w:rFonts w:ascii="Arial" w:hAnsi="Arial"/>
                <w:color w:val="auto"/>
                <w:sz w:val="18"/>
              </w:rPr>
            </w:pPr>
            <w:r w:rsidRPr="00586FBF">
              <w:rPr>
                <w:rFonts w:ascii="Arial" w:hAnsi="Arial"/>
                <w:color w:val="auto"/>
                <w:sz w:val="18"/>
              </w:rPr>
              <w:t>-19</w:t>
            </w:r>
          </w:p>
        </w:tc>
        <w:tc>
          <w:tcPr>
            <w:tcW w:w="634" w:type="pct"/>
          </w:tcPr>
          <w:p w14:paraId="7FE1AD97" w14:textId="69DC1058" w:rsidR="00D05FBC" w:rsidRPr="00586FBF" w:rsidRDefault="00D05FBC" w:rsidP="00E83685">
            <w:pPr>
              <w:pStyle w:val="TableTextSmall"/>
              <w:spacing w:line="240" w:lineRule="exact"/>
              <w:ind w:right="57"/>
              <w:jc w:val="right"/>
              <w:cnfStyle w:val="000000000000" w:firstRow="0" w:lastRow="0" w:firstColumn="0" w:lastColumn="0" w:oddVBand="0" w:evenVBand="0" w:oddHBand="0" w:evenHBand="0" w:firstRowFirstColumn="0" w:firstRowLastColumn="0" w:lastRowFirstColumn="0" w:lastRowLastColumn="0"/>
              <w:rPr>
                <w:rFonts w:ascii="Arial" w:hAnsi="Arial"/>
                <w:color w:val="auto"/>
                <w:sz w:val="18"/>
              </w:rPr>
            </w:pPr>
            <w:r w:rsidRPr="00586FBF">
              <w:rPr>
                <w:rFonts w:ascii="Arial" w:hAnsi="Arial"/>
                <w:color w:val="auto"/>
                <w:sz w:val="18"/>
              </w:rPr>
              <w:t>-5.3%</w:t>
            </w:r>
          </w:p>
        </w:tc>
      </w:tr>
      <w:tr w:rsidR="00F714BF" w:rsidRPr="00586FBF" w14:paraId="0FB4ABFD" w14:textId="77777777" w:rsidTr="00253CA7">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027" w:type="pct"/>
            <w:hideMark/>
          </w:tcPr>
          <w:p w14:paraId="577492EB" w14:textId="17EB7666" w:rsidR="00D05FBC" w:rsidRPr="00586FBF" w:rsidRDefault="00D05FBC" w:rsidP="00E83685">
            <w:pPr>
              <w:pStyle w:val="TableTextSmall"/>
              <w:ind w:right="57"/>
              <w:jc w:val="center"/>
              <w:rPr>
                <w:rFonts w:ascii="Arial" w:hAnsi="Arial"/>
                <w:b w:val="0"/>
                <w:color w:val="auto"/>
                <w:sz w:val="18"/>
              </w:rPr>
            </w:pPr>
            <w:r w:rsidRPr="00586FBF">
              <w:rPr>
                <w:sz w:val="18"/>
              </w:rPr>
              <w:t>2 Working Age</w:t>
            </w:r>
          </w:p>
        </w:tc>
        <w:tc>
          <w:tcPr>
            <w:tcW w:w="704" w:type="pct"/>
            <w:hideMark/>
          </w:tcPr>
          <w:p w14:paraId="2E3528A0" w14:textId="77777777" w:rsidR="00D05FBC" w:rsidRPr="00586FBF" w:rsidRDefault="00D05FBC" w:rsidP="00E83685">
            <w:pPr>
              <w:pStyle w:val="TableTextSmall"/>
              <w:spacing w:line="260" w:lineRule="exact"/>
              <w:ind w:right="57"/>
              <w:jc w:val="right"/>
              <w:cnfStyle w:val="000000100000" w:firstRow="0" w:lastRow="0" w:firstColumn="0" w:lastColumn="0" w:oddVBand="0" w:evenVBand="0" w:oddHBand="1" w:evenHBand="0" w:firstRowFirstColumn="0" w:firstRowLastColumn="0" w:lastRowFirstColumn="0" w:lastRowLastColumn="0"/>
              <w:rPr>
                <w:rFonts w:ascii="Arial" w:hAnsi="Arial"/>
                <w:color w:val="auto"/>
                <w:sz w:val="18"/>
              </w:rPr>
            </w:pPr>
            <w:r w:rsidRPr="00586FBF">
              <w:rPr>
                <w:rFonts w:ascii="Arial" w:hAnsi="Arial"/>
                <w:color w:val="auto"/>
                <w:sz w:val="18"/>
              </w:rPr>
              <w:t>1,237</w:t>
            </w:r>
          </w:p>
        </w:tc>
        <w:tc>
          <w:tcPr>
            <w:tcW w:w="666" w:type="pct"/>
            <w:hideMark/>
          </w:tcPr>
          <w:p w14:paraId="48644124" w14:textId="77777777" w:rsidR="00D05FBC" w:rsidRPr="00586FBF" w:rsidRDefault="00D05FBC" w:rsidP="00E83685">
            <w:pPr>
              <w:pStyle w:val="TableTextSmall"/>
              <w:spacing w:line="260" w:lineRule="exact"/>
              <w:ind w:right="57"/>
              <w:jc w:val="right"/>
              <w:cnfStyle w:val="000000100000" w:firstRow="0" w:lastRow="0" w:firstColumn="0" w:lastColumn="0" w:oddVBand="0" w:evenVBand="0" w:oddHBand="1" w:evenHBand="0" w:firstRowFirstColumn="0" w:firstRowLastColumn="0" w:lastRowFirstColumn="0" w:lastRowLastColumn="0"/>
              <w:rPr>
                <w:rFonts w:ascii="Arial" w:hAnsi="Arial"/>
                <w:color w:val="auto"/>
                <w:sz w:val="18"/>
              </w:rPr>
            </w:pPr>
            <w:r w:rsidRPr="00586FBF">
              <w:rPr>
                <w:rFonts w:ascii="Arial" w:hAnsi="Arial"/>
                <w:color w:val="auto"/>
                <w:sz w:val="18"/>
              </w:rPr>
              <w:t>4.9%</w:t>
            </w:r>
          </w:p>
        </w:tc>
        <w:tc>
          <w:tcPr>
            <w:tcW w:w="692" w:type="pct"/>
          </w:tcPr>
          <w:p w14:paraId="4923D2B3" w14:textId="144F4FFD" w:rsidR="00D05FBC" w:rsidRPr="00586FBF" w:rsidRDefault="00D05FBC" w:rsidP="00E83685">
            <w:pPr>
              <w:pStyle w:val="TableTextSmall"/>
              <w:spacing w:line="260" w:lineRule="exact"/>
              <w:ind w:right="57"/>
              <w:jc w:val="right"/>
              <w:cnfStyle w:val="000000100000" w:firstRow="0" w:lastRow="0" w:firstColumn="0" w:lastColumn="0" w:oddVBand="0" w:evenVBand="0" w:oddHBand="1" w:evenHBand="0" w:firstRowFirstColumn="0" w:firstRowLastColumn="0" w:lastRowFirstColumn="0" w:lastRowLastColumn="0"/>
              <w:rPr>
                <w:rFonts w:ascii="Arial" w:hAnsi="Arial"/>
                <w:color w:val="auto"/>
                <w:sz w:val="18"/>
              </w:rPr>
            </w:pPr>
            <w:r w:rsidRPr="00586FBF">
              <w:rPr>
                <w:rFonts w:ascii="Arial" w:hAnsi="Arial"/>
                <w:color w:val="auto"/>
                <w:sz w:val="18"/>
              </w:rPr>
              <w:t>1,164</w:t>
            </w:r>
          </w:p>
        </w:tc>
        <w:tc>
          <w:tcPr>
            <w:tcW w:w="695" w:type="pct"/>
          </w:tcPr>
          <w:p w14:paraId="7E5707F2" w14:textId="6BEEEA3D" w:rsidR="00D05FBC" w:rsidRPr="00586FBF" w:rsidRDefault="00D05FBC" w:rsidP="00E83685">
            <w:pPr>
              <w:pStyle w:val="TableTextSmall"/>
              <w:spacing w:line="260" w:lineRule="exact"/>
              <w:ind w:right="57"/>
              <w:jc w:val="right"/>
              <w:cnfStyle w:val="000000100000" w:firstRow="0" w:lastRow="0" w:firstColumn="0" w:lastColumn="0" w:oddVBand="0" w:evenVBand="0" w:oddHBand="1" w:evenHBand="0" w:firstRowFirstColumn="0" w:firstRowLastColumn="0" w:lastRowFirstColumn="0" w:lastRowLastColumn="0"/>
              <w:rPr>
                <w:rFonts w:ascii="Arial" w:hAnsi="Arial"/>
                <w:color w:val="auto"/>
                <w:sz w:val="18"/>
              </w:rPr>
            </w:pPr>
            <w:r w:rsidRPr="00586FBF">
              <w:rPr>
                <w:rFonts w:ascii="Arial" w:hAnsi="Arial"/>
                <w:color w:val="auto"/>
                <w:sz w:val="18"/>
              </w:rPr>
              <w:t>4.6%</w:t>
            </w:r>
          </w:p>
        </w:tc>
        <w:tc>
          <w:tcPr>
            <w:tcW w:w="582" w:type="pct"/>
          </w:tcPr>
          <w:p w14:paraId="6BD8D6D5" w14:textId="36687B79" w:rsidR="00D05FBC" w:rsidRPr="00586FBF" w:rsidRDefault="00D05FBC" w:rsidP="00E83685">
            <w:pPr>
              <w:pStyle w:val="TableTextSmall"/>
              <w:spacing w:line="260" w:lineRule="exact"/>
              <w:ind w:right="57"/>
              <w:jc w:val="right"/>
              <w:cnfStyle w:val="000000100000" w:firstRow="0" w:lastRow="0" w:firstColumn="0" w:lastColumn="0" w:oddVBand="0" w:evenVBand="0" w:oddHBand="1" w:evenHBand="0" w:firstRowFirstColumn="0" w:firstRowLastColumn="0" w:lastRowFirstColumn="0" w:lastRowLastColumn="0"/>
              <w:rPr>
                <w:rFonts w:ascii="Arial" w:hAnsi="Arial"/>
                <w:color w:val="auto"/>
                <w:sz w:val="18"/>
              </w:rPr>
            </w:pPr>
            <w:r w:rsidRPr="00586FBF">
              <w:rPr>
                <w:rFonts w:ascii="Arial" w:hAnsi="Arial"/>
                <w:color w:val="auto"/>
                <w:sz w:val="18"/>
              </w:rPr>
              <w:t>-73</w:t>
            </w:r>
          </w:p>
        </w:tc>
        <w:tc>
          <w:tcPr>
            <w:tcW w:w="634" w:type="pct"/>
          </w:tcPr>
          <w:p w14:paraId="78B69665" w14:textId="3A5415E3" w:rsidR="00D05FBC" w:rsidRPr="00586FBF" w:rsidRDefault="00D05FBC" w:rsidP="00E83685">
            <w:pPr>
              <w:pStyle w:val="TableTextSmall"/>
              <w:spacing w:line="260" w:lineRule="exact"/>
              <w:ind w:right="57"/>
              <w:jc w:val="right"/>
              <w:cnfStyle w:val="000000100000" w:firstRow="0" w:lastRow="0" w:firstColumn="0" w:lastColumn="0" w:oddVBand="0" w:evenVBand="0" w:oddHBand="1" w:evenHBand="0" w:firstRowFirstColumn="0" w:firstRowLastColumn="0" w:lastRowFirstColumn="0" w:lastRowLastColumn="0"/>
              <w:rPr>
                <w:rFonts w:ascii="Arial" w:hAnsi="Arial"/>
                <w:color w:val="auto"/>
                <w:sz w:val="18"/>
              </w:rPr>
            </w:pPr>
            <w:r w:rsidRPr="00586FBF">
              <w:rPr>
                <w:rFonts w:ascii="Arial" w:hAnsi="Arial"/>
                <w:color w:val="auto"/>
                <w:sz w:val="18"/>
              </w:rPr>
              <w:t>-5.9%</w:t>
            </w:r>
          </w:p>
        </w:tc>
      </w:tr>
      <w:tr w:rsidR="00F714BF" w:rsidRPr="00586FBF" w14:paraId="300FFD48" w14:textId="77777777" w:rsidTr="00253CA7">
        <w:trPr>
          <w:trHeight w:val="256"/>
        </w:trPr>
        <w:tc>
          <w:tcPr>
            <w:cnfStyle w:val="001000000000" w:firstRow="0" w:lastRow="0" w:firstColumn="1" w:lastColumn="0" w:oddVBand="0" w:evenVBand="0" w:oddHBand="0" w:evenHBand="0" w:firstRowFirstColumn="0" w:firstRowLastColumn="0" w:lastRowFirstColumn="0" w:lastRowLastColumn="0"/>
            <w:tcW w:w="1027" w:type="pct"/>
            <w:hideMark/>
          </w:tcPr>
          <w:p w14:paraId="2136AFCD" w14:textId="04812C46" w:rsidR="00D05FBC" w:rsidRPr="00586FBF" w:rsidRDefault="00D05FBC" w:rsidP="00E83685">
            <w:pPr>
              <w:pStyle w:val="TableTextSmall"/>
              <w:ind w:right="57"/>
              <w:jc w:val="center"/>
              <w:rPr>
                <w:rFonts w:ascii="Arial" w:hAnsi="Arial"/>
                <w:b w:val="0"/>
                <w:color w:val="auto"/>
                <w:sz w:val="18"/>
              </w:rPr>
            </w:pPr>
            <w:r w:rsidRPr="00586FBF">
              <w:rPr>
                <w:sz w:val="18"/>
              </w:rPr>
              <w:t>3 Parents</w:t>
            </w:r>
          </w:p>
        </w:tc>
        <w:tc>
          <w:tcPr>
            <w:tcW w:w="704" w:type="pct"/>
            <w:hideMark/>
          </w:tcPr>
          <w:p w14:paraId="4A03095D" w14:textId="77777777" w:rsidR="00D05FBC" w:rsidRPr="00586FBF" w:rsidRDefault="00D05FBC" w:rsidP="00E83685">
            <w:pPr>
              <w:pStyle w:val="TableTextSmall"/>
              <w:spacing w:line="260" w:lineRule="exact"/>
              <w:ind w:right="57"/>
              <w:jc w:val="right"/>
              <w:cnfStyle w:val="000000000000" w:firstRow="0" w:lastRow="0" w:firstColumn="0" w:lastColumn="0" w:oddVBand="0" w:evenVBand="0" w:oddHBand="0" w:evenHBand="0" w:firstRowFirstColumn="0" w:firstRowLastColumn="0" w:lastRowFirstColumn="0" w:lastRowLastColumn="0"/>
              <w:rPr>
                <w:rFonts w:ascii="Arial" w:hAnsi="Arial"/>
                <w:color w:val="auto"/>
                <w:sz w:val="18"/>
              </w:rPr>
            </w:pPr>
            <w:r w:rsidRPr="00586FBF">
              <w:rPr>
                <w:rFonts w:ascii="Arial" w:hAnsi="Arial"/>
                <w:color w:val="auto"/>
                <w:sz w:val="18"/>
              </w:rPr>
              <w:t>381</w:t>
            </w:r>
          </w:p>
        </w:tc>
        <w:tc>
          <w:tcPr>
            <w:tcW w:w="666" w:type="pct"/>
            <w:hideMark/>
          </w:tcPr>
          <w:p w14:paraId="718B0FF8" w14:textId="77777777" w:rsidR="00D05FBC" w:rsidRPr="00586FBF" w:rsidRDefault="00D05FBC" w:rsidP="00E83685">
            <w:pPr>
              <w:pStyle w:val="TableTextSmall"/>
              <w:spacing w:line="260" w:lineRule="exact"/>
              <w:ind w:right="57"/>
              <w:jc w:val="right"/>
              <w:cnfStyle w:val="000000000000" w:firstRow="0" w:lastRow="0" w:firstColumn="0" w:lastColumn="0" w:oddVBand="0" w:evenVBand="0" w:oddHBand="0" w:evenHBand="0" w:firstRowFirstColumn="0" w:firstRowLastColumn="0" w:lastRowFirstColumn="0" w:lastRowLastColumn="0"/>
              <w:rPr>
                <w:rFonts w:ascii="Arial" w:hAnsi="Arial"/>
                <w:color w:val="auto"/>
                <w:sz w:val="18"/>
              </w:rPr>
            </w:pPr>
            <w:r w:rsidRPr="00586FBF">
              <w:rPr>
                <w:rFonts w:ascii="Arial" w:hAnsi="Arial"/>
                <w:color w:val="auto"/>
                <w:sz w:val="18"/>
              </w:rPr>
              <w:t>1.5%</w:t>
            </w:r>
          </w:p>
        </w:tc>
        <w:tc>
          <w:tcPr>
            <w:tcW w:w="692" w:type="pct"/>
          </w:tcPr>
          <w:p w14:paraId="7EF09F77" w14:textId="66EC3954" w:rsidR="00D05FBC" w:rsidRPr="00586FBF" w:rsidRDefault="00D05FBC" w:rsidP="00E83685">
            <w:pPr>
              <w:pStyle w:val="TableTextSmall"/>
              <w:spacing w:line="260" w:lineRule="exact"/>
              <w:ind w:right="57"/>
              <w:jc w:val="right"/>
              <w:cnfStyle w:val="000000000000" w:firstRow="0" w:lastRow="0" w:firstColumn="0" w:lastColumn="0" w:oddVBand="0" w:evenVBand="0" w:oddHBand="0" w:evenHBand="0" w:firstRowFirstColumn="0" w:firstRowLastColumn="0" w:lastRowFirstColumn="0" w:lastRowLastColumn="0"/>
              <w:rPr>
                <w:rFonts w:ascii="Arial" w:hAnsi="Arial"/>
                <w:color w:val="auto"/>
                <w:sz w:val="18"/>
              </w:rPr>
            </w:pPr>
            <w:r w:rsidRPr="00586FBF">
              <w:rPr>
                <w:rFonts w:ascii="Arial" w:hAnsi="Arial"/>
                <w:color w:val="auto"/>
                <w:sz w:val="18"/>
              </w:rPr>
              <w:t>359</w:t>
            </w:r>
          </w:p>
        </w:tc>
        <w:tc>
          <w:tcPr>
            <w:tcW w:w="695" w:type="pct"/>
          </w:tcPr>
          <w:p w14:paraId="70229A87" w14:textId="2401DA97" w:rsidR="00D05FBC" w:rsidRPr="00586FBF" w:rsidRDefault="00D05FBC" w:rsidP="00E83685">
            <w:pPr>
              <w:pStyle w:val="TableTextSmall"/>
              <w:spacing w:line="260" w:lineRule="exact"/>
              <w:ind w:right="57"/>
              <w:jc w:val="right"/>
              <w:cnfStyle w:val="000000000000" w:firstRow="0" w:lastRow="0" w:firstColumn="0" w:lastColumn="0" w:oddVBand="0" w:evenVBand="0" w:oddHBand="0" w:evenHBand="0" w:firstRowFirstColumn="0" w:firstRowLastColumn="0" w:lastRowFirstColumn="0" w:lastRowLastColumn="0"/>
              <w:rPr>
                <w:rFonts w:ascii="Arial" w:hAnsi="Arial"/>
                <w:color w:val="auto"/>
                <w:sz w:val="18"/>
              </w:rPr>
            </w:pPr>
            <w:r w:rsidRPr="00586FBF">
              <w:rPr>
                <w:rFonts w:ascii="Arial" w:hAnsi="Arial"/>
                <w:color w:val="auto"/>
                <w:sz w:val="18"/>
              </w:rPr>
              <w:t>1.4%</w:t>
            </w:r>
          </w:p>
        </w:tc>
        <w:tc>
          <w:tcPr>
            <w:tcW w:w="582" w:type="pct"/>
          </w:tcPr>
          <w:p w14:paraId="7A8F2872" w14:textId="4BA69B78" w:rsidR="00D05FBC" w:rsidRPr="00586FBF" w:rsidRDefault="00D05FBC" w:rsidP="00E83685">
            <w:pPr>
              <w:pStyle w:val="TableTextSmall"/>
              <w:spacing w:line="260" w:lineRule="exact"/>
              <w:ind w:right="57"/>
              <w:jc w:val="right"/>
              <w:cnfStyle w:val="000000000000" w:firstRow="0" w:lastRow="0" w:firstColumn="0" w:lastColumn="0" w:oddVBand="0" w:evenVBand="0" w:oddHBand="0" w:evenHBand="0" w:firstRowFirstColumn="0" w:firstRowLastColumn="0" w:lastRowFirstColumn="0" w:lastRowLastColumn="0"/>
              <w:rPr>
                <w:rFonts w:ascii="Arial" w:hAnsi="Arial"/>
                <w:color w:val="auto"/>
                <w:sz w:val="18"/>
              </w:rPr>
            </w:pPr>
            <w:r w:rsidRPr="00586FBF">
              <w:rPr>
                <w:rFonts w:ascii="Arial" w:hAnsi="Arial"/>
                <w:color w:val="auto"/>
                <w:sz w:val="18"/>
              </w:rPr>
              <w:t>-22</w:t>
            </w:r>
          </w:p>
        </w:tc>
        <w:tc>
          <w:tcPr>
            <w:tcW w:w="634" w:type="pct"/>
          </w:tcPr>
          <w:p w14:paraId="610FA3E9" w14:textId="64A45607" w:rsidR="00D05FBC" w:rsidRPr="00586FBF" w:rsidRDefault="00D05FBC" w:rsidP="00E83685">
            <w:pPr>
              <w:pStyle w:val="TableTextSmall"/>
              <w:spacing w:line="260" w:lineRule="exact"/>
              <w:ind w:right="57"/>
              <w:jc w:val="right"/>
              <w:cnfStyle w:val="000000000000" w:firstRow="0" w:lastRow="0" w:firstColumn="0" w:lastColumn="0" w:oddVBand="0" w:evenVBand="0" w:oddHBand="0" w:evenHBand="0" w:firstRowFirstColumn="0" w:firstRowLastColumn="0" w:lastRowFirstColumn="0" w:lastRowLastColumn="0"/>
              <w:rPr>
                <w:rFonts w:ascii="Arial" w:hAnsi="Arial"/>
                <w:color w:val="auto"/>
                <w:sz w:val="18"/>
              </w:rPr>
            </w:pPr>
            <w:r w:rsidRPr="00586FBF">
              <w:rPr>
                <w:rFonts w:ascii="Arial" w:hAnsi="Arial"/>
                <w:color w:val="auto"/>
                <w:sz w:val="18"/>
              </w:rPr>
              <w:t>-5.7%</w:t>
            </w:r>
          </w:p>
        </w:tc>
      </w:tr>
      <w:tr w:rsidR="00F714BF" w:rsidRPr="00586FBF" w14:paraId="27805B77" w14:textId="77777777" w:rsidTr="00253CA7">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027" w:type="pct"/>
            <w:hideMark/>
          </w:tcPr>
          <w:p w14:paraId="7074929D" w14:textId="15431713" w:rsidR="00D05FBC" w:rsidRPr="00586FBF" w:rsidRDefault="00D05FBC" w:rsidP="00E83685">
            <w:pPr>
              <w:pStyle w:val="TableTextSmall"/>
              <w:ind w:right="57"/>
              <w:jc w:val="center"/>
              <w:rPr>
                <w:rFonts w:ascii="Arial" w:hAnsi="Arial"/>
                <w:b w:val="0"/>
                <w:color w:val="auto"/>
                <w:sz w:val="18"/>
              </w:rPr>
            </w:pPr>
            <w:r w:rsidRPr="00586FBF">
              <w:rPr>
                <w:sz w:val="18"/>
              </w:rPr>
              <w:t>4 Carers</w:t>
            </w:r>
          </w:p>
        </w:tc>
        <w:tc>
          <w:tcPr>
            <w:tcW w:w="704" w:type="pct"/>
            <w:hideMark/>
          </w:tcPr>
          <w:p w14:paraId="43297A9C" w14:textId="77777777" w:rsidR="00D05FBC" w:rsidRPr="00586FBF" w:rsidRDefault="00D05FBC" w:rsidP="00E83685">
            <w:pPr>
              <w:pStyle w:val="TableTextSmall"/>
              <w:spacing w:line="260" w:lineRule="exact"/>
              <w:ind w:right="57"/>
              <w:jc w:val="right"/>
              <w:cnfStyle w:val="000000100000" w:firstRow="0" w:lastRow="0" w:firstColumn="0" w:lastColumn="0" w:oddVBand="0" w:evenVBand="0" w:oddHBand="1" w:evenHBand="0" w:firstRowFirstColumn="0" w:firstRowLastColumn="0" w:lastRowFirstColumn="0" w:lastRowLastColumn="0"/>
              <w:rPr>
                <w:rFonts w:ascii="Arial" w:hAnsi="Arial"/>
                <w:color w:val="auto"/>
                <w:sz w:val="18"/>
              </w:rPr>
            </w:pPr>
            <w:r w:rsidRPr="00586FBF">
              <w:rPr>
                <w:rFonts w:ascii="Arial" w:hAnsi="Arial"/>
                <w:color w:val="auto"/>
                <w:sz w:val="18"/>
              </w:rPr>
              <w:t>294</w:t>
            </w:r>
          </w:p>
        </w:tc>
        <w:tc>
          <w:tcPr>
            <w:tcW w:w="666" w:type="pct"/>
            <w:hideMark/>
          </w:tcPr>
          <w:p w14:paraId="295189F7" w14:textId="77777777" w:rsidR="00D05FBC" w:rsidRPr="00586FBF" w:rsidRDefault="00D05FBC" w:rsidP="00E83685">
            <w:pPr>
              <w:pStyle w:val="TableTextSmall"/>
              <w:spacing w:line="260" w:lineRule="exact"/>
              <w:ind w:right="57"/>
              <w:jc w:val="right"/>
              <w:cnfStyle w:val="000000100000" w:firstRow="0" w:lastRow="0" w:firstColumn="0" w:lastColumn="0" w:oddVBand="0" w:evenVBand="0" w:oddHBand="1" w:evenHBand="0" w:firstRowFirstColumn="0" w:firstRowLastColumn="0" w:lastRowFirstColumn="0" w:lastRowLastColumn="0"/>
              <w:rPr>
                <w:rFonts w:ascii="Arial" w:hAnsi="Arial"/>
                <w:color w:val="auto"/>
                <w:sz w:val="18"/>
              </w:rPr>
            </w:pPr>
            <w:r w:rsidRPr="00586FBF">
              <w:rPr>
                <w:rFonts w:ascii="Arial" w:hAnsi="Arial"/>
                <w:color w:val="auto"/>
                <w:sz w:val="18"/>
              </w:rPr>
              <w:t>1.2%</w:t>
            </w:r>
          </w:p>
        </w:tc>
        <w:tc>
          <w:tcPr>
            <w:tcW w:w="692" w:type="pct"/>
          </w:tcPr>
          <w:p w14:paraId="382693A9" w14:textId="543DE295" w:rsidR="00D05FBC" w:rsidRPr="00586FBF" w:rsidRDefault="00D05FBC" w:rsidP="00E83685">
            <w:pPr>
              <w:pStyle w:val="TableTextSmall"/>
              <w:spacing w:line="260" w:lineRule="exact"/>
              <w:ind w:right="57"/>
              <w:jc w:val="right"/>
              <w:cnfStyle w:val="000000100000" w:firstRow="0" w:lastRow="0" w:firstColumn="0" w:lastColumn="0" w:oddVBand="0" w:evenVBand="0" w:oddHBand="1" w:evenHBand="0" w:firstRowFirstColumn="0" w:firstRowLastColumn="0" w:lastRowFirstColumn="0" w:lastRowLastColumn="0"/>
              <w:rPr>
                <w:rFonts w:ascii="Arial" w:hAnsi="Arial"/>
                <w:color w:val="auto"/>
                <w:sz w:val="18"/>
              </w:rPr>
            </w:pPr>
            <w:r w:rsidRPr="00586FBF">
              <w:rPr>
                <w:rFonts w:ascii="Arial" w:hAnsi="Arial"/>
                <w:color w:val="auto"/>
                <w:sz w:val="18"/>
              </w:rPr>
              <w:t>299</w:t>
            </w:r>
          </w:p>
        </w:tc>
        <w:tc>
          <w:tcPr>
            <w:tcW w:w="695" w:type="pct"/>
          </w:tcPr>
          <w:p w14:paraId="3AFB8673" w14:textId="5F850421" w:rsidR="00D05FBC" w:rsidRPr="00586FBF" w:rsidRDefault="00D05FBC" w:rsidP="00E83685">
            <w:pPr>
              <w:pStyle w:val="TableTextSmall"/>
              <w:spacing w:line="260" w:lineRule="exact"/>
              <w:ind w:right="57"/>
              <w:jc w:val="right"/>
              <w:cnfStyle w:val="000000100000" w:firstRow="0" w:lastRow="0" w:firstColumn="0" w:lastColumn="0" w:oddVBand="0" w:evenVBand="0" w:oddHBand="1" w:evenHBand="0" w:firstRowFirstColumn="0" w:firstRowLastColumn="0" w:lastRowFirstColumn="0" w:lastRowLastColumn="0"/>
              <w:rPr>
                <w:rFonts w:ascii="Arial" w:hAnsi="Arial"/>
                <w:color w:val="auto"/>
                <w:sz w:val="18"/>
              </w:rPr>
            </w:pPr>
            <w:r w:rsidRPr="00586FBF">
              <w:rPr>
                <w:rFonts w:ascii="Arial" w:hAnsi="Arial"/>
                <w:color w:val="auto"/>
                <w:sz w:val="18"/>
              </w:rPr>
              <w:t>1.2%</w:t>
            </w:r>
          </w:p>
        </w:tc>
        <w:tc>
          <w:tcPr>
            <w:tcW w:w="582" w:type="pct"/>
          </w:tcPr>
          <w:p w14:paraId="5E61AB43" w14:textId="59BFAC50" w:rsidR="00D05FBC" w:rsidRPr="00586FBF" w:rsidRDefault="00D05FBC" w:rsidP="00E83685">
            <w:pPr>
              <w:pStyle w:val="TableTextSmall"/>
              <w:spacing w:line="260" w:lineRule="exact"/>
              <w:ind w:right="57"/>
              <w:jc w:val="right"/>
              <w:cnfStyle w:val="000000100000" w:firstRow="0" w:lastRow="0" w:firstColumn="0" w:lastColumn="0" w:oddVBand="0" w:evenVBand="0" w:oddHBand="1" w:evenHBand="0" w:firstRowFirstColumn="0" w:firstRowLastColumn="0" w:lastRowFirstColumn="0" w:lastRowLastColumn="0"/>
              <w:rPr>
                <w:rFonts w:ascii="Arial" w:hAnsi="Arial"/>
                <w:color w:val="auto"/>
                <w:sz w:val="18"/>
              </w:rPr>
            </w:pPr>
            <w:r w:rsidRPr="00586FBF">
              <w:rPr>
                <w:rFonts w:ascii="Arial" w:hAnsi="Arial"/>
                <w:color w:val="auto"/>
                <w:sz w:val="18"/>
              </w:rPr>
              <w:t>5</w:t>
            </w:r>
          </w:p>
        </w:tc>
        <w:tc>
          <w:tcPr>
            <w:tcW w:w="634" w:type="pct"/>
          </w:tcPr>
          <w:p w14:paraId="63F42019" w14:textId="48ABD216" w:rsidR="00D05FBC" w:rsidRPr="00586FBF" w:rsidRDefault="00D05FBC" w:rsidP="00E83685">
            <w:pPr>
              <w:pStyle w:val="TableTextSmall"/>
              <w:spacing w:line="260" w:lineRule="exact"/>
              <w:ind w:right="57"/>
              <w:jc w:val="right"/>
              <w:cnfStyle w:val="000000100000" w:firstRow="0" w:lastRow="0" w:firstColumn="0" w:lastColumn="0" w:oddVBand="0" w:evenVBand="0" w:oddHBand="1" w:evenHBand="0" w:firstRowFirstColumn="0" w:firstRowLastColumn="0" w:lastRowFirstColumn="0" w:lastRowLastColumn="0"/>
              <w:rPr>
                <w:rFonts w:ascii="Arial" w:hAnsi="Arial"/>
                <w:color w:val="auto"/>
                <w:sz w:val="18"/>
              </w:rPr>
            </w:pPr>
            <w:r w:rsidRPr="00586FBF">
              <w:rPr>
                <w:rFonts w:ascii="Arial" w:hAnsi="Arial"/>
                <w:color w:val="auto"/>
                <w:sz w:val="18"/>
              </w:rPr>
              <w:t>1.8%</w:t>
            </w:r>
          </w:p>
        </w:tc>
      </w:tr>
      <w:tr w:rsidR="00F714BF" w:rsidRPr="00586FBF" w14:paraId="25EDC7EE" w14:textId="77777777" w:rsidTr="00253CA7">
        <w:trPr>
          <w:trHeight w:val="256"/>
        </w:trPr>
        <w:tc>
          <w:tcPr>
            <w:cnfStyle w:val="001000000000" w:firstRow="0" w:lastRow="0" w:firstColumn="1" w:lastColumn="0" w:oddVBand="0" w:evenVBand="0" w:oddHBand="0" w:evenHBand="0" w:firstRowFirstColumn="0" w:firstRowLastColumn="0" w:lastRowFirstColumn="0" w:lastRowLastColumn="0"/>
            <w:tcW w:w="1027" w:type="pct"/>
            <w:hideMark/>
          </w:tcPr>
          <w:p w14:paraId="0241ABCB" w14:textId="17CD1A47" w:rsidR="00D05FBC" w:rsidRPr="00586FBF" w:rsidRDefault="00D05FBC" w:rsidP="00E83685">
            <w:pPr>
              <w:pStyle w:val="TableTextSmall"/>
              <w:ind w:right="57"/>
              <w:jc w:val="center"/>
              <w:rPr>
                <w:rFonts w:ascii="Arial" w:hAnsi="Arial"/>
                <w:b w:val="0"/>
                <w:color w:val="auto"/>
                <w:sz w:val="18"/>
              </w:rPr>
            </w:pPr>
            <w:r w:rsidRPr="00586FBF">
              <w:rPr>
                <w:sz w:val="18"/>
              </w:rPr>
              <w:t>5 Disability Support</w:t>
            </w:r>
          </w:p>
        </w:tc>
        <w:tc>
          <w:tcPr>
            <w:tcW w:w="704" w:type="pct"/>
            <w:hideMark/>
          </w:tcPr>
          <w:p w14:paraId="2C6829C5" w14:textId="77777777" w:rsidR="00D05FBC" w:rsidRPr="00586FBF" w:rsidRDefault="00D05FBC" w:rsidP="00E83685">
            <w:pPr>
              <w:pStyle w:val="TableTextSmall"/>
              <w:spacing w:line="260" w:lineRule="exact"/>
              <w:ind w:right="57"/>
              <w:jc w:val="right"/>
              <w:cnfStyle w:val="000000000000" w:firstRow="0" w:lastRow="0" w:firstColumn="0" w:lastColumn="0" w:oddVBand="0" w:evenVBand="0" w:oddHBand="0" w:evenHBand="0" w:firstRowFirstColumn="0" w:firstRowLastColumn="0" w:lastRowFirstColumn="0" w:lastRowLastColumn="0"/>
              <w:rPr>
                <w:rFonts w:ascii="Arial" w:hAnsi="Arial"/>
                <w:color w:val="auto"/>
                <w:sz w:val="18"/>
              </w:rPr>
            </w:pPr>
            <w:r w:rsidRPr="00586FBF">
              <w:rPr>
                <w:rFonts w:ascii="Arial" w:hAnsi="Arial"/>
                <w:color w:val="auto"/>
                <w:sz w:val="18"/>
              </w:rPr>
              <w:t>762</w:t>
            </w:r>
          </w:p>
        </w:tc>
        <w:tc>
          <w:tcPr>
            <w:tcW w:w="666" w:type="pct"/>
            <w:hideMark/>
          </w:tcPr>
          <w:p w14:paraId="331725B0" w14:textId="77777777" w:rsidR="00D05FBC" w:rsidRPr="00586FBF" w:rsidRDefault="00D05FBC" w:rsidP="00E83685">
            <w:pPr>
              <w:pStyle w:val="TableTextSmall"/>
              <w:spacing w:line="260" w:lineRule="exact"/>
              <w:ind w:right="57"/>
              <w:jc w:val="right"/>
              <w:cnfStyle w:val="000000000000" w:firstRow="0" w:lastRow="0" w:firstColumn="0" w:lastColumn="0" w:oddVBand="0" w:evenVBand="0" w:oddHBand="0" w:evenHBand="0" w:firstRowFirstColumn="0" w:firstRowLastColumn="0" w:lastRowFirstColumn="0" w:lastRowLastColumn="0"/>
              <w:rPr>
                <w:rFonts w:ascii="Arial" w:hAnsi="Arial"/>
                <w:color w:val="auto"/>
                <w:sz w:val="18"/>
              </w:rPr>
            </w:pPr>
            <w:r w:rsidRPr="00586FBF">
              <w:rPr>
                <w:rFonts w:ascii="Arial" w:hAnsi="Arial"/>
                <w:color w:val="auto"/>
                <w:sz w:val="18"/>
              </w:rPr>
              <w:t>3.0%</w:t>
            </w:r>
          </w:p>
        </w:tc>
        <w:tc>
          <w:tcPr>
            <w:tcW w:w="692" w:type="pct"/>
          </w:tcPr>
          <w:p w14:paraId="1A0DA77B" w14:textId="2B60D612" w:rsidR="00D05FBC" w:rsidRPr="00586FBF" w:rsidRDefault="00D05FBC" w:rsidP="00E83685">
            <w:pPr>
              <w:pStyle w:val="TableTextSmall"/>
              <w:spacing w:line="260" w:lineRule="exact"/>
              <w:ind w:right="57"/>
              <w:jc w:val="right"/>
              <w:cnfStyle w:val="000000000000" w:firstRow="0" w:lastRow="0" w:firstColumn="0" w:lastColumn="0" w:oddVBand="0" w:evenVBand="0" w:oddHBand="0" w:evenHBand="0" w:firstRowFirstColumn="0" w:firstRowLastColumn="0" w:lastRowFirstColumn="0" w:lastRowLastColumn="0"/>
              <w:rPr>
                <w:rFonts w:ascii="Arial" w:hAnsi="Arial"/>
                <w:color w:val="auto"/>
                <w:sz w:val="18"/>
              </w:rPr>
            </w:pPr>
            <w:r w:rsidRPr="00586FBF">
              <w:rPr>
                <w:rFonts w:ascii="Arial" w:hAnsi="Arial"/>
                <w:color w:val="auto"/>
                <w:sz w:val="18"/>
              </w:rPr>
              <w:t>751</w:t>
            </w:r>
          </w:p>
        </w:tc>
        <w:tc>
          <w:tcPr>
            <w:tcW w:w="695" w:type="pct"/>
          </w:tcPr>
          <w:p w14:paraId="18DEEBA8" w14:textId="3FFAF37E" w:rsidR="00D05FBC" w:rsidRPr="00586FBF" w:rsidRDefault="00D05FBC" w:rsidP="00E83685">
            <w:pPr>
              <w:pStyle w:val="TableTextSmall"/>
              <w:spacing w:line="260" w:lineRule="exact"/>
              <w:ind w:right="57"/>
              <w:jc w:val="right"/>
              <w:cnfStyle w:val="000000000000" w:firstRow="0" w:lastRow="0" w:firstColumn="0" w:lastColumn="0" w:oddVBand="0" w:evenVBand="0" w:oddHBand="0" w:evenHBand="0" w:firstRowFirstColumn="0" w:firstRowLastColumn="0" w:lastRowFirstColumn="0" w:lastRowLastColumn="0"/>
              <w:rPr>
                <w:rFonts w:ascii="Arial" w:hAnsi="Arial"/>
                <w:color w:val="auto"/>
                <w:sz w:val="18"/>
              </w:rPr>
            </w:pPr>
            <w:r w:rsidRPr="00586FBF">
              <w:rPr>
                <w:rFonts w:ascii="Arial" w:hAnsi="Arial"/>
                <w:color w:val="auto"/>
                <w:sz w:val="18"/>
              </w:rPr>
              <w:t>2.9%</w:t>
            </w:r>
          </w:p>
        </w:tc>
        <w:tc>
          <w:tcPr>
            <w:tcW w:w="582" w:type="pct"/>
          </w:tcPr>
          <w:p w14:paraId="3B035AEE" w14:textId="12010663" w:rsidR="00D05FBC" w:rsidRPr="00586FBF" w:rsidRDefault="00D05FBC" w:rsidP="00E83685">
            <w:pPr>
              <w:pStyle w:val="TableTextSmall"/>
              <w:spacing w:line="260" w:lineRule="exact"/>
              <w:ind w:right="57"/>
              <w:jc w:val="right"/>
              <w:cnfStyle w:val="000000000000" w:firstRow="0" w:lastRow="0" w:firstColumn="0" w:lastColumn="0" w:oddVBand="0" w:evenVBand="0" w:oddHBand="0" w:evenHBand="0" w:firstRowFirstColumn="0" w:firstRowLastColumn="0" w:lastRowFirstColumn="0" w:lastRowLastColumn="0"/>
              <w:rPr>
                <w:rFonts w:ascii="Arial" w:hAnsi="Arial"/>
                <w:color w:val="auto"/>
                <w:sz w:val="18"/>
              </w:rPr>
            </w:pPr>
            <w:r w:rsidRPr="00586FBF">
              <w:rPr>
                <w:rFonts w:ascii="Arial" w:hAnsi="Arial"/>
                <w:color w:val="auto"/>
                <w:sz w:val="18"/>
              </w:rPr>
              <w:t>-11</w:t>
            </w:r>
          </w:p>
        </w:tc>
        <w:tc>
          <w:tcPr>
            <w:tcW w:w="634" w:type="pct"/>
          </w:tcPr>
          <w:p w14:paraId="0AC44092" w14:textId="78B0DCB8" w:rsidR="00D05FBC" w:rsidRPr="00586FBF" w:rsidRDefault="00D05FBC" w:rsidP="00E83685">
            <w:pPr>
              <w:pStyle w:val="TableTextSmall"/>
              <w:spacing w:line="260" w:lineRule="exact"/>
              <w:ind w:right="57"/>
              <w:jc w:val="right"/>
              <w:cnfStyle w:val="000000000000" w:firstRow="0" w:lastRow="0" w:firstColumn="0" w:lastColumn="0" w:oddVBand="0" w:evenVBand="0" w:oddHBand="0" w:evenHBand="0" w:firstRowFirstColumn="0" w:firstRowLastColumn="0" w:lastRowFirstColumn="0" w:lastRowLastColumn="0"/>
              <w:rPr>
                <w:rFonts w:ascii="Arial" w:hAnsi="Arial"/>
                <w:color w:val="auto"/>
                <w:sz w:val="18"/>
              </w:rPr>
            </w:pPr>
            <w:r w:rsidRPr="00586FBF">
              <w:rPr>
                <w:rFonts w:ascii="Arial" w:hAnsi="Arial"/>
                <w:color w:val="auto"/>
                <w:sz w:val="18"/>
              </w:rPr>
              <w:t>-1.4%</w:t>
            </w:r>
          </w:p>
        </w:tc>
      </w:tr>
      <w:tr w:rsidR="00F714BF" w:rsidRPr="00586FBF" w14:paraId="54D9FD67" w14:textId="77777777" w:rsidTr="00253CA7">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027" w:type="pct"/>
            <w:hideMark/>
          </w:tcPr>
          <w:p w14:paraId="2E1BB35A" w14:textId="7D58BAD5" w:rsidR="00D05FBC" w:rsidRPr="00586FBF" w:rsidRDefault="00D05FBC" w:rsidP="00E83685">
            <w:pPr>
              <w:pStyle w:val="TableTextSmall"/>
              <w:ind w:right="57"/>
              <w:jc w:val="center"/>
              <w:rPr>
                <w:rFonts w:ascii="Arial" w:hAnsi="Arial"/>
                <w:b w:val="0"/>
                <w:color w:val="auto"/>
                <w:sz w:val="18"/>
              </w:rPr>
            </w:pPr>
            <w:r w:rsidRPr="00586FBF">
              <w:rPr>
                <w:sz w:val="18"/>
              </w:rPr>
              <w:t>6 Pension Age</w:t>
            </w:r>
          </w:p>
        </w:tc>
        <w:tc>
          <w:tcPr>
            <w:tcW w:w="704" w:type="pct"/>
            <w:hideMark/>
          </w:tcPr>
          <w:p w14:paraId="77BC5EE1" w14:textId="77777777" w:rsidR="00D05FBC" w:rsidRPr="00586FBF" w:rsidRDefault="00D05FBC" w:rsidP="00E83685">
            <w:pPr>
              <w:pStyle w:val="TableTextSmall"/>
              <w:spacing w:line="260" w:lineRule="exact"/>
              <w:ind w:right="57"/>
              <w:jc w:val="right"/>
              <w:cnfStyle w:val="000000100000" w:firstRow="0" w:lastRow="0" w:firstColumn="0" w:lastColumn="0" w:oddVBand="0" w:evenVBand="0" w:oddHBand="1" w:evenHBand="0" w:firstRowFirstColumn="0" w:firstRowLastColumn="0" w:lastRowFirstColumn="0" w:lastRowLastColumn="0"/>
              <w:rPr>
                <w:rFonts w:ascii="Arial" w:hAnsi="Arial"/>
                <w:color w:val="auto"/>
                <w:sz w:val="18"/>
              </w:rPr>
            </w:pPr>
            <w:r w:rsidRPr="00586FBF">
              <w:rPr>
                <w:rFonts w:ascii="Arial" w:hAnsi="Arial"/>
                <w:color w:val="auto"/>
                <w:sz w:val="18"/>
              </w:rPr>
              <w:t>2,508</w:t>
            </w:r>
          </w:p>
        </w:tc>
        <w:tc>
          <w:tcPr>
            <w:tcW w:w="666" w:type="pct"/>
            <w:hideMark/>
          </w:tcPr>
          <w:p w14:paraId="1090E01E" w14:textId="77777777" w:rsidR="00D05FBC" w:rsidRPr="00586FBF" w:rsidRDefault="00D05FBC" w:rsidP="00E83685">
            <w:pPr>
              <w:pStyle w:val="TableTextSmall"/>
              <w:spacing w:line="260" w:lineRule="exact"/>
              <w:ind w:right="57"/>
              <w:jc w:val="right"/>
              <w:cnfStyle w:val="000000100000" w:firstRow="0" w:lastRow="0" w:firstColumn="0" w:lastColumn="0" w:oddVBand="0" w:evenVBand="0" w:oddHBand="1" w:evenHBand="0" w:firstRowFirstColumn="0" w:firstRowLastColumn="0" w:lastRowFirstColumn="0" w:lastRowLastColumn="0"/>
              <w:rPr>
                <w:rFonts w:ascii="Arial" w:hAnsi="Arial"/>
                <w:color w:val="auto"/>
                <w:sz w:val="18"/>
              </w:rPr>
            </w:pPr>
            <w:r w:rsidRPr="00586FBF">
              <w:rPr>
                <w:rFonts w:ascii="Arial" w:hAnsi="Arial"/>
                <w:color w:val="auto"/>
                <w:sz w:val="18"/>
              </w:rPr>
              <w:t>10.0%</w:t>
            </w:r>
          </w:p>
        </w:tc>
        <w:tc>
          <w:tcPr>
            <w:tcW w:w="692" w:type="pct"/>
          </w:tcPr>
          <w:p w14:paraId="20F29479" w14:textId="58EDFABF" w:rsidR="00D05FBC" w:rsidRPr="00586FBF" w:rsidRDefault="00D05FBC" w:rsidP="00E83685">
            <w:pPr>
              <w:pStyle w:val="TableTextSmall"/>
              <w:spacing w:line="260" w:lineRule="exact"/>
              <w:ind w:right="57"/>
              <w:jc w:val="right"/>
              <w:cnfStyle w:val="000000100000" w:firstRow="0" w:lastRow="0" w:firstColumn="0" w:lastColumn="0" w:oddVBand="0" w:evenVBand="0" w:oddHBand="1" w:evenHBand="0" w:firstRowFirstColumn="0" w:firstRowLastColumn="0" w:lastRowFirstColumn="0" w:lastRowLastColumn="0"/>
              <w:rPr>
                <w:rFonts w:ascii="Arial" w:hAnsi="Arial"/>
                <w:color w:val="auto"/>
                <w:sz w:val="18"/>
              </w:rPr>
            </w:pPr>
            <w:r w:rsidRPr="00586FBF">
              <w:rPr>
                <w:rFonts w:ascii="Arial" w:hAnsi="Arial"/>
                <w:color w:val="auto"/>
                <w:sz w:val="18"/>
              </w:rPr>
              <w:t>2,554</w:t>
            </w:r>
          </w:p>
        </w:tc>
        <w:tc>
          <w:tcPr>
            <w:tcW w:w="695" w:type="pct"/>
          </w:tcPr>
          <w:p w14:paraId="1536BAEE" w14:textId="1DF3D168" w:rsidR="00D05FBC" w:rsidRPr="00586FBF" w:rsidRDefault="00D05FBC" w:rsidP="00E83685">
            <w:pPr>
              <w:pStyle w:val="TableTextSmall"/>
              <w:spacing w:line="260" w:lineRule="exact"/>
              <w:ind w:right="57"/>
              <w:jc w:val="right"/>
              <w:cnfStyle w:val="000000100000" w:firstRow="0" w:lastRow="0" w:firstColumn="0" w:lastColumn="0" w:oddVBand="0" w:evenVBand="0" w:oddHBand="1" w:evenHBand="0" w:firstRowFirstColumn="0" w:firstRowLastColumn="0" w:lastRowFirstColumn="0" w:lastRowLastColumn="0"/>
              <w:rPr>
                <w:rFonts w:ascii="Arial" w:hAnsi="Arial"/>
                <w:color w:val="auto"/>
                <w:sz w:val="18"/>
              </w:rPr>
            </w:pPr>
            <w:r w:rsidRPr="00586FBF">
              <w:rPr>
                <w:rFonts w:ascii="Arial" w:hAnsi="Arial"/>
                <w:color w:val="auto"/>
                <w:sz w:val="18"/>
              </w:rPr>
              <w:t>10.0%</w:t>
            </w:r>
          </w:p>
        </w:tc>
        <w:tc>
          <w:tcPr>
            <w:tcW w:w="582" w:type="pct"/>
          </w:tcPr>
          <w:p w14:paraId="6FADEF2F" w14:textId="0E6A2D28" w:rsidR="00D05FBC" w:rsidRPr="00586FBF" w:rsidRDefault="00D05FBC" w:rsidP="00E83685">
            <w:pPr>
              <w:pStyle w:val="TableTextSmall"/>
              <w:spacing w:line="260" w:lineRule="exact"/>
              <w:ind w:right="57"/>
              <w:jc w:val="right"/>
              <w:cnfStyle w:val="000000100000" w:firstRow="0" w:lastRow="0" w:firstColumn="0" w:lastColumn="0" w:oddVBand="0" w:evenVBand="0" w:oddHBand="1" w:evenHBand="0" w:firstRowFirstColumn="0" w:firstRowLastColumn="0" w:lastRowFirstColumn="0" w:lastRowLastColumn="0"/>
              <w:rPr>
                <w:rFonts w:ascii="Arial" w:hAnsi="Arial"/>
                <w:color w:val="auto"/>
                <w:sz w:val="18"/>
              </w:rPr>
            </w:pPr>
            <w:r w:rsidRPr="00586FBF">
              <w:rPr>
                <w:rFonts w:ascii="Arial" w:hAnsi="Arial"/>
                <w:color w:val="auto"/>
                <w:sz w:val="18"/>
              </w:rPr>
              <w:t>46</w:t>
            </w:r>
          </w:p>
        </w:tc>
        <w:tc>
          <w:tcPr>
            <w:tcW w:w="634" w:type="pct"/>
          </w:tcPr>
          <w:p w14:paraId="7EBDDD26" w14:textId="63975050" w:rsidR="00D05FBC" w:rsidRPr="00586FBF" w:rsidRDefault="00D05FBC" w:rsidP="00E83685">
            <w:pPr>
              <w:pStyle w:val="TableTextSmall"/>
              <w:spacing w:line="260" w:lineRule="exact"/>
              <w:ind w:right="57"/>
              <w:jc w:val="right"/>
              <w:cnfStyle w:val="000000100000" w:firstRow="0" w:lastRow="0" w:firstColumn="0" w:lastColumn="0" w:oddVBand="0" w:evenVBand="0" w:oddHBand="1" w:evenHBand="0" w:firstRowFirstColumn="0" w:firstRowLastColumn="0" w:lastRowFirstColumn="0" w:lastRowLastColumn="0"/>
              <w:rPr>
                <w:rFonts w:ascii="Arial" w:hAnsi="Arial"/>
                <w:color w:val="auto"/>
                <w:sz w:val="18"/>
              </w:rPr>
            </w:pPr>
            <w:r w:rsidRPr="00586FBF">
              <w:rPr>
                <w:rFonts w:ascii="Arial" w:hAnsi="Arial"/>
                <w:color w:val="auto"/>
                <w:sz w:val="18"/>
              </w:rPr>
              <w:t>1.9%</w:t>
            </w:r>
          </w:p>
        </w:tc>
      </w:tr>
      <w:tr w:rsidR="00F714BF" w:rsidRPr="00586FBF" w14:paraId="195D06CE" w14:textId="77777777" w:rsidTr="00253CA7">
        <w:trPr>
          <w:trHeight w:val="256"/>
        </w:trPr>
        <w:tc>
          <w:tcPr>
            <w:cnfStyle w:val="001000000000" w:firstRow="0" w:lastRow="0" w:firstColumn="1" w:lastColumn="0" w:oddVBand="0" w:evenVBand="0" w:oddHBand="0" w:evenHBand="0" w:firstRowFirstColumn="0" w:firstRowLastColumn="0" w:lastRowFirstColumn="0" w:lastRowLastColumn="0"/>
            <w:tcW w:w="1027" w:type="pct"/>
            <w:hideMark/>
          </w:tcPr>
          <w:p w14:paraId="49DB4956" w14:textId="77777777" w:rsidR="00331CEF" w:rsidRPr="00586FBF" w:rsidRDefault="00331CEF" w:rsidP="00E83685">
            <w:pPr>
              <w:pStyle w:val="TableTextSmall"/>
              <w:ind w:right="57"/>
              <w:jc w:val="center"/>
              <w:rPr>
                <w:rFonts w:ascii="Arial" w:hAnsi="Arial"/>
                <w:color w:val="auto"/>
                <w:sz w:val="18"/>
              </w:rPr>
            </w:pPr>
            <w:r w:rsidRPr="00586FBF">
              <w:rPr>
                <w:rFonts w:ascii="Arial" w:hAnsi="Arial"/>
                <w:color w:val="auto"/>
                <w:sz w:val="18"/>
              </w:rPr>
              <w:t>Income support recipient subtotal</w:t>
            </w:r>
          </w:p>
        </w:tc>
        <w:tc>
          <w:tcPr>
            <w:tcW w:w="704" w:type="pct"/>
            <w:hideMark/>
          </w:tcPr>
          <w:p w14:paraId="7C9937D0" w14:textId="77777777" w:rsidR="00331CEF" w:rsidRPr="00586FBF" w:rsidRDefault="00331CEF" w:rsidP="00E83685">
            <w:pPr>
              <w:pStyle w:val="TableTextSmall"/>
              <w:spacing w:line="260" w:lineRule="exact"/>
              <w:ind w:right="57"/>
              <w:jc w:val="right"/>
              <w:cnfStyle w:val="000000000000" w:firstRow="0" w:lastRow="0" w:firstColumn="0" w:lastColumn="0" w:oddVBand="0" w:evenVBand="0" w:oddHBand="0" w:evenHBand="0" w:firstRowFirstColumn="0" w:firstRowLastColumn="0" w:lastRowFirstColumn="0" w:lastRowLastColumn="0"/>
              <w:rPr>
                <w:rFonts w:ascii="Arial" w:hAnsi="Arial"/>
                <w:b/>
                <w:color w:val="auto"/>
                <w:sz w:val="18"/>
              </w:rPr>
            </w:pPr>
            <w:r w:rsidRPr="00586FBF">
              <w:rPr>
                <w:rFonts w:ascii="Arial" w:hAnsi="Arial"/>
                <w:b/>
                <w:color w:val="auto"/>
                <w:sz w:val="18"/>
              </w:rPr>
              <w:t>5,541</w:t>
            </w:r>
          </w:p>
        </w:tc>
        <w:tc>
          <w:tcPr>
            <w:tcW w:w="666" w:type="pct"/>
            <w:hideMark/>
          </w:tcPr>
          <w:p w14:paraId="1CFF2305" w14:textId="77777777" w:rsidR="00331CEF" w:rsidRPr="00586FBF" w:rsidRDefault="00331CEF" w:rsidP="00E83685">
            <w:pPr>
              <w:pStyle w:val="TableTextSmall"/>
              <w:spacing w:line="260" w:lineRule="exact"/>
              <w:ind w:right="57"/>
              <w:jc w:val="right"/>
              <w:cnfStyle w:val="000000000000" w:firstRow="0" w:lastRow="0" w:firstColumn="0" w:lastColumn="0" w:oddVBand="0" w:evenVBand="0" w:oddHBand="0" w:evenHBand="0" w:firstRowFirstColumn="0" w:firstRowLastColumn="0" w:lastRowFirstColumn="0" w:lastRowLastColumn="0"/>
              <w:rPr>
                <w:rFonts w:ascii="Arial" w:hAnsi="Arial"/>
                <w:b/>
                <w:color w:val="auto"/>
                <w:sz w:val="18"/>
              </w:rPr>
            </w:pPr>
            <w:r w:rsidRPr="00586FBF">
              <w:rPr>
                <w:rFonts w:ascii="Arial" w:hAnsi="Arial"/>
                <w:b/>
                <w:color w:val="auto"/>
                <w:sz w:val="18"/>
              </w:rPr>
              <w:t>22.1%</w:t>
            </w:r>
          </w:p>
        </w:tc>
        <w:tc>
          <w:tcPr>
            <w:tcW w:w="692" w:type="pct"/>
          </w:tcPr>
          <w:p w14:paraId="02EF456C" w14:textId="1156D15E" w:rsidR="00331CEF" w:rsidRPr="00586FBF" w:rsidRDefault="00F40317" w:rsidP="00E83685">
            <w:pPr>
              <w:pStyle w:val="TableTextSmall"/>
              <w:spacing w:line="260" w:lineRule="exact"/>
              <w:ind w:right="57"/>
              <w:jc w:val="right"/>
              <w:cnfStyle w:val="000000000000" w:firstRow="0" w:lastRow="0" w:firstColumn="0" w:lastColumn="0" w:oddVBand="0" w:evenVBand="0" w:oddHBand="0" w:evenHBand="0" w:firstRowFirstColumn="0" w:firstRowLastColumn="0" w:lastRowFirstColumn="0" w:lastRowLastColumn="0"/>
              <w:rPr>
                <w:rFonts w:ascii="Arial" w:hAnsi="Arial"/>
                <w:b/>
                <w:color w:val="auto"/>
                <w:sz w:val="18"/>
              </w:rPr>
            </w:pPr>
            <w:r w:rsidRPr="00586FBF">
              <w:rPr>
                <w:rFonts w:ascii="Arial" w:hAnsi="Arial"/>
                <w:b/>
                <w:color w:val="auto"/>
                <w:sz w:val="18"/>
              </w:rPr>
              <w:t>5,469</w:t>
            </w:r>
          </w:p>
        </w:tc>
        <w:tc>
          <w:tcPr>
            <w:tcW w:w="695" w:type="pct"/>
          </w:tcPr>
          <w:p w14:paraId="3046E21A" w14:textId="41EEF5E2" w:rsidR="00331CEF" w:rsidRPr="00586FBF" w:rsidRDefault="00F40317" w:rsidP="00E83685">
            <w:pPr>
              <w:pStyle w:val="TableTextSmall"/>
              <w:spacing w:line="260" w:lineRule="exact"/>
              <w:ind w:right="57"/>
              <w:jc w:val="right"/>
              <w:cnfStyle w:val="000000000000" w:firstRow="0" w:lastRow="0" w:firstColumn="0" w:lastColumn="0" w:oddVBand="0" w:evenVBand="0" w:oddHBand="0" w:evenHBand="0" w:firstRowFirstColumn="0" w:firstRowLastColumn="0" w:lastRowFirstColumn="0" w:lastRowLastColumn="0"/>
              <w:rPr>
                <w:rFonts w:ascii="Arial" w:hAnsi="Arial"/>
                <w:b/>
                <w:color w:val="auto"/>
                <w:sz w:val="18"/>
              </w:rPr>
            </w:pPr>
            <w:r w:rsidRPr="00586FBF">
              <w:rPr>
                <w:rFonts w:ascii="Arial" w:hAnsi="Arial"/>
                <w:b/>
                <w:color w:val="auto"/>
                <w:sz w:val="18"/>
              </w:rPr>
              <w:t>21.5%</w:t>
            </w:r>
          </w:p>
        </w:tc>
        <w:tc>
          <w:tcPr>
            <w:tcW w:w="582" w:type="pct"/>
          </w:tcPr>
          <w:p w14:paraId="2A5CDD2F" w14:textId="0763C2DB" w:rsidR="00331CEF" w:rsidRPr="00586FBF" w:rsidRDefault="00A63775" w:rsidP="00E83685">
            <w:pPr>
              <w:pStyle w:val="TableTextSmall"/>
              <w:spacing w:line="260" w:lineRule="exact"/>
              <w:ind w:right="57"/>
              <w:jc w:val="right"/>
              <w:cnfStyle w:val="000000000000" w:firstRow="0" w:lastRow="0" w:firstColumn="0" w:lastColumn="0" w:oddVBand="0" w:evenVBand="0" w:oddHBand="0" w:evenHBand="0" w:firstRowFirstColumn="0" w:firstRowLastColumn="0" w:lastRowFirstColumn="0" w:lastRowLastColumn="0"/>
              <w:rPr>
                <w:rFonts w:ascii="Arial" w:hAnsi="Arial"/>
                <w:b/>
                <w:color w:val="auto"/>
                <w:sz w:val="18"/>
              </w:rPr>
            </w:pPr>
            <w:r w:rsidRPr="00586FBF">
              <w:rPr>
                <w:rFonts w:ascii="Arial" w:hAnsi="Arial"/>
                <w:b/>
                <w:color w:val="auto"/>
                <w:sz w:val="18"/>
              </w:rPr>
              <w:t>-72</w:t>
            </w:r>
          </w:p>
        </w:tc>
        <w:tc>
          <w:tcPr>
            <w:tcW w:w="634" w:type="pct"/>
          </w:tcPr>
          <w:p w14:paraId="479E2778" w14:textId="378413A7" w:rsidR="00331CEF" w:rsidRPr="00586FBF" w:rsidRDefault="00A63775" w:rsidP="00E83685">
            <w:pPr>
              <w:pStyle w:val="TableTextSmall"/>
              <w:spacing w:line="260" w:lineRule="exact"/>
              <w:ind w:right="57"/>
              <w:jc w:val="right"/>
              <w:cnfStyle w:val="000000000000" w:firstRow="0" w:lastRow="0" w:firstColumn="0" w:lastColumn="0" w:oddVBand="0" w:evenVBand="0" w:oddHBand="0" w:evenHBand="0" w:firstRowFirstColumn="0" w:firstRowLastColumn="0" w:lastRowFirstColumn="0" w:lastRowLastColumn="0"/>
              <w:rPr>
                <w:rFonts w:ascii="Arial" w:hAnsi="Arial"/>
                <w:b/>
                <w:color w:val="auto"/>
                <w:sz w:val="18"/>
              </w:rPr>
            </w:pPr>
            <w:r w:rsidRPr="00586FBF">
              <w:rPr>
                <w:rFonts w:ascii="Arial" w:hAnsi="Arial"/>
                <w:b/>
                <w:color w:val="auto"/>
                <w:sz w:val="18"/>
              </w:rPr>
              <w:t>-1.3%</w:t>
            </w:r>
          </w:p>
        </w:tc>
      </w:tr>
      <w:tr w:rsidR="00F714BF" w:rsidRPr="00586FBF" w14:paraId="0854FF0D" w14:textId="77777777" w:rsidTr="00253CA7">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027" w:type="pct"/>
            <w:hideMark/>
          </w:tcPr>
          <w:p w14:paraId="20DAC901" w14:textId="57D9994B" w:rsidR="00D05FBC" w:rsidRPr="00586FBF" w:rsidRDefault="00D05FBC" w:rsidP="00E83685">
            <w:pPr>
              <w:pStyle w:val="TableTextSmall"/>
              <w:ind w:right="57"/>
              <w:jc w:val="center"/>
              <w:rPr>
                <w:rFonts w:ascii="Arial" w:hAnsi="Arial"/>
                <w:b w:val="0"/>
                <w:color w:val="auto"/>
                <w:sz w:val="18"/>
              </w:rPr>
            </w:pPr>
            <w:r w:rsidRPr="00586FBF">
              <w:rPr>
                <w:sz w:val="18"/>
              </w:rPr>
              <w:t>7 Non-IS Family</w:t>
            </w:r>
          </w:p>
        </w:tc>
        <w:tc>
          <w:tcPr>
            <w:tcW w:w="704" w:type="pct"/>
            <w:hideMark/>
          </w:tcPr>
          <w:p w14:paraId="045DFFBD" w14:textId="77777777" w:rsidR="00D05FBC" w:rsidRPr="00586FBF" w:rsidRDefault="00D05FBC" w:rsidP="00E83685">
            <w:pPr>
              <w:pStyle w:val="TableTextSmall"/>
              <w:spacing w:line="260" w:lineRule="exact"/>
              <w:ind w:right="57"/>
              <w:jc w:val="right"/>
              <w:cnfStyle w:val="000000100000" w:firstRow="0" w:lastRow="0" w:firstColumn="0" w:lastColumn="0" w:oddVBand="0" w:evenVBand="0" w:oddHBand="1" w:evenHBand="0" w:firstRowFirstColumn="0" w:firstRowLastColumn="0" w:lastRowFirstColumn="0" w:lastRowLastColumn="0"/>
              <w:rPr>
                <w:rFonts w:ascii="Arial" w:hAnsi="Arial"/>
                <w:color w:val="auto"/>
                <w:sz w:val="18"/>
              </w:rPr>
            </w:pPr>
            <w:r w:rsidRPr="00586FBF">
              <w:rPr>
                <w:rFonts w:ascii="Arial" w:hAnsi="Arial"/>
                <w:color w:val="auto"/>
                <w:sz w:val="18"/>
              </w:rPr>
              <w:t>1,540</w:t>
            </w:r>
          </w:p>
        </w:tc>
        <w:tc>
          <w:tcPr>
            <w:tcW w:w="666" w:type="pct"/>
            <w:hideMark/>
          </w:tcPr>
          <w:p w14:paraId="25289701" w14:textId="77777777" w:rsidR="00D05FBC" w:rsidRPr="00586FBF" w:rsidRDefault="00D05FBC" w:rsidP="00E83685">
            <w:pPr>
              <w:pStyle w:val="TableTextSmall"/>
              <w:spacing w:line="260" w:lineRule="exact"/>
              <w:ind w:right="57"/>
              <w:jc w:val="right"/>
              <w:cnfStyle w:val="000000100000" w:firstRow="0" w:lastRow="0" w:firstColumn="0" w:lastColumn="0" w:oddVBand="0" w:evenVBand="0" w:oddHBand="1" w:evenHBand="0" w:firstRowFirstColumn="0" w:firstRowLastColumn="0" w:lastRowFirstColumn="0" w:lastRowLastColumn="0"/>
              <w:rPr>
                <w:rFonts w:ascii="Arial" w:hAnsi="Arial"/>
                <w:color w:val="auto"/>
                <w:sz w:val="18"/>
              </w:rPr>
            </w:pPr>
            <w:r w:rsidRPr="00586FBF">
              <w:rPr>
                <w:rFonts w:ascii="Arial" w:hAnsi="Arial"/>
                <w:color w:val="auto"/>
                <w:sz w:val="18"/>
              </w:rPr>
              <w:t>6.2%</w:t>
            </w:r>
          </w:p>
        </w:tc>
        <w:tc>
          <w:tcPr>
            <w:tcW w:w="692" w:type="pct"/>
          </w:tcPr>
          <w:p w14:paraId="2135D4B0" w14:textId="5643B9FA" w:rsidR="00D05FBC" w:rsidRPr="00586FBF" w:rsidRDefault="00D05FBC" w:rsidP="00E83685">
            <w:pPr>
              <w:pStyle w:val="TableTextSmall"/>
              <w:spacing w:line="260" w:lineRule="exact"/>
              <w:ind w:right="57"/>
              <w:jc w:val="right"/>
              <w:cnfStyle w:val="000000100000" w:firstRow="0" w:lastRow="0" w:firstColumn="0" w:lastColumn="0" w:oddVBand="0" w:evenVBand="0" w:oddHBand="1" w:evenHBand="0" w:firstRowFirstColumn="0" w:firstRowLastColumn="0" w:lastRowFirstColumn="0" w:lastRowLastColumn="0"/>
              <w:rPr>
                <w:rFonts w:ascii="Arial" w:hAnsi="Arial"/>
                <w:color w:val="auto"/>
                <w:sz w:val="18"/>
              </w:rPr>
            </w:pPr>
            <w:r w:rsidRPr="00586FBF">
              <w:rPr>
                <w:rFonts w:ascii="Arial" w:hAnsi="Arial"/>
                <w:color w:val="auto"/>
                <w:sz w:val="18"/>
              </w:rPr>
              <w:t>1,547</w:t>
            </w:r>
          </w:p>
        </w:tc>
        <w:tc>
          <w:tcPr>
            <w:tcW w:w="695" w:type="pct"/>
          </w:tcPr>
          <w:p w14:paraId="292D16D1" w14:textId="04699F82" w:rsidR="00D05FBC" w:rsidRPr="00586FBF" w:rsidRDefault="00D05FBC" w:rsidP="00E83685">
            <w:pPr>
              <w:pStyle w:val="TableTextSmall"/>
              <w:spacing w:line="260" w:lineRule="exact"/>
              <w:ind w:right="57"/>
              <w:jc w:val="right"/>
              <w:cnfStyle w:val="000000100000" w:firstRow="0" w:lastRow="0" w:firstColumn="0" w:lastColumn="0" w:oddVBand="0" w:evenVBand="0" w:oddHBand="1" w:evenHBand="0" w:firstRowFirstColumn="0" w:firstRowLastColumn="0" w:lastRowFirstColumn="0" w:lastRowLastColumn="0"/>
              <w:rPr>
                <w:rFonts w:ascii="Arial" w:hAnsi="Arial"/>
                <w:color w:val="auto"/>
                <w:sz w:val="18"/>
              </w:rPr>
            </w:pPr>
            <w:r w:rsidRPr="00586FBF">
              <w:rPr>
                <w:rFonts w:ascii="Arial" w:hAnsi="Arial"/>
                <w:color w:val="auto"/>
                <w:sz w:val="18"/>
              </w:rPr>
              <w:t>6.1%</w:t>
            </w:r>
          </w:p>
        </w:tc>
        <w:tc>
          <w:tcPr>
            <w:tcW w:w="582" w:type="pct"/>
          </w:tcPr>
          <w:p w14:paraId="41D11037" w14:textId="70EB1D49" w:rsidR="00D05FBC" w:rsidRPr="00586FBF" w:rsidRDefault="00D05FBC" w:rsidP="00E83685">
            <w:pPr>
              <w:pStyle w:val="TableTextSmall"/>
              <w:spacing w:line="260" w:lineRule="exact"/>
              <w:ind w:right="57"/>
              <w:jc w:val="right"/>
              <w:cnfStyle w:val="000000100000" w:firstRow="0" w:lastRow="0" w:firstColumn="0" w:lastColumn="0" w:oddVBand="0" w:evenVBand="0" w:oddHBand="1" w:evenHBand="0" w:firstRowFirstColumn="0" w:firstRowLastColumn="0" w:lastRowFirstColumn="0" w:lastRowLastColumn="0"/>
              <w:rPr>
                <w:rFonts w:ascii="Arial" w:hAnsi="Arial"/>
                <w:color w:val="auto"/>
                <w:sz w:val="18"/>
              </w:rPr>
            </w:pPr>
            <w:r w:rsidRPr="00586FBF">
              <w:rPr>
                <w:rFonts w:ascii="Arial" w:hAnsi="Arial"/>
                <w:color w:val="auto"/>
                <w:sz w:val="18"/>
              </w:rPr>
              <w:t>7</w:t>
            </w:r>
          </w:p>
        </w:tc>
        <w:tc>
          <w:tcPr>
            <w:tcW w:w="634" w:type="pct"/>
          </w:tcPr>
          <w:p w14:paraId="0C67E1FB" w14:textId="6CDE55DD" w:rsidR="00D05FBC" w:rsidRPr="00586FBF" w:rsidRDefault="00D05FBC" w:rsidP="00E83685">
            <w:pPr>
              <w:pStyle w:val="TableTextSmall"/>
              <w:spacing w:line="260" w:lineRule="exact"/>
              <w:ind w:right="57"/>
              <w:jc w:val="right"/>
              <w:cnfStyle w:val="000000100000" w:firstRow="0" w:lastRow="0" w:firstColumn="0" w:lastColumn="0" w:oddVBand="0" w:evenVBand="0" w:oddHBand="1" w:evenHBand="0" w:firstRowFirstColumn="0" w:firstRowLastColumn="0" w:lastRowFirstColumn="0" w:lastRowLastColumn="0"/>
              <w:rPr>
                <w:rFonts w:ascii="Arial" w:hAnsi="Arial"/>
                <w:color w:val="auto"/>
                <w:sz w:val="18"/>
              </w:rPr>
            </w:pPr>
            <w:r w:rsidRPr="00586FBF">
              <w:rPr>
                <w:rFonts w:ascii="Arial" w:hAnsi="Arial"/>
                <w:color w:val="auto"/>
                <w:sz w:val="18"/>
              </w:rPr>
              <w:t>0.4%</w:t>
            </w:r>
          </w:p>
        </w:tc>
      </w:tr>
      <w:tr w:rsidR="00F714BF" w:rsidRPr="00586FBF" w14:paraId="05535307" w14:textId="77777777" w:rsidTr="00253CA7">
        <w:trPr>
          <w:trHeight w:val="256"/>
        </w:trPr>
        <w:tc>
          <w:tcPr>
            <w:cnfStyle w:val="001000000000" w:firstRow="0" w:lastRow="0" w:firstColumn="1" w:lastColumn="0" w:oddVBand="0" w:evenVBand="0" w:oddHBand="0" w:evenHBand="0" w:firstRowFirstColumn="0" w:firstRowLastColumn="0" w:lastRowFirstColumn="0" w:lastRowLastColumn="0"/>
            <w:tcW w:w="1027" w:type="pct"/>
            <w:hideMark/>
          </w:tcPr>
          <w:p w14:paraId="3FC95749" w14:textId="46DDC2BB" w:rsidR="00D05FBC" w:rsidRPr="00586FBF" w:rsidRDefault="00D05FBC" w:rsidP="00E83685">
            <w:pPr>
              <w:pStyle w:val="TableTextSmall"/>
              <w:ind w:right="57"/>
              <w:jc w:val="center"/>
              <w:rPr>
                <w:rFonts w:ascii="Arial" w:hAnsi="Arial"/>
                <w:b w:val="0"/>
                <w:color w:val="auto"/>
                <w:sz w:val="18"/>
              </w:rPr>
            </w:pPr>
            <w:r w:rsidRPr="00586FBF">
              <w:rPr>
                <w:sz w:val="18"/>
              </w:rPr>
              <w:t>8 Non-IS Carer</w:t>
            </w:r>
          </w:p>
        </w:tc>
        <w:tc>
          <w:tcPr>
            <w:tcW w:w="704" w:type="pct"/>
            <w:hideMark/>
          </w:tcPr>
          <w:p w14:paraId="2A2662E3" w14:textId="77777777" w:rsidR="00D05FBC" w:rsidRPr="00586FBF" w:rsidRDefault="00D05FBC" w:rsidP="00E83685">
            <w:pPr>
              <w:pStyle w:val="TableTextSmall"/>
              <w:spacing w:line="260" w:lineRule="exact"/>
              <w:ind w:right="57"/>
              <w:jc w:val="right"/>
              <w:cnfStyle w:val="000000000000" w:firstRow="0" w:lastRow="0" w:firstColumn="0" w:lastColumn="0" w:oddVBand="0" w:evenVBand="0" w:oddHBand="0" w:evenHBand="0" w:firstRowFirstColumn="0" w:firstRowLastColumn="0" w:lastRowFirstColumn="0" w:lastRowLastColumn="0"/>
              <w:rPr>
                <w:rFonts w:ascii="Arial" w:hAnsi="Arial"/>
                <w:color w:val="auto"/>
                <w:sz w:val="18"/>
              </w:rPr>
            </w:pPr>
            <w:r w:rsidRPr="00586FBF">
              <w:rPr>
                <w:rFonts w:ascii="Arial" w:hAnsi="Arial"/>
                <w:color w:val="auto"/>
                <w:sz w:val="18"/>
              </w:rPr>
              <w:t>218</w:t>
            </w:r>
          </w:p>
        </w:tc>
        <w:tc>
          <w:tcPr>
            <w:tcW w:w="666" w:type="pct"/>
            <w:hideMark/>
          </w:tcPr>
          <w:p w14:paraId="1DAC705D" w14:textId="77777777" w:rsidR="00D05FBC" w:rsidRPr="00586FBF" w:rsidRDefault="00D05FBC" w:rsidP="00E83685">
            <w:pPr>
              <w:pStyle w:val="TableTextSmall"/>
              <w:spacing w:line="260" w:lineRule="exact"/>
              <w:ind w:right="57"/>
              <w:jc w:val="right"/>
              <w:cnfStyle w:val="000000000000" w:firstRow="0" w:lastRow="0" w:firstColumn="0" w:lastColumn="0" w:oddVBand="0" w:evenVBand="0" w:oddHBand="0" w:evenHBand="0" w:firstRowFirstColumn="0" w:firstRowLastColumn="0" w:lastRowFirstColumn="0" w:lastRowLastColumn="0"/>
              <w:rPr>
                <w:rFonts w:ascii="Arial" w:hAnsi="Arial"/>
                <w:color w:val="auto"/>
                <w:sz w:val="18"/>
              </w:rPr>
            </w:pPr>
            <w:r w:rsidRPr="00586FBF">
              <w:rPr>
                <w:rFonts w:ascii="Arial" w:hAnsi="Arial"/>
                <w:color w:val="auto"/>
                <w:sz w:val="18"/>
              </w:rPr>
              <w:t>0.9%</w:t>
            </w:r>
          </w:p>
        </w:tc>
        <w:tc>
          <w:tcPr>
            <w:tcW w:w="692" w:type="pct"/>
          </w:tcPr>
          <w:p w14:paraId="7B5F67B7" w14:textId="2ACF409C" w:rsidR="00D05FBC" w:rsidRPr="00586FBF" w:rsidRDefault="00D05FBC" w:rsidP="00E83685">
            <w:pPr>
              <w:pStyle w:val="TableTextSmall"/>
              <w:spacing w:line="260" w:lineRule="exact"/>
              <w:ind w:right="57"/>
              <w:jc w:val="right"/>
              <w:cnfStyle w:val="000000000000" w:firstRow="0" w:lastRow="0" w:firstColumn="0" w:lastColumn="0" w:oddVBand="0" w:evenVBand="0" w:oddHBand="0" w:evenHBand="0" w:firstRowFirstColumn="0" w:firstRowLastColumn="0" w:lastRowFirstColumn="0" w:lastRowLastColumn="0"/>
              <w:rPr>
                <w:rFonts w:ascii="Arial" w:hAnsi="Arial"/>
                <w:color w:val="auto"/>
                <w:sz w:val="18"/>
              </w:rPr>
            </w:pPr>
            <w:r w:rsidRPr="00586FBF">
              <w:rPr>
                <w:rFonts w:ascii="Arial" w:hAnsi="Arial"/>
                <w:color w:val="auto"/>
                <w:sz w:val="18"/>
              </w:rPr>
              <w:t>219</w:t>
            </w:r>
          </w:p>
        </w:tc>
        <w:tc>
          <w:tcPr>
            <w:tcW w:w="695" w:type="pct"/>
          </w:tcPr>
          <w:p w14:paraId="161ABFB5" w14:textId="7082EF4F" w:rsidR="00D05FBC" w:rsidRPr="00586FBF" w:rsidRDefault="00D05FBC" w:rsidP="00E83685">
            <w:pPr>
              <w:pStyle w:val="TableTextSmall"/>
              <w:spacing w:line="260" w:lineRule="exact"/>
              <w:ind w:right="57"/>
              <w:jc w:val="right"/>
              <w:cnfStyle w:val="000000000000" w:firstRow="0" w:lastRow="0" w:firstColumn="0" w:lastColumn="0" w:oddVBand="0" w:evenVBand="0" w:oddHBand="0" w:evenHBand="0" w:firstRowFirstColumn="0" w:firstRowLastColumn="0" w:lastRowFirstColumn="0" w:lastRowLastColumn="0"/>
              <w:rPr>
                <w:rFonts w:ascii="Arial" w:hAnsi="Arial"/>
                <w:color w:val="auto"/>
                <w:sz w:val="18"/>
              </w:rPr>
            </w:pPr>
            <w:r w:rsidRPr="00586FBF">
              <w:rPr>
                <w:rFonts w:ascii="Arial" w:hAnsi="Arial"/>
                <w:color w:val="auto"/>
                <w:sz w:val="18"/>
              </w:rPr>
              <w:t>0.9%</w:t>
            </w:r>
          </w:p>
        </w:tc>
        <w:tc>
          <w:tcPr>
            <w:tcW w:w="582" w:type="pct"/>
          </w:tcPr>
          <w:p w14:paraId="1B394FB5" w14:textId="4327DDEA" w:rsidR="00D05FBC" w:rsidRPr="00586FBF" w:rsidRDefault="00D05FBC" w:rsidP="00E83685">
            <w:pPr>
              <w:pStyle w:val="TableTextSmall"/>
              <w:spacing w:line="260" w:lineRule="exact"/>
              <w:ind w:right="57"/>
              <w:jc w:val="right"/>
              <w:cnfStyle w:val="000000000000" w:firstRow="0" w:lastRow="0" w:firstColumn="0" w:lastColumn="0" w:oddVBand="0" w:evenVBand="0" w:oddHBand="0" w:evenHBand="0" w:firstRowFirstColumn="0" w:firstRowLastColumn="0" w:lastRowFirstColumn="0" w:lastRowLastColumn="0"/>
              <w:rPr>
                <w:rFonts w:ascii="Arial" w:hAnsi="Arial"/>
                <w:color w:val="auto"/>
                <w:sz w:val="18"/>
              </w:rPr>
            </w:pPr>
            <w:r w:rsidRPr="00586FBF">
              <w:rPr>
                <w:rFonts w:ascii="Arial" w:hAnsi="Arial"/>
                <w:color w:val="auto"/>
                <w:sz w:val="18"/>
              </w:rPr>
              <w:t>1</w:t>
            </w:r>
          </w:p>
        </w:tc>
        <w:tc>
          <w:tcPr>
            <w:tcW w:w="634" w:type="pct"/>
          </w:tcPr>
          <w:p w14:paraId="00B39B24" w14:textId="7D04FD5C" w:rsidR="00D05FBC" w:rsidRPr="00586FBF" w:rsidRDefault="00D05FBC" w:rsidP="00E83685">
            <w:pPr>
              <w:pStyle w:val="TableTextSmall"/>
              <w:spacing w:line="260" w:lineRule="exact"/>
              <w:ind w:right="57"/>
              <w:jc w:val="right"/>
              <w:cnfStyle w:val="000000000000" w:firstRow="0" w:lastRow="0" w:firstColumn="0" w:lastColumn="0" w:oddVBand="0" w:evenVBand="0" w:oddHBand="0" w:evenHBand="0" w:firstRowFirstColumn="0" w:firstRowLastColumn="0" w:lastRowFirstColumn="0" w:lastRowLastColumn="0"/>
              <w:rPr>
                <w:rFonts w:ascii="Arial" w:hAnsi="Arial"/>
                <w:color w:val="auto"/>
                <w:sz w:val="18"/>
              </w:rPr>
            </w:pPr>
            <w:r w:rsidRPr="00586FBF">
              <w:rPr>
                <w:rFonts w:ascii="Arial" w:hAnsi="Arial"/>
                <w:color w:val="auto"/>
                <w:sz w:val="18"/>
              </w:rPr>
              <w:t>0.5%</w:t>
            </w:r>
          </w:p>
        </w:tc>
      </w:tr>
      <w:tr w:rsidR="00F714BF" w:rsidRPr="00586FBF" w14:paraId="11B180AE" w14:textId="77777777" w:rsidTr="00253CA7">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027" w:type="pct"/>
            <w:hideMark/>
          </w:tcPr>
          <w:p w14:paraId="68A4E7B1" w14:textId="1DFCD9BE" w:rsidR="00D05FBC" w:rsidRPr="00586FBF" w:rsidRDefault="00D05FBC" w:rsidP="00E83685">
            <w:pPr>
              <w:pStyle w:val="TableTextSmall"/>
              <w:ind w:right="57"/>
              <w:jc w:val="center"/>
              <w:rPr>
                <w:rFonts w:ascii="Arial" w:hAnsi="Arial"/>
                <w:b w:val="0"/>
                <w:color w:val="auto"/>
                <w:sz w:val="18"/>
              </w:rPr>
            </w:pPr>
            <w:r w:rsidRPr="00586FBF">
              <w:rPr>
                <w:sz w:val="18"/>
              </w:rPr>
              <w:t>9 Non-IS Other</w:t>
            </w:r>
          </w:p>
        </w:tc>
        <w:tc>
          <w:tcPr>
            <w:tcW w:w="704" w:type="pct"/>
            <w:hideMark/>
          </w:tcPr>
          <w:p w14:paraId="195966D3" w14:textId="77777777" w:rsidR="00D05FBC" w:rsidRPr="00586FBF" w:rsidRDefault="00D05FBC" w:rsidP="00E83685">
            <w:pPr>
              <w:pStyle w:val="TableTextSmall"/>
              <w:spacing w:line="260" w:lineRule="exact"/>
              <w:ind w:right="57"/>
              <w:jc w:val="right"/>
              <w:cnfStyle w:val="000000100000" w:firstRow="0" w:lastRow="0" w:firstColumn="0" w:lastColumn="0" w:oddVBand="0" w:evenVBand="0" w:oddHBand="1" w:evenHBand="0" w:firstRowFirstColumn="0" w:firstRowLastColumn="0" w:lastRowFirstColumn="0" w:lastRowLastColumn="0"/>
              <w:rPr>
                <w:rFonts w:ascii="Arial" w:hAnsi="Arial"/>
                <w:color w:val="auto"/>
                <w:sz w:val="18"/>
              </w:rPr>
            </w:pPr>
            <w:r w:rsidRPr="00586FBF">
              <w:rPr>
                <w:rFonts w:ascii="Arial" w:hAnsi="Arial"/>
                <w:color w:val="auto"/>
                <w:sz w:val="18"/>
              </w:rPr>
              <w:t>652</w:t>
            </w:r>
          </w:p>
        </w:tc>
        <w:tc>
          <w:tcPr>
            <w:tcW w:w="666" w:type="pct"/>
            <w:hideMark/>
          </w:tcPr>
          <w:p w14:paraId="15CA6800" w14:textId="77777777" w:rsidR="00D05FBC" w:rsidRPr="00586FBF" w:rsidRDefault="00D05FBC" w:rsidP="00E83685">
            <w:pPr>
              <w:pStyle w:val="TableTextSmall"/>
              <w:spacing w:line="260" w:lineRule="exact"/>
              <w:ind w:right="57"/>
              <w:jc w:val="right"/>
              <w:cnfStyle w:val="000000100000" w:firstRow="0" w:lastRow="0" w:firstColumn="0" w:lastColumn="0" w:oddVBand="0" w:evenVBand="0" w:oddHBand="1" w:evenHBand="0" w:firstRowFirstColumn="0" w:firstRowLastColumn="0" w:lastRowFirstColumn="0" w:lastRowLastColumn="0"/>
              <w:rPr>
                <w:rFonts w:ascii="Arial" w:hAnsi="Arial"/>
                <w:color w:val="auto"/>
                <w:sz w:val="18"/>
              </w:rPr>
            </w:pPr>
            <w:r w:rsidRPr="00586FBF">
              <w:rPr>
                <w:rFonts w:ascii="Arial" w:hAnsi="Arial"/>
                <w:color w:val="auto"/>
                <w:sz w:val="18"/>
              </w:rPr>
              <w:t>2.6%</w:t>
            </w:r>
          </w:p>
        </w:tc>
        <w:tc>
          <w:tcPr>
            <w:tcW w:w="692" w:type="pct"/>
          </w:tcPr>
          <w:p w14:paraId="11047616" w14:textId="42CEFA69" w:rsidR="00D05FBC" w:rsidRPr="00586FBF" w:rsidRDefault="00D05FBC" w:rsidP="00E83685">
            <w:pPr>
              <w:pStyle w:val="TableTextSmall"/>
              <w:spacing w:line="260" w:lineRule="exact"/>
              <w:ind w:right="57"/>
              <w:jc w:val="right"/>
              <w:cnfStyle w:val="000000100000" w:firstRow="0" w:lastRow="0" w:firstColumn="0" w:lastColumn="0" w:oddVBand="0" w:evenVBand="0" w:oddHBand="1" w:evenHBand="0" w:firstRowFirstColumn="0" w:firstRowLastColumn="0" w:lastRowFirstColumn="0" w:lastRowLastColumn="0"/>
              <w:rPr>
                <w:rFonts w:ascii="Arial" w:hAnsi="Arial"/>
                <w:color w:val="auto"/>
                <w:sz w:val="18"/>
              </w:rPr>
            </w:pPr>
            <w:r w:rsidRPr="00586FBF">
              <w:rPr>
                <w:rFonts w:ascii="Arial" w:hAnsi="Arial"/>
                <w:color w:val="auto"/>
                <w:sz w:val="18"/>
              </w:rPr>
              <w:t>649</w:t>
            </w:r>
          </w:p>
        </w:tc>
        <w:tc>
          <w:tcPr>
            <w:tcW w:w="695" w:type="pct"/>
          </w:tcPr>
          <w:p w14:paraId="7332D24D" w14:textId="2B87F1BD" w:rsidR="00D05FBC" w:rsidRPr="00586FBF" w:rsidRDefault="00D05FBC" w:rsidP="00E83685">
            <w:pPr>
              <w:pStyle w:val="TableTextSmall"/>
              <w:spacing w:line="260" w:lineRule="exact"/>
              <w:ind w:right="57"/>
              <w:jc w:val="right"/>
              <w:cnfStyle w:val="000000100000" w:firstRow="0" w:lastRow="0" w:firstColumn="0" w:lastColumn="0" w:oddVBand="0" w:evenVBand="0" w:oddHBand="1" w:evenHBand="0" w:firstRowFirstColumn="0" w:firstRowLastColumn="0" w:lastRowFirstColumn="0" w:lastRowLastColumn="0"/>
              <w:rPr>
                <w:rFonts w:ascii="Arial" w:hAnsi="Arial"/>
                <w:color w:val="auto"/>
                <w:sz w:val="18"/>
              </w:rPr>
            </w:pPr>
            <w:r w:rsidRPr="00586FBF">
              <w:rPr>
                <w:rFonts w:ascii="Arial" w:hAnsi="Arial"/>
                <w:color w:val="auto"/>
                <w:sz w:val="18"/>
              </w:rPr>
              <w:t>2.5%</w:t>
            </w:r>
          </w:p>
        </w:tc>
        <w:tc>
          <w:tcPr>
            <w:tcW w:w="582" w:type="pct"/>
          </w:tcPr>
          <w:p w14:paraId="7FBAC988" w14:textId="0B782AF0" w:rsidR="00D05FBC" w:rsidRPr="00586FBF" w:rsidRDefault="00D05FBC" w:rsidP="00E83685">
            <w:pPr>
              <w:pStyle w:val="TableTextSmall"/>
              <w:spacing w:line="260" w:lineRule="exact"/>
              <w:ind w:right="57"/>
              <w:jc w:val="right"/>
              <w:cnfStyle w:val="000000100000" w:firstRow="0" w:lastRow="0" w:firstColumn="0" w:lastColumn="0" w:oddVBand="0" w:evenVBand="0" w:oddHBand="1" w:evenHBand="0" w:firstRowFirstColumn="0" w:firstRowLastColumn="0" w:lastRowFirstColumn="0" w:lastRowLastColumn="0"/>
              <w:rPr>
                <w:rFonts w:ascii="Arial" w:hAnsi="Arial"/>
                <w:color w:val="auto"/>
                <w:sz w:val="18"/>
              </w:rPr>
            </w:pPr>
            <w:r w:rsidRPr="00586FBF">
              <w:rPr>
                <w:rFonts w:ascii="Arial" w:hAnsi="Arial"/>
                <w:color w:val="auto"/>
                <w:sz w:val="18"/>
              </w:rPr>
              <w:t>-3</w:t>
            </w:r>
          </w:p>
        </w:tc>
        <w:tc>
          <w:tcPr>
            <w:tcW w:w="634" w:type="pct"/>
          </w:tcPr>
          <w:p w14:paraId="3BD26676" w14:textId="35CD87AA" w:rsidR="00D05FBC" w:rsidRPr="00586FBF" w:rsidRDefault="00D05FBC" w:rsidP="00E83685">
            <w:pPr>
              <w:pStyle w:val="TableTextSmall"/>
              <w:spacing w:line="260" w:lineRule="exact"/>
              <w:ind w:right="57"/>
              <w:jc w:val="right"/>
              <w:cnfStyle w:val="000000100000" w:firstRow="0" w:lastRow="0" w:firstColumn="0" w:lastColumn="0" w:oddVBand="0" w:evenVBand="0" w:oddHBand="1" w:evenHBand="0" w:firstRowFirstColumn="0" w:firstRowLastColumn="0" w:lastRowFirstColumn="0" w:lastRowLastColumn="0"/>
              <w:rPr>
                <w:rFonts w:ascii="Arial" w:hAnsi="Arial"/>
                <w:color w:val="auto"/>
                <w:sz w:val="18"/>
              </w:rPr>
            </w:pPr>
            <w:r w:rsidRPr="00586FBF">
              <w:rPr>
                <w:rFonts w:ascii="Arial" w:hAnsi="Arial"/>
                <w:color w:val="auto"/>
                <w:sz w:val="18"/>
              </w:rPr>
              <w:t>-0.4%</w:t>
            </w:r>
          </w:p>
        </w:tc>
      </w:tr>
      <w:tr w:rsidR="00F714BF" w:rsidRPr="00586FBF" w14:paraId="3B205BB2" w14:textId="77777777" w:rsidTr="00253CA7">
        <w:trPr>
          <w:trHeight w:val="256"/>
        </w:trPr>
        <w:tc>
          <w:tcPr>
            <w:cnfStyle w:val="001000000000" w:firstRow="0" w:lastRow="0" w:firstColumn="1" w:lastColumn="0" w:oddVBand="0" w:evenVBand="0" w:oddHBand="0" w:evenHBand="0" w:firstRowFirstColumn="0" w:firstRowLastColumn="0" w:lastRowFirstColumn="0" w:lastRowLastColumn="0"/>
            <w:tcW w:w="1027" w:type="pct"/>
            <w:hideMark/>
          </w:tcPr>
          <w:p w14:paraId="61A25572" w14:textId="70E479B7" w:rsidR="00331CEF" w:rsidRPr="00586FBF" w:rsidRDefault="00621A46" w:rsidP="00E83685">
            <w:pPr>
              <w:pStyle w:val="TableTextSmall"/>
              <w:ind w:right="57"/>
              <w:jc w:val="center"/>
              <w:rPr>
                <w:rFonts w:ascii="Arial" w:hAnsi="Arial"/>
                <w:b w:val="0"/>
                <w:color w:val="auto"/>
                <w:sz w:val="18"/>
              </w:rPr>
            </w:pPr>
            <w:r w:rsidRPr="00586FBF">
              <w:rPr>
                <w:rFonts w:ascii="Arial" w:hAnsi="Arial"/>
                <w:color w:val="auto"/>
                <w:sz w:val="18"/>
              </w:rPr>
              <w:t>Non-income</w:t>
            </w:r>
            <w:r w:rsidR="00331CEF" w:rsidRPr="00586FBF">
              <w:rPr>
                <w:rFonts w:ascii="Arial" w:hAnsi="Arial"/>
                <w:color w:val="auto"/>
                <w:sz w:val="18"/>
              </w:rPr>
              <w:t xml:space="preserve"> support recipient subtotal</w:t>
            </w:r>
          </w:p>
        </w:tc>
        <w:tc>
          <w:tcPr>
            <w:tcW w:w="704" w:type="pct"/>
            <w:hideMark/>
          </w:tcPr>
          <w:p w14:paraId="2BB4E622" w14:textId="77777777" w:rsidR="00331CEF" w:rsidRPr="00586FBF" w:rsidRDefault="00331CEF" w:rsidP="00E83685">
            <w:pPr>
              <w:pStyle w:val="TableTextSmall"/>
              <w:spacing w:line="260" w:lineRule="exact"/>
              <w:ind w:right="57"/>
              <w:jc w:val="right"/>
              <w:cnfStyle w:val="000000000000" w:firstRow="0" w:lastRow="0" w:firstColumn="0" w:lastColumn="0" w:oddVBand="0" w:evenVBand="0" w:oddHBand="0" w:evenHBand="0" w:firstRowFirstColumn="0" w:firstRowLastColumn="0" w:lastRowFirstColumn="0" w:lastRowLastColumn="0"/>
              <w:rPr>
                <w:rFonts w:ascii="Arial" w:hAnsi="Arial"/>
                <w:b/>
                <w:color w:val="auto"/>
                <w:sz w:val="18"/>
              </w:rPr>
            </w:pPr>
            <w:r w:rsidRPr="00586FBF">
              <w:rPr>
                <w:rFonts w:ascii="Arial" w:hAnsi="Arial"/>
                <w:b/>
                <w:color w:val="auto"/>
                <w:sz w:val="18"/>
              </w:rPr>
              <w:t>2,410</w:t>
            </w:r>
          </w:p>
        </w:tc>
        <w:tc>
          <w:tcPr>
            <w:tcW w:w="666" w:type="pct"/>
            <w:hideMark/>
          </w:tcPr>
          <w:p w14:paraId="55ED7985" w14:textId="77777777" w:rsidR="00331CEF" w:rsidRPr="00586FBF" w:rsidRDefault="00331CEF" w:rsidP="00E83685">
            <w:pPr>
              <w:pStyle w:val="TableTextSmall"/>
              <w:spacing w:line="260" w:lineRule="exact"/>
              <w:ind w:right="57"/>
              <w:jc w:val="right"/>
              <w:cnfStyle w:val="000000000000" w:firstRow="0" w:lastRow="0" w:firstColumn="0" w:lastColumn="0" w:oddVBand="0" w:evenVBand="0" w:oddHBand="0" w:evenHBand="0" w:firstRowFirstColumn="0" w:firstRowLastColumn="0" w:lastRowFirstColumn="0" w:lastRowLastColumn="0"/>
              <w:rPr>
                <w:rFonts w:ascii="Arial" w:hAnsi="Arial"/>
                <w:b/>
                <w:color w:val="auto"/>
                <w:sz w:val="18"/>
              </w:rPr>
            </w:pPr>
            <w:r w:rsidRPr="00586FBF">
              <w:rPr>
                <w:rFonts w:ascii="Arial" w:hAnsi="Arial"/>
                <w:b/>
                <w:color w:val="auto"/>
                <w:sz w:val="18"/>
              </w:rPr>
              <w:t>9.6%</w:t>
            </w:r>
          </w:p>
        </w:tc>
        <w:tc>
          <w:tcPr>
            <w:tcW w:w="692" w:type="pct"/>
          </w:tcPr>
          <w:p w14:paraId="125BD4FC" w14:textId="27C8F69C" w:rsidR="00331CEF" w:rsidRPr="00586FBF" w:rsidRDefault="00F40317" w:rsidP="00E83685">
            <w:pPr>
              <w:pStyle w:val="TableTextSmall"/>
              <w:spacing w:line="260" w:lineRule="exact"/>
              <w:ind w:right="57"/>
              <w:jc w:val="right"/>
              <w:cnfStyle w:val="000000000000" w:firstRow="0" w:lastRow="0" w:firstColumn="0" w:lastColumn="0" w:oddVBand="0" w:evenVBand="0" w:oddHBand="0" w:evenHBand="0" w:firstRowFirstColumn="0" w:firstRowLastColumn="0" w:lastRowFirstColumn="0" w:lastRowLastColumn="0"/>
              <w:rPr>
                <w:rFonts w:ascii="Arial" w:hAnsi="Arial"/>
                <w:b/>
                <w:color w:val="auto"/>
                <w:sz w:val="18"/>
              </w:rPr>
            </w:pPr>
            <w:r w:rsidRPr="00586FBF">
              <w:rPr>
                <w:rFonts w:ascii="Arial" w:hAnsi="Arial"/>
                <w:b/>
                <w:color w:val="auto"/>
                <w:sz w:val="18"/>
              </w:rPr>
              <w:t>2,</w:t>
            </w:r>
            <w:r w:rsidR="00F67625" w:rsidRPr="00586FBF">
              <w:rPr>
                <w:rFonts w:ascii="Arial" w:hAnsi="Arial"/>
                <w:b/>
                <w:color w:val="auto"/>
                <w:sz w:val="18"/>
              </w:rPr>
              <w:t>415</w:t>
            </w:r>
          </w:p>
        </w:tc>
        <w:tc>
          <w:tcPr>
            <w:tcW w:w="695" w:type="pct"/>
          </w:tcPr>
          <w:p w14:paraId="68069013" w14:textId="3C5B987F" w:rsidR="00331CEF" w:rsidRPr="00586FBF" w:rsidRDefault="00F40317" w:rsidP="00E83685">
            <w:pPr>
              <w:pStyle w:val="TableTextSmall"/>
              <w:spacing w:line="260" w:lineRule="exact"/>
              <w:ind w:right="57"/>
              <w:jc w:val="right"/>
              <w:cnfStyle w:val="000000000000" w:firstRow="0" w:lastRow="0" w:firstColumn="0" w:lastColumn="0" w:oddVBand="0" w:evenVBand="0" w:oddHBand="0" w:evenHBand="0" w:firstRowFirstColumn="0" w:firstRowLastColumn="0" w:lastRowFirstColumn="0" w:lastRowLastColumn="0"/>
              <w:rPr>
                <w:rFonts w:ascii="Arial" w:hAnsi="Arial"/>
                <w:b/>
                <w:color w:val="auto"/>
                <w:sz w:val="18"/>
              </w:rPr>
            </w:pPr>
            <w:r w:rsidRPr="00586FBF">
              <w:rPr>
                <w:rFonts w:ascii="Arial" w:hAnsi="Arial"/>
                <w:b/>
                <w:color w:val="auto"/>
                <w:sz w:val="18"/>
              </w:rPr>
              <w:t>9.</w:t>
            </w:r>
            <w:r w:rsidR="00F67625" w:rsidRPr="00586FBF">
              <w:rPr>
                <w:rFonts w:ascii="Arial" w:hAnsi="Arial"/>
                <w:b/>
                <w:color w:val="auto"/>
                <w:sz w:val="18"/>
              </w:rPr>
              <w:t>5</w:t>
            </w:r>
            <w:r w:rsidRPr="00586FBF">
              <w:rPr>
                <w:rFonts w:ascii="Arial" w:hAnsi="Arial"/>
                <w:b/>
                <w:color w:val="auto"/>
                <w:sz w:val="18"/>
              </w:rPr>
              <w:t>%</w:t>
            </w:r>
          </w:p>
        </w:tc>
        <w:tc>
          <w:tcPr>
            <w:tcW w:w="582" w:type="pct"/>
          </w:tcPr>
          <w:p w14:paraId="5ED22282" w14:textId="4100FD7D" w:rsidR="00331CEF" w:rsidRPr="00586FBF" w:rsidRDefault="00E53659" w:rsidP="00E83685">
            <w:pPr>
              <w:pStyle w:val="TableTextSmall"/>
              <w:spacing w:line="260" w:lineRule="exact"/>
              <w:ind w:right="57"/>
              <w:jc w:val="right"/>
              <w:cnfStyle w:val="000000000000" w:firstRow="0" w:lastRow="0" w:firstColumn="0" w:lastColumn="0" w:oddVBand="0" w:evenVBand="0" w:oddHBand="0" w:evenHBand="0" w:firstRowFirstColumn="0" w:firstRowLastColumn="0" w:lastRowFirstColumn="0" w:lastRowLastColumn="0"/>
              <w:rPr>
                <w:rFonts w:ascii="Arial" w:hAnsi="Arial"/>
                <w:b/>
                <w:color w:val="auto"/>
                <w:sz w:val="18"/>
              </w:rPr>
            </w:pPr>
            <w:r w:rsidRPr="00586FBF">
              <w:rPr>
                <w:rFonts w:ascii="Arial" w:hAnsi="Arial"/>
                <w:b/>
                <w:color w:val="auto"/>
                <w:sz w:val="18"/>
              </w:rPr>
              <w:t>5</w:t>
            </w:r>
          </w:p>
        </w:tc>
        <w:tc>
          <w:tcPr>
            <w:tcW w:w="634" w:type="pct"/>
          </w:tcPr>
          <w:p w14:paraId="3E82CDDD" w14:textId="7520279B" w:rsidR="00331CEF" w:rsidRPr="00586FBF" w:rsidRDefault="00A63775" w:rsidP="00E83685">
            <w:pPr>
              <w:pStyle w:val="TableTextSmall"/>
              <w:spacing w:line="260" w:lineRule="exact"/>
              <w:ind w:right="57"/>
              <w:jc w:val="right"/>
              <w:cnfStyle w:val="000000000000" w:firstRow="0" w:lastRow="0" w:firstColumn="0" w:lastColumn="0" w:oddVBand="0" w:evenVBand="0" w:oddHBand="0" w:evenHBand="0" w:firstRowFirstColumn="0" w:firstRowLastColumn="0" w:lastRowFirstColumn="0" w:lastRowLastColumn="0"/>
              <w:rPr>
                <w:rFonts w:ascii="Arial" w:hAnsi="Arial"/>
                <w:b/>
                <w:color w:val="auto"/>
                <w:sz w:val="18"/>
              </w:rPr>
            </w:pPr>
            <w:r w:rsidRPr="00586FBF">
              <w:rPr>
                <w:rFonts w:ascii="Arial" w:hAnsi="Arial"/>
                <w:b/>
                <w:color w:val="auto"/>
                <w:sz w:val="18"/>
              </w:rPr>
              <w:t>0.</w:t>
            </w:r>
            <w:r w:rsidR="00E53659" w:rsidRPr="00586FBF">
              <w:rPr>
                <w:rFonts w:ascii="Arial" w:hAnsi="Arial"/>
                <w:b/>
                <w:color w:val="auto"/>
                <w:sz w:val="18"/>
              </w:rPr>
              <w:t>2</w:t>
            </w:r>
            <w:r w:rsidRPr="00586FBF">
              <w:rPr>
                <w:rFonts w:ascii="Arial" w:hAnsi="Arial"/>
                <w:b/>
                <w:color w:val="auto"/>
                <w:sz w:val="18"/>
              </w:rPr>
              <w:t>%</w:t>
            </w:r>
          </w:p>
        </w:tc>
      </w:tr>
      <w:tr w:rsidR="00F714BF" w:rsidRPr="00586FBF" w14:paraId="793C2F5E" w14:textId="77777777" w:rsidTr="00253CA7">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027" w:type="pct"/>
            <w:hideMark/>
          </w:tcPr>
          <w:p w14:paraId="636A8F48" w14:textId="77777777" w:rsidR="00331CEF" w:rsidRPr="00586FBF" w:rsidRDefault="00331CEF" w:rsidP="00E83685">
            <w:pPr>
              <w:pStyle w:val="TableTextSmall"/>
              <w:ind w:right="57"/>
              <w:jc w:val="center"/>
              <w:rPr>
                <w:rFonts w:ascii="Arial" w:hAnsi="Arial"/>
                <w:color w:val="auto"/>
                <w:sz w:val="18"/>
              </w:rPr>
            </w:pPr>
            <w:r w:rsidRPr="00586FBF">
              <w:rPr>
                <w:rFonts w:ascii="Arial" w:hAnsi="Arial"/>
                <w:color w:val="auto"/>
                <w:sz w:val="18"/>
              </w:rPr>
              <w:t>Total welfare recipient population</w:t>
            </w:r>
          </w:p>
        </w:tc>
        <w:tc>
          <w:tcPr>
            <w:tcW w:w="704" w:type="pct"/>
            <w:hideMark/>
          </w:tcPr>
          <w:p w14:paraId="0A07B246" w14:textId="77777777" w:rsidR="00331CEF" w:rsidRPr="00586FBF" w:rsidRDefault="00331CEF" w:rsidP="00E83685">
            <w:pPr>
              <w:pStyle w:val="TableTextSmall"/>
              <w:spacing w:line="260" w:lineRule="exact"/>
              <w:ind w:right="57"/>
              <w:jc w:val="right"/>
              <w:cnfStyle w:val="000000100000" w:firstRow="0" w:lastRow="0" w:firstColumn="0" w:lastColumn="0" w:oddVBand="0" w:evenVBand="0" w:oddHBand="1" w:evenHBand="0" w:firstRowFirstColumn="0" w:firstRowLastColumn="0" w:lastRowFirstColumn="0" w:lastRowLastColumn="0"/>
              <w:rPr>
                <w:rFonts w:ascii="Arial" w:hAnsi="Arial"/>
                <w:b/>
                <w:color w:val="auto"/>
                <w:sz w:val="18"/>
              </w:rPr>
            </w:pPr>
            <w:r w:rsidRPr="00586FBF">
              <w:rPr>
                <w:rFonts w:ascii="Arial" w:hAnsi="Arial"/>
                <w:b/>
                <w:color w:val="auto"/>
                <w:sz w:val="18"/>
              </w:rPr>
              <w:t>7,951</w:t>
            </w:r>
          </w:p>
        </w:tc>
        <w:tc>
          <w:tcPr>
            <w:tcW w:w="666" w:type="pct"/>
            <w:hideMark/>
          </w:tcPr>
          <w:p w14:paraId="644ED73B" w14:textId="77777777" w:rsidR="00331CEF" w:rsidRPr="00586FBF" w:rsidRDefault="00331CEF" w:rsidP="00E83685">
            <w:pPr>
              <w:pStyle w:val="TableTextSmall"/>
              <w:spacing w:line="260" w:lineRule="exact"/>
              <w:ind w:right="57"/>
              <w:jc w:val="right"/>
              <w:cnfStyle w:val="000000100000" w:firstRow="0" w:lastRow="0" w:firstColumn="0" w:lastColumn="0" w:oddVBand="0" w:evenVBand="0" w:oddHBand="1" w:evenHBand="0" w:firstRowFirstColumn="0" w:firstRowLastColumn="0" w:lastRowFirstColumn="0" w:lastRowLastColumn="0"/>
              <w:rPr>
                <w:rFonts w:ascii="Arial" w:hAnsi="Arial"/>
                <w:b/>
                <w:color w:val="auto"/>
                <w:sz w:val="18"/>
              </w:rPr>
            </w:pPr>
            <w:r w:rsidRPr="00586FBF">
              <w:rPr>
                <w:rFonts w:ascii="Arial" w:hAnsi="Arial"/>
                <w:b/>
                <w:color w:val="auto"/>
                <w:sz w:val="18"/>
              </w:rPr>
              <w:t>31.8%</w:t>
            </w:r>
          </w:p>
        </w:tc>
        <w:tc>
          <w:tcPr>
            <w:tcW w:w="692" w:type="pct"/>
          </w:tcPr>
          <w:p w14:paraId="3FA3EE4A" w14:textId="282178BD" w:rsidR="00331CEF" w:rsidRPr="00586FBF" w:rsidRDefault="00F40317" w:rsidP="00E83685">
            <w:pPr>
              <w:pStyle w:val="TableTextSmall"/>
              <w:spacing w:line="260" w:lineRule="exact"/>
              <w:ind w:right="57"/>
              <w:jc w:val="right"/>
              <w:cnfStyle w:val="000000100000" w:firstRow="0" w:lastRow="0" w:firstColumn="0" w:lastColumn="0" w:oddVBand="0" w:evenVBand="0" w:oddHBand="1" w:evenHBand="0" w:firstRowFirstColumn="0" w:firstRowLastColumn="0" w:lastRowFirstColumn="0" w:lastRowLastColumn="0"/>
              <w:rPr>
                <w:rFonts w:ascii="Arial" w:hAnsi="Arial"/>
                <w:b/>
                <w:color w:val="auto"/>
                <w:sz w:val="18"/>
              </w:rPr>
            </w:pPr>
            <w:r w:rsidRPr="00586FBF">
              <w:rPr>
                <w:rFonts w:ascii="Arial" w:hAnsi="Arial"/>
                <w:b/>
                <w:color w:val="auto"/>
                <w:sz w:val="18"/>
              </w:rPr>
              <w:t>7,</w:t>
            </w:r>
            <w:r w:rsidR="00F67625" w:rsidRPr="00586FBF">
              <w:rPr>
                <w:rFonts w:ascii="Arial" w:hAnsi="Arial"/>
                <w:b/>
                <w:color w:val="auto"/>
                <w:sz w:val="18"/>
              </w:rPr>
              <w:t>884</w:t>
            </w:r>
          </w:p>
        </w:tc>
        <w:tc>
          <w:tcPr>
            <w:tcW w:w="695" w:type="pct"/>
          </w:tcPr>
          <w:p w14:paraId="0EF97064" w14:textId="791E136F" w:rsidR="00331CEF" w:rsidRPr="00586FBF" w:rsidRDefault="00F40317" w:rsidP="00E83685">
            <w:pPr>
              <w:pStyle w:val="TableTextSmall"/>
              <w:spacing w:line="260" w:lineRule="exact"/>
              <w:ind w:right="57"/>
              <w:jc w:val="right"/>
              <w:cnfStyle w:val="000000100000" w:firstRow="0" w:lastRow="0" w:firstColumn="0" w:lastColumn="0" w:oddVBand="0" w:evenVBand="0" w:oddHBand="1" w:evenHBand="0" w:firstRowFirstColumn="0" w:firstRowLastColumn="0" w:lastRowFirstColumn="0" w:lastRowLastColumn="0"/>
              <w:rPr>
                <w:rFonts w:ascii="Arial" w:hAnsi="Arial"/>
                <w:b/>
                <w:color w:val="auto"/>
                <w:sz w:val="18"/>
              </w:rPr>
            </w:pPr>
            <w:r w:rsidRPr="00586FBF">
              <w:rPr>
                <w:rFonts w:ascii="Arial" w:hAnsi="Arial"/>
                <w:b/>
                <w:color w:val="auto"/>
                <w:sz w:val="18"/>
              </w:rPr>
              <w:t>30.9%</w:t>
            </w:r>
          </w:p>
        </w:tc>
        <w:tc>
          <w:tcPr>
            <w:tcW w:w="582" w:type="pct"/>
          </w:tcPr>
          <w:p w14:paraId="12596833" w14:textId="0266E0F8" w:rsidR="00331CEF" w:rsidRPr="00586FBF" w:rsidRDefault="00A63775" w:rsidP="00E83685">
            <w:pPr>
              <w:pStyle w:val="TableTextSmall"/>
              <w:spacing w:line="260" w:lineRule="exact"/>
              <w:ind w:right="57"/>
              <w:jc w:val="right"/>
              <w:cnfStyle w:val="000000100000" w:firstRow="0" w:lastRow="0" w:firstColumn="0" w:lastColumn="0" w:oddVBand="0" w:evenVBand="0" w:oddHBand="1" w:evenHBand="0" w:firstRowFirstColumn="0" w:firstRowLastColumn="0" w:lastRowFirstColumn="0" w:lastRowLastColumn="0"/>
              <w:rPr>
                <w:rFonts w:ascii="Arial" w:hAnsi="Arial"/>
                <w:b/>
                <w:color w:val="auto"/>
                <w:sz w:val="18"/>
              </w:rPr>
            </w:pPr>
            <w:r w:rsidRPr="00586FBF">
              <w:rPr>
                <w:rFonts w:ascii="Arial" w:hAnsi="Arial"/>
                <w:b/>
                <w:color w:val="auto"/>
                <w:sz w:val="18"/>
              </w:rPr>
              <w:t>-</w:t>
            </w:r>
            <w:r w:rsidR="00E53659" w:rsidRPr="00586FBF">
              <w:rPr>
                <w:rFonts w:ascii="Arial" w:hAnsi="Arial"/>
                <w:b/>
                <w:color w:val="auto"/>
                <w:sz w:val="18"/>
              </w:rPr>
              <w:t>67</w:t>
            </w:r>
          </w:p>
        </w:tc>
        <w:tc>
          <w:tcPr>
            <w:tcW w:w="634" w:type="pct"/>
          </w:tcPr>
          <w:p w14:paraId="0AFF2507" w14:textId="21BD6F12" w:rsidR="00331CEF" w:rsidRPr="00586FBF" w:rsidRDefault="00A63775" w:rsidP="00E83685">
            <w:pPr>
              <w:pStyle w:val="TableTextSmall"/>
              <w:spacing w:line="260" w:lineRule="exact"/>
              <w:ind w:right="57"/>
              <w:jc w:val="right"/>
              <w:cnfStyle w:val="000000100000" w:firstRow="0" w:lastRow="0" w:firstColumn="0" w:lastColumn="0" w:oddVBand="0" w:evenVBand="0" w:oddHBand="1" w:evenHBand="0" w:firstRowFirstColumn="0" w:firstRowLastColumn="0" w:lastRowFirstColumn="0" w:lastRowLastColumn="0"/>
              <w:rPr>
                <w:rFonts w:ascii="Arial" w:hAnsi="Arial"/>
                <w:b/>
                <w:color w:val="auto"/>
                <w:sz w:val="18"/>
              </w:rPr>
            </w:pPr>
            <w:r w:rsidRPr="00586FBF">
              <w:rPr>
                <w:rFonts w:ascii="Arial" w:hAnsi="Arial"/>
                <w:b/>
                <w:color w:val="auto"/>
                <w:sz w:val="18"/>
              </w:rPr>
              <w:t>-0</w:t>
            </w:r>
            <w:r w:rsidR="00E53659" w:rsidRPr="00586FBF">
              <w:rPr>
                <w:rFonts w:ascii="Arial" w:hAnsi="Arial"/>
                <w:b/>
                <w:color w:val="auto"/>
                <w:sz w:val="18"/>
              </w:rPr>
              <w:t>.8</w:t>
            </w:r>
            <w:r w:rsidRPr="00586FBF">
              <w:rPr>
                <w:rFonts w:ascii="Arial" w:hAnsi="Arial"/>
                <w:b/>
                <w:color w:val="auto"/>
                <w:sz w:val="18"/>
              </w:rPr>
              <w:t>%</w:t>
            </w:r>
          </w:p>
        </w:tc>
      </w:tr>
      <w:tr w:rsidR="00F714BF" w:rsidRPr="00586FBF" w14:paraId="04031105" w14:textId="77777777" w:rsidTr="00253CA7">
        <w:trPr>
          <w:trHeight w:val="256"/>
        </w:trPr>
        <w:tc>
          <w:tcPr>
            <w:cnfStyle w:val="001000000000" w:firstRow="0" w:lastRow="0" w:firstColumn="1" w:lastColumn="0" w:oddVBand="0" w:evenVBand="0" w:oddHBand="0" w:evenHBand="0" w:firstRowFirstColumn="0" w:firstRowLastColumn="0" w:lastRowFirstColumn="0" w:lastRowLastColumn="0"/>
            <w:tcW w:w="1027" w:type="pct"/>
            <w:hideMark/>
          </w:tcPr>
          <w:p w14:paraId="14F22156" w14:textId="24762AF5" w:rsidR="00331CEF" w:rsidRPr="00586FBF" w:rsidRDefault="00331CEF" w:rsidP="00E83685">
            <w:pPr>
              <w:pStyle w:val="TableTextSmall"/>
              <w:ind w:right="57"/>
              <w:jc w:val="center"/>
              <w:rPr>
                <w:rFonts w:ascii="Arial" w:hAnsi="Arial"/>
                <w:color w:val="auto"/>
                <w:sz w:val="18"/>
              </w:rPr>
            </w:pPr>
            <w:r w:rsidRPr="00586FBF">
              <w:rPr>
                <w:rFonts w:ascii="Arial" w:hAnsi="Arial"/>
                <w:color w:val="auto"/>
                <w:sz w:val="18"/>
              </w:rPr>
              <w:t>10 exited 1-3 years</w:t>
            </w:r>
            <w:r w:rsidR="00253CA7">
              <w:rPr>
                <w:rFonts w:ascii="Arial" w:hAnsi="Arial"/>
                <w:color w:val="auto"/>
                <w:sz w:val="18"/>
              </w:rPr>
              <w:t>*</w:t>
            </w:r>
          </w:p>
        </w:tc>
        <w:tc>
          <w:tcPr>
            <w:tcW w:w="704" w:type="pct"/>
            <w:hideMark/>
          </w:tcPr>
          <w:p w14:paraId="27F5A135" w14:textId="77777777" w:rsidR="00331CEF" w:rsidRPr="00586FBF" w:rsidRDefault="00331CEF" w:rsidP="00E83685">
            <w:pPr>
              <w:pStyle w:val="TableTextSmall"/>
              <w:spacing w:line="260" w:lineRule="exact"/>
              <w:ind w:right="57"/>
              <w:jc w:val="right"/>
              <w:cnfStyle w:val="000000000000" w:firstRow="0" w:lastRow="0" w:firstColumn="0" w:lastColumn="0" w:oddVBand="0" w:evenVBand="0" w:oddHBand="0" w:evenHBand="0" w:firstRowFirstColumn="0" w:firstRowLastColumn="0" w:lastRowFirstColumn="0" w:lastRowLastColumn="0"/>
              <w:rPr>
                <w:rFonts w:ascii="Arial" w:hAnsi="Arial"/>
                <w:color w:val="auto"/>
                <w:sz w:val="18"/>
              </w:rPr>
            </w:pPr>
            <w:r w:rsidRPr="00586FBF">
              <w:rPr>
                <w:rFonts w:ascii="Arial" w:hAnsi="Arial"/>
                <w:color w:val="auto"/>
                <w:sz w:val="18"/>
              </w:rPr>
              <w:t>1,597</w:t>
            </w:r>
          </w:p>
        </w:tc>
        <w:tc>
          <w:tcPr>
            <w:tcW w:w="666" w:type="pct"/>
            <w:hideMark/>
          </w:tcPr>
          <w:p w14:paraId="1536343D" w14:textId="77777777" w:rsidR="00331CEF" w:rsidRPr="00586FBF" w:rsidRDefault="00331CEF" w:rsidP="00E83685">
            <w:pPr>
              <w:pStyle w:val="TableTextSmall"/>
              <w:spacing w:line="260" w:lineRule="exact"/>
              <w:ind w:right="57"/>
              <w:jc w:val="right"/>
              <w:cnfStyle w:val="000000000000" w:firstRow="0" w:lastRow="0" w:firstColumn="0" w:lastColumn="0" w:oddVBand="0" w:evenVBand="0" w:oddHBand="0" w:evenHBand="0" w:firstRowFirstColumn="0" w:firstRowLastColumn="0" w:lastRowFirstColumn="0" w:lastRowLastColumn="0"/>
              <w:rPr>
                <w:rFonts w:ascii="Arial" w:hAnsi="Arial"/>
                <w:color w:val="auto"/>
                <w:sz w:val="18"/>
              </w:rPr>
            </w:pPr>
            <w:r w:rsidRPr="00586FBF">
              <w:rPr>
                <w:rFonts w:ascii="Arial" w:hAnsi="Arial"/>
                <w:color w:val="auto"/>
                <w:sz w:val="18"/>
              </w:rPr>
              <w:t>6.4%</w:t>
            </w:r>
          </w:p>
        </w:tc>
        <w:tc>
          <w:tcPr>
            <w:tcW w:w="692" w:type="pct"/>
          </w:tcPr>
          <w:p w14:paraId="5B7ED4A9" w14:textId="195A3D7E" w:rsidR="00331CEF" w:rsidRPr="00586FBF" w:rsidRDefault="006A21E9" w:rsidP="00E83685">
            <w:pPr>
              <w:pStyle w:val="TableTextSmall"/>
              <w:spacing w:line="260" w:lineRule="exact"/>
              <w:ind w:right="57"/>
              <w:jc w:val="right"/>
              <w:cnfStyle w:val="000000000000" w:firstRow="0" w:lastRow="0" w:firstColumn="0" w:lastColumn="0" w:oddVBand="0" w:evenVBand="0" w:oddHBand="0" w:evenHBand="0" w:firstRowFirstColumn="0" w:firstRowLastColumn="0" w:lastRowFirstColumn="0" w:lastRowLastColumn="0"/>
              <w:rPr>
                <w:rFonts w:ascii="Arial" w:hAnsi="Arial"/>
                <w:color w:val="auto"/>
                <w:sz w:val="18"/>
              </w:rPr>
            </w:pPr>
            <w:r w:rsidRPr="00586FBF">
              <w:rPr>
                <w:rFonts w:ascii="Arial" w:hAnsi="Arial"/>
                <w:color w:val="auto"/>
                <w:sz w:val="18"/>
              </w:rPr>
              <w:t>1,</w:t>
            </w:r>
            <w:r w:rsidR="00F67625" w:rsidRPr="00586FBF">
              <w:rPr>
                <w:rFonts w:ascii="Arial" w:hAnsi="Arial"/>
                <w:color w:val="auto"/>
                <w:sz w:val="18"/>
              </w:rPr>
              <w:t>574</w:t>
            </w:r>
          </w:p>
        </w:tc>
        <w:tc>
          <w:tcPr>
            <w:tcW w:w="695" w:type="pct"/>
          </w:tcPr>
          <w:p w14:paraId="2BB142B2" w14:textId="11D203C8" w:rsidR="00331CEF" w:rsidRPr="00586FBF" w:rsidRDefault="006A21E9" w:rsidP="00E83685">
            <w:pPr>
              <w:pStyle w:val="TableTextSmall"/>
              <w:spacing w:line="260" w:lineRule="exact"/>
              <w:ind w:right="57"/>
              <w:jc w:val="right"/>
              <w:cnfStyle w:val="000000000000" w:firstRow="0" w:lastRow="0" w:firstColumn="0" w:lastColumn="0" w:oddVBand="0" w:evenVBand="0" w:oddHBand="0" w:evenHBand="0" w:firstRowFirstColumn="0" w:firstRowLastColumn="0" w:lastRowFirstColumn="0" w:lastRowLastColumn="0"/>
              <w:rPr>
                <w:rFonts w:ascii="Arial" w:hAnsi="Arial"/>
                <w:color w:val="auto"/>
                <w:sz w:val="18"/>
              </w:rPr>
            </w:pPr>
            <w:r w:rsidRPr="00586FBF">
              <w:rPr>
                <w:rFonts w:ascii="Arial" w:hAnsi="Arial"/>
                <w:color w:val="auto"/>
                <w:sz w:val="18"/>
              </w:rPr>
              <w:t>6.2%</w:t>
            </w:r>
          </w:p>
        </w:tc>
        <w:tc>
          <w:tcPr>
            <w:tcW w:w="582" w:type="pct"/>
          </w:tcPr>
          <w:p w14:paraId="4A585E56" w14:textId="1F5F20F8" w:rsidR="00331CEF" w:rsidRPr="00586FBF" w:rsidRDefault="00A63775" w:rsidP="00E83685">
            <w:pPr>
              <w:pStyle w:val="TableTextSmall"/>
              <w:spacing w:line="260" w:lineRule="exact"/>
              <w:ind w:right="57"/>
              <w:jc w:val="right"/>
              <w:cnfStyle w:val="000000000000" w:firstRow="0" w:lastRow="0" w:firstColumn="0" w:lastColumn="0" w:oddVBand="0" w:evenVBand="0" w:oddHBand="0" w:evenHBand="0" w:firstRowFirstColumn="0" w:firstRowLastColumn="0" w:lastRowFirstColumn="0" w:lastRowLastColumn="0"/>
              <w:rPr>
                <w:rFonts w:ascii="Arial" w:hAnsi="Arial"/>
                <w:color w:val="auto"/>
                <w:sz w:val="18"/>
              </w:rPr>
            </w:pPr>
            <w:r w:rsidRPr="00586FBF">
              <w:rPr>
                <w:rFonts w:ascii="Arial" w:hAnsi="Arial"/>
                <w:color w:val="auto"/>
                <w:sz w:val="18"/>
              </w:rPr>
              <w:t>-</w:t>
            </w:r>
            <w:r w:rsidR="00E53659" w:rsidRPr="00586FBF">
              <w:rPr>
                <w:rFonts w:ascii="Arial" w:hAnsi="Arial"/>
                <w:color w:val="auto"/>
                <w:sz w:val="18"/>
              </w:rPr>
              <w:t>23</w:t>
            </w:r>
          </w:p>
        </w:tc>
        <w:tc>
          <w:tcPr>
            <w:tcW w:w="634" w:type="pct"/>
          </w:tcPr>
          <w:p w14:paraId="3B27E182" w14:textId="080A9165" w:rsidR="00331CEF" w:rsidRPr="00586FBF" w:rsidRDefault="00A63775" w:rsidP="00E83685">
            <w:pPr>
              <w:pStyle w:val="TableTextSmall"/>
              <w:spacing w:line="260" w:lineRule="exact"/>
              <w:ind w:right="57"/>
              <w:jc w:val="right"/>
              <w:cnfStyle w:val="000000000000" w:firstRow="0" w:lastRow="0" w:firstColumn="0" w:lastColumn="0" w:oddVBand="0" w:evenVBand="0" w:oddHBand="0" w:evenHBand="0" w:firstRowFirstColumn="0" w:firstRowLastColumn="0" w:lastRowFirstColumn="0" w:lastRowLastColumn="0"/>
              <w:rPr>
                <w:rFonts w:ascii="Arial" w:hAnsi="Arial"/>
                <w:color w:val="auto"/>
                <w:sz w:val="18"/>
              </w:rPr>
            </w:pPr>
            <w:r w:rsidRPr="00586FBF">
              <w:rPr>
                <w:rFonts w:ascii="Arial" w:hAnsi="Arial"/>
                <w:color w:val="auto"/>
                <w:sz w:val="18"/>
              </w:rPr>
              <w:t>-</w:t>
            </w:r>
            <w:r w:rsidR="00E53659" w:rsidRPr="00586FBF">
              <w:rPr>
                <w:rFonts w:ascii="Arial" w:hAnsi="Arial"/>
                <w:color w:val="auto"/>
                <w:sz w:val="18"/>
              </w:rPr>
              <w:t>1.5</w:t>
            </w:r>
            <w:r w:rsidRPr="00586FBF">
              <w:rPr>
                <w:rFonts w:ascii="Arial" w:hAnsi="Arial"/>
                <w:color w:val="auto"/>
                <w:sz w:val="18"/>
              </w:rPr>
              <w:t>%</w:t>
            </w:r>
          </w:p>
        </w:tc>
      </w:tr>
      <w:tr w:rsidR="00F714BF" w:rsidRPr="00586FBF" w14:paraId="0D0EC7D2" w14:textId="77777777" w:rsidTr="00253CA7">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027" w:type="pct"/>
            <w:hideMark/>
          </w:tcPr>
          <w:p w14:paraId="04B0A9AA" w14:textId="73CFD536" w:rsidR="00331CEF" w:rsidRPr="00586FBF" w:rsidRDefault="00331CEF" w:rsidP="00E83685">
            <w:pPr>
              <w:pStyle w:val="TableTextSmall"/>
              <w:ind w:right="57"/>
              <w:jc w:val="center"/>
              <w:rPr>
                <w:rFonts w:ascii="Arial" w:hAnsi="Arial"/>
                <w:color w:val="auto"/>
                <w:sz w:val="18"/>
              </w:rPr>
            </w:pPr>
            <w:r w:rsidRPr="00586FBF">
              <w:rPr>
                <w:rFonts w:ascii="Arial" w:hAnsi="Arial"/>
                <w:color w:val="auto"/>
                <w:sz w:val="18"/>
              </w:rPr>
              <w:t>10 exited 4</w:t>
            </w:r>
            <w:r w:rsidR="00F5187A" w:rsidRPr="00586FBF">
              <w:rPr>
                <w:rFonts w:ascii="Arial" w:hAnsi="Arial"/>
                <w:color w:val="auto"/>
                <w:sz w:val="18"/>
              </w:rPr>
              <w:t>-18</w:t>
            </w:r>
            <w:r w:rsidRPr="00586FBF">
              <w:rPr>
                <w:rFonts w:ascii="Arial" w:hAnsi="Arial"/>
                <w:color w:val="auto"/>
                <w:sz w:val="18"/>
              </w:rPr>
              <w:t xml:space="preserve"> years</w:t>
            </w:r>
            <w:r w:rsidR="00253CA7">
              <w:rPr>
                <w:rFonts w:ascii="Arial" w:hAnsi="Arial"/>
                <w:color w:val="auto"/>
                <w:sz w:val="18"/>
              </w:rPr>
              <w:t>*</w:t>
            </w:r>
          </w:p>
        </w:tc>
        <w:tc>
          <w:tcPr>
            <w:tcW w:w="704" w:type="pct"/>
            <w:hideMark/>
          </w:tcPr>
          <w:p w14:paraId="08697EC2" w14:textId="77777777" w:rsidR="00331CEF" w:rsidRPr="00586FBF" w:rsidRDefault="00331CEF" w:rsidP="00E83685">
            <w:pPr>
              <w:pStyle w:val="TableTextSmall"/>
              <w:spacing w:line="260" w:lineRule="exact"/>
              <w:ind w:right="57"/>
              <w:jc w:val="right"/>
              <w:cnfStyle w:val="000000100000" w:firstRow="0" w:lastRow="0" w:firstColumn="0" w:lastColumn="0" w:oddVBand="0" w:evenVBand="0" w:oddHBand="1" w:evenHBand="0" w:firstRowFirstColumn="0" w:firstRowLastColumn="0" w:lastRowFirstColumn="0" w:lastRowLastColumn="0"/>
              <w:rPr>
                <w:rFonts w:ascii="Arial" w:hAnsi="Arial"/>
                <w:color w:val="auto"/>
                <w:sz w:val="18"/>
              </w:rPr>
            </w:pPr>
            <w:r w:rsidRPr="00586FBF">
              <w:rPr>
                <w:rFonts w:ascii="Arial" w:hAnsi="Arial"/>
                <w:color w:val="auto"/>
                <w:sz w:val="18"/>
              </w:rPr>
              <w:t>3,219</w:t>
            </w:r>
          </w:p>
        </w:tc>
        <w:tc>
          <w:tcPr>
            <w:tcW w:w="666" w:type="pct"/>
            <w:hideMark/>
          </w:tcPr>
          <w:p w14:paraId="52307B18" w14:textId="77777777" w:rsidR="00331CEF" w:rsidRPr="00586FBF" w:rsidRDefault="00331CEF" w:rsidP="00E83685">
            <w:pPr>
              <w:pStyle w:val="TableTextSmall"/>
              <w:spacing w:line="260" w:lineRule="exact"/>
              <w:ind w:right="57"/>
              <w:jc w:val="right"/>
              <w:cnfStyle w:val="000000100000" w:firstRow="0" w:lastRow="0" w:firstColumn="0" w:lastColumn="0" w:oddVBand="0" w:evenVBand="0" w:oddHBand="1" w:evenHBand="0" w:firstRowFirstColumn="0" w:firstRowLastColumn="0" w:lastRowFirstColumn="0" w:lastRowLastColumn="0"/>
              <w:rPr>
                <w:rFonts w:ascii="Arial" w:hAnsi="Arial"/>
                <w:color w:val="auto"/>
                <w:sz w:val="18"/>
              </w:rPr>
            </w:pPr>
            <w:r w:rsidRPr="00586FBF">
              <w:rPr>
                <w:rFonts w:ascii="Arial" w:hAnsi="Arial"/>
                <w:color w:val="auto"/>
                <w:sz w:val="18"/>
              </w:rPr>
              <w:t>12.9%</w:t>
            </w:r>
          </w:p>
        </w:tc>
        <w:tc>
          <w:tcPr>
            <w:tcW w:w="692" w:type="pct"/>
          </w:tcPr>
          <w:p w14:paraId="28EF1E6A" w14:textId="6D7537F5" w:rsidR="00331CEF" w:rsidRPr="00586FBF" w:rsidRDefault="006A21E9" w:rsidP="00E83685">
            <w:pPr>
              <w:pStyle w:val="TableTextSmall"/>
              <w:spacing w:line="260" w:lineRule="exact"/>
              <w:ind w:right="57"/>
              <w:jc w:val="right"/>
              <w:cnfStyle w:val="000000100000" w:firstRow="0" w:lastRow="0" w:firstColumn="0" w:lastColumn="0" w:oddVBand="0" w:evenVBand="0" w:oddHBand="1" w:evenHBand="0" w:firstRowFirstColumn="0" w:firstRowLastColumn="0" w:lastRowFirstColumn="0" w:lastRowLastColumn="0"/>
              <w:rPr>
                <w:rFonts w:ascii="Arial" w:hAnsi="Arial"/>
                <w:color w:val="auto"/>
                <w:sz w:val="18"/>
              </w:rPr>
            </w:pPr>
            <w:r w:rsidRPr="00586FBF">
              <w:rPr>
                <w:rFonts w:ascii="Arial" w:hAnsi="Arial"/>
                <w:color w:val="auto"/>
                <w:sz w:val="18"/>
              </w:rPr>
              <w:t>3,</w:t>
            </w:r>
            <w:r w:rsidR="00F67625" w:rsidRPr="00586FBF">
              <w:rPr>
                <w:rFonts w:ascii="Arial" w:hAnsi="Arial"/>
                <w:color w:val="auto"/>
                <w:sz w:val="18"/>
              </w:rPr>
              <w:t>533</w:t>
            </w:r>
          </w:p>
        </w:tc>
        <w:tc>
          <w:tcPr>
            <w:tcW w:w="695" w:type="pct"/>
          </w:tcPr>
          <w:p w14:paraId="786E820D" w14:textId="73C32E69" w:rsidR="00331CEF" w:rsidRPr="00586FBF" w:rsidRDefault="006A21E9" w:rsidP="00E83685">
            <w:pPr>
              <w:pStyle w:val="TableTextSmall"/>
              <w:spacing w:line="260" w:lineRule="exact"/>
              <w:ind w:right="57"/>
              <w:jc w:val="right"/>
              <w:cnfStyle w:val="000000100000" w:firstRow="0" w:lastRow="0" w:firstColumn="0" w:lastColumn="0" w:oddVBand="0" w:evenVBand="0" w:oddHBand="1" w:evenHBand="0" w:firstRowFirstColumn="0" w:firstRowLastColumn="0" w:lastRowFirstColumn="0" w:lastRowLastColumn="0"/>
              <w:rPr>
                <w:rFonts w:ascii="Arial" w:hAnsi="Arial"/>
                <w:color w:val="auto"/>
                <w:sz w:val="18"/>
              </w:rPr>
            </w:pPr>
            <w:r w:rsidRPr="00586FBF">
              <w:rPr>
                <w:rFonts w:ascii="Arial" w:hAnsi="Arial"/>
                <w:color w:val="auto"/>
                <w:sz w:val="18"/>
              </w:rPr>
              <w:t>13.9%</w:t>
            </w:r>
          </w:p>
        </w:tc>
        <w:tc>
          <w:tcPr>
            <w:tcW w:w="582" w:type="pct"/>
          </w:tcPr>
          <w:p w14:paraId="428019BE" w14:textId="048EB7C9" w:rsidR="00331CEF" w:rsidRPr="00586FBF" w:rsidRDefault="00E53659" w:rsidP="00E83685">
            <w:pPr>
              <w:pStyle w:val="TableTextSmall"/>
              <w:spacing w:line="260" w:lineRule="exact"/>
              <w:ind w:right="57"/>
              <w:jc w:val="right"/>
              <w:cnfStyle w:val="000000100000" w:firstRow="0" w:lastRow="0" w:firstColumn="0" w:lastColumn="0" w:oddVBand="0" w:evenVBand="0" w:oddHBand="1" w:evenHBand="0" w:firstRowFirstColumn="0" w:firstRowLastColumn="0" w:lastRowFirstColumn="0" w:lastRowLastColumn="0"/>
              <w:rPr>
                <w:rFonts w:ascii="Arial" w:hAnsi="Arial"/>
                <w:color w:val="auto"/>
                <w:sz w:val="18"/>
              </w:rPr>
            </w:pPr>
            <w:r w:rsidRPr="00586FBF">
              <w:rPr>
                <w:rFonts w:ascii="Arial" w:hAnsi="Arial"/>
                <w:color w:val="auto"/>
                <w:sz w:val="18"/>
              </w:rPr>
              <w:t>314</w:t>
            </w:r>
          </w:p>
        </w:tc>
        <w:tc>
          <w:tcPr>
            <w:tcW w:w="634" w:type="pct"/>
          </w:tcPr>
          <w:p w14:paraId="476872F4" w14:textId="41CC7F03" w:rsidR="00331CEF" w:rsidRPr="00586FBF" w:rsidRDefault="00A63775" w:rsidP="00E83685">
            <w:pPr>
              <w:pStyle w:val="TableTextSmall"/>
              <w:spacing w:line="260" w:lineRule="exact"/>
              <w:ind w:right="57"/>
              <w:jc w:val="right"/>
              <w:cnfStyle w:val="000000100000" w:firstRow="0" w:lastRow="0" w:firstColumn="0" w:lastColumn="0" w:oddVBand="0" w:evenVBand="0" w:oddHBand="1" w:evenHBand="0" w:firstRowFirstColumn="0" w:firstRowLastColumn="0" w:lastRowFirstColumn="0" w:lastRowLastColumn="0"/>
              <w:rPr>
                <w:rFonts w:ascii="Arial" w:hAnsi="Arial"/>
                <w:color w:val="auto"/>
                <w:sz w:val="18"/>
              </w:rPr>
            </w:pPr>
            <w:r w:rsidRPr="00586FBF">
              <w:rPr>
                <w:rFonts w:ascii="Arial" w:hAnsi="Arial"/>
                <w:color w:val="auto"/>
                <w:sz w:val="18"/>
              </w:rPr>
              <w:t>9.8%</w:t>
            </w:r>
          </w:p>
        </w:tc>
      </w:tr>
      <w:tr w:rsidR="00F714BF" w:rsidRPr="00586FBF" w14:paraId="47CC3DB9" w14:textId="77777777" w:rsidTr="00253CA7">
        <w:trPr>
          <w:trHeight w:val="271"/>
        </w:trPr>
        <w:tc>
          <w:tcPr>
            <w:cnfStyle w:val="001000000000" w:firstRow="0" w:lastRow="0" w:firstColumn="1" w:lastColumn="0" w:oddVBand="0" w:evenVBand="0" w:oddHBand="0" w:evenHBand="0" w:firstRowFirstColumn="0" w:firstRowLastColumn="0" w:lastRowFirstColumn="0" w:lastRowLastColumn="0"/>
            <w:tcW w:w="1027" w:type="pct"/>
            <w:hideMark/>
          </w:tcPr>
          <w:p w14:paraId="10F42065" w14:textId="77777777" w:rsidR="00331CEF" w:rsidRPr="00586FBF" w:rsidRDefault="00331CEF" w:rsidP="00E83685">
            <w:pPr>
              <w:pStyle w:val="TableTextSmall"/>
              <w:ind w:right="57"/>
              <w:jc w:val="center"/>
              <w:rPr>
                <w:rFonts w:ascii="Arial" w:hAnsi="Arial"/>
                <w:color w:val="auto"/>
                <w:sz w:val="18"/>
              </w:rPr>
            </w:pPr>
            <w:r w:rsidRPr="00586FBF">
              <w:rPr>
                <w:rFonts w:ascii="Arial" w:hAnsi="Arial"/>
                <w:color w:val="auto"/>
                <w:sz w:val="18"/>
              </w:rPr>
              <w:t>Total previous client population</w:t>
            </w:r>
          </w:p>
        </w:tc>
        <w:tc>
          <w:tcPr>
            <w:tcW w:w="704" w:type="pct"/>
            <w:hideMark/>
          </w:tcPr>
          <w:p w14:paraId="008B7041" w14:textId="77777777" w:rsidR="00331CEF" w:rsidRPr="006433EA" w:rsidRDefault="00331CEF" w:rsidP="00E83685">
            <w:pPr>
              <w:pStyle w:val="TableTextSmall"/>
              <w:spacing w:line="260" w:lineRule="exact"/>
              <w:ind w:right="57"/>
              <w:jc w:val="right"/>
              <w:cnfStyle w:val="000000000000" w:firstRow="0" w:lastRow="0" w:firstColumn="0" w:lastColumn="0" w:oddVBand="0" w:evenVBand="0" w:oddHBand="0" w:evenHBand="0" w:firstRowFirstColumn="0" w:firstRowLastColumn="0" w:lastRowFirstColumn="0" w:lastRowLastColumn="0"/>
              <w:rPr>
                <w:rFonts w:ascii="Arial" w:hAnsi="Arial"/>
                <w:b/>
                <w:color w:val="auto"/>
                <w:sz w:val="18"/>
              </w:rPr>
            </w:pPr>
            <w:r w:rsidRPr="006433EA">
              <w:rPr>
                <w:rFonts w:ascii="Arial" w:hAnsi="Arial"/>
                <w:b/>
                <w:color w:val="auto"/>
                <w:sz w:val="18"/>
              </w:rPr>
              <w:t>4,816</w:t>
            </w:r>
          </w:p>
        </w:tc>
        <w:tc>
          <w:tcPr>
            <w:tcW w:w="666" w:type="pct"/>
            <w:hideMark/>
          </w:tcPr>
          <w:p w14:paraId="005E0B84" w14:textId="77777777" w:rsidR="00331CEF" w:rsidRPr="006433EA" w:rsidRDefault="00331CEF" w:rsidP="00E83685">
            <w:pPr>
              <w:pStyle w:val="TableTextSmall"/>
              <w:spacing w:line="260" w:lineRule="exact"/>
              <w:ind w:right="57"/>
              <w:jc w:val="right"/>
              <w:cnfStyle w:val="000000000000" w:firstRow="0" w:lastRow="0" w:firstColumn="0" w:lastColumn="0" w:oddVBand="0" w:evenVBand="0" w:oddHBand="0" w:evenHBand="0" w:firstRowFirstColumn="0" w:firstRowLastColumn="0" w:lastRowFirstColumn="0" w:lastRowLastColumn="0"/>
              <w:rPr>
                <w:rFonts w:ascii="Arial" w:hAnsi="Arial"/>
                <w:b/>
                <w:color w:val="auto"/>
                <w:sz w:val="18"/>
              </w:rPr>
            </w:pPr>
            <w:r w:rsidRPr="006433EA">
              <w:rPr>
                <w:rFonts w:ascii="Arial" w:hAnsi="Arial"/>
                <w:b/>
                <w:color w:val="auto"/>
                <w:sz w:val="18"/>
              </w:rPr>
              <w:t>19.2%</w:t>
            </w:r>
          </w:p>
        </w:tc>
        <w:tc>
          <w:tcPr>
            <w:tcW w:w="692" w:type="pct"/>
          </w:tcPr>
          <w:p w14:paraId="32EC6647" w14:textId="698F5AE4" w:rsidR="00331CEF" w:rsidRPr="006433EA" w:rsidRDefault="006A21E9" w:rsidP="00E83685">
            <w:pPr>
              <w:pStyle w:val="TableTextSmall"/>
              <w:spacing w:line="260" w:lineRule="exact"/>
              <w:ind w:right="57"/>
              <w:jc w:val="right"/>
              <w:cnfStyle w:val="000000000000" w:firstRow="0" w:lastRow="0" w:firstColumn="0" w:lastColumn="0" w:oddVBand="0" w:evenVBand="0" w:oddHBand="0" w:evenHBand="0" w:firstRowFirstColumn="0" w:firstRowLastColumn="0" w:lastRowFirstColumn="0" w:lastRowLastColumn="0"/>
              <w:rPr>
                <w:rFonts w:ascii="Arial" w:hAnsi="Arial"/>
                <w:b/>
                <w:color w:val="auto"/>
                <w:sz w:val="18"/>
              </w:rPr>
            </w:pPr>
            <w:r w:rsidRPr="006433EA">
              <w:rPr>
                <w:rFonts w:ascii="Arial" w:hAnsi="Arial"/>
                <w:b/>
                <w:color w:val="auto"/>
                <w:sz w:val="18"/>
              </w:rPr>
              <w:t>5,</w:t>
            </w:r>
            <w:r w:rsidR="00F67625" w:rsidRPr="006433EA">
              <w:rPr>
                <w:rFonts w:ascii="Arial" w:hAnsi="Arial"/>
                <w:b/>
                <w:color w:val="auto"/>
                <w:sz w:val="18"/>
              </w:rPr>
              <w:t>107</w:t>
            </w:r>
          </w:p>
        </w:tc>
        <w:tc>
          <w:tcPr>
            <w:tcW w:w="695" w:type="pct"/>
          </w:tcPr>
          <w:p w14:paraId="321C6DEC" w14:textId="12FA86F9" w:rsidR="00331CEF" w:rsidRPr="006433EA" w:rsidRDefault="006A21E9" w:rsidP="00E83685">
            <w:pPr>
              <w:pStyle w:val="TableTextSmall"/>
              <w:spacing w:line="260" w:lineRule="exact"/>
              <w:ind w:right="57"/>
              <w:jc w:val="right"/>
              <w:cnfStyle w:val="000000000000" w:firstRow="0" w:lastRow="0" w:firstColumn="0" w:lastColumn="0" w:oddVBand="0" w:evenVBand="0" w:oddHBand="0" w:evenHBand="0" w:firstRowFirstColumn="0" w:firstRowLastColumn="0" w:lastRowFirstColumn="0" w:lastRowLastColumn="0"/>
              <w:rPr>
                <w:rFonts w:ascii="Arial" w:hAnsi="Arial"/>
                <w:b/>
                <w:color w:val="auto"/>
                <w:sz w:val="18"/>
              </w:rPr>
            </w:pPr>
            <w:r w:rsidRPr="006433EA">
              <w:rPr>
                <w:rFonts w:ascii="Arial" w:hAnsi="Arial"/>
                <w:b/>
                <w:color w:val="auto"/>
                <w:sz w:val="18"/>
              </w:rPr>
              <w:t>20.</w:t>
            </w:r>
            <w:r w:rsidR="00F67625" w:rsidRPr="006433EA">
              <w:rPr>
                <w:rFonts w:ascii="Arial" w:hAnsi="Arial"/>
                <w:b/>
                <w:color w:val="auto"/>
                <w:sz w:val="18"/>
              </w:rPr>
              <w:t>0</w:t>
            </w:r>
            <w:r w:rsidRPr="006433EA">
              <w:rPr>
                <w:rFonts w:ascii="Arial" w:hAnsi="Arial"/>
                <w:b/>
                <w:color w:val="auto"/>
                <w:sz w:val="18"/>
              </w:rPr>
              <w:t>%</w:t>
            </w:r>
          </w:p>
        </w:tc>
        <w:tc>
          <w:tcPr>
            <w:tcW w:w="582" w:type="pct"/>
          </w:tcPr>
          <w:p w14:paraId="07B1C6B0" w14:textId="1427A09E" w:rsidR="00331CEF" w:rsidRPr="006433EA" w:rsidRDefault="00E53659" w:rsidP="00E83685">
            <w:pPr>
              <w:pStyle w:val="TableTextSmall"/>
              <w:spacing w:line="260" w:lineRule="exact"/>
              <w:ind w:right="57"/>
              <w:jc w:val="right"/>
              <w:cnfStyle w:val="000000000000" w:firstRow="0" w:lastRow="0" w:firstColumn="0" w:lastColumn="0" w:oddVBand="0" w:evenVBand="0" w:oddHBand="0" w:evenHBand="0" w:firstRowFirstColumn="0" w:firstRowLastColumn="0" w:lastRowFirstColumn="0" w:lastRowLastColumn="0"/>
              <w:rPr>
                <w:rFonts w:ascii="Arial" w:hAnsi="Arial"/>
                <w:b/>
                <w:color w:val="auto"/>
                <w:sz w:val="18"/>
              </w:rPr>
            </w:pPr>
            <w:r w:rsidRPr="006433EA">
              <w:rPr>
                <w:rFonts w:ascii="Arial" w:hAnsi="Arial"/>
                <w:b/>
                <w:color w:val="auto"/>
                <w:sz w:val="18"/>
              </w:rPr>
              <w:t>291</w:t>
            </w:r>
          </w:p>
        </w:tc>
        <w:tc>
          <w:tcPr>
            <w:tcW w:w="634" w:type="pct"/>
          </w:tcPr>
          <w:p w14:paraId="4A1FFA25" w14:textId="10ABE76E" w:rsidR="00331CEF" w:rsidRPr="006433EA" w:rsidRDefault="00A63775" w:rsidP="00E83685">
            <w:pPr>
              <w:pStyle w:val="TableTextSmall"/>
              <w:spacing w:line="260" w:lineRule="exact"/>
              <w:ind w:right="57"/>
              <w:jc w:val="right"/>
              <w:cnfStyle w:val="000000000000" w:firstRow="0" w:lastRow="0" w:firstColumn="0" w:lastColumn="0" w:oddVBand="0" w:evenVBand="0" w:oddHBand="0" w:evenHBand="0" w:firstRowFirstColumn="0" w:firstRowLastColumn="0" w:lastRowFirstColumn="0" w:lastRowLastColumn="0"/>
              <w:rPr>
                <w:rFonts w:ascii="Arial" w:hAnsi="Arial"/>
                <w:b/>
                <w:color w:val="auto"/>
                <w:sz w:val="18"/>
              </w:rPr>
            </w:pPr>
            <w:r w:rsidRPr="006433EA">
              <w:rPr>
                <w:rFonts w:ascii="Arial" w:hAnsi="Arial"/>
                <w:b/>
                <w:color w:val="auto"/>
                <w:sz w:val="18"/>
              </w:rPr>
              <w:t>6.</w:t>
            </w:r>
            <w:r w:rsidR="00E53659" w:rsidRPr="006433EA">
              <w:rPr>
                <w:rFonts w:ascii="Arial" w:hAnsi="Arial"/>
                <w:b/>
                <w:color w:val="auto"/>
                <w:sz w:val="18"/>
              </w:rPr>
              <w:t>0</w:t>
            </w:r>
            <w:r w:rsidRPr="006433EA">
              <w:rPr>
                <w:rFonts w:ascii="Arial" w:hAnsi="Arial"/>
                <w:b/>
                <w:color w:val="auto"/>
                <w:sz w:val="18"/>
              </w:rPr>
              <w:t>%</w:t>
            </w:r>
          </w:p>
        </w:tc>
      </w:tr>
      <w:tr w:rsidR="00F714BF" w:rsidRPr="00586FBF" w14:paraId="3E75A66F" w14:textId="77777777" w:rsidTr="00253CA7">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027" w:type="pct"/>
            <w:hideMark/>
          </w:tcPr>
          <w:p w14:paraId="0168CBB6" w14:textId="35C9DA00" w:rsidR="00331CEF" w:rsidRPr="00586FBF" w:rsidRDefault="00054ED7" w:rsidP="00E83685">
            <w:pPr>
              <w:pStyle w:val="TableTextSmall"/>
              <w:ind w:right="57"/>
              <w:jc w:val="center"/>
              <w:rPr>
                <w:rFonts w:ascii="Arial" w:hAnsi="Arial"/>
                <w:color w:val="auto"/>
                <w:sz w:val="18"/>
              </w:rPr>
            </w:pPr>
            <w:r w:rsidRPr="000D3BA9">
              <w:rPr>
                <w:rFonts w:ascii="Arial" w:hAnsi="Arial"/>
                <w:color w:val="auto"/>
                <w:sz w:val="18"/>
              </w:rPr>
              <w:t>12 Rest of Aust. population</w:t>
            </w:r>
          </w:p>
        </w:tc>
        <w:tc>
          <w:tcPr>
            <w:tcW w:w="704" w:type="pct"/>
            <w:hideMark/>
          </w:tcPr>
          <w:p w14:paraId="2C5BAF01" w14:textId="77777777" w:rsidR="00331CEF" w:rsidRPr="00586FBF" w:rsidRDefault="00331CEF" w:rsidP="00E83685">
            <w:pPr>
              <w:pStyle w:val="TableTextSmall"/>
              <w:spacing w:line="260" w:lineRule="exact"/>
              <w:ind w:right="57"/>
              <w:jc w:val="right"/>
              <w:cnfStyle w:val="000000100000" w:firstRow="0" w:lastRow="0" w:firstColumn="0" w:lastColumn="0" w:oddVBand="0" w:evenVBand="0" w:oddHBand="1" w:evenHBand="0" w:firstRowFirstColumn="0" w:firstRowLastColumn="0" w:lastRowFirstColumn="0" w:lastRowLastColumn="0"/>
              <w:rPr>
                <w:rFonts w:ascii="Arial" w:hAnsi="Arial"/>
                <w:color w:val="auto"/>
                <w:sz w:val="18"/>
              </w:rPr>
            </w:pPr>
            <w:r w:rsidRPr="00586FBF">
              <w:rPr>
                <w:rFonts w:ascii="Arial" w:hAnsi="Arial"/>
                <w:color w:val="auto"/>
                <w:sz w:val="18"/>
              </w:rPr>
              <w:t>12,266</w:t>
            </w:r>
          </w:p>
        </w:tc>
        <w:tc>
          <w:tcPr>
            <w:tcW w:w="666" w:type="pct"/>
            <w:hideMark/>
          </w:tcPr>
          <w:p w14:paraId="54558172" w14:textId="77777777" w:rsidR="00331CEF" w:rsidRPr="00586FBF" w:rsidRDefault="00331CEF" w:rsidP="00E83685">
            <w:pPr>
              <w:pStyle w:val="TableTextSmall"/>
              <w:spacing w:line="260" w:lineRule="exact"/>
              <w:ind w:right="57"/>
              <w:jc w:val="right"/>
              <w:cnfStyle w:val="000000100000" w:firstRow="0" w:lastRow="0" w:firstColumn="0" w:lastColumn="0" w:oddVBand="0" w:evenVBand="0" w:oddHBand="1" w:evenHBand="0" w:firstRowFirstColumn="0" w:firstRowLastColumn="0" w:lastRowFirstColumn="0" w:lastRowLastColumn="0"/>
              <w:rPr>
                <w:rFonts w:ascii="Arial" w:hAnsi="Arial"/>
                <w:color w:val="auto"/>
                <w:sz w:val="18"/>
              </w:rPr>
            </w:pPr>
            <w:r w:rsidRPr="00586FBF">
              <w:rPr>
                <w:rFonts w:ascii="Arial" w:hAnsi="Arial"/>
                <w:color w:val="auto"/>
                <w:sz w:val="18"/>
              </w:rPr>
              <w:t>49.0%</w:t>
            </w:r>
          </w:p>
        </w:tc>
        <w:tc>
          <w:tcPr>
            <w:tcW w:w="692" w:type="pct"/>
          </w:tcPr>
          <w:p w14:paraId="6F53CDB6" w14:textId="7F6CA711" w:rsidR="00331CEF" w:rsidRPr="00586FBF" w:rsidRDefault="00C04C4E" w:rsidP="00E83685">
            <w:pPr>
              <w:pStyle w:val="TableTextSmall"/>
              <w:spacing w:line="260" w:lineRule="exact"/>
              <w:ind w:right="57"/>
              <w:jc w:val="right"/>
              <w:cnfStyle w:val="000000100000" w:firstRow="0" w:lastRow="0" w:firstColumn="0" w:lastColumn="0" w:oddVBand="0" w:evenVBand="0" w:oddHBand="1" w:evenHBand="0" w:firstRowFirstColumn="0" w:firstRowLastColumn="0" w:lastRowFirstColumn="0" w:lastRowLastColumn="0"/>
              <w:rPr>
                <w:rFonts w:ascii="Arial" w:hAnsi="Arial"/>
                <w:color w:val="auto"/>
                <w:sz w:val="18"/>
              </w:rPr>
            </w:pPr>
            <w:r w:rsidRPr="00586FBF">
              <w:rPr>
                <w:rFonts w:ascii="Arial" w:hAnsi="Arial"/>
                <w:color w:val="auto"/>
                <w:sz w:val="18"/>
              </w:rPr>
              <w:t>12,491</w:t>
            </w:r>
          </w:p>
        </w:tc>
        <w:tc>
          <w:tcPr>
            <w:tcW w:w="695" w:type="pct"/>
          </w:tcPr>
          <w:p w14:paraId="7D07B8CC" w14:textId="75493DF1" w:rsidR="00331CEF" w:rsidRPr="00586FBF" w:rsidRDefault="00C04C4E" w:rsidP="00E83685">
            <w:pPr>
              <w:pStyle w:val="TableTextSmall"/>
              <w:spacing w:line="260" w:lineRule="exact"/>
              <w:ind w:right="57"/>
              <w:jc w:val="center"/>
              <w:cnfStyle w:val="000000100000" w:firstRow="0" w:lastRow="0" w:firstColumn="0" w:lastColumn="0" w:oddVBand="0" w:evenVBand="0" w:oddHBand="1" w:evenHBand="0" w:firstRowFirstColumn="0" w:firstRowLastColumn="0" w:lastRowFirstColumn="0" w:lastRowLastColumn="0"/>
              <w:rPr>
                <w:rFonts w:ascii="Arial" w:hAnsi="Arial"/>
                <w:color w:val="auto"/>
                <w:sz w:val="18"/>
              </w:rPr>
            </w:pPr>
            <w:r w:rsidRPr="00586FBF">
              <w:rPr>
                <w:rFonts w:ascii="Arial" w:hAnsi="Arial"/>
                <w:color w:val="auto"/>
                <w:sz w:val="18"/>
              </w:rPr>
              <w:t>49.0%</w:t>
            </w:r>
          </w:p>
        </w:tc>
        <w:tc>
          <w:tcPr>
            <w:tcW w:w="582" w:type="pct"/>
          </w:tcPr>
          <w:p w14:paraId="2C4969B7" w14:textId="2A525DD3" w:rsidR="00331CEF" w:rsidRPr="00586FBF" w:rsidRDefault="00A63775" w:rsidP="00E83685">
            <w:pPr>
              <w:pStyle w:val="TableTextSmall"/>
              <w:spacing w:line="260" w:lineRule="exact"/>
              <w:ind w:right="57"/>
              <w:jc w:val="right"/>
              <w:cnfStyle w:val="000000100000" w:firstRow="0" w:lastRow="0" w:firstColumn="0" w:lastColumn="0" w:oddVBand="0" w:evenVBand="0" w:oddHBand="1" w:evenHBand="0" w:firstRowFirstColumn="0" w:firstRowLastColumn="0" w:lastRowFirstColumn="0" w:lastRowLastColumn="0"/>
              <w:rPr>
                <w:rFonts w:ascii="Arial" w:hAnsi="Arial"/>
                <w:color w:val="auto"/>
                <w:sz w:val="18"/>
              </w:rPr>
            </w:pPr>
            <w:r w:rsidRPr="00586FBF">
              <w:rPr>
                <w:rFonts w:ascii="Arial" w:hAnsi="Arial"/>
                <w:color w:val="auto"/>
                <w:sz w:val="18"/>
              </w:rPr>
              <w:t>225</w:t>
            </w:r>
          </w:p>
        </w:tc>
        <w:tc>
          <w:tcPr>
            <w:tcW w:w="634" w:type="pct"/>
          </w:tcPr>
          <w:p w14:paraId="176951D9" w14:textId="4A0A2FA2" w:rsidR="00331CEF" w:rsidRPr="00586FBF" w:rsidRDefault="00A63775" w:rsidP="00E83685">
            <w:pPr>
              <w:pStyle w:val="TableTextSmall"/>
              <w:spacing w:line="260" w:lineRule="exact"/>
              <w:ind w:right="57"/>
              <w:jc w:val="right"/>
              <w:cnfStyle w:val="000000100000" w:firstRow="0" w:lastRow="0" w:firstColumn="0" w:lastColumn="0" w:oddVBand="0" w:evenVBand="0" w:oddHBand="1" w:evenHBand="0" w:firstRowFirstColumn="0" w:firstRowLastColumn="0" w:lastRowFirstColumn="0" w:lastRowLastColumn="0"/>
              <w:rPr>
                <w:rFonts w:ascii="Arial" w:hAnsi="Arial"/>
                <w:color w:val="auto"/>
                <w:sz w:val="18"/>
              </w:rPr>
            </w:pPr>
            <w:r w:rsidRPr="00586FBF">
              <w:rPr>
                <w:rFonts w:ascii="Arial" w:hAnsi="Arial"/>
                <w:color w:val="auto"/>
                <w:sz w:val="18"/>
              </w:rPr>
              <w:t>1.8%</w:t>
            </w:r>
          </w:p>
        </w:tc>
      </w:tr>
      <w:tr w:rsidR="00F714BF" w:rsidRPr="00586FBF" w14:paraId="706ADA13" w14:textId="77777777" w:rsidTr="00253CA7">
        <w:trPr>
          <w:trHeight w:val="256"/>
        </w:trPr>
        <w:tc>
          <w:tcPr>
            <w:cnfStyle w:val="001000000000" w:firstRow="0" w:lastRow="0" w:firstColumn="1" w:lastColumn="0" w:oddVBand="0" w:evenVBand="0" w:oddHBand="0" w:evenHBand="0" w:firstRowFirstColumn="0" w:firstRowLastColumn="0" w:lastRowFirstColumn="0" w:lastRowLastColumn="0"/>
            <w:tcW w:w="1027" w:type="pct"/>
            <w:hideMark/>
          </w:tcPr>
          <w:p w14:paraId="427EB76E" w14:textId="77777777" w:rsidR="00331CEF" w:rsidRPr="00586FBF" w:rsidRDefault="00331CEF" w:rsidP="00E83685">
            <w:pPr>
              <w:pStyle w:val="TableTextSmall"/>
              <w:ind w:right="57"/>
              <w:jc w:val="center"/>
              <w:rPr>
                <w:rFonts w:ascii="Arial" w:hAnsi="Arial"/>
                <w:color w:val="auto"/>
                <w:sz w:val="18"/>
              </w:rPr>
            </w:pPr>
            <w:r w:rsidRPr="00586FBF">
              <w:rPr>
                <w:rFonts w:ascii="Arial" w:hAnsi="Arial"/>
                <w:color w:val="auto"/>
                <w:sz w:val="18"/>
              </w:rPr>
              <w:t>Total Australian model population</w:t>
            </w:r>
          </w:p>
        </w:tc>
        <w:tc>
          <w:tcPr>
            <w:tcW w:w="704" w:type="pct"/>
            <w:hideMark/>
          </w:tcPr>
          <w:p w14:paraId="124FDF44" w14:textId="77777777" w:rsidR="00331CEF" w:rsidRPr="006433EA" w:rsidRDefault="00331CEF" w:rsidP="00E83685">
            <w:pPr>
              <w:pStyle w:val="TableTextSmall"/>
              <w:spacing w:line="260" w:lineRule="exact"/>
              <w:ind w:right="57"/>
              <w:jc w:val="right"/>
              <w:cnfStyle w:val="000000000000" w:firstRow="0" w:lastRow="0" w:firstColumn="0" w:lastColumn="0" w:oddVBand="0" w:evenVBand="0" w:oddHBand="0" w:evenHBand="0" w:firstRowFirstColumn="0" w:firstRowLastColumn="0" w:lastRowFirstColumn="0" w:lastRowLastColumn="0"/>
              <w:rPr>
                <w:rFonts w:ascii="Arial" w:hAnsi="Arial"/>
                <w:b/>
                <w:color w:val="auto"/>
                <w:sz w:val="18"/>
              </w:rPr>
            </w:pPr>
            <w:r w:rsidRPr="006433EA">
              <w:rPr>
                <w:rFonts w:ascii="Arial" w:hAnsi="Arial"/>
                <w:b/>
                <w:color w:val="auto"/>
                <w:sz w:val="18"/>
              </w:rPr>
              <w:t>25,033</w:t>
            </w:r>
          </w:p>
        </w:tc>
        <w:tc>
          <w:tcPr>
            <w:tcW w:w="666" w:type="pct"/>
            <w:hideMark/>
          </w:tcPr>
          <w:p w14:paraId="1D34E130" w14:textId="77777777" w:rsidR="00331CEF" w:rsidRPr="006433EA" w:rsidRDefault="00331CEF" w:rsidP="00E83685">
            <w:pPr>
              <w:pStyle w:val="TableTextSmall"/>
              <w:spacing w:line="260" w:lineRule="exact"/>
              <w:ind w:right="57"/>
              <w:jc w:val="right"/>
              <w:cnfStyle w:val="000000000000" w:firstRow="0" w:lastRow="0" w:firstColumn="0" w:lastColumn="0" w:oddVBand="0" w:evenVBand="0" w:oddHBand="0" w:evenHBand="0" w:firstRowFirstColumn="0" w:firstRowLastColumn="0" w:lastRowFirstColumn="0" w:lastRowLastColumn="0"/>
              <w:rPr>
                <w:rFonts w:ascii="Arial" w:hAnsi="Arial"/>
                <w:b/>
                <w:color w:val="auto"/>
                <w:sz w:val="18"/>
              </w:rPr>
            </w:pPr>
            <w:r w:rsidRPr="006433EA">
              <w:rPr>
                <w:rFonts w:ascii="Arial" w:hAnsi="Arial"/>
                <w:b/>
                <w:color w:val="auto"/>
                <w:sz w:val="18"/>
              </w:rPr>
              <w:t>100%</w:t>
            </w:r>
          </w:p>
        </w:tc>
        <w:tc>
          <w:tcPr>
            <w:tcW w:w="692" w:type="pct"/>
          </w:tcPr>
          <w:p w14:paraId="10AFABBB" w14:textId="500940AF" w:rsidR="00331CEF" w:rsidRPr="006433EA" w:rsidRDefault="00D756C0" w:rsidP="00E83685">
            <w:pPr>
              <w:pStyle w:val="TableTextSmall"/>
              <w:spacing w:line="260" w:lineRule="exact"/>
              <w:ind w:right="57"/>
              <w:jc w:val="right"/>
              <w:cnfStyle w:val="000000000000" w:firstRow="0" w:lastRow="0" w:firstColumn="0" w:lastColumn="0" w:oddVBand="0" w:evenVBand="0" w:oddHBand="0" w:evenHBand="0" w:firstRowFirstColumn="0" w:firstRowLastColumn="0" w:lastRowFirstColumn="0" w:lastRowLastColumn="0"/>
              <w:rPr>
                <w:rFonts w:ascii="Arial" w:hAnsi="Arial"/>
                <w:b/>
                <w:color w:val="auto"/>
                <w:sz w:val="18"/>
              </w:rPr>
            </w:pPr>
            <w:r w:rsidRPr="006433EA">
              <w:rPr>
                <w:rFonts w:ascii="Arial" w:hAnsi="Arial"/>
                <w:b/>
                <w:color w:val="auto"/>
                <w:sz w:val="18"/>
              </w:rPr>
              <w:t>25,482</w:t>
            </w:r>
          </w:p>
        </w:tc>
        <w:tc>
          <w:tcPr>
            <w:tcW w:w="695" w:type="pct"/>
          </w:tcPr>
          <w:p w14:paraId="3E5BEEBD" w14:textId="3973B947" w:rsidR="00331CEF" w:rsidRPr="006433EA" w:rsidRDefault="00D756C0" w:rsidP="00E83685">
            <w:pPr>
              <w:pStyle w:val="TableTextSmall"/>
              <w:spacing w:line="260" w:lineRule="exact"/>
              <w:ind w:right="57"/>
              <w:jc w:val="center"/>
              <w:cnfStyle w:val="000000000000" w:firstRow="0" w:lastRow="0" w:firstColumn="0" w:lastColumn="0" w:oddVBand="0" w:evenVBand="0" w:oddHBand="0" w:evenHBand="0" w:firstRowFirstColumn="0" w:firstRowLastColumn="0" w:lastRowFirstColumn="0" w:lastRowLastColumn="0"/>
              <w:rPr>
                <w:rFonts w:ascii="Arial" w:hAnsi="Arial"/>
                <w:b/>
                <w:color w:val="auto"/>
                <w:sz w:val="18"/>
              </w:rPr>
            </w:pPr>
            <w:r w:rsidRPr="006433EA">
              <w:rPr>
                <w:rFonts w:ascii="Arial" w:hAnsi="Arial"/>
                <w:b/>
                <w:color w:val="auto"/>
                <w:sz w:val="18"/>
              </w:rPr>
              <w:t>100%</w:t>
            </w:r>
          </w:p>
        </w:tc>
        <w:tc>
          <w:tcPr>
            <w:tcW w:w="582" w:type="pct"/>
          </w:tcPr>
          <w:p w14:paraId="67E29F46" w14:textId="7646C629" w:rsidR="00331CEF" w:rsidRPr="006433EA" w:rsidRDefault="00A63775" w:rsidP="00E83685">
            <w:pPr>
              <w:pStyle w:val="TableTextSmall"/>
              <w:spacing w:line="260" w:lineRule="exact"/>
              <w:ind w:right="57"/>
              <w:jc w:val="right"/>
              <w:cnfStyle w:val="000000000000" w:firstRow="0" w:lastRow="0" w:firstColumn="0" w:lastColumn="0" w:oddVBand="0" w:evenVBand="0" w:oddHBand="0" w:evenHBand="0" w:firstRowFirstColumn="0" w:firstRowLastColumn="0" w:lastRowFirstColumn="0" w:lastRowLastColumn="0"/>
              <w:rPr>
                <w:rFonts w:ascii="Arial" w:hAnsi="Arial"/>
                <w:b/>
                <w:color w:val="auto"/>
                <w:sz w:val="18"/>
              </w:rPr>
            </w:pPr>
            <w:r w:rsidRPr="006433EA">
              <w:rPr>
                <w:rFonts w:ascii="Arial" w:hAnsi="Arial"/>
                <w:b/>
                <w:color w:val="auto"/>
                <w:sz w:val="18"/>
              </w:rPr>
              <w:t>449</w:t>
            </w:r>
          </w:p>
        </w:tc>
        <w:tc>
          <w:tcPr>
            <w:tcW w:w="634" w:type="pct"/>
          </w:tcPr>
          <w:p w14:paraId="7C053FBB" w14:textId="39D61D35" w:rsidR="00331CEF" w:rsidRPr="006433EA" w:rsidRDefault="00A63775" w:rsidP="00E83685">
            <w:pPr>
              <w:pStyle w:val="TableTextSmall"/>
              <w:spacing w:line="260" w:lineRule="exact"/>
              <w:ind w:right="57"/>
              <w:jc w:val="right"/>
              <w:cnfStyle w:val="000000000000" w:firstRow="0" w:lastRow="0" w:firstColumn="0" w:lastColumn="0" w:oddVBand="0" w:evenVBand="0" w:oddHBand="0" w:evenHBand="0" w:firstRowFirstColumn="0" w:firstRowLastColumn="0" w:lastRowFirstColumn="0" w:lastRowLastColumn="0"/>
              <w:rPr>
                <w:rFonts w:ascii="Arial" w:hAnsi="Arial"/>
                <w:b/>
                <w:color w:val="auto"/>
                <w:sz w:val="18"/>
              </w:rPr>
            </w:pPr>
            <w:r w:rsidRPr="006433EA">
              <w:rPr>
                <w:rFonts w:ascii="Arial" w:hAnsi="Arial"/>
                <w:b/>
                <w:color w:val="auto"/>
                <w:sz w:val="18"/>
              </w:rPr>
              <w:t>1.8%</w:t>
            </w:r>
          </w:p>
        </w:tc>
      </w:tr>
    </w:tbl>
    <w:p w14:paraId="1E00ABE3" w14:textId="3890A93B" w:rsidR="00E83685" w:rsidRDefault="00DA0F8B" w:rsidP="00BC5519">
      <w:pPr>
        <w:pStyle w:val="Glossaryterm"/>
      </w:pPr>
      <w:r>
        <w:t xml:space="preserve">* </w:t>
      </w:r>
      <w:r w:rsidR="00202FA3">
        <w:t>In order to highlight the impact of more recent welfare transitions, p</w:t>
      </w:r>
      <w:r w:rsidR="00E83685">
        <w:t>revious welfare recipient</w:t>
      </w:r>
      <w:r>
        <w:t>s</w:t>
      </w:r>
      <w:r w:rsidR="00E83685">
        <w:t xml:space="preserve"> are </w:t>
      </w:r>
      <w:r w:rsidR="00BC5519">
        <w:t xml:space="preserve">grouped into those that exited in the last three years, and those that exited four or more years ago. Those that exited over 18 years ago are moved into Class 12. </w:t>
      </w:r>
    </w:p>
    <w:p w14:paraId="49E4BF28" w14:textId="575CCBBB" w:rsidR="003E6AD2" w:rsidRPr="009B41A5" w:rsidRDefault="00E42FDA" w:rsidP="00EE7DC2">
      <w:pPr>
        <w:pStyle w:val="OutlineNumbered1"/>
      </w:pPr>
      <w:r w:rsidRPr="009B41A5">
        <w:lastRenderedPageBreak/>
        <w:t>D</w:t>
      </w:r>
      <w:r w:rsidR="00331CEF" w:rsidRPr="009B41A5">
        <w:t>espite th</w:t>
      </w:r>
      <w:r w:rsidRPr="009B41A5">
        <w:t>e</w:t>
      </w:r>
      <w:r w:rsidR="00FB3BBF">
        <w:t xml:space="preserve"> overall</w:t>
      </w:r>
      <w:r w:rsidRPr="009B41A5">
        <w:t xml:space="preserve"> population </w:t>
      </w:r>
      <w:r w:rsidR="00CC406E" w:rsidRPr="009B41A5">
        <w:t xml:space="preserve">increase of </w:t>
      </w:r>
      <w:r w:rsidR="00FB3BBF">
        <w:t>1.8% (0.</w:t>
      </w:r>
      <w:r w:rsidR="00CC406E" w:rsidRPr="009B41A5">
        <w:t>449</w:t>
      </w:r>
      <w:r w:rsidR="00FB3BBF">
        <w:t xml:space="preserve"> million)</w:t>
      </w:r>
      <w:r w:rsidR="00331CEF" w:rsidRPr="009B41A5">
        <w:t xml:space="preserve">, the number of current welfare recipients has decreased from </w:t>
      </w:r>
      <w:r w:rsidR="00CC406E" w:rsidRPr="009B41A5">
        <w:t>7.95</w:t>
      </w:r>
      <w:r w:rsidR="00331CEF" w:rsidRPr="009B41A5">
        <w:t xml:space="preserve"> million to </w:t>
      </w:r>
      <w:r w:rsidR="00CC406E" w:rsidRPr="009B41A5">
        <w:t>7.</w:t>
      </w:r>
      <w:r w:rsidR="00597B53">
        <w:t>88</w:t>
      </w:r>
      <w:r w:rsidR="00331CEF" w:rsidRPr="009B41A5">
        <w:t xml:space="preserve"> million. </w:t>
      </w:r>
      <w:r w:rsidR="00596028" w:rsidRPr="009B41A5">
        <w:t>Current w</w:t>
      </w:r>
      <w:r w:rsidR="00331CEF" w:rsidRPr="009B41A5">
        <w:t xml:space="preserve">elfare recipients now make up </w:t>
      </w:r>
      <w:r w:rsidR="00CC406E" w:rsidRPr="009B41A5">
        <w:t>30.9</w:t>
      </w:r>
      <w:r w:rsidR="00331CEF" w:rsidRPr="009B41A5">
        <w:t xml:space="preserve">% of the population, down from </w:t>
      </w:r>
      <w:r w:rsidR="00CC406E" w:rsidRPr="009B41A5">
        <w:t>31.8</w:t>
      </w:r>
      <w:r w:rsidR="00331CEF" w:rsidRPr="009B41A5">
        <w:t xml:space="preserve">% at June </w:t>
      </w:r>
      <w:r w:rsidR="00CC406E" w:rsidRPr="009B41A5">
        <w:t>2018</w:t>
      </w:r>
      <w:r w:rsidR="00331CEF" w:rsidRPr="009B41A5">
        <w:t xml:space="preserve">. Income support recipients now make up </w:t>
      </w:r>
      <w:r w:rsidR="006A521D" w:rsidRPr="009B41A5">
        <w:t>21.5</w:t>
      </w:r>
      <w:r w:rsidR="00331CEF" w:rsidRPr="009B41A5">
        <w:t xml:space="preserve">% of the population, down from </w:t>
      </w:r>
      <w:r w:rsidR="006A521D" w:rsidRPr="009B41A5">
        <w:t>22.1</w:t>
      </w:r>
      <w:r w:rsidR="00331CEF" w:rsidRPr="009B41A5">
        <w:t xml:space="preserve">% at June </w:t>
      </w:r>
      <w:r w:rsidR="006A521D" w:rsidRPr="009B41A5">
        <w:t>2018</w:t>
      </w:r>
      <w:r w:rsidR="00331CEF" w:rsidRPr="009B41A5">
        <w:t>.</w:t>
      </w:r>
      <w:r w:rsidR="003E6AD2" w:rsidRPr="009B41A5">
        <w:t xml:space="preserve"> This fall in the population of current welfare recipients reflects the changes in legislation, population size and demographics, and overall welfare system utilisation, </w:t>
      </w:r>
      <w:r w:rsidR="00FB3BBF">
        <w:t>as</w:t>
      </w:r>
      <w:r w:rsidR="003E6AD2" w:rsidRPr="009B41A5">
        <w:t xml:space="preserve"> discussed </w:t>
      </w:r>
      <w:r w:rsidR="00FB3BBF">
        <w:t>throughout the class-specific summaries provided earlier</w:t>
      </w:r>
      <w:r w:rsidR="003E6AD2" w:rsidRPr="009B41A5">
        <w:t>.</w:t>
      </w:r>
    </w:p>
    <w:p w14:paraId="6BBCCDC6" w14:textId="648BEBD9" w:rsidR="001A6E38" w:rsidRPr="009B41A5" w:rsidRDefault="001A6E38" w:rsidP="00EE7DC2">
      <w:pPr>
        <w:pStyle w:val="OutlineNumbered1"/>
      </w:pPr>
      <w:r>
        <w:t xml:space="preserve">The </w:t>
      </w:r>
      <w:r w:rsidRPr="009B41A5">
        <w:t>number of Australians not currently receiv</w:t>
      </w:r>
      <w:r>
        <w:t>ing welfare has increased by 516</w:t>
      </w:r>
      <w:r w:rsidRPr="009B41A5">
        <w:t>,000 and now make up 69.1% of the population (compared to 68.2% at June 2018). Note that this group still contributes to future welfare cost</w:t>
      </w:r>
      <w:r w:rsidR="00911E03">
        <w:t>,</w:t>
      </w:r>
      <w:r w:rsidRPr="009B41A5">
        <w:t xml:space="preserve"> as many of these people will move into welfare</w:t>
      </w:r>
      <w:r>
        <w:t xml:space="preserve"> classes</w:t>
      </w:r>
      <w:r w:rsidRPr="009B41A5">
        <w:t xml:space="preserve"> in the future</w:t>
      </w:r>
      <w:r>
        <w:t>.</w:t>
      </w:r>
      <w:r w:rsidR="008146A0">
        <w:t xml:space="preserve"> This is especially so in the case of the Age Pension.</w:t>
      </w:r>
    </w:p>
    <w:p w14:paraId="69082071" w14:textId="2028DC17" w:rsidR="00372837" w:rsidRPr="00EE7DC2" w:rsidRDefault="00372837" w:rsidP="002C30FE">
      <w:pPr>
        <w:pStyle w:val="Heading2"/>
      </w:pPr>
      <w:bookmarkStart w:id="180" w:name="_Toc100131561"/>
      <w:r w:rsidRPr="00EE7DC2">
        <w:t xml:space="preserve">Experience </w:t>
      </w:r>
      <w:r w:rsidR="00890CAA">
        <w:t>u</w:t>
      </w:r>
      <w:r w:rsidRPr="00EE7DC2">
        <w:t>pdates for 2019</w:t>
      </w:r>
      <w:bookmarkEnd w:id="180"/>
    </w:p>
    <w:p w14:paraId="77D17028" w14:textId="77777777" w:rsidR="00372837" w:rsidRPr="00EE7DC2" w:rsidRDefault="00372837" w:rsidP="00EE7DC2">
      <w:pPr>
        <w:pStyle w:val="OutlineNumbered1"/>
      </w:pPr>
      <w:r w:rsidRPr="00EE7DC2">
        <w:t>Over time, changes occur in how the population accesses and utilises the welfare system. Where there are material changes in the numbers (or rates, when numbers are expressed as a proportion of the applicable underlying population) who enter into, exit from, or transfer between classes within the welfare system, this is called a change in experience. An additional element of experience is the size of payments received, and how these also change over time.</w:t>
      </w:r>
    </w:p>
    <w:p w14:paraId="38C897F5" w14:textId="77777777" w:rsidR="00372837" w:rsidRPr="00F80687" w:rsidRDefault="00372837" w:rsidP="00EE7DC2">
      <w:pPr>
        <w:pStyle w:val="OutlineNumbered1"/>
        <w:rPr>
          <w:color w:val="auto"/>
        </w:rPr>
      </w:pPr>
      <w:r>
        <w:t>Such changes may arise from behavioural responses to changes in policy settings, changes in mortality, or more general changes in societal trends over time.</w:t>
      </w:r>
    </w:p>
    <w:p w14:paraId="027A5B5D" w14:textId="77777777" w:rsidR="00372837" w:rsidRDefault="00372837" w:rsidP="00EE7DC2">
      <w:pPr>
        <w:pStyle w:val="OutlineNumbered1"/>
      </w:pPr>
      <w:r>
        <w:t>For each welfare class</w:t>
      </w:r>
      <w:r w:rsidRPr="00E0634C">
        <w:t xml:space="preserve">, we </w:t>
      </w:r>
      <w:r>
        <w:t>firstly</w:t>
      </w:r>
      <w:r w:rsidRPr="00E0634C">
        <w:t xml:space="preserve"> consider trends in entry rates, exit rates, and rates of transfer between welf</w:t>
      </w:r>
      <w:r>
        <w:t>are class</w:t>
      </w:r>
      <w:r w:rsidRPr="00E0634C">
        <w:t>es. We also provide a commentary of each apparent trend over time</w:t>
      </w:r>
      <w:r>
        <w:t>,</w:t>
      </w:r>
      <w:r w:rsidRPr="00E0634C">
        <w:t xml:space="preserve"> for each </w:t>
      </w:r>
      <w:r>
        <w:t>class</w:t>
      </w:r>
      <w:r w:rsidRPr="00E0634C">
        <w:t>.</w:t>
      </w:r>
      <w:r>
        <w:t xml:space="preserve"> We then consider changes over time in payments received, also within each class.</w:t>
      </w:r>
    </w:p>
    <w:p w14:paraId="2B0FAB98" w14:textId="0F1EF944" w:rsidR="00372837" w:rsidRPr="00855B7F" w:rsidRDefault="00372837" w:rsidP="00855B7F">
      <w:pPr>
        <w:pStyle w:val="Heading3"/>
      </w:pPr>
      <w:r w:rsidRPr="00855B7F">
        <w:t xml:space="preserve">Entry and </w:t>
      </w:r>
      <w:r w:rsidR="00890CAA">
        <w:t>e</w:t>
      </w:r>
      <w:r w:rsidRPr="00855B7F">
        <w:t xml:space="preserve">xit </w:t>
      </w:r>
      <w:r w:rsidR="00890CAA">
        <w:t>r</w:t>
      </w:r>
      <w:r w:rsidRPr="00855B7F">
        <w:t xml:space="preserve">ates per </w:t>
      </w:r>
      <w:r w:rsidR="00890CAA">
        <w:t>c</w:t>
      </w:r>
      <w:r w:rsidRPr="00855B7F">
        <w:t>lass</w:t>
      </w:r>
    </w:p>
    <w:p w14:paraId="1336B187" w14:textId="77777777" w:rsidR="00372837" w:rsidRPr="005352CD" w:rsidRDefault="00372837" w:rsidP="00EE7DC2">
      <w:pPr>
        <w:pStyle w:val="OutlineNumbered1"/>
      </w:pPr>
      <w:r>
        <w:t>Entries and exits describe the movement into and out of modelled welfare classes, during the year. Rates of entry and exit are expressed as a proportion of each modelled class’s population at the start of the year. Entry rates can exceed 100%, in the situation where the number of entrants into a class exceeds the starting population.</w:t>
      </w:r>
    </w:p>
    <w:p w14:paraId="34454137" w14:textId="77777777" w:rsidR="00372837" w:rsidRPr="00E925AF" w:rsidRDefault="00372837" w:rsidP="00EE7DC2">
      <w:pPr>
        <w:pStyle w:val="OutlineNumbered1"/>
      </w:pPr>
      <w:r>
        <w:t xml:space="preserve">For all presentations of exit rates per class in the following analysis, exit by reason of death is excluded. If it were included, it would dominate the exit numbers and rates at older ages. </w:t>
      </w:r>
    </w:p>
    <w:p w14:paraId="5FE3A528" w14:textId="77777777" w:rsidR="00372837" w:rsidRPr="005832F3" w:rsidRDefault="00372837" w:rsidP="00372837">
      <w:pPr>
        <w:pStyle w:val="PwCNormal"/>
        <w:keepNext/>
        <w:numPr>
          <w:ilvl w:val="0"/>
          <w:numId w:val="0"/>
        </w:numPr>
        <w:rPr>
          <w:rFonts w:ascii="Arial" w:hAnsi="Arial"/>
          <w:i/>
          <w:color w:val="auto"/>
          <w:sz w:val="20"/>
          <w:szCs w:val="20"/>
        </w:rPr>
      </w:pPr>
      <w:r>
        <w:rPr>
          <w:rFonts w:ascii="Arial" w:hAnsi="Arial"/>
          <w:i/>
          <w:color w:val="auto"/>
          <w:sz w:val="20"/>
          <w:szCs w:val="20"/>
        </w:rPr>
        <w:lastRenderedPageBreak/>
        <w:t xml:space="preserve">Overall Welfare Class Experience </w:t>
      </w:r>
    </w:p>
    <w:p w14:paraId="3B43E8FE" w14:textId="77777777" w:rsidR="00372837" w:rsidRPr="00F80687" w:rsidRDefault="00372837" w:rsidP="00EE7DC2">
      <w:pPr>
        <w:pStyle w:val="OutlineNumbered1"/>
        <w:rPr>
          <w:color w:val="auto"/>
        </w:rPr>
      </w:pPr>
      <w:r>
        <w:t>The following analysis</w:t>
      </w:r>
      <w:r w:rsidRPr="005832F3">
        <w:t xml:space="preserve"> summari</w:t>
      </w:r>
      <w:r>
        <w:t>s</w:t>
      </w:r>
      <w:r w:rsidRPr="005832F3">
        <w:t xml:space="preserve">es trends </w:t>
      </w:r>
      <w:r>
        <w:t>in</w:t>
      </w:r>
      <w:r w:rsidRPr="005832F3">
        <w:t xml:space="preserve"> key experience parameters</w:t>
      </w:r>
      <w:r>
        <w:t>, across all welfare classes as a whole</w:t>
      </w:r>
      <w:r w:rsidRPr="005832F3">
        <w:t>.</w:t>
      </w:r>
    </w:p>
    <w:p w14:paraId="374E1C9C" w14:textId="5F27B7E7" w:rsidR="00372837" w:rsidRDefault="00372837" w:rsidP="000B1493">
      <w:pPr>
        <w:pStyle w:val="Caption"/>
      </w:pPr>
      <w:bookmarkStart w:id="181" w:name="Figure7"/>
      <w:bookmarkStart w:id="182" w:name="_Toc100131517"/>
      <w:r w:rsidRPr="005832F3">
        <w:t xml:space="preserve">Figure </w:t>
      </w:r>
      <w:r w:rsidR="00215A2C">
        <w:fldChar w:fldCharType="begin"/>
      </w:r>
      <w:r w:rsidR="00215A2C">
        <w:instrText xml:space="preserve"> SEQ Figure \* ARABIC </w:instrText>
      </w:r>
      <w:r w:rsidR="00215A2C">
        <w:fldChar w:fldCharType="separate"/>
      </w:r>
      <w:r w:rsidR="00751625">
        <w:rPr>
          <w:noProof/>
        </w:rPr>
        <w:t>7</w:t>
      </w:r>
      <w:r w:rsidR="00215A2C">
        <w:rPr>
          <w:noProof/>
        </w:rPr>
        <w:fldChar w:fldCharType="end"/>
      </w:r>
      <w:bookmarkEnd w:id="181"/>
      <w:r w:rsidRPr="005832F3">
        <w:t xml:space="preserve">: Trends in </w:t>
      </w:r>
      <w:r>
        <w:t>E</w:t>
      </w:r>
      <w:r w:rsidRPr="005832F3">
        <w:t xml:space="preserve">ntry and </w:t>
      </w:r>
      <w:r>
        <w:t>E</w:t>
      </w:r>
      <w:r w:rsidRPr="005832F3">
        <w:t xml:space="preserve">xit </w:t>
      </w:r>
      <w:r>
        <w:t>R</w:t>
      </w:r>
      <w:r w:rsidRPr="005832F3">
        <w:t xml:space="preserve">ates for </w:t>
      </w:r>
      <w:r>
        <w:t>Welfare</w:t>
      </w:r>
      <w:bookmarkEnd w:id="182"/>
    </w:p>
    <w:p w14:paraId="4AAC5953" w14:textId="5FA9685A" w:rsidR="00372837" w:rsidRDefault="00CA70E9" w:rsidP="00372837">
      <w:pPr>
        <w:spacing w:after="200" w:line="276" w:lineRule="auto"/>
        <w:jc w:val="left"/>
      </w:pPr>
      <w:r w:rsidRPr="00CA70E9">
        <w:rPr>
          <w:noProof/>
        </w:rPr>
        <w:drawing>
          <wp:inline distT="0" distB="0" distL="0" distR="0" wp14:anchorId="115A213E" wp14:editId="52336FB7">
            <wp:extent cx="4895850" cy="3495713"/>
            <wp:effectExtent l="0" t="0" r="0" b="9525"/>
            <wp:docPr id="306" name="Picture 306" descr="This combination bar/line chart shows the total number of people in welfare at the start of each year from 2015 to 2019, alongside the entry rates (from non-welfare) and exit rates (to non-welfare). The totals are relatively stable, hovering around the 8.1-8.2 million level. The entry rates decreased from 10% to 8%, while the exit rates stayed aroun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306" descr="This combination bar/line chart shows the total number of people in welfare at the start of each year from 2015 to 2019, alongside the entry rates (from non-welfare) and exit rates (to non-welfare). The totals are relatively stable, hovering around the 8.1-8.2 million level. The entry rates decreased from 10% to 8%, while the exit rates stayed around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895850" cy="3495713"/>
                    </a:xfrm>
                    <a:prstGeom prst="rect">
                      <a:avLst/>
                    </a:prstGeom>
                    <a:noFill/>
                    <a:ln>
                      <a:noFill/>
                    </a:ln>
                  </pic:spPr>
                </pic:pic>
              </a:graphicData>
            </a:graphic>
          </wp:inline>
        </w:drawing>
      </w:r>
    </w:p>
    <w:p w14:paraId="50EB9806" w14:textId="349C8F20" w:rsidR="00372837" w:rsidRPr="00B073BB" w:rsidRDefault="00372837" w:rsidP="000B1493">
      <w:pPr>
        <w:pStyle w:val="Caption"/>
      </w:pPr>
      <w:bookmarkStart w:id="183" w:name="_Toc100131518"/>
      <w:r w:rsidRPr="00B073BB">
        <w:lastRenderedPageBreak/>
        <w:t xml:space="preserve">Figure </w:t>
      </w:r>
      <w:r w:rsidRPr="00B073BB">
        <w:fldChar w:fldCharType="begin"/>
      </w:r>
      <w:r w:rsidRPr="00B073BB">
        <w:rPr>
          <w:noProof/>
        </w:rPr>
        <w:instrText xml:space="preserve"> SEQ Figure \* ARABIC </w:instrText>
      </w:r>
      <w:r w:rsidRPr="00B073BB">
        <w:fldChar w:fldCharType="separate"/>
      </w:r>
      <w:r w:rsidR="00751625">
        <w:rPr>
          <w:noProof/>
        </w:rPr>
        <w:t>8</w:t>
      </w:r>
      <w:r w:rsidRPr="00B073BB">
        <w:fldChar w:fldCharType="end"/>
      </w:r>
      <w:r w:rsidRPr="00B073BB">
        <w:t xml:space="preserve">: 2018/19 </w:t>
      </w:r>
      <w:r>
        <w:t>Entry</w:t>
      </w:r>
      <w:r w:rsidRPr="00B073BB">
        <w:t xml:space="preserve"> and </w:t>
      </w:r>
      <w:r>
        <w:t>Exit E</w:t>
      </w:r>
      <w:r w:rsidRPr="00E52897">
        <w:t>xperience</w:t>
      </w:r>
      <w:r w:rsidRPr="00B073BB">
        <w:t xml:space="preserve"> by </w:t>
      </w:r>
      <w:r>
        <w:t>G</w:t>
      </w:r>
      <w:r w:rsidRPr="00B073BB">
        <w:t xml:space="preserve">ender and </w:t>
      </w:r>
      <w:r>
        <w:t>Age</w:t>
      </w:r>
      <w:bookmarkEnd w:id="183"/>
    </w:p>
    <w:p w14:paraId="7933F3F8" w14:textId="345E9C43" w:rsidR="00372837" w:rsidRDefault="0005476D" w:rsidP="0005476D">
      <w:pPr>
        <w:pStyle w:val="PwCNormal"/>
      </w:pPr>
      <w:r w:rsidRPr="0005476D">
        <w:rPr>
          <w:noProof/>
          <w:lang w:eastAsia="en-AU"/>
        </w:rPr>
        <w:drawing>
          <wp:inline distT="0" distB="0" distL="0" distR="0" wp14:anchorId="5A6A8721" wp14:editId="38166F8C">
            <wp:extent cx="4895850" cy="3495713"/>
            <wp:effectExtent l="0" t="0" r="0" b="9525"/>
            <wp:docPr id="305" name="Picture 305" descr="This combination stacked/line chart is split by age and gender and shows the current welfare usage, entry rates (from non-welfare) and exit rates (to non-welfare). Notably, there are high entry rates at younger ages and then again around retirement age. The exit rates are particularly high for females around the 45-55 age window, shown by the previous population pyramid as attributable to the decrease in family-based pay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descr="This combination stacked/line chart is split by age and gender and shows the current welfare usage, entry rates (from non-welfare) and exit rates (to non-welfare). Notably, there are high entry rates at younger ages and then again around retirement age. The exit rates are particularly high for females around the 45-55 age window, shown by the previous population pyramid as attributable to the decrease in family-based payment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895850" cy="3495713"/>
                    </a:xfrm>
                    <a:prstGeom prst="rect">
                      <a:avLst/>
                    </a:prstGeom>
                    <a:noFill/>
                    <a:ln>
                      <a:noFill/>
                    </a:ln>
                  </pic:spPr>
                </pic:pic>
              </a:graphicData>
            </a:graphic>
          </wp:inline>
        </w:drawing>
      </w:r>
    </w:p>
    <w:p w14:paraId="59237078" w14:textId="500F0797" w:rsidR="00372837" w:rsidRDefault="00372837" w:rsidP="00EE7DC2">
      <w:pPr>
        <w:pStyle w:val="OutlineNumbered1"/>
      </w:pPr>
      <w:r>
        <w:t xml:space="preserve">The number of people receiving welfare has been in decline over the last three years, with both a decreasing rate of entry to welfare, and an increasing rate of exit from welfare. Note that the entry rate is still above the exit rate in </w:t>
      </w:r>
      <w:r w:rsidR="00487053">
        <w:fldChar w:fldCharType="begin"/>
      </w:r>
      <w:r w:rsidR="00487053">
        <w:instrText xml:space="preserve"> REF  Figure7 \h  \* MERGEFORMAT </w:instrText>
      </w:r>
      <w:r w:rsidR="00487053">
        <w:fldChar w:fldCharType="separate"/>
      </w:r>
      <w:r w:rsidR="00751625" w:rsidRPr="005832F3">
        <w:t xml:space="preserve">Figure </w:t>
      </w:r>
      <w:r w:rsidR="00751625">
        <w:rPr>
          <w:noProof/>
        </w:rPr>
        <w:t>7</w:t>
      </w:r>
      <w:r w:rsidR="00487053">
        <w:fldChar w:fldCharType="end"/>
      </w:r>
      <w:r>
        <w:t xml:space="preserve">, due to the exclusion of exits due to death. </w:t>
      </w:r>
    </w:p>
    <w:p w14:paraId="3F9EA3B4" w14:textId="77777777" w:rsidR="00372837" w:rsidRDefault="00372837" w:rsidP="00F74397">
      <w:pPr>
        <w:pStyle w:val="OutlineNumbered1"/>
      </w:pPr>
      <w:r>
        <w:t>The population receiving welfare can be broadly categorised into four age ranges.</w:t>
      </w:r>
    </w:p>
    <w:p w14:paraId="43FB10C0" w14:textId="77777777" w:rsidR="00372837" w:rsidRPr="00F1640D" w:rsidRDefault="00372837" w:rsidP="00F74397">
      <w:pPr>
        <w:pStyle w:val="Bullet1"/>
      </w:pPr>
      <w:r>
        <w:t>18 – 30s: This group is dominated by student and job seeker payments, as people study or look for work. T</w:t>
      </w:r>
      <w:r w:rsidRPr="00F1640D">
        <w:t xml:space="preserve">here are two </w:t>
      </w:r>
      <w:r>
        <w:t xml:space="preserve">age </w:t>
      </w:r>
      <w:r w:rsidRPr="00F1640D">
        <w:t>spikes</w:t>
      </w:r>
      <w:r>
        <w:t xml:space="preserve"> for welfare entry. These align </w:t>
      </w:r>
      <w:r w:rsidRPr="00F1640D">
        <w:t xml:space="preserve">with eligibility changes for Youth Allowance at age 18 (from which point full-time students can access Youth </w:t>
      </w:r>
      <w:r>
        <w:t xml:space="preserve">Allowance while living at home), and age </w:t>
      </w:r>
      <w:r w:rsidRPr="00F1640D">
        <w:t>22 (from which point young pe</w:t>
      </w:r>
      <w:r>
        <w:t>ople are considered independent, and</w:t>
      </w:r>
      <w:r w:rsidRPr="00F1640D">
        <w:t xml:space="preserve"> parental income tests no longer apply).</w:t>
      </w:r>
    </w:p>
    <w:p w14:paraId="11BE5FDB" w14:textId="42A1C957" w:rsidR="00372837" w:rsidRDefault="00372837" w:rsidP="00F74397">
      <w:pPr>
        <w:pStyle w:val="Bullet1"/>
      </w:pPr>
      <w:r>
        <w:t>30s – 50s: Famil</w:t>
      </w:r>
      <w:r w:rsidR="00061059">
        <w:t>y</w:t>
      </w:r>
      <w:r>
        <w:t xml:space="preserve"> payments dominate this age range, primarily due to people receiving FTB and child care payments. Because of the broader eligibility of these payments, this age range is one of the peak welfare usage periods.</w:t>
      </w:r>
    </w:p>
    <w:p w14:paraId="4F7020AF" w14:textId="77777777" w:rsidR="00372837" w:rsidRDefault="00372837" w:rsidP="00F74397">
      <w:pPr>
        <w:pStyle w:val="Bullet1"/>
      </w:pPr>
      <w:r>
        <w:t>50s – Retirement age: The number of people in welfare by age is lowest in this range. The group is a mix of people still receiving families payments, and those receiving job seeker, disability or carer payments. The latter group will mostly transition to the Age Pension.</w:t>
      </w:r>
    </w:p>
    <w:p w14:paraId="1BA2C865" w14:textId="77777777" w:rsidR="00372837" w:rsidRPr="00AF5220" w:rsidRDefault="00372837" w:rsidP="00F74397">
      <w:pPr>
        <w:pStyle w:val="Bullet1"/>
      </w:pPr>
      <w:r>
        <w:lastRenderedPageBreak/>
        <w:t xml:space="preserve">Retirement age onwards: Age Pension payments are received by a large proportion of the Australian population, which makes this age range a peak period of welfare usage. </w:t>
      </w:r>
    </w:p>
    <w:p w14:paraId="4EEE96F8" w14:textId="77777777" w:rsidR="00372837" w:rsidRDefault="00372837" w:rsidP="00F74397">
      <w:pPr>
        <w:pStyle w:val="OutlineNumbered1"/>
      </w:pPr>
      <w:r>
        <w:t xml:space="preserve">Male and female entry and exit rates differ due to higher entry, and subsequent exit, rates for females into families payments. Females also have a slightly higher entry rate onto the Age Pension around retirement age. </w:t>
      </w:r>
    </w:p>
    <w:p w14:paraId="32227E7D" w14:textId="77777777" w:rsidR="00372837" w:rsidRPr="005832F3" w:rsidRDefault="00372837" w:rsidP="00372837">
      <w:pPr>
        <w:pStyle w:val="PwCNormal"/>
        <w:keepNext/>
        <w:numPr>
          <w:ilvl w:val="0"/>
          <w:numId w:val="0"/>
        </w:numPr>
        <w:rPr>
          <w:rFonts w:ascii="Arial" w:hAnsi="Arial"/>
          <w:i/>
          <w:color w:val="auto"/>
          <w:sz w:val="20"/>
          <w:szCs w:val="20"/>
        </w:rPr>
      </w:pPr>
      <w:r>
        <w:rPr>
          <w:rFonts w:ascii="Arial" w:hAnsi="Arial"/>
          <w:i/>
          <w:color w:val="auto"/>
          <w:sz w:val="20"/>
          <w:szCs w:val="20"/>
        </w:rPr>
        <w:t>Class</w:t>
      </w:r>
      <w:r w:rsidRPr="005832F3">
        <w:rPr>
          <w:rFonts w:ascii="Arial" w:hAnsi="Arial"/>
          <w:i/>
          <w:color w:val="auto"/>
          <w:sz w:val="20"/>
          <w:szCs w:val="20"/>
        </w:rPr>
        <w:t xml:space="preserve"> 1 </w:t>
      </w:r>
      <w:r>
        <w:rPr>
          <w:rFonts w:ascii="Arial" w:hAnsi="Arial"/>
          <w:i/>
          <w:color w:val="auto"/>
          <w:sz w:val="20"/>
          <w:szCs w:val="20"/>
        </w:rPr>
        <w:t>(Studying) E</w:t>
      </w:r>
      <w:r w:rsidRPr="005832F3">
        <w:rPr>
          <w:rFonts w:ascii="Arial" w:hAnsi="Arial"/>
          <w:i/>
          <w:color w:val="auto"/>
          <w:sz w:val="20"/>
          <w:szCs w:val="20"/>
        </w:rPr>
        <w:t>xperience</w:t>
      </w:r>
    </w:p>
    <w:p w14:paraId="705B4571" w14:textId="10F41798" w:rsidR="00372837" w:rsidRPr="00F80687" w:rsidRDefault="00372837" w:rsidP="00F74397">
      <w:pPr>
        <w:pStyle w:val="OutlineNumbered1"/>
        <w:rPr>
          <w:color w:val="auto"/>
        </w:rPr>
      </w:pPr>
      <w:r>
        <w:t>The following analysis summarises</w:t>
      </w:r>
      <w:r w:rsidRPr="005832F3">
        <w:t xml:space="preserve"> trends </w:t>
      </w:r>
      <w:r>
        <w:t>in</w:t>
      </w:r>
      <w:r w:rsidRPr="005832F3">
        <w:t xml:space="preserve"> key experience parameters for </w:t>
      </w:r>
      <w:r>
        <w:t>Class</w:t>
      </w:r>
      <w:r w:rsidR="00D93CB1">
        <w:t> </w:t>
      </w:r>
      <w:r w:rsidRPr="005832F3">
        <w:t>1.</w:t>
      </w:r>
      <w:r>
        <w:t xml:space="preserve"> </w:t>
      </w:r>
    </w:p>
    <w:p w14:paraId="7883FD8D" w14:textId="7C026B3C" w:rsidR="00372837" w:rsidRPr="009A3DFE" w:rsidRDefault="00372837" w:rsidP="000B1493">
      <w:pPr>
        <w:pStyle w:val="Caption"/>
      </w:pPr>
      <w:bookmarkStart w:id="184" w:name="_Toc100131519"/>
      <w:r w:rsidRPr="009A3DFE">
        <w:t xml:space="preserve">Figure </w:t>
      </w:r>
      <w:r w:rsidR="00215A2C">
        <w:fldChar w:fldCharType="begin"/>
      </w:r>
      <w:r w:rsidR="00215A2C">
        <w:instrText xml:space="preserve"> SEQ Figure \* ARABIC </w:instrText>
      </w:r>
      <w:r w:rsidR="00215A2C">
        <w:fldChar w:fldCharType="separate"/>
      </w:r>
      <w:r w:rsidR="00751625">
        <w:rPr>
          <w:noProof/>
        </w:rPr>
        <w:t>9</w:t>
      </w:r>
      <w:r w:rsidR="00215A2C">
        <w:rPr>
          <w:noProof/>
        </w:rPr>
        <w:fldChar w:fldCharType="end"/>
      </w:r>
      <w:r w:rsidRPr="009A3DFE">
        <w:t>: Trends in Entry and Exit Rates for Class 1</w:t>
      </w:r>
      <w:bookmarkEnd w:id="184"/>
    </w:p>
    <w:p w14:paraId="7AA31403" w14:textId="5D2B71DB" w:rsidR="00372837" w:rsidRPr="00F509C3" w:rsidRDefault="00CE51BB" w:rsidP="00372837">
      <w:pPr>
        <w:pStyle w:val="PwCNormal"/>
        <w:numPr>
          <w:ilvl w:val="0"/>
          <w:numId w:val="0"/>
        </w:numPr>
        <w:rPr>
          <w:rFonts w:ascii="Arial" w:hAnsi="Arial"/>
          <w:color w:val="auto"/>
          <w:sz w:val="20"/>
          <w:szCs w:val="20"/>
        </w:rPr>
      </w:pPr>
      <w:r w:rsidRPr="00CE51BB">
        <w:rPr>
          <w:noProof/>
          <w:lang w:eastAsia="en-AU"/>
        </w:rPr>
        <w:drawing>
          <wp:inline distT="0" distB="0" distL="0" distR="0" wp14:anchorId="670AB656" wp14:editId="510AE538">
            <wp:extent cx="4895850" cy="3374521"/>
            <wp:effectExtent l="0" t="0" r="0" b="0"/>
            <wp:docPr id="310" name="Picture 310" descr="This combination bar/line chart shows the total number of people in Class 1 from 2015 to 2019, as well as entry and exit rates. The rates are differentiated between other welfare classes and non-welfare. The total number in Class 1 was stable around 390,000 but decreased in the last two years down to 360,000. The entry rate from non-welfare is much higher than that of other welfare classes (28% compared with 10% for 2015), but both rates have decreased with time. For exit rates, both rates were approximately 18% for 2015, but exit to non-welfare increased, while exit to other welfare decreas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descr="This combination bar/line chart shows the total number of people in Class 1 from 2015 to 2019, as well as entry and exit rates. The rates are differentiated between other welfare classes and non-welfare. The total number in Class 1 was stable around 390,000 but decreased in the last two years down to 360,000. The entry rate from non-welfare is much higher than that of other welfare classes (28% compared with 10% for 2015), but both rates have decreased with time. For exit rates, both rates were approximately 18% for 2015, but exit to non-welfare increased, while exit to other welfare decreased. "/>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895850" cy="3374521"/>
                    </a:xfrm>
                    <a:prstGeom prst="rect">
                      <a:avLst/>
                    </a:prstGeom>
                    <a:noFill/>
                    <a:ln>
                      <a:noFill/>
                    </a:ln>
                  </pic:spPr>
                </pic:pic>
              </a:graphicData>
            </a:graphic>
          </wp:inline>
        </w:drawing>
      </w:r>
    </w:p>
    <w:p w14:paraId="5D43B8CA" w14:textId="4D08ECC2" w:rsidR="00372837" w:rsidRPr="00B073BB" w:rsidRDefault="00372837" w:rsidP="000B1493">
      <w:pPr>
        <w:pStyle w:val="Caption"/>
      </w:pPr>
      <w:bookmarkStart w:id="185" w:name="_Toc100131520"/>
      <w:r w:rsidRPr="00B073BB">
        <w:lastRenderedPageBreak/>
        <w:t xml:space="preserve">Figure </w:t>
      </w:r>
      <w:r w:rsidRPr="00B073BB">
        <w:fldChar w:fldCharType="begin"/>
      </w:r>
      <w:r w:rsidRPr="00B073BB">
        <w:rPr>
          <w:noProof/>
        </w:rPr>
        <w:instrText xml:space="preserve"> SEQ Figure \* ARABIC </w:instrText>
      </w:r>
      <w:r w:rsidRPr="00B073BB">
        <w:fldChar w:fldCharType="separate"/>
      </w:r>
      <w:r w:rsidR="00751625">
        <w:rPr>
          <w:noProof/>
        </w:rPr>
        <w:t>10</w:t>
      </w:r>
      <w:r w:rsidRPr="00B073BB">
        <w:fldChar w:fldCharType="end"/>
      </w:r>
      <w:r w:rsidRPr="00B073BB">
        <w:t xml:space="preserve">: 2018/19 </w:t>
      </w:r>
      <w:r>
        <w:t>Entry and Exit E</w:t>
      </w:r>
      <w:r w:rsidRPr="00B073BB">
        <w:t xml:space="preserve">xperience by </w:t>
      </w:r>
      <w:r>
        <w:t>G</w:t>
      </w:r>
      <w:r w:rsidRPr="00B073BB">
        <w:t xml:space="preserve">ender and </w:t>
      </w:r>
      <w:r>
        <w:t>A</w:t>
      </w:r>
      <w:r w:rsidRPr="00B073BB">
        <w:t>ge for Class 1</w:t>
      </w:r>
      <w:bookmarkEnd w:id="185"/>
      <w:r w:rsidRPr="00B073BB">
        <w:t xml:space="preserve"> </w:t>
      </w:r>
    </w:p>
    <w:p w14:paraId="0A150769" w14:textId="119A6E8F" w:rsidR="00372837" w:rsidRDefault="00707FA5" w:rsidP="00707FA5">
      <w:pPr>
        <w:pStyle w:val="PwCNormal"/>
        <w:rPr>
          <w:rFonts w:ascii="Arial" w:hAnsi="Arial"/>
          <w:color w:val="auto"/>
          <w:sz w:val="20"/>
          <w:szCs w:val="20"/>
        </w:rPr>
      </w:pPr>
      <w:r w:rsidRPr="00707FA5">
        <w:rPr>
          <w:noProof/>
          <w:lang w:eastAsia="en-AU"/>
        </w:rPr>
        <w:drawing>
          <wp:inline distT="0" distB="0" distL="0" distR="0" wp14:anchorId="2DE1565C" wp14:editId="1FAEB51E">
            <wp:extent cx="4895850" cy="3495713"/>
            <wp:effectExtent l="0" t="0" r="0" b="9525"/>
            <wp:docPr id="12" name="Picture 12" descr="This combination stacked/line chart is split by age (from 17-40) and gender. It shows the total number of people in Class 1 along with the entry and exit rates. The bulk of the people in Class 1 are between the ages of 19 and 25, with the totals declining rapidly after that. Exit rates start low (approximately 10%) but then increase quickly with age to around the 25%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is combination stacked/line chart is split by age (from 17-40) and gender. It shows the total number of people in Class 1 along with the entry and exit rates. The bulk of the people in Class 1 are between the ages of 19 and 25, with the totals declining rapidly after that. Exit rates start low (approximately 10%) but then increase quickly with age to around the 25% level."/>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895850" cy="3495713"/>
                    </a:xfrm>
                    <a:prstGeom prst="rect">
                      <a:avLst/>
                    </a:prstGeom>
                    <a:noFill/>
                    <a:ln>
                      <a:noFill/>
                    </a:ln>
                  </pic:spPr>
                </pic:pic>
              </a:graphicData>
            </a:graphic>
          </wp:inline>
        </w:drawing>
      </w:r>
    </w:p>
    <w:p w14:paraId="6C901A45" w14:textId="77777777" w:rsidR="00630BF8" w:rsidRPr="00707FA5" w:rsidRDefault="00630BF8" w:rsidP="00630BF8">
      <w:pPr>
        <w:pStyle w:val="SingleParagraph"/>
      </w:pPr>
    </w:p>
    <w:p w14:paraId="63C9FB71" w14:textId="6BE9DB40" w:rsidR="00372837" w:rsidRPr="006B5050" w:rsidRDefault="00372837" w:rsidP="00BF1A16">
      <w:pPr>
        <w:pStyle w:val="OutlineNumbered1"/>
        <w:rPr>
          <w:color w:val="auto"/>
        </w:rPr>
      </w:pPr>
      <w:r>
        <w:t>Class 1 is highly transient, with the highest entry and exit rates of the income support classes. Most entries into Class</w:t>
      </w:r>
      <w:r w:rsidR="00D93CB1">
        <w:t> </w:t>
      </w:r>
      <w:r>
        <w:t>1 are from the non-welfare population, as younger aged students first engage with the welfare system.</w:t>
      </w:r>
    </w:p>
    <w:p w14:paraId="56C01603" w14:textId="68D727C8" w:rsidR="00372837" w:rsidRPr="00294ECC" w:rsidRDefault="00372837" w:rsidP="00F74397">
      <w:pPr>
        <w:pStyle w:val="OutlineNumbered1"/>
        <w:rPr>
          <w:color w:val="auto"/>
        </w:rPr>
      </w:pPr>
      <w:r>
        <w:t>The recent experience has shown an overall trend of decline of the Class</w:t>
      </w:r>
      <w:r w:rsidR="00D93CB1">
        <w:t> </w:t>
      </w:r>
      <w:r>
        <w:t>1 population resulting from a net rate of exit. This was attributed to a declining rate of entry into Class</w:t>
      </w:r>
      <w:r w:rsidR="00D93CB1">
        <w:t> </w:t>
      </w:r>
      <w:r>
        <w:t>1, while the overall exit rate remained steady.</w:t>
      </w:r>
    </w:p>
    <w:p w14:paraId="22194383" w14:textId="1ABD32D5" w:rsidR="00372837" w:rsidRDefault="00372837" w:rsidP="00F74397">
      <w:pPr>
        <w:pStyle w:val="OutlineNumbered1"/>
        <w:rPr>
          <w:color w:val="auto"/>
        </w:rPr>
      </w:pPr>
      <w:r>
        <w:rPr>
          <w:color w:val="auto"/>
        </w:rPr>
        <w:t>The majority of the population receiving Class</w:t>
      </w:r>
      <w:r w:rsidR="00D93CB1">
        <w:rPr>
          <w:color w:val="auto"/>
        </w:rPr>
        <w:t> </w:t>
      </w:r>
      <w:r>
        <w:rPr>
          <w:color w:val="auto"/>
        </w:rPr>
        <w:t xml:space="preserve">1 payments are young. A high rate of entry for ages 19 and younger corresponds with the age eligibility threshold for student payments; and a high rate of entry at age 22 corresponds with the independence age threshold, at which point the parental income test no longer applies. Over the age of 22, exit rates are higher than entry rates as people finish studying and exit the class. </w:t>
      </w:r>
    </w:p>
    <w:p w14:paraId="3E3FCAF0" w14:textId="77777777" w:rsidR="00372837" w:rsidRPr="00FC6D97" w:rsidRDefault="00372837" w:rsidP="00F74397">
      <w:pPr>
        <w:pStyle w:val="OutlineNumbered1"/>
        <w:rPr>
          <w:color w:val="auto"/>
        </w:rPr>
      </w:pPr>
      <w:r>
        <w:rPr>
          <w:color w:val="auto"/>
        </w:rPr>
        <w:t>Male and female entry and exit rates broadly follow the same age pattern, with slightly more females than males in the class. Females do exhibit increasingly higher entry rates for ages over 30, likely returning to study to reskill after child-rearing.</w:t>
      </w:r>
    </w:p>
    <w:p w14:paraId="30592491" w14:textId="77777777" w:rsidR="00372837" w:rsidRPr="005832F3" w:rsidRDefault="00372837" w:rsidP="00372837">
      <w:pPr>
        <w:pStyle w:val="PwCNormal"/>
        <w:keepNext/>
        <w:numPr>
          <w:ilvl w:val="0"/>
          <w:numId w:val="0"/>
        </w:numPr>
        <w:rPr>
          <w:rFonts w:ascii="Arial" w:hAnsi="Arial"/>
          <w:i/>
          <w:color w:val="auto"/>
          <w:sz w:val="20"/>
          <w:szCs w:val="20"/>
        </w:rPr>
      </w:pPr>
      <w:r>
        <w:rPr>
          <w:rFonts w:ascii="Arial" w:hAnsi="Arial"/>
          <w:i/>
          <w:color w:val="auto"/>
          <w:sz w:val="20"/>
          <w:szCs w:val="20"/>
        </w:rPr>
        <w:lastRenderedPageBreak/>
        <w:t>Class</w:t>
      </w:r>
      <w:r w:rsidRPr="005832F3">
        <w:rPr>
          <w:rFonts w:ascii="Arial" w:hAnsi="Arial"/>
          <w:i/>
          <w:color w:val="auto"/>
          <w:sz w:val="20"/>
          <w:szCs w:val="20"/>
        </w:rPr>
        <w:t xml:space="preserve"> 2 </w:t>
      </w:r>
      <w:r>
        <w:rPr>
          <w:rFonts w:ascii="Arial" w:hAnsi="Arial"/>
          <w:i/>
          <w:color w:val="auto"/>
          <w:sz w:val="20"/>
          <w:szCs w:val="20"/>
        </w:rPr>
        <w:t>(Working age) E</w:t>
      </w:r>
      <w:r w:rsidRPr="005832F3">
        <w:rPr>
          <w:rFonts w:ascii="Arial" w:hAnsi="Arial"/>
          <w:i/>
          <w:color w:val="auto"/>
          <w:sz w:val="20"/>
          <w:szCs w:val="20"/>
        </w:rPr>
        <w:t>xperience</w:t>
      </w:r>
    </w:p>
    <w:p w14:paraId="66DC9E2C" w14:textId="1513A24F" w:rsidR="00372837" w:rsidRPr="005832F3" w:rsidRDefault="00372837" w:rsidP="00F74397">
      <w:pPr>
        <w:pStyle w:val="OutlineNumbered1"/>
      </w:pPr>
      <w:r>
        <w:t>The following analysis summarises</w:t>
      </w:r>
      <w:r w:rsidRPr="005832F3">
        <w:t xml:space="preserve"> trends </w:t>
      </w:r>
      <w:r>
        <w:t>in</w:t>
      </w:r>
      <w:r w:rsidRPr="005832F3">
        <w:t xml:space="preserve"> key experience parameters for </w:t>
      </w:r>
      <w:r>
        <w:t>Class</w:t>
      </w:r>
      <w:r w:rsidR="00D93CB1">
        <w:t> </w:t>
      </w:r>
      <w:r w:rsidRPr="005832F3">
        <w:t>2.</w:t>
      </w:r>
    </w:p>
    <w:p w14:paraId="38ACF379" w14:textId="7F11A23F" w:rsidR="00372837" w:rsidRPr="00B073BB" w:rsidRDefault="00372837" w:rsidP="000B1493">
      <w:pPr>
        <w:pStyle w:val="Caption"/>
      </w:pPr>
      <w:bookmarkStart w:id="186" w:name="_Toc100131521"/>
      <w:r w:rsidRPr="00B073BB">
        <w:t xml:space="preserve">Figure </w:t>
      </w:r>
      <w:r w:rsidRPr="00B073BB">
        <w:fldChar w:fldCharType="begin"/>
      </w:r>
      <w:r w:rsidRPr="00B073BB">
        <w:rPr>
          <w:noProof/>
        </w:rPr>
        <w:instrText xml:space="preserve"> SEQ Figure \* ARABIC </w:instrText>
      </w:r>
      <w:r w:rsidRPr="00B073BB">
        <w:fldChar w:fldCharType="separate"/>
      </w:r>
      <w:r w:rsidR="00751625">
        <w:rPr>
          <w:noProof/>
        </w:rPr>
        <w:t>11</w:t>
      </w:r>
      <w:r w:rsidRPr="00B073BB">
        <w:fldChar w:fldCharType="end"/>
      </w:r>
      <w:r w:rsidRPr="00B073BB">
        <w:t xml:space="preserve">: Trends in </w:t>
      </w:r>
      <w:r>
        <w:t>E</w:t>
      </w:r>
      <w:r w:rsidRPr="00B073BB">
        <w:t xml:space="preserve">ntry and </w:t>
      </w:r>
      <w:r>
        <w:t>E</w:t>
      </w:r>
      <w:r w:rsidRPr="00B073BB">
        <w:t xml:space="preserve">xit </w:t>
      </w:r>
      <w:r>
        <w:t>R</w:t>
      </w:r>
      <w:r w:rsidRPr="00B073BB">
        <w:t>ates for Class 2</w:t>
      </w:r>
      <w:bookmarkEnd w:id="186"/>
    </w:p>
    <w:p w14:paraId="5E053B9A" w14:textId="6452B240" w:rsidR="00372837" w:rsidRPr="001D25DB" w:rsidRDefault="001D25DB" w:rsidP="001D25DB">
      <w:pPr>
        <w:pStyle w:val="PwCNormal"/>
        <w:rPr>
          <w:rFonts w:ascii="Arial" w:hAnsi="Arial"/>
          <w:color w:val="auto"/>
          <w:sz w:val="20"/>
          <w:szCs w:val="20"/>
        </w:rPr>
      </w:pPr>
      <w:r w:rsidRPr="001D25DB">
        <w:rPr>
          <w:noProof/>
          <w:lang w:eastAsia="en-AU"/>
        </w:rPr>
        <w:drawing>
          <wp:inline distT="0" distB="0" distL="0" distR="0" wp14:anchorId="46C83680" wp14:editId="5AD2240F">
            <wp:extent cx="4895850" cy="3372525"/>
            <wp:effectExtent l="0" t="0" r="0" b="0"/>
            <wp:docPr id="2" name="Picture 2" descr="This combination bar/line chart shows the total number of people in Class 2 from 2015 to 2019, as well as entry and exit rates. The rates are differentiated between other welfare classes and non-welfare. The total number in Class 2 was stable around 1.3 million but decreased in the last two years down to 1.23 million. The entry rate from non-welfare is higher than that of other welfare classes (19% compared with 11% for 2015), but both rates have decreased with time. Exit rates hovered around 17% and 12% for non-welfare and other welfare,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combination bar/line chart shows the total number of people in Class 2 from 2015 to 2019, as well as entry and exit rates. The rates are differentiated between other welfare classes and non-welfare. The total number in Class 2 was stable around 1.3 million but decreased in the last two years down to 1.23 million. The entry rate from non-welfare is higher than that of other welfare classes (19% compared with 11% for 2015), but both rates have decreased with time. Exit rates hovered around 17% and 12% for non-welfare and other welfare, respectively."/>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895850" cy="3372525"/>
                    </a:xfrm>
                    <a:prstGeom prst="rect">
                      <a:avLst/>
                    </a:prstGeom>
                    <a:noFill/>
                    <a:ln>
                      <a:noFill/>
                    </a:ln>
                  </pic:spPr>
                </pic:pic>
              </a:graphicData>
            </a:graphic>
          </wp:inline>
        </w:drawing>
      </w:r>
    </w:p>
    <w:p w14:paraId="09CC6A33" w14:textId="0011DE48" w:rsidR="00372837" w:rsidRPr="00B073BB" w:rsidRDefault="00372837" w:rsidP="000B1493">
      <w:pPr>
        <w:pStyle w:val="Caption"/>
      </w:pPr>
      <w:bookmarkStart w:id="187" w:name="_Toc100131522"/>
      <w:r w:rsidRPr="00B073BB">
        <w:lastRenderedPageBreak/>
        <w:t xml:space="preserve">Figure </w:t>
      </w:r>
      <w:r w:rsidRPr="00B073BB">
        <w:fldChar w:fldCharType="begin"/>
      </w:r>
      <w:r w:rsidRPr="00B073BB">
        <w:rPr>
          <w:noProof/>
        </w:rPr>
        <w:instrText xml:space="preserve"> SEQ Figure \* ARABIC </w:instrText>
      </w:r>
      <w:r w:rsidRPr="00B073BB">
        <w:fldChar w:fldCharType="separate"/>
      </w:r>
      <w:r w:rsidR="00751625">
        <w:rPr>
          <w:noProof/>
        </w:rPr>
        <w:t>12</w:t>
      </w:r>
      <w:r w:rsidRPr="00B073BB">
        <w:fldChar w:fldCharType="end"/>
      </w:r>
      <w:r w:rsidRPr="00B073BB">
        <w:t xml:space="preserve">: 2018/19 </w:t>
      </w:r>
      <w:r>
        <w:t>Entry and Exit E</w:t>
      </w:r>
      <w:r w:rsidRPr="00B073BB">
        <w:t xml:space="preserve">xperience by </w:t>
      </w:r>
      <w:r>
        <w:t>G</w:t>
      </w:r>
      <w:r w:rsidRPr="00B073BB">
        <w:t xml:space="preserve">ender and </w:t>
      </w:r>
      <w:r>
        <w:t>A</w:t>
      </w:r>
      <w:r w:rsidRPr="00B073BB">
        <w:t>ge</w:t>
      </w:r>
      <w:r>
        <w:t xml:space="preserve"> </w:t>
      </w:r>
      <w:r w:rsidRPr="00B073BB">
        <w:t>for Class 2</w:t>
      </w:r>
      <w:bookmarkEnd w:id="187"/>
    </w:p>
    <w:p w14:paraId="2CD4CDED" w14:textId="2D86F685" w:rsidR="00594C4B" w:rsidRDefault="00594C4B" w:rsidP="00AA26EE">
      <w:pPr>
        <w:pStyle w:val="OutlineNumbered1"/>
        <w:numPr>
          <w:ilvl w:val="0"/>
          <w:numId w:val="0"/>
        </w:numPr>
        <w:spacing w:line="240" w:lineRule="auto"/>
        <w:ind w:left="709" w:hanging="709"/>
        <w:jc w:val="left"/>
      </w:pPr>
      <w:r w:rsidRPr="00594C4B">
        <w:rPr>
          <w:noProof/>
        </w:rPr>
        <w:drawing>
          <wp:inline distT="0" distB="0" distL="0" distR="0" wp14:anchorId="35756121" wp14:editId="5D92ADA7">
            <wp:extent cx="4895850" cy="3488409"/>
            <wp:effectExtent l="0" t="0" r="0" b="0"/>
            <wp:docPr id="8" name="Picture 8" descr="This combination stacked/line chart is split by age (from 18-65) and gender. It shows the total number of people in Class 2 along with the entry and exit rates. The peak count of people in Class 2, of around 35,000, is between the ages of 19 and 25, with the age count then stabilising at around 25,000 until age 65. The exit and entry rates are generally higher for males than females. The entry rates have upward spikes at ages 19 and 22, but are otherwise stable at around 10%. The exit rates are high at young ages (around 20%), decreasing until a high upwards spike at 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is combination stacked/line chart is split by age (from 18-65) and gender. It shows the total number of people in Class 2 along with the entry and exit rates. The peak count of people in Class 2, of around 35,000, is between the ages of 19 and 25, with the age count then stabilising at around 25,000 until age 65. The exit and entry rates are generally higher for males than females. The entry rates have upward spikes at ages 19 and 22, but are otherwise stable at around 10%. The exit rates are high at young ages (around 20%), decreasing until a high upwards spike at age 6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895850" cy="3488409"/>
                    </a:xfrm>
                    <a:prstGeom prst="rect">
                      <a:avLst/>
                    </a:prstGeom>
                    <a:noFill/>
                    <a:ln>
                      <a:noFill/>
                    </a:ln>
                  </pic:spPr>
                </pic:pic>
              </a:graphicData>
            </a:graphic>
          </wp:inline>
        </w:drawing>
      </w:r>
    </w:p>
    <w:p w14:paraId="29FCD61F" w14:textId="30D7C44C" w:rsidR="00372837" w:rsidRDefault="00372837" w:rsidP="00BF1A16">
      <w:pPr>
        <w:pStyle w:val="OutlineNumbered1"/>
      </w:pPr>
      <w:r>
        <w:t>Similar to Class</w:t>
      </w:r>
      <w:r w:rsidR="00D93CB1">
        <w:t> </w:t>
      </w:r>
      <w:r>
        <w:t>1, Class</w:t>
      </w:r>
      <w:r w:rsidR="00D93CB1">
        <w:t> </w:t>
      </w:r>
      <w:r>
        <w:t>2 recipients are also highly transient. Most entries are from the non-welfare population.</w:t>
      </w:r>
    </w:p>
    <w:p w14:paraId="63AF27D2" w14:textId="14308C6A" w:rsidR="00372837" w:rsidRDefault="00372837" w:rsidP="00BF1A16">
      <w:pPr>
        <w:pStyle w:val="OutlineNumbered1"/>
      </w:pPr>
      <w:r>
        <w:t>The overall entry rate into Class</w:t>
      </w:r>
      <w:r w:rsidR="00D93CB1">
        <w:t> </w:t>
      </w:r>
      <w:r>
        <w:t>2 has been in decline, with a net exit in recent years. This was attributable to a decline in entry from other classes, in particular from Class</w:t>
      </w:r>
      <w:r w:rsidR="00D93CB1">
        <w:t> </w:t>
      </w:r>
      <w:r>
        <w:t>1, while exit rates remained steady.</w:t>
      </w:r>
    </w:p>
    <w:p w14:paraId="51979BD9" w14:textId="5BEF96E5" w:rsidR="00372837" w:rsidRDefault="00372837" w:rsidP="00BF1A16">
      <w:pPr>
        <w:pStyle w:val="OutlineNumbered1"/>
      </w:pPr>
      <w:r>
        <w:t>The proportion of the Class</w:t>
      </w:r>
      <w:r w:rsidR="00D93CB1">
        <w:t> </w:t>
      </w:r>
      <w:r>
        <w:t>2 population is higher at younger ages. The rate of entry is higher for those aged 19 or younger, as this corresponds with the age threshold of Youth Allowance (Other). At age 22 a second peak in the entry rate is apparent, corresponding with the age threshold for Newstart Allowance (which we will henceforth refer to as JobSeeker Payment, to align with the use of that term from 2020 onwards). For those at older ages, there is a declining rate of entry.</w:t>
      </w:r>
    </w:p>
    <w:p w14:paraId="4042B7A3" w14:textId="77777777" w:rsidR="00372837" w:rsidRDefault="00372837" w:rsidP="00BF1A16">
      <w:pPr>
        <w:pStyle w:val="OutlineNumbered1"/>
      </w:pPr>
      <w:r>
        <w:t xml:space="preserve">Entry and exit rates are generally higher for males up to around age 40. This is at least partially due to females more likely accessing parenting or carer payments. Exit rates drop off over age 55 as people are less likely to re-enter the workforce at that age, and most people transfer to the Age Pension at retirement age. </w:t>
      </w:r>
    </w:p>
    <w:p w14:paraId="1A92AAEE" w14:textId="77777777" w:rsidR="00372837" w:rsidRPr="005832F3" w:rsidRDefault="00372837" w:rsidP="00372837">
      <w:pPr>
        <w:pStyle w:val="PwCNormal"/>
        <w:keepNext/>
        <w:numPr>
          <w:ilvl w:val="0"/>
          <w:numId w:val="0"/>
        </w:numPr>
        <w:rPr>
          <w:rFonts w:ascii="Arial" w:hAnsi="Arial"/>
          <w:i/>
          <w:color w:val="auto"/>
          <w:sz w:val="20"/>
          <w:szCs w:val="20"/>
        </w:rPr>
      </w:pPr>
      <w:r>
        <w:rPr>
          <w:rFonts w:ascii="Arial" w:hAnsi="Arial"/>
          <w:i/>
          <w:color w:val="auto"/>
          <w:sz w:val="20"/>
          <w:szCs w:val="20"/>
        </w:rPr>
        <w:lastRenderedPageBreak/>
        <w:t>Class</w:t>
      </w:r>
      <w:r w:rsidRPr="005832F3">
        <w:rPr>
          <w:rFonts w:ascii="Arial" w:hAnsi="Arial"/>
          <w:i/>
          <w:color w:val="auto"/>
          <w:sz w:val="20"/>
          <w:szCs w:val="20"/>
        </w:rPr>
        <w:t xml:space="preserve"> </w:t>
      </w:r>
      <w:r>
        <w:rPr>
          <w:rFonts w:ascii="Arial" w:hAnsi="Arial"/>
          <w:i/>
          <w:color w:val="auto"/>
          <w:sz w:val="20"/>
          <w:szCs w:val="20"/>
        </w:rPr>
        <w:t>3</w:t>
      </w:r>
      <w:r w:rsidRPr="005832F3">
        <w:rPr>
          <w:rFonts w:ascii="Arial" w:hAnsi="Arial"/>
          <w:i/>
          <w:color w:val="auto"/>
          <w:sz w:val="20"/>
          <w:szCs w:val="20"/>
        </w:rPr>
        <w:t xml:space="preserve"> </w:t>
      </w:r>
      <w:r>
        <w:rPr>
          <w:rFonts w:ascii="Arial" w:hAnsi="Arial"/>
          <w:i/>
          <w:color w:val="auto"/>
          <w:sz w:val="20"/>
          <w:szCs w:val="20"/>
        </w:rPr>
        <w:t>(Parenting) E</w:t>
      </w:r>
      <w:r w:rsidRPr="005832F3">
        <w:rPr>
          <w:rFonts w:ascii="Arial" w:hAnsi="Arial"/>
          <w:i/>
          <w:color w:val="auto"/>
          <w:sz w:val="20"/>
          <w:szCs w:val="20"/>
        </w:rPr>
        <w:t>xperience</w:t>
      </w:r>
    </w:p>
    <w:p w14:paraId="07B43033" w14:textId="76704972" w:rsidR="00372837" w:rsidRPr="005832F3" w:rsidRDefault="00372837" w:rsidP="00BF1A16">
      <w:pPr>
        <w:pStyle w:val="OutlineNumbered1"/>
      </w:pPr>
      <w:r>
        <w:t>The following analysis summarises</w:t>
      </w:r>
      <w:r w:rsidRPr="005832F3">
        <w:t xml:space="preserve"> trends </w:t>
      </w:r>
      <w:r>
        <w:t>in</w:t>
      </w:r>
      <w:r w:rsidRPr="005832F3">
        <w:t xml:space="preserve"> key experience parameters </w:t>
      </w:r>
      <w:r>
        <w:t>for Class</w:t>
      </w:r>
      <w:r w:rsidR="00D93CB1">
        <w:t> </w:t>
      </w:r>
      <w:r>
        <w:t>3</w:t>
      </w:r>
      <w:r w:rsidRPr="005832F3">
        <w:t>.</w:t>
      </w:r>
    </w:p>
    <w:p w14:paraId="26A9CFCC" w14:textId="1FD92231" w:rsidR="00372837" w:rsidRPr="009A3DFE" w:rsidRDefault="00372837" w:rsidP="000B1493">
      <w:pPr>
        <w:pStyle w:val="Caption"/>
      </w:pPr>
      <w:bookmarkStart w:id="188" w:name="_Toc100131523"/>
      <w:r w:rsidRPr="009A3DFE">
        <w:t xml:space="preserve">Figure </w:t>
      </w:r>
      <w:r w:rsidR="00215A2C">
        <w:fldChar w:fldCharType="begin"/>
      </w:r>
      <w:r w:rsidR="00215A2C">
        <w:instrText xml:space="preserve"> SEQ Figure \* ARABIC </w:instrText>
      </w:r>
      <w:r w:rsidR="00215A2C">
        <w:fldChar w:fldCharType="separate"/>
      </w:r>
      <w:r w:rsidR="00751625">
        <w:rPr>
          <w:noProof/>
        </w:rPr>
        <w:t>13</w:t>
      </w:r>
      <w:r w:rsidR="00215A2C">
        <w:rPr>
          <w:noProof/>
        </w:rPr>
        <w:fldChar w:fldCharType="end"/>
      </w:r>
      <w:r w:rsidRPr="009A3DFE">
        <w:t>: Trends in Entry and Exit Rates for Class 3</w:t>
      </w:r>
      <w:bookmarkEnd w:id="188"/>
    </w:p>
    <w:p w14:paraId="5B959295" w14:textId="072E6109" w:rsidR="00372837" w:rsidRPr="004513AA" w:rsidRDefault="00CE51BB" w:rsidP="00372837">
      <w:pPr>
        <w:pStyle w:val="PwCNormal"/>
        <w:numPr>
          <w:ilvl w:val="0"/>
          <w:numId w:val="0"/>
        </w:numPr>
        <w:rPr>
          <w:rFonts w:ascii="Arial" w:hAnsi="Arial"/>
          <w:color w:val="auto"/>
          <w:sz w:val="20"/>
          <w:szCs w:val="20"/>
        </w:rPr>
      </w:pPr>
      <w:r w:rsidRPr="00CE51BB">
        <w:rPr>
          <w:noProof/>
          <w:lang w:eastAsia="en-AU"/>
        </w:rPr>
        <w:drawing>
          <wp:inline distT="0" distB="0" distL="0" distR="0" wp14:anchorId="48CF9B92" wp14:editId="7F1847D1">
            <wp:extent cx="4895850" cy="3374521"/>
            <wp:effectExtent l="0" t="0" r="0" b="0"/>
            <wp:docPr id="311" name="Picture 311" descr="This combination bar/line chart shows the total number of people in Class 3 from 2015 to 2019, as well as entry and exit rates. The rates are differentiated between other welfare classes and non-welfare. The total number in Class 3 was stable around 410,000 but decreased in the last two years down to 381,000. The entry rate from other welfare classes is much higher than that of non-welfare (15% compared with 5% for 2015), but both rates have decreased with time. Exit rates hovered around 18% and 1% for other welfare and non-welfare,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311" descr="This combination bar/line chart shows the total number of people in Class 3 from 2015 to 2019, as well as entry and exit rates. The rates are differentiated between other welfare classes and non-welfare. The total number in Class 3 was stable around 410,000 but decreased in the last two years down to 381,000. The entry rate from other welfare classes is much higher than that of non-welfare (15% compared with 5% for 2015), but both rates have decreased with time. Exit rates hovered around 18% and 1% for other welfare and non-welfare, respectively."/>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895850" cy="3374521"/>
                    </a:xfrm>
                    <a:prstGeom prst="rect">
                      <a:avLst/>
                    </a:prstGeom>
                    <a:noFill/>
                    <a:ln>
                      <a:noFill/>
                    </a:ln>
                  </pic:spPr>
                </pic:pic>
              </a:graphicData>
            </a:graphic>
          </wp:inline>
        </w:drawing>
      </w:r>
    </w:p>
    <w:p w14:paraId="1425574A" w14:textId="277F8322" w:rsidR="00372837" w:rsidRPr="00B073BB" w:rsidRDefault="00372837" w:rsidP="000B1493">
      <w:pPr>
        <w:pStyle w:val="Caption"/>
      </w:pPr>
      <w:bookmarkStart w:id="189" w:name="_Toc100131524"/>
      <w:r w:rsidRPr="00B073BB">
        <w:lastRenderedPageBreak/>
        <w:t xml:space="preserve">Figure </w:t>
      </w:r>
      <w:r w:rsidRPr="00B073BB">
        <w:fldChar w:fldCharType="begin"/>
      </w:r>
      <w:r w:rsidRPr="00B073BB">
        <w:rPr>
          <w:noProof/>
        </w:rPr>
        <w:instrText xml:space="preserve"> SEQ Figure \* ARABIC </w:instrText>
      </w:r>
      <w:r w:rsidRPr="00B073BB">
        <w:fldChar w:fldCharType="separate"/>
      </w:r>
      <w:r w:rsidR="00751625">
        <w:rPr>
          <w:noProof/>
        </w:rPr>
        <w:t>14</w:t>
      </w:r>
      <w:r w:rsidRPr="00B073BB">
        <w:fldChar w:fldCharType="end"/>
      </w:r>
      <w:r w:rsidRPr="00B073BB">
        <w:t>: 2018/</w:t>
      </w:r>
      <w:r w:rsidRPr="008F6F48">
        <w:t>19</w:t>
      </w:r>
      <w:r w:rsidRPr="00B073BB">
        <w:t xml:space="preserve"> </w:t>
      </w:r>
      <w:r>
        <w:t>Entry and Exit E</w:t>
      </w:r>
      <w:r w:rsidRPr="00B073BB">
        <w:t xml:space="preserve">xperience by </w:t>
      </w:r>
      <w:r>
        <w:t>G</w:t>
      </w:r>
      <w:r w:rsidRPr="00B073BB">
        <w:t xml:space="preserve">ender and </w:t>
      </w:r>
      <w:r>
        <w:t>A</w:t>
      </w:r>
      <w:r w:rsidRPr="00B073BB">
        <w:t>ge</w:t>
      </w:r>
      <w:r>
        <w:t xml:space="preserve"> </w:t>
      </w:r>
      <w:r w:rsidRPr="00B073BB">
        <w:t>for Class 3</w:t>
      </w:r>
      <w:bookmarkEnd w:id="189"/>
    </w:p>
    <w:p w14:paraId="779280B4" w14:textId="223A06FD" w:rsidR="00372837" w:rsidRPr="00707FA5" w:rsidRDefault="00707FA5" w:rsidP="00707FA5">
      <w:pPr>
        <w:pStyle w:val="PwCNormal"/>
        <w:rPr>
          <w:rFonts w:ascii="Arial" w:hAnsi="Arial"/>
          <w:color w:val="auto"/>
          <w:sz w:val="20"/>
          <w:szCs w:val="20"/>
        </w:rPr>
      </w:pPr>
      <w:r w:rsidRPr="00707FA5">
        <w:rPr>
          <w:noProof/>
          <w:lang w:eastAsia="en-AU"/>
        </w:rPr>
        <w:drawing>
          <wp:inline distT="0" distB="0" distL="0" distR="0" wp14:anchorId="4C17F45A" wp14:editId="38C164ED">
            <wp:extent cx="4895850" cy="3495713"/>
            <wp:effectExtent l="0" t="0" r="0" b="9525"/>
            <wp:docPr id="18" name="Picture 18" descr="This combination stacked/line chart is split by age (from 18-50) and gender. It shows the total number of people in Class 3 along with the entry and exit rates. The vast majority of the people in Class 3 are female. The overall shape of the counts is parabolic, with a peak of around 18,000 at age 30. The female entry rates start at around 80% but rapidly decrease to near zero. The female exit rates grow steadily to 30% at 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his combination stacked/line chart is split by age (from 18-50) and gender. It shows the total number of people in Class 3 along with the entry and exit rates. The vast majority of the people in Class 3 are female. The overall shape of the counts is parabolic, with a peak of around 18,000 at age 30. The female entry rates start at around 80% but rapidly decrease to near zero. The female exit rates grow steadily to 30% at age 5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895850" cy="3495713"/>
                    </a:xfrm>
                    <a:prstGeom prst="rect">
                      <a:avLst/>
                    </a:prstGeom>
                    <a:noFill/>
                    <a:ln>
                      <a:noFill/>
                    </a:ln>
                  </pic:spPr>
                </pic:pic>
              </a:graphicData>
            </a:graphic>
          </wp:inline>
        </w:drawing>
      </w:r>
    </w:p>
    <w:p w14:paraId="4A607CE4" w14:textId="77777777" w:rsidR="00372837" w:rsidRDefault="00372837" w:rsidP="00BF1A16">
      <w:pPr>
        <w:pStyle w:val="OutlineNumbered1"/>
      </w:pPr>
      <w:r>
        <w:t>Class 3 transitions mainly occur with other welfare classes. The rate of exit to non-welfare is very low, suggesting that those in this class have higher ongoing persistency of remaining on some form of welfare.</w:t>
      </w:r>
    </w:p>
    <w:p w14:paraId="72A40846" w14:textId="468F191C" w:rsidR="00372837" w:rsidRDefault="00372837" w:rsidP="00BF1A16">
      <w:pPr>
        <w:pStyle w:val="OutlineNumbered1"/>
      </w:pPr>
      <w:r>
        <w:t>Similar to payment classes 1 and 2, the Class</w:t>
      </w:r>
      <w:r w:rsidR="00D93CB1">
        <w:t> </w:t>
      </w:r>
      <w:r>
        <w:t>3 population has been in decline, mainly resulting from a decreasing trend in entry rates over time.</w:t>
      </w:r>
    </w:p>
    <w:p w14:paraId="19DE5048" w14:textId="2A49681A" w:rsidR="00372837" w:rsidRDefault="00372837" w:rsidP="00BF1A16">
      <w:pPr>
        <w:pStyle w:val="OutlineNumbered1"/>
      </w:pPr>
      <w:r>
        <w:t>As expected, entry rates into Class</w:t>
      </w:r>
      <w:r w:rsidR="00D93CB1">
        <w:t> </w:t>
      </w:r>
      <w:r>
        <w:t xml:space="preserve">3 are higher at younger ages. Exit rates increase with age as children grow older, and eventually exceed the eligible age thresholds. </w:t>
      </w:r>
    </w:p>
    <w:p w14:paraId="00BA8E89" w14:textId="77777777" w:rsidR="00372837" w:rsidRPr="005832F3" w:rsidRDefault="00372837" w:rsidP="00BF1A16">
      <w:pPr>
        <w:pStyle w:val="OutlineNumbered1"/>
      </w:pPr>
      <w:r>
        <w:t>The vast majority of Class 3 recipients are female.</w:t>
      </w:r>
    </w:p>
    <w:p w14:paraId="0FFACFFA" w14:textId="77777777" w:rsidR="00372837" w:rsidRPr="005832F3" w:rsidRDefault="00372837" w:rsidP="00372837">
      <w:pPr>
        <w:pStyle w:val="PwCNormal"/>
        <w:keepNext/>
        <w:numPr>
          <w:ilvl w:val="0"/>
          <w:numId w:val="0"/>
        </w:numPr>
        <w:rPr>
          <w:rFonts w:ascii="Arial" w:hAnsi="Arial"/>
          <w:i/>
          <w:color w:val="auto"/>
          <w:sz w:val="20"/>
          <w:szCs w:val="20"/>
        </w:rPr>
      </w:pPr>
      <w:r>
        <w:rPr>
          <w:rFonts w:ascii="Arial" w:hAnsi="Arial"/>
          <w:i/>
          <w:color w:val="auto"/>
          <w:sz w:val="20"/>
          <w:szCs w:val="20"/>
        </w:rPr>
        <w:t>Class</w:t>
      </w:r>
      <w:r w:rsidRPr="005832F3">
        <w:rPr>
          <w:rFonts w:ascii="Arial" w:hAnsi="Arial"/>
          <w:i/>
          <w:color w:val="auto"/>
          <w:sz w:val="20"/>
          <w:szCs w:val="20"/>
        </w:rPr>
        <w:t xml:space="preserve"> </w:t>
      </w:r>
      <w:r>
        <w:rPr>
          <w:rFonts w:ascii="Arial" w:hAnsi="Arial"/>
          <w:i/>
          <w:color w:val="auto"/>
          <w:sz w:val="20"/>
          <w:szCs w:val="20"/>
        </w:rPr>
        <w:t>4</w:t>
      </w:r>
      <w:r w:rsidRPr="005832F3">
        <w:rPr>
          <w:rFonts w:ascii="Arial" w:hAnsi="Arial"/>
          <w:i/>
          <w:color w:val="auto"/>
          <w:sz w:val="20"/>
          <w:szCs w:val="20"/>
        </w:rPr>
        <w:t xml:space="preserve"> </w:t>
      </w:r>
      <w:r>
        <w:rPr>
          <w:rFonts w:ascii="Arial" w:hAnsi="Arial"/>
          <w:i/>
          <w:color w:val="auto"/>
          <w:sz w:val="20"/>
          <w:szCs w:val="20"/>
        </w:rPr>
        <w:t>(Carers) E</w:t>
      </w:r>
      <w:r w:rsidRPr="005832F3">
        <w:rPr>
          <w:rFonts w:ascii="Arial" w:hAnsi="Arial"/>
          <w:i/>
          <w:color w:val="auto"/>
          <w:sz w:val="20"/>
          <w:szCs w:val="20"/>
        </w:rPr>
        <w:t>xperience</w:t>
      </w:r>
    </w:p>
    <w:p w14:paraId="240951C3" w14:textId="65A7BE98" w:rsidR="00372837" w:rsidRPr="005832F3" w:rsidRDefault="00372837" w:rsidP="00BF1A16">
      <w:pPr>
        <w:pStyle w:val="OutlineNumbered1"/>
      </w:pPr>
      <w:r>
        <w:t>The following analysis summarises</w:t>
      </w:r>
      <w:r w:rsidRPr="005832F3">
        <w:t xml:space="preserve"> trends </w:t>
      </w:r>
      <w:r>
        <w:t>in</w:t>
      </w:r>
      <w:r w:rsidRPr="005832F3">
        <w:t xml:space="preserve"> key experience parameters </w:t>
      </w:r>
      <w:r>
        <w:t>for Class</w:t>
      </w:r>
      <w:r w:rsidR="00D93CB1">
        <w:t> </w:t>
      </w:r>
      <w:r>
        <w:t>4</w:t>
      </w:r>
      <w:r w:rsidRPr="005832F3">
        <w:t>.</w:t>
      </w:r>
    </w:p>
    <w:p w14:paraId="14925DB4" w14:textId="4EAFBC28" w:rsidR="00372837" w:rsidRPr="00B073BB" w:rsidRDefault="00372837" w:rsidP="000B1493">
      <w:pPr>
        <w:pStyle w:val="Caption"/>
      </w:pPr>
      <w:bookmarkStart w:id="190" w:name="_Toc100131525"/>
      <w:r w:rsidRPr="00B073BB">
        <w:lastRenderedPageBreak/>
        <w:t xml:space="preserve">Figure </w:t>
      </w:r>
      <w:r w:rsidRPr="00B073BB">
        <w:fldChar w:fldCharType="begin"/>
      </w:r>
      <w:r w:rsidRPr="00B073BB">
        <w:rPr>
          <w:noProof/>
        </w:rPr>
        <w:instrText xml:space="preserve"> SEQ Figure \* ARABIC </w:instrText>
      </w:r>
      <w:r w:rsidRPr="00B073BB">
        <w:fldChar w:fldCharType="separate"/>
      </w:r>
      <w:r w:rsidR="00751625">
        <w:rPr>
          <w:noProof/>
        </w:rPr>
        <w:t>15</w:t>
      </w:r>
      <w:r w:rsidRPr="00B073BB">
        <w:fldChar w:fldCharType="end"/>
      </w:r>
      <w:r w:rsidRPr="00B073BB">
        <w:t xml:space="preserve">: Trends in </w:t>
      </w:r>
      <w:r>
        <w:t>E</w:t>
      </w:r>
      <w:r w:rsidRPr="00B073BB">
        <w:t xml:space="preserve">ntry and </w:t>
      </w:r>
      <w:r>
        <w:t>E</w:t>
      </w:r>
      <w:r w:rsidRPr="00B073BB">
        <w:t xml:space="preserve">xit </w:t>
      </w:r>
      <w:r>
        <w:t>R</w:t>
      </w:r>
      <w:r w:rsidRPr="00B073BB">
        <w:t>ates for Class 4</w:t>
      </w:r>
      <w:bookmarkEnd w:id="190"/>
    </w:p>
    <w:p w14:paraId="4E217288" w14:textId="48D95062" w:rsidR="00372837" w:rsidRPr="009C79B7" w:rsidRDefault="006A043F" w:rsidP="00372837">
      <w:pPr>
        <w:pStyle w:val="PwCNormal"/>
        <w:numPr>
          <w:ilvl w:val="0"/>
          <w:numId w:val="0"/>
        </w:numPr>
        <w:rPr>
          <w:rFonts w:ascii="Arial" w:hAnsi="Arial"/>
          <w:color w:val="auto"/>
          <w:sz w:val="20"/>
          <w:szCs w:val="20"/>
        </w:rPr>
      </w:pPr>
      <w:r w:rsidRPr="006A043F">
        <w:rPr>
          <w:noProof/>
          <w:lang w:eastAsia="en-AU"/>
        </w:rPr>
        <w:drawing>
          <wp:inline distT="0" distB="0" distL="0" distR="0" wp14:anchorId="03CC6134" wp14:editId="2B741A09">
            <wp:extent cx="4895850" cy="3374521"/>
            <wp:effectExtent l="0" t="0" r="0" b="0"/>
            <wp:docPr id="312" name="Picture 312" descr="This combination bar/line chart shows the total number of people in Class 4 from 2015 to 2019, as well as entry and exit rates. The rates are differentiated between other welfare classes and non-welfare. The total number in Class 4 increased steadily from 258,000 in 2015 to 296,000 in 2019. The entry rate from other welfare classes is much higher than that of non-welfare (12% compared with 5% for 2015), but both rates have steadily decreased with time. Exit rates hovered around 9% and 2% for other welfare and non-welfare,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312" descr="This combination bar/line chart shows the total number of people in Class 4 from 2015 to 2019, as well as entry and exit rates. The rates are differentiated between other welfare classes and non-welfare. The total number in Class 4 increased steadily from 258,000 in 2015 to 296,000 in 2019. The entry rate from other welfare classes is much higher than that of non-welfare (12% compared with 5% for 2015), but both rates have steadily decreased with time. Exit rates hovered around 9% and 2% for other welfare and non-welfare, respectively."/>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895850" cy="3374521"/>
                    </a:xfrm>
                    <a:prstGeom prst="rect">
                      <a:avLst/>
                    </a:prstGeom>
                    <a:noFill/>
                    <a:ln>
                      <a:noFill/>
                    </a:ln>
                  </pic:spPr>
                </pic:pic>
              </a:graphicData>
            </a:graphic>
          </wp:inline>
        </w:drawing>
      </w:r>
    </w:p>
    <w:p w14:paraId="7433AD13" w14:textId="01A08B8B" w:rsidR="00372837" w:rsidRPr="00B073BB" w:rsidRDefault="00372837" w:rsidP="000B1493">
      <w:pPr>
        <w:pStyle w:val="Caption"/>
      </w:pPr>
      <w:r w:rsidRPr="00B073BB">
        <w:t xml:space="preserve"> </w:t>
      </w:r>
      <w:bookmarkStart w:id="191" w:name="_Toc100131526"/>
      <w:r w:rsidRPr="00B073BB">
        <w:t xml:space="preserve">Figure </w:t>
      </w:r>
      <w:r w:rsidRPr="00B073BB">
        <w:fldChar w:fldCharType="begin"/>
      </w:r>
      <w:r w:rsidRPr="00B073BB">
        <w:rPr>
          <w:noProof/>
        </w:rPr>
        <w:instrText xml:space="preserve"> SEQ Figure \* ARABIC </w:instrText>
      </w:r>
      <w:r w:rsidRPr="00B073BB">
        <w:fldChar w:fldCharType="separate"/>
      </w:r>
      <w:r w:rsidR="00751625">
        <w:rPr>
          <w:noProof/>
        </w:rPr>
        <w:t>16</w:t>
      </w:r>
      <w:r w:rsidRPr="00B073BB">
        <w:fldChar w:fldCharType="end"/>
      </w:r>
      <w:r w:rsidRPr="00B073BB">
        <w:t xml:space="preserve">: 2018/19 </w:t>
      </w:r>
      <w:r>
        <w:t>Entry and Exit E</w:t>
      </w:r>
      <w:r w:rsidRPr="008F6F48">
        <w:t>xperience</w:t>
      </w:r>
      <w:r w:rsidRPr="00B073BB">
        <w:t xml:space="preserve"> by </w:t>
      </w:r>
      <w:r>
        <w:t>G</w:t>
      </w:r>
      <w:r w:rsidRPr="00B073BB">
        <w:t xml:space="preserve">ender and </w:t>
      </w:r>
      <w:r>
        <w:t>A</w:t>
      </w:r>
      <w:r w:rsidRPr="00B073BB">
        <w:t>ge</w:t>
      </w:r>
      <w:r>
        <w:t xml:space="preserve"> </w:t>
      </w:r>
      <w:r w:rsidRPr="00B073BB">
        <w:t>for Class 4</w:t>
      </w:r>
      <w:bookmarkEnd w:id="191"/>
    </w:p>
    <w:p w14:paraId="7D839601" w14:textId="2A468E41" w:rsidR="00372837" w:rsidRPr="00707FA5" w:rsidRDefault="00372837" w:rsidP="00707FA5">
      <w:pPr>
        <w:pStyle w:val="PwCNormal"/>
        <w:numPr>
          <w:ilvl w:val="0"/>
          <w:numId w:val="0"/>
        </w:numPr>
        <w:rPr>
          <w:rFonts w:ascii="Arial" w:hAnsi="Arial"/>
          <w:color w:val="auto"/>
          <w:sz w:val="20"/>
          <w:szCs w:val="20"/>
        </w:rPr>
      </w:pPr>
      <w:r w:rsidRPr="004173B1">
        <w:t xml:space="preserve"> </w:t>
      </w:r>
      <w:r w:rsidR="00707FA5" w:rsidRPr="00707FA5">
        <w:rPr>
          <w:noProof/>
          <w:lang w:eastAsia="en-AU"/>
        </w:rPr>
        <w:drawing>
          <wp:inline distT="0" distB="0" distL="0" distR="0" wp14:anchorId="15E3D65C" wp14:editId="0048B972">
            <wp:extent cx="4895850" cy="3495713"/>
            <wp:effectExtent l="0" t="0" r="0" b="9525"/>
            <wp:docPr id="20" name="Picture 20" descr="This combination stacked/line chart is split by age (from 18-66) and gender. It shows the total number of people in Class 4 along with the entry and exit rates. The count of people in Class 4 increases steadily with age, with a prominent majority being female. The entry rates dropped quickly from a high start (26% for females and 18% for males), but then decreased more steadily with age. The exit rates were around the 5%-10% level, before spiking up at the end of the age 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his combination stacked/line chart is split by age (from 18-66) and gender. It shows the total number of people in Class 4 along with the entry and exit rates. The count of people in Class 4 increases steadily with age, with a prominent majority being female. The entry rates dropped quickly from a high start (26% for females and 18% for males), but then decreased more steadily with age. The exit rates were around the 5%-10% level, before spiking up at the end of the age rang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895850" cy="3495713"/>
                    </a:xfrm>
                    <a:prstGeom prst="rect">
                      <a:avLst/>
                    </a:prstGeom>
                    <a:noFill/>
                    <a:ln>
                      <a:noFill/>
                    </a:ln>
                  </pic:spPr>
                </pic:pic>
              </a:graphicData>
            </a:graphic>
          </wp:inline>
        </w:drawing>
      </w:r>
    </w:p>
    <w:p w14:paraId="3C1E97FA" w14:textId="2B033A92" w:rsidR="00372837" w:rsidRDefault="00372837" w:rsidP="00746DB7">
      <w:pPr>
        <w:pStyle w:val="OutlineNumbered1"/>
      </w:pPr>
      <w:r>
        <w:lastRenderedPageBreak/>
        <w:t>Most entries into Class</w:t>
      </w:r>
      <w:r w:rsidR="00D93CB1">
        <w:t> </w:t>
      </w:r>
      <w:r>
        <w:t>4 carers are from existing welfare recipients. The overall rate of entry and exit are low, suggesting a greater persistency to remain in Class</w:t>
      </w:r>
      <w:r w:rsidR="00630BF8">
        <w:t> </w:t>
      </w:r>
      <w:r>
        <w:t>4.</w:t>
      </w:r>
    </w:p>
    <w:p w14:paraId="7CB93625" w14:textId="0A0DB912" w:rsidR="00372837" w:rsidRDefault="00372837" w:rsidP="00BF1A16">
      <w:pPr>
        <w:pStyle w:val="OutlineNumbered1"/>
      </w:pPr>
      <w:r>
        <w:t>The population of Class</w:t>
      </w:r>
      <w:r w:rsidR="00D93CB1">
        <w:t> </w:t>
      </w:r>
      <w:r>
        <w:t>4 carers has been steadily increasing, but at a slowing rate of growth in line with a gradual decrease in the rate of entry.</w:t>
      </w:r>
    </w:p>
    <w:p w14:paraId="685F31F5" w14:textId="239DBE8E" w:rsidR="00372837" w:rsidRDefault="00372837" w:rsidP="00BF1A16">
      <w:pPr>
        <w:pStyle w:val="OutlineNumbered1"/>
      </w:pPr>
      <w:r>
        <w:t>The population of Class</w:t>
      </w:r>
      <w:r w:rsidR="00931B66">
        <w:t> </w:t>
      </w:r>
      <w:r>
        <w:t>4 recipients increases consistently with age until retirement age when many transfer to the Age Pension.</w:t>
      </w:r>
    </w:p>
    <w:p w14:paraId="270C8269" w14:textId="77777777" w:rsidR="00372837" w:rsidRPr="005832F3" w:rsidRDefault="00372837" w:rsidP="00BF1A16">
      <w:pPr>
        <w:pStyle w:val="OutlineNumbered1"/>
      </w:pPr>
      <w:r>
        <w:t xml:space="preserve">More females than males receive Class 4 payments, with entry rates for females higher than males, particularly through the child-rearing years. </w:t>
      </w:r>
    </w:p>
    <w:p w14:paraId="25F3BA08" w14:textId="77777777" w:rsidR="00372837" w:rsidRPr="005832F3" w:rsidRDefault="00372837" w:rsidP="00372837">
      <w:pPr>
        <w:pStyle w:val="PwCNormal"/>
        <w:keepNext/>
        <w:numPr>
          <w:ilvl w:val="0"/>
          <w:numId w:val="0"/>
        </w:numPr>
        <w:rPr>
          <w:rFonts w:ascii="Arial" w:hAnsi="Arial"/>
          <w:i/>
          <w:color w:val="auto"/>
          <w:sz w:val="20"/>
          <w:szCs w:val="20"/>
        </w:rPr>
      </w:pPr>
      <w:r>
        <w:rPr>
          <w:rFonts w:ascii="Arial" w:hAnsi="Arial"/>
          <w:i/>
          <w:color w:val="auto"/>
          <w:sz w:val="20"/>
          <w:szCs w:val="20"/>
        </w:rPr>
        <w:t>Class</w:t>
      </w:r>
      <w:r w:rsidRPr="005832F3">
        <w:rPr>
          <w:rFonts w:ascii="Arial" w:hAnsi="Arial"/>
          <w:i/>
          <w:color w:val="auto"/>
          <w:sz w:val="20"/>
          <w:szCs w:val="20"/>
        </w:rPr>
        <w:t xml:space="preserve"> </w:t>
      </w:r>
      <w:r>
        <w:rPr>
          <w:rFonts w:ascii="Arial" w:hAnsi="Arial"/>
          <w:i/>
          <w:color w:val="auto"/>
          <w:sz w:val="20"/>
          <w:szCs w:val="20"/>
        </w:rPr>
        <w:t>5</w:t>
      </w:r>
      <w:r w:rsidRPr="005832F3">
        <w:rPr>
          <w:rFonts w:ascii="Arial" w:hAnsi="Arial"/>
          <w:i/>
          <w:color w:val="auto"/>
          <w:sz w:val="20"/>
          <w:szCs w:val="20"/>
        </w:rPr>
        <w:t xml:space="preserve"> </w:t>
      </w:r>
      <w:r>
        <w:rPr>
          <w:rFonts w:ascii="Arial" w:hAnsi="Arial"/>
          <w:i/>
          <w:color w:val="auto"/>
          <w:sz w:val="20"/>
          <w:szCs w:val="20"/>
        </w:rPr>
        <w:t>(Disability Support) E</w:t>
      </w:r>
      <w:r w:rsidRPr="005832F3">
        <w:rPr>
          <w:rFonts w:ascii="Arial" w:hAnsi="Arial"/>
          <w:i/>
          <w:color w:val="auto"/>
          <w:sz w:val="20"/>
          <w:szCs w:val="20"/>
        </w:rPr>
        <w:t>xperience</w:t>
      </w:r>
    </w:p>
    <w:p w14:paraId="12348E1D" w14:textId="30538E47" w:rsidR="00372837" w:rsidRPr="005832F3" w:rsidRDefault="00372837" w:rsidP="00BF1A16">
      <w:pPr>
        <w:pStyle w:val="OutlineNumbered1"/>
      </w:pPr>
      <w:r>
        <w:t>The following analysis summarises</w:t>
      </w:r>
      <w:r w:rsidRPr="005832F3">
        <w:t xml:space="preserve"> trends </w:t>
      </w:r>
      <w:r>
        <w:t>in</w:t>
      </w:r>
      <w:r w:rsidRPr="005832F3">
        <w:t xml:space="preserve"> key experience parameters </w:t>
      </w:r>
      <w:r>
        <w:t>for Class</w:t>
      </w:r>
      <w:r w:rsidR="00931B66">
        <w:t> </w:t>
      </w:r>
      <w:r>
        <w:t>5</w:t>
      </w:r>
      <w:r w:rsidRPr="005832F3">
        <w:t>.</w:t>
      </w:r>
    </w:p>
    <w:p w14:paraId="053CB3C6" w14:textId="5A0BDEAB" w:rsidR="00372837" w:rsidRPr="002B1B4A" w:rsidRDefault="00372837" w:rsidP="000B1493">
      <w:pPr>
        <w:pStyle w:val="Caption"/>
      </w:pPr>
      <w:bookmarkStart w:id="192" w:name="Figure17"/>
      <w:bookmarkStart w:id="193" w:name="_Toc100131527"/>
      <w:r w:rsidRPr="002B1B4A">
        <w:t xml:space="preserve">Figure </w:t>
      </w:r>
      <w:r w:rsidRPr="002B1B4A">
        <w:fldChar w:fldCharType="begin"/>
      </w:r>
      <w:r w:rsidRPr="002B1B4A">
        <w:rPr>
          <w:noProof/>
        </w:rPr>
        <w:instrText xml:space="preserve"> SEQ Figure \* ARABIC </w:instrText>
      </w:r>
      <w:r w:rsidRPr="002B1B4A">
        <w:fldChar w:fldCharType="separate"/>
      </w:r>
      <w:r w:rsidR="00751625">
        <w:rPr>
          <w:noProof/>
        </w:rPr>
        <w:t>17</w:t>
      </w:r>
      <w:r w:rsidRPr="002B1B4A">
        <w:fldChar w:fldCharType="end"/>
      </w:r>
      <w:bookmarkEnd w:id="192"/>
      <w:r w:rsidRPr="002B1B4A">
        <w:t>: Trends in Entry and Exit Rates for Class 5</w:t>
      </w:r>
      <w:bookmarkEnd w:id="193"/>
    </w:p>
    <w:p w14:paraId="20859E52" w14:textId="6FB88096" w:rsidR="00F3182B" w:rsidRPr="002B1B4A" w:rsidRDefault="00E13CAC" w:rsidP="002B1B4A">
      <w:pPr>
        <w:pStyle w:val="PwCNormal"/>
        <w:numPr>
          <w:ilvl w:val="0"/>
          <w:numId w:val="0"/>
        </w:numPr>
        <w:rPr>
          <w:color w:val="auto"/>
          <w:sz w:val="20"/>
          <w:szCs w:val="20"/>
        </w:rPr>
      </w:pPr>
      <w:r w:rsidRPr="00E13CAC">
        <w:rPr>
          <w:noProof/>
          <w:lang w:eastAsia="en-AU"/>
        </w:rPr>
        <w:drawing>
          <wp:inline distT="0" distB="0" distL="0" distR="0" wp14:anchorId="0BEEEAEA" wp14:editId="75BB3342">
            <wp:extent cx="4895850" cy="3374521"/>
            <wp:effectExtent l="0" t="0" r="0" b="0"/>
            <wp:docPr id="313" name="Picture 313" descr="This combination bar/line chart shows the total number of people in Class 5 from 2015 to 2019, as well as entry and exit rates. The rates are differentiated between other welfare classes and non-welfare. The total number in Class 5 decreased from 848,000 for 2015 to 782,000 for 2019. The entry rates hovered around 2%. The exit rate to other welfare classes was much higher than to non-welfare (4% compared with 0.5% for 2015), but the gap has narrowed across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13" descr="This combination bar/line chart shows the total number of people in Class 5 from 2015 to 2019, as well as entry and exit rates. The rates are differentiated between other welfare classes and non-welfare. The total number in Class 5 decreased from 848,000 for 2015 to 782,000 for 2019. The entry rates hovered around 2%. The exit rate to other welfare classes was much higher than to non-welfare (4% compared with 0.5% for 2015), but the gap has narrowed across tim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895850" cy="3374521"/>
                    </a:xfrm>
                    <a:prstGeom prst="rect">
                      <a:avLst/>
                    </a:prstGeom>
                    <a:noFill/>
                    <a:ln>
                      <a:noFill/>
                    </a:ln>
                  </pic:spPr>
                </pic:pic>
              </a:graphicData>
            </a:graphic>
          </wp:inline>
        </w:drawing>
      </w:r>
    </w:p>
    <w:p w14:paraId="65711D3B" w14:textId="2E6E7590" w:rsidR="00707FA5" w:rsidRDefault="00372837" w:rsidP="000B1493">
      <w:pPr>
        <w:pStyle w:val="Caption"/>
      </w:pPr>
      <w:bookmarkStart w:id="194" w:name="Figure18"/>
      <w:bookmarkStart w:id="195" w:name="_Toc100131528"/>
      <w:r w:rsidRPr="00B073BB">
        <w:lastRenderedPageBreak/>
        <w:t xml:space="preserve">Figure </w:t>
      </w:r>
      <w:r w:rsidRPr="00B073BB">
        <w:fldChar w:fldCharType="begin"/>
      </w:r>
      <w:r w:rsidRPr="00B073BB">
        <w:rPr>
          <w:noProof/>
        </w:rPr>
        <w:instrText xml:space="preserve"> SEQ Figure \* ARABIC </w:instrText>
      </w:r>
      <w:r w:rsidRPr="00B073BB">
        <w:fldChar w:fldCharType="separate"/>
      </w:r>
      <w:r w:rsidR="00751625">
        <w:rPr>
          <w:noProof/>
        </w:rPr>
        <w:t>18</w:t>
      </w:r>
      <w:r w:rsidRPr="00B073BB">
        <w:fldChar w:fldCharType="end"/>
      </w:r>
      <w:bookmarkEnd w:id="194"/>
      <w:r w:rsidRPr="00B073BB">
        <w:t>: 2018/</w:t>
      </w:r>
      <w:r w:rsidRPr="006312A5">
        <w:t>19</w:t>
      </w:r>
      <w:r w:rsidRPr="00B073BB">
        <w:t xml:space="preserve"> </w:t>
      </w:r>
      <w:r>
        <w:t>Entry and Exit E</w:t>
      </w:r>
      <w:r w:rsidRPr="00B073BB">
        <w:t xml:space="preserve">xperience by </w:t>
      </w:r>
      <w:r>
        <w:t>G</w:t>
      </w:r>
      <w:r w:rsidRPr="00B073BB">
        <w:t xml:space="preserve">ender and </w:t>
      </w:r>
      <w:r>
        <w:t>A</w:t>
      </w:r>
      <w:r w:rsidRPr="00B073BB">
        <w:t>ge</w:t>
      </w:r>
      <w:r>
        <w:t xml:space="preserve"> </w:t>
      </w:r>
      <w:r w:rsidRPr="00B073BB">
        <w:t>for Class 5</w:t>
      </w:r>
      <w:bookmarkEnd w:id="195"/>
    </w:p>
    <w:p w14:paraId="4ACEC4A0" w14:textId="7C8BBCBF" w:rsidR="002735F9" w:rsidRPr="002735F9" w:rsidRDefault="002735F9" w:rsidP="00AA26EE">
      <w:pPr>
        <w:spacing w:line="240" w:lineRule="auto"/>
        <w:jc w:val="left"/>
      </w:pPr>
      <w:r w:rsidRPr="002735F9">
        <w:rPr>
          <w:noProof/>
        </w:rPr>
        <w:drawing>
          <wp:inline distT="0" distB="0" distL="0" distR="0" wp14:anchorId="2180DB03" wp14:editId="74600A70">
            <wp:extent cx="4895850" cy="3495713"/>
            <wp:effectExtent l="0" t="0" r="0" b="9525"/>
            <wp:docPr id="300" name="Picture 300" descr="This combination stacked/line chart is split by age (from 17-64) and gender. It shows the total number of people in Class 5 along with the entry and exit rates. The proportion of males and females is consistently even across the whole age range. The counts start low at younger ages, rapidly increasing from 10,000 at age 40 up to 30,000 at age 65. Entry rates start high but quickly settle at around 2%, while exit rates remained around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300" descr="This combination stacked/line chart is split by age (from 17-64) and gender. It shows the total number of people in Class 5 along with the entry and exit rates. The proportion of males and females is consistently even across the whole age range. The counts start low at younger ages, rapidly increasing from 10,000 at age 40 up to 30,000 at age 65. Entry rates start high but quickly settle at around 2%, while exit rates remained around 0.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895850" cy="3495713"/>
                    </a:xfrm>
                    <a:prstGeom prst="rect">
                      <a:avLst/>
                    </a:prstGeom>
                    <a:noFill/>
                    <a:ln>
                      <a:noFill/>
                    </a:ln>
                  </pic:spPr>
                </pic:pic>
              </a:graphicData>
            </a:graphic>
          </wp:inline>
        </w:drawing>
      </w:r>
    </w:p>
    <w:p w14:paraId="252E169C" w14:textId="2EAA889C" w:rsidR="00372837" w:rsidRDefault="00372837" w:rsidP="00BF1A16">
      <w:pPr>
        <w:pStyle w:val="OutlineNumbered1"/>
      </w:pPr>
      <w:r w:rsidRPr="002C5023">
        <w:t xml:space="preserve">There have been a number of changes in policy settings in relation to the Disability Support Pension </w:t>
      </w:r>
      <w:r>
        <w:t xml:space="preserve">(DSP) </w:t>
      </w:r>
      <w:r w:rsidRPr="002C5023">
        <w:t xml:space="preserve">over the last few years, </w:t>
      </w:r>
      <w:r>
        <w:t>which have generated some fluctuations in the number of people entering and exiting Class</w:t>
      </w:r>
      <w:r w:rsidR="00931B66">
        <w:t> </w:t>
      </w:r>
      <w:r>
        <w:t xml:space="preserve">5. This includes </w:t>
      </w:r>
      <w:r w:rsidRPr="002C5023">
        <w:t>a tightening of eligibility criteria</w:t>
      </w:r>
      <w:r>
        <w:t>,</w:t>
      </w:r>
      <w:r w:rsidRPr="002C5023">
        <w:t xml:space="preserve"> which has driven a reduction in the number of entries onto the DSP. </w:t>
      </w:r>
      <w:r>
        <w:t xml:space="preserve">This resulted in </w:t>
      </w:r>
      <w:r w:rsidRPr="002C5023">
        <w:t>decreases in entries from outside the welfare system</w:t>
      </w:r>
      <w:r>
        <w:t>,</w:t>
      </w:r>
      <w:r w:rsidRPr="002C5023">
        <w:t xml:space="preserve"> and </w:t>
      </w:r>
      <w:r>
        <w:t>an overall decrease in entries to Class</w:t>
      </w:r>
      <w:r w:rsidR="00931B66">
        <w:t> </w:t>
      </w:r>
      <w:r>
        <w:t>5, but there remained some movements in entries from other welfare classes to Class</w:t>
      </w:r>
      <w:r w:rsidR="00931B66">
        <w:t> </w:t>
      </w:r>
      <w:r>
        <w:t>5. Class</w:t>
      </w:r>
      <w:r w:rsidR="00931B66">
        <w:t> </w:t>
      </w:r>
      <w:r>
        <w:t>5 has the lowest entry rate for any payment class.</w:t>
      </w:r>
    </w:p>
    <w:p w14:paraId="74262F38" w14:textId="77777777" w:rsidR="00372837" w:rsidRDefault="00372837" w:rsidP="00BF1A16">
      <w:pPr>
        <w:pStyle w:val="OutlineNumbered1"/>
      </w:pPr>
      <w:r w:rsidRPr="002C5023">
        <w:t xml:space="preserve">Note that the large decrease in exits </w:t>
      </w:r>
      <w:r>
        <w:t>in 2017-18</w:t>
      </w:r>
      <w:r w:rsidRPr="002C5023">
        <w:t xml:space="preserve">, relates to the increase in the </w:t>
      </w:r>
      <w:r>
        <w:t>Age Pension</w:t>
      </w:r>
      <w:r w:rsidRPr="002C5023">
        <w:t xml:space="preserve"> age from 65 to 65.5.</w:t>
      </w:r>
      <w:r>
        <w:t xml:space="preserve"> Most exits from Class 5 are due to death or transfer to the Age Pension, which is why a change to Age Pension eligibility has such a significant impact on this class</w:t>
      </w:r>
      <w:r w:rsidRPr="002C5023">
        <w:t>.</w:t>
      </w:r>
    </w:p>
    <w:p w14:paraId="77EE5B4C" w14:textId="77777777" w:rsidR="00372837" w:rsidRDefault="00372837" w:rsidP="00BF1A16">
      <w:pPr>
        <w:pStyle w:val="OutlineNumbered1"/>
        <w:rPr>
          <w:rFonts w:cs="Arial"/>
          <w:color w:val="auto"/>
        </w:rPr>
      </w:pPr>
      <w:r>
        <w:rPr>
          <w:rFonts w:cs="Arial"/>
          <w:color w:val="auto"/>
        </w:rPr>
        <w:t>The population of Class 5 recipients increases significantly with age until retirement age, when many transfer to the Age Pension.</w:t>
      </w:r>
    </w:p>
    <w:p w14:paraId="0E315871" w14:textId="77777777" w:rsidR="00372837" w:rsidRPr="003D6583" w:rsidRDefault="00372837" w:rsidP="00BF1A16">
      <w:pPr>
        <w:pStyle w:val="OutlineNumbered1"/>
        <w:rPr>
          <w:rFonts w:cs="Arial"/>
          <w:color w:val="auto"/>
        </w:rPr>
      </w:pPr>
      <w:r>
        <w:rPr>
          <w:rFonts w:cs="Arial"/>
          <w:color w:val="auto"/>
        </w:rPr>
        <w:t>The patterns by age for rates of entry and exit are broadly similar for males and females, with males having slightly higher rates of movement into and out of this class overall.</w:t>
      </w:r>
    </w:p>
    <w:p w14:paraId="161A94D6" w14:textId="77777777" w:rsidR="00372837" w:rsidRPr="005832F3" w:rsidRDefault="00372837" w:rsidP="00372837">
      <w:pPr>
        <w:pStyle w:val="PwCNormal"/>
        <w:keepNext/>
        <w:numPr>
          <w:ilvl w:val="0"/>
          <w:numId w:val="0"/>
        </w:numPr>
        <w:rPr>
          <w:rFonts w:ascii="Arial" w:hAnsi="Arial"/>
          <w:i/>
          <w:color w:val="auto"/>
          <w:sz w:val="20"/>
          <w:szCs w:val="20"/>
        </w:rPr>
      </w:pPr>
      <w:r>
        <w:rPr>
          <w:rFonts w:ascii="Arial" w:hAnsi="Arial"/>
          <w:i/>
          <w:color w:val="auto"/>
          <w:sz w:val="20"/>
          <w:szCs w:val="20"/>
        </w:rPr>
        <w:lastRenderedPageBreak/>
        <w:t>Class</w:t>
      </w:r>
      <w:r w:rsidRPr="005832F3">
        <w:rPr>
          <w:rFonts w:ascii="Arial" w:hAnsi="Arial"/>
          <w:i/>
          <w:color w:val="auto"/>
          <w:sz w:val="20"/>
          <w:szCs w:val="20"/>
        </w:rPr>
        <w:t xml:space="preserve"> </w:t>
      </w:r>
      <w:r>
        <w:rPr>
          <w:rFonts w:ascii="Arial" w:hAnsi="Arial"/>
          <w:i/>
          <w:color w:val="auto"/>
          <w:sz w:val="20"/>
          <w:szCs w:val="20"/>
        </w:rPr>
        <w:t>6</w:t>
      </w:r>
      <w:r w:rsidRPr="005832F3">
        <w:rPr>
          <w:rFonts w:ascii="Arial" w:hAnsi="Arial"/>
          <w:i/>
          <w:color w:val="auto"/>
          <w:sz w:val="20"/>
          <w:szCs w:val="20"/>
        </w:rPr>
        <w:t xml:space="preserve"> </w:t>
      </w:r>
      <w:r>
        <w:rPr>
          <w:rFonts w:ascii="Arial" w:hAnsi="Arial"/>
          <w:i/>
          <w:color w:val="auto"/>
          <w:sz w:val="20"/>
          <w:szCs w:val="20"/>
        </w:rPr>
        <w:t>(Pension Age) E</w:t>
      </w:r>
      <w:r w:rsidRPr="005832F3">
        <w:rPr>
          <w:rFonts w:ascii="Arial" w:hAnsi="Arial"/>
          <w:i/>
          <w:color w:val="auto"/>
          <w:sz w:val="20"/>
          <w:szCs w:val="20"/>
        </w:rPr>
        <w:t>xperience</w:t>
      </w:r>
    </w:p>
    <w:p w14:paraId="14CC888C" w14:textId="559D8207" w:rsidR="00372837" w:rsidRPr="005832F3" w:rsidRDefault="00372837" w:rsidP="00BF1A16">
      <w:pPr>
        <w:pStyle w:val="OutlineNumbered1"/>
      </w:pPr>
      <w:r>
        <w:t>The following analysis summarises</w:t>
      </w:r>
      <w:r w:rsidRPr="005832F3">
        <w:t xml:space="preserve"> trends </w:t>
      </w:r>
      <w:r>
        <w:t>in</w:t>
      </w:r>
      <w:r w:rsidRPr="005832F3">
        <w:t xml:space="preserve"> key experience parameters </w:t>
      </w:r>
      <w:r>
        <w:t>for Class</w:t>
      </w:r>
      <w:r w:rsidR="00931B66">
        <w:t> </w:t>
      </w:r>
      <w:r>
        <w:t>6</w:t>
      </w:r>
      <w:r w:rsidRPr="005832F3">
        <w:t>.</w:t>
      </w:r>
    </w:p>
    <w:p w14:paraId="059F1C2F" w14:textId="7DB429DD" w:rsidR="00372837" w:rsidRPr="00B073BB" w:rsidRDefault="00372837" w:rsidP="000B1493">
      <w:pPr>
        <w:pStyle w:val="Caption"/>
      </w:pPr>
      <w:bookmarkStart w:id="196" w:name="Figure19"/>
      <w:bookmarkStart w:id="197" w:name="_Toc100131529"/>
      <w:r w:rsidRPr="00B073BB">
        <w:t xml:space="preserve">Figure </w:t>
      </w:r>
      <w:r w:rsidRPr="00B073BB">
        <w:fldChar w:fldCharType="begin"/>
      </w:r>
      <w:r w:rsidRPr="00B073BB">
        <w:rPr>
          <w:noProof/>
        </w:rPr>
        <w:instrText xml:space="preserve"> SEQ Figure \* ARABIC </w:instrText>
      </w:r>
      <w:r w:rsidRPr="00B073BB">
        <w:fldChar w:fldCharType="separate"/>
      </w:r>
      <w:r w:rsidR="00751625">
        <w:rPr>
          <w:noProof/>
        </w:rPr>
        <w:t>19</w:t>
      </w:r>
      <w:r w:rsidRPr="00B073BB">
        <w:fldChar w:fldCharType="end"/>
      </w:r>
      <w:bookmarkEnd w:id="196"/>
      <w:r w:rsidRPr="00B073BB">
        <w:t xml:space="preserve">: Trends in </w:t>
      </w:r>
      <w:r>
        <w:t>E</w:t>
      </w:r>
      <w:r w:rsidRPr="00B073BB">
        <w:t xml:space="preserve">ntry and </w:t>
      </w:r>
      <w:r>
        <w:t>E</w:t>
      </w:r>
      <w:r w:rsidRPr="00B073BB">
        <w:t xml:space="preserve">xit </w:t>
      </w:r>
      <w:r>
        <w:t>R</w:t>
      </w:r>
      <w:r w:rsidRPr="00B073BB">
        <w:t>ates for Class 6</w:t>
      </w:r>
      <w:bookmarkEnd w:id="197"/>
    </w:p>
    <w:p w14:paraId="4408E8D4" w14:textId="65A75DE9" w:rsidR="00372837" w:rsidRPr="009C79B7" w:rsidRDefault="00E13CAC" w:rsidP="00372837">
      <w:pPr>
        <w:pStyle w:val="PwCNormal"/>
        <w:numPr>
          <w:ilvl w:val="0"/>
          <w:numId w:val="0"/>
        </w:numPr>
        <w:rPr>
          <w:rFonts w:ascii="Arial" w:hAnsi="Arial"/>
          <w:color w:val="auto"/>
          <w:sz w:val="20"/>
          <w:szCs w:val="20"/>
        </w:rPr>
      </w:pPr>
      <w:r w:rsidRPr="00E13CAC">
        <w:rPr>
          <w:noProof/>
          <w:lang w:eastAsia="en-AU"/>
        </w:rPr>
        <w:drawing>
          <wp:inline distT="0" distB="0" distL="0" distR="0" wp14:anchorId="0516F7A6" wp14:editId="1C65CD7B">
            <wp:extent cx="4895850" cy="3383563"/>
            <wp:effectExtent l="0" t="0" r="0" b="7620"/>
            <wp:docPr id="314" name="Picture 314" descr="This combination bar/line chart shows the total number of people in Class 6 from 2015 to 2019, as well as entry and exit rates. The rates are differentiated between other welfare classes and non-welfare. The total number in Class 6 was relatively stable around 2.6 million. The two entry rates moved similarly, from approximately 4% down to 3% by 2019. The exit rates were both close to zero, but with a spike upwards to 3% for other welfare in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314" descr="This combination bar/line chart shows the total number of people in Class 6 from 2015 to 2019, as well as entry and exit rates. The rates are differentiated between other welfare classes and non-welfare. The total number in Class 6 was relatively stable around 2.6 million. The two entry rates moved similarly, from approximately 4% down to 3% by 2019. The exit rates were both close to zero, but with a spike upwards to 3% for other welfare in 201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895850" cy="3383563"/>
                    </a:xfrm>
                    <a:prstGeom prst="rect">
                      <a:avLst/>
                    </a:prstGeom>
                    <a:noFill/>
                    <a:ln>
                      <a:noFill/>
                    </a:ln>
                  </pic:spPr>
                </pic:pic>
              </a:graphicData>
            </a:graphic>
          </wp:inline>
        </w:drawing>
      </w:r>
    </w:p>
    <w:p w14:paraId="24D8D7DF" w14:textId="79D2450D" w:rsidR="00372837" w:rsidRDefault="00372837" w:rsidP="000B1493">
      <w:pPr>
        <w:pStyle w:val="Caption"/>
      </w:pPr>
      <w:bookmarkStart w:id="198" w:name="Figure20"/>
      <w:bookmarkStart w:id="199" w:name="_Toc100131530"/>
      <w:r w:rsidRPr="006312A5">
        <w:lastRenderedPageBreak/>
        <w:t xml:space="preserve">Figure </w:t>
      </w:r>
      <w:r w:rsidR="00215A2C">
        <w:fldChar w:fldCharType="begin"/>
      </w:r>
      <w:r w:rsidR="00215A2C">
        <w:instrText xml:space="preserve"> SEQ Figure \* ARABIC </w:instrText>
      </w:r>
      <w:r w:rsidR="00215A2C">
        <w:fldChar w:fldCharType="separate"/>
      </w:r>
      <w:r w:rsidR="00751625">
        <w:rPr>
          <w:noProof/>
        </w:rPr>
        <w:t>20</w:t>
      </w:r>
      <w:r w:rsidR="00215A2C">
        <w:rPr>
          <w:noProof/>
        </w:rPr>
        <w:fldChar w:fldCharType="end"/>
      </w:r>
      <w:bookmarkEnd w:id="198"/>
      <w:r w:rsidRPr="006312A5">
        <w:t>: 2018</w:t>
      </w:r>
      <w:r w:rsidRPr="00B073BB">
        <w:t xml:space="preserve">/19 </w:t>
      </w:r>
      <w:r>
        <w:t>Entry and Exit E</w:t>
      </w:r>
      <w:r w:rsidRPr="006312A5">
        <w:t>xperience</w:t>
      </w:r>
      <w:r w:rsidRPr="00B073BB">
        <w:t xml:space="preserve"> by </w:t>
      </w:r>
      <w:r>
        <w:t>G</w:t>
      </w:r>
      <w:r w:rsidRPr="00B073BB">
        <w:t xml:space="preserve">ender and </w:t>
      </w:r>
      <w:r>
        <w:t>A</w:t>
      </w:r>
      <w:r w:rsidRPr="00B073BB">
        <w:t>ge</w:t>
      </w:r>
      <w:r>
        <w:t xml:space="preserve"> </w:t>
      </w:r>
      <w:r w:rsidRPr="00B073BB">
        <w:t>for Class 6.</w:t>
      </w:r>
      <w:bookmarkEnd w:id="199"/>
      <w:r w:rsidRPr="00B073BB">
        <w:t xml:space="preserve"> </w:t>
      </w:r>
    </w:p>
    <w:p w14:paraId="2DDE4B19" w14:textId="1C2EF89C" w:rsidR="00372837" w:rsidRPr="002735F9" w:rsidRDefault="002735F9" w:rsidP="002735F9">
      <w:pPr>
        <w:pStyle w:val="PwCNormal"/>
        <w:rPr>
          <w:color w:val="auto"/>
        </w:rPr>
      </w:pPr>
      <w:r w:rsidRPr="002735F9">
        <w:rPr>
          <w:noProof/>
          <w:lang w:eastAsia="en-AU"/>
        </w:rPr>
        <w:drawing>
          <wp:inline distT="0" distB="0" distL="0" distR="0" wp14:anchorId="6D5166B5" wp14:editId="7608A30A">
            <wp:extent cx="4895850" cy="3495713"/>
            <wp:effectExtent l="0" t="0" r="0" b="9525"/>
            <wp:docPr id="301" name="Picture 301" descr="This combination stacked/line chart is split by age (from 66-100) and gender. It shows the total number of people in Class 6 along with the entry and exit rates. The most common age in class 6 is 72, with the number of people at each age dropping toward zero at advanced ages. The entry rates at age 67 are around 4%, and the rates decrease quickly, as age increases, to near zero at very old ages. The exit rates are consistently around 0.5% across the age 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descr="This combination stacked/line chart is split by age (from 66-100) and gender. It shows the total number of people in Class 6 along with the entry and exit rates. The most common age in class 6 is 72, with the number of people at each age dropping toward zero at advanced ages. The entry rates at age 67 are around 4%, and the rates decrease quickly, as age increases, to near zero at very old ages. The exit rates are consistently around 0.5% across the age rang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895850" cy="3495713"/>
                    </a:xfrm>
                    <a:prstGeom prst="rect">
                      <a:avLst/>
                    </a:prstGeom>
                    <a:noFill/>
                    <a:ln>
                      <a:noFill/>
                    </a:ln>
                  </pic:spPr>
                </pic:pic>
              </a:graphicData>
            </a:graphic>
          </wp:inline>
        </w:drawing>
      </w:r>
    </w:p>
    <w:p w14:paraId="43F3C3B1" w14:textId="77777777" w:rsidR="00372837" w:rsidRPr="00540493" w:rsidRDefault="00372837" w:rsidP="00372837">
      <w:pPr>
        <w:pStyle w:val="PwCNormal"/>
        <w:rPr>
          <w:rFonts w:ascii="Arial" w:hAnsi="Arial"/>
          <w:i/>
          <w:color w:val="auto"/>
          <w:sz w:val="18"/>
          <w:szCs w:val="20"/>
        </w:rPr>
      </w:pPr>
      <w:r w:rsidRPr="00540493">
        <w:rPr>
          <w:rFonts w:ascii="Arial" w:hAnsi="Arial"/>
          <w:i/>
          <w:color w:val="auto"/>
          <w:sz w:val="18"/>
          <w:szCs w:val="20"/>
        </w:rPr>
        <w:t xml:space="preserve">(Note: Death is the primary reason for exit from this class, but is not included in the chart above). </w:t>
      </w:r>
    </w:p>
    <w:p w14:paraId="79A72D52" w14:textId="77777777" w:rsidR="00372837" w:rsidRPr="00F51E49" w:rsidRDefault="00372837" w:rsidP="00BF1A16">
      <w:pPr>
        <w:pStyle w:val="OutlineNumbered1"/>
        <w:rPr>
          <w:rFonts w:cs="Arial"/>
        </w:rPr>
      </w:pPr>
      <w:r w:rsidRPr="00F51E49">
        <w:t xml:space="preserve">Previous valuation reports have explained that the modelling of the </w:t>
      </w:r>
      <w:r>
        <w:t>Age Pension</w:t>
      </w:r>
      <w:r w:rsidRPr="00F51E49">
        <w:t xml:space="preserve"> is an inherently challenging part of the valuation. </w:t>
      </w:r>
      <w:r>
        <w:t>Age Pension</w:t>
      </w:r>
      <w:r w:rsidRPr="00F51E49">
        <w:t xml:space="preserve"> payments are, for some people, many decades into the future and there are many factors which will influence the demand for </w:t>
      </w:r>
      <w:r>
        <w:t>Age Pension</w:t>
      </w:r>
      <w:r w:rsidRPr="00F51E49">
        <w:t>. These include demographic trends, the economic environment and the returns on superannuation savings. Further challenges arise as the data available to support our analysis does not include information on some key drivers</w:t>
      </w:r>
      <w:r>
        <w:t>,</w:t>
      </w:r>
      <w:r w:rsidRPr="00F51E49">
        <w:t xml:space="preserve"> such as levels of superannuation savings, how superannuation assets are drawn down in retirement, and home ownership. </w:t>
      </w:r>
    </w:p>
    <w:p w14:paraId="1D82A2B2" w14:textId="77777777" w:rsidR="00372837" w:rsidRPr="00F51E49" w:rsidRDefault="00372837" w:rsidP="00BF1A16">
      <w:pPr>
        <w:pStyle w:val="OutlineNumbered1"/>
        <w:rPr>
          <w:rFonts w:cs="Arial"/>
        </w:rPr>
      </w:pPr>
      <w:r w:rsidRPr="00F51E49">
        <w:t xml:space="preserve">Some of these factors offset each other. For example, levels of superannuation savings are increasing over time (both from the maturing of the superannuation system and increasing workforce participation of women), which should decrease the </w:t>
      </w:r>
      <w:r>
        <w:t>reliance on</w:t>
      </w:r>
      <w:r w:rsidRPr="00F51E49">
        <w:t xml:space="preserve"> the </w:t>
      </w:r>
      <w:r>
        <w:t>Age Pension</w:t>
      </w:r>
      <w:r w:rsidRPr="00F51E49">
        <w:t xml:space="preserve">. However, there has also been a material reduction in levels of home ownership, especially for younger generations. This </w:t>
      </w:r>
      <w:r>
        <w:t>c</w:t>
      </w:r>
      <w:r w:rsidRPr="00F51E49">
        <w:t xml:space="preserve">ould increase </w:t>
      </w:r>
      <w:r>
        <w:t>reliance on</w:t>
      </w:r>
      <w:r w:rsidRPr="00F51E49">
        <w:t xml:space="preserve"> the </w:t>
      </w:r>
      <w:r>
        <w:t>Age Pension</w:t>
      </w:r>
      <w:r w:rsidRPr="00F51E49">
        <w:t>.</w:t>
      </w:r>
    </w:p>
    <w:p w14:paraId="37A83C8A" w14:textId="77777777" w:rsidR="00372837" w:rsidRPr="00F51E49" w:rsidRDefault="00372837" w:rsidP="00BF1A16">
      <w:pPr>
        <w:pStyle w:val="OutlineNumbered1"/>
        <w:rPr>
          <w:rFonts w:cs="Arial"/>
        </w:rPr>
      </w:pPr>
      <w:r w:rsidRPr="00F51E49">
        <w:t xml:space="preserve">In terms of recent experience, there has been a reduction in the proportion of people who access </w:t>
      </w:r>
      <w:r>
        <w:t>the</w:t>
      </w:r>
      <w:r w:rsidRPr="00F51E49">
        <w:t xml:space="preserve"> </w:t>
      </w:r>
      <w:r>
        <w:t>Age Pension</w:t>
      </w:r>
      <w:r w:rsidRPr="00F51E49">
        <w:t xml:space="preserve"> in the first few years after reaching the </w:t>
      </w:r>
      <w:r>
        <w:t>Age Pension</w:t>
      </w:r>
      <w:r w:rsidRPr="00F51E49">
        <w:t xml:space="preserve"> qualifying age. In particular, there has been a reduction in the proportion of full </w:t>
      </w:r>
      <w:r>
        <w:t>age pension</w:t>
      </w:r>
      <w:r w:rsidRPr="00F51E49">
        <w:t xml:space="preserve">ers within these cohorts. </w:t>
      </w:r>
    </w:p>
    <w:p w14:paraId="4C27449C" w14:textId="304C1416" w:rsidR="00372837" w:rsidRPr="00F51E49" w:rsidRDefault="00372837" w:rsidP="00BF1A16">
      <w:pPr>
        <w:pStyle w:val="OutlineNumbered1"/>
        <w:rPr>
          <w:rFonts w:cs="Arial"/>
        </w:rPr>
      </w:pPr>
      <w:r w:rsidRPr="00F51E49">
        <w:lastRenderedPageBreak/>
        <w:t xml:space="preserve">Entries into and exits from the </w:t>
      </w:r>
      <w:r>
        <w:t>Age Pension</w:t>
      </w:r>
      <w:r w:rsidRPr="00F51E49">
        <w:t xml:space="preserve"> are impacted by both general experience, and recent policy changes relating to the </w:t>
      </w:r>
      <w:r>
        <w:t>Age Pension</w:t>
      </w:r>
      <w:r w:rsidRPr="00F51E49">
        <w:t xml:space="preserve"> age and the pension assets test.</w:t>
      </w:r>
      <w:r>
        <w:t xml:space="preserve"> </w:t>
      </w:r>
      <w:r w:rsidRPr="00F51E49">
        <w:t xml:space="preserve">The lower level of entries in the 2018 year was due to an increase in the </w:t>
      </w:r>
      <w:r>
        <w:t>Age Pension</w:t>
      </w:r>
      <w:r w:rsidRPr="00F51E49">
        <w:t xml:space="preserve"> age from 65 to 65.5. A change in the pension assets test </w:t>
      </w:r>
      <w:r>
        <w:t>on 1</w:t>
      </w:r>
      <w:r w:rsidR="00986C32">
        <w:t> </w:t>
      </w:r>
      <w:r>
        <w:t>January</w:t>
      </w:r>
      <w:r w:rsidR="00986C32">
        <w:t> </w:t>
      </w:r>
      <w:r>
        <w:t xml:space="preserve">2017 </w:t>
      </w:r>
      <w:r w:rsidRPr="00F51E49">
        <w:t xml:space="preserve">also </w:t>
      </w:r>
      <w:r>
        <w:t>led</w:t>
      </w:r>
      <w:r w:rsidRPr="00F51E49">
        <w:t xml:space="preserve"> to a higher rate of exits, of which many transitioned into </w:t>
      </w:r>
      <w:r>
        <w:t>non-income</w:t>
      </w:r>
      <w:r w:rsidRPr="00F51E49">
        <w:t xml:space="preserve"> support classes.</w:t>
      </w:r>
    </w:p>
    <w:p w14:paraId="198003A5" w14:textId="32E5C82F" w:rsidR="00372837" w:rsidRPr="00F51E49" w:rsidRDefault="00372837" w:rsidP="00BF1A16">
      <w:pPr>
        <w:pStyle w:val="OutlineNumbered1"/>
        <w:rPr>
          <w:rFonts w:cs="Arial"/>
        </w:rPr>
      </w:pPr>
      <w:r>
        <w:t>Most people enter into Class</w:t>
      </w:r>
      <w:r w:rsidR="00931B66">
        <w:t> </w:t>
      </w:r>
      <w:r>
        <w:t xml:space="preserve">6 at retirement age, although the entry rate does not flatten off until around age 80. These older entrants include people who have continued working past retirement age, people who have drawn down on savings to a point where they are now eligible for the Age Pension, and migrants who have had to wait for an eligibility period. Although not shown in </w:t>
      </w:r>
      <w:r w:rsidR="001F127A">
        <w:fldChar w:fldCharType="begin"/>
      </w:r>
      <w:r w:rsidR="001F127A">
        <w:instrText xml:space="preserve"> REF  Figure17 \h </w:instrText>
      </w:r>
      <w:r w:rsidR="001F127A">
        <w:fldChar w:fldCharType="separate"/>
      </w:r>
      <w:r w:rsidR="00751625" w:rsidRPr="002B1B4A">
        <w:t xml:space="preserve">Figure </w:t>
      </w:r>
      <w:r w:rsidR="00751625">
        <w:rPr>
          <w:noProof/>
        </w:rPr>
        <w:t>17</w:t>
      </w:r>
      <w:r w:rsidR="001F127A">
        <w:fldChar w:fldCharType="end"/>
      </w:r>
      <w:r>
        <w:t>, the</w:t>
      </w:r>
      <w:r w:rsidRPr="00F51E49">
        <w:t xml:space="preserve"> major reason for exit from </w:t>
      </w:r>
      <w:r>
        <w:t>C</w:t>
      </w:r>
      <w:r w:rsidRPr="00F51E49">
        <w:t>lass</w:t>
      </w:r>
      <w:r w:rsidR="00931B66">
        <w:t> </w:t>
      </w:r>
      <w:r w:rsidRPr="00F51E49">
        <w:t>6 is death.</w:t>
      </w:r>
    </w:p>
    <w:p w14:paraId="5F1884CA" w14:textId="77777777" w:rsidR="00372837" w:rsidRPr="005832F3" w:rsidRDefault="00372837" w:rsidP="00372837">
      <w:pPr>
        <w:pStyle w:val="PwCNormal"/>
        <w:keepNext/>
        <w:numPr>
          <w:ilvl w:val="0"/>
          <w:numId w:val="0"/>
        </w:numPr>
        <w:rPr>
          <w:rFonts w:ascii="Arial" w:hAnsi="Arial"/>
          <w:i/>
          <w:color w:val="auto"/>
          <w:sz w:val="20"/>
          <w:szCs w:val="20"/>
        </w:rPr>
      </w:pPr>
      <w:r>
        <w:rPr>
          <w:rFonts w:ascii="Arial" w:hAnsi="Arial"/>
          <w:i/>
          <w:color w:val="auto"/>
          <w:sz w:val="20"/>
          <w:szCs w:val="20"/>
        </w:rPr>
        <w:t>Class</w:t>
      </w:r>
      <w:r w:rsidRPr="005832F3">
        <w:rPr>
          <w:rFonts w:ascii="Arial" w:hAnsi="Arial"/>
          <w:i/>
          <w:color w:val="auto"/>
          <w:sz w:val="20"/>
          <w:szCs w:val="20"/>
        </w:rPr>
        <w:t xml:space="preserve"> </w:t>
      </w:r>
      <w:r>
        <w:rPr>
          <w:rFonts w:ascii="Arial" w:hAnsi="Arial"/>
          <w:i/>
          <w:color w:val="auto"/>
          <w:sz w:val="20"/>
          <w:szCs w:val="20"/>
        </w:rPr>
        <w:t>7</w:t>
      </w:r>
      <w:r w:rsidRPr="005832F3">
        <w:rPr>
          <w:rFonts w:ascii="Arial" w:hAnsi="Arial"/>
          <w:i/>
          <w:color w:val="auto"/>
          <w:sz w:val="20"/>
          <w:szCs w:val="20"/>
        </w:rPr>
        <w:t xml:space="preserve"> </w:t>
      </w:r>
      <w:r>
        <w:rPr>
          <w:rFonts w:ascii="Arial" w:hAnsi="Arial"/>
          <w:i/>
          <w:color w:val="auto"/>
          <w:sz w:val="20"/>
          <w:szCs w:val="20"/>
        </w:rPr>
        <w:t>(Non IS Family) E</w:t>
      </w:r>
      <w:r w:rsidRPr="005832F3">
        <w:rPr>
          <w:rFonts w:ascii="Arial" w:hAnsi="Arial"/>
          <w:i/>
          <w:color w:val="auto"/>
          <w:sz w:val="20"/>
          <w:szCs w:val="20"/>
        </w:rPr>
        <w:t>xperience</w:t>
      </w:r>
    </w:p>
    <w:p w14:paraId="4AAB2DE5" w14:textId="4FC1C06B" w:rsidR="00372837" w:rsidRPr="005832F3" w:rsidRDefault="00372837" w:rsidP="00BF1A16">
      <w:pPr>
        <w:pStyle w:val="OutlineNumbered1"/>
      </w:pPr>
      <w:r>
        <w:t xml:space="preserve">The following analysis summarises </w:t>
      </w:r>
      <w:r w:rsidRPr="005832F3">
        <w:t xml:space="preserve">trends </w:t>
      </w:r>
      <w:r>
        <w:t>in</w:t>
      </w:r>
      <w:r w:rsidRPr="005832F3">
        <w:t xml:space="preserve"> key experience parameters </w:t>
      </w:r>
      <w:r>
        <w:t>for Class</w:t>
      </w:r>
      <w:r w:rsidR="00931B66">
        <w:t> </w:t>
      </w:r>
      <w:r>
        <w:t>7</w:t>
      </w:r>
      <w:r w:rsidRPr="005832F3">
        <w:t>.</w:t>
      </w:r>
    </w:p>
    <w:p w14:paraId="240C9557" w14:textId="5EBDC0DA" w:rsidR="00372837" w:rsidRPr="00B073BB" w:rsidRDefault="00372837" w:rsidP="000B1493">
      <w:pPr>
        <w:pStyle w:val="Caption"/>
      </w:pPr>
      <w:bookmarkStart w:id="200" w:name="_Toc100131531"/>
      <w:r w:rsidRPr="00B073BB">
        <w:t xml:space="preserve">Figure </w:t>
      </w:r>
      <w:r w:rsidRPr="00B073BB">
        <w:fldChar w:fldCharType="begin"/>
      </w:r>
      <w:r w:rsidRPr="00B073BB">
        <w:rPr>
          <w:noProof/>
        </w:rPr>
        <w:instrText xml:space="preserve"> SEQ Figure \* ARABIC </w:instrText>
      </w:r>
      <w:r w:rsidRPr="00B073BB">
        <w:fldChar w:fldCharType="separate"/>
      </w:r>
      <w:r w:rsidR="00751625">
        <w:rPr>
          <w:noProof/>
        </w:rPr>
        <w:t>21</w:t>
      </w:r>
      <w:r w:rsidRPr="00B073BB">
        <w:fldChar w:fldCharType="end"/>
      </w:r>
      <w:r w:rsidRPr="00B073BB">
        <w:t xml:space="preserve">: Trends in </w:t>
      </w:r>
      <w:r>
        <w:t>E</w:t>
      </w:r>
      <w:r w:rsidRPr="00B073BB">
        <w:t xml:space="preserve">ntry and </w:t>
      </w:r>
      <w:r>
        <w:t>E</w:t>
      </w:r>
      <w:r w:rsidRPr="00B073BB">
        <w:t xml:space="preserve">xit </w:t>
      </w:r>
      <w:r>
        <w:t>R</w:t>
      </w:r>
      <w:r w:rsidRPr="00B073BB">
        <w:t>ates for Class 7</w:t>
      </w:r>
      <w:bookmarkEnd w:id="200"/>
    </w:p>
    <w:p w14:paraId="11C9FAB5" w14:textId="542C7325" w:rsidR="00372837" w:rsidRPr="009C79B7" w:rsidRDefault="00E13CAC" w:rsidP="00372837">
      <w:pPr>
        <w:pStyle w:val="PwCNormal"/>
        <w:numPr>
          <w:ilvl w:val="0"/>
          <w:numId w:val="0"/>
        </w:numPr>
        <w:rPr>
          <w:rFonts w:ascii="Arial" w:hAnsi="Arial"/>
          <w:color w:val="auto"/>
          <w:sz w:val="20"/>
          <w:szCs w:val="20"/>
        </w:rPr>
      </w:pPr>
      <w:r w:rsidRPr="00E13CAC">
        <w:rPr>
          <w:noProof/>
          <w:lang w:eastAsia="en-AU"/>
        </w:rPr>
        <w:drawing>
          <wp:inline distT="0" distB="0" distL="0" distR="0" wp14:anchorId="7530EFAA" wp14:editId="7EF4209C">
            <wp:extent cx="4895850" cy="3374521"/>
            <wp:effectExtent l="0" t="0" r="0" b="0"/>
            <wp:docPr id="315" name="Picture 315" descr="This combination bar/line chart shows the total number of people in Class 7 from 2015 to 2019, as well as entry and exit rates. The rates are differentiated between other welfare classes and non-welfare. The total number in Class 7 was stable around 1.56 million. The entry and exit rates for non-welfare hovered around 14%. The entry and exit rates for other welfare classes hovered aroun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315" descr="This combination bar/line chart shows the total number of people in Class 7 from 2015 to 2019, as well as entry and exit rates. The rates are differentiated between other welfare classes and non-welfare. The total number in Class 7 was stable around 1.56 million. The entry and exit rates for non-welfare hovered around 14%. The entry and exit rates for other welfare classes hovered around 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895850" cy="3374521"/>
                    </a:xfrm>
                    <a:prstGeom prst="rect">
                      <a:avLst/>
                    </a:prstGeom>
                    <a:noFill/>
                    <a:ln>
                      <a:noFill/>
                    </a:ln>
                  </pic:spPr>
                </pic:pic>
              </a:graphicData>
            </a:graphic>
          </wp:inline>
        </w:drawing>
      </w:r>
    </w:p>
    <w:p w14:paraId="0CA3ABE7" w14:textId="7F50793C" w:rsidR="00372837" w:rsidRPr="001F00CE" w:rsidRDefault="00372837" w:rsidP="000B1493">
      <w:pPr>
        <w:pStyle w:val="Caption"/>
      </w:pPr>
      <w:bookmarkStart w:id="201" w:name="_Toc100131532"/>
      <w:r w:rsidRPr="001F00CE">
        <w:lastRenderedPageBreak/>
        <w:t xml:space="preserve">Figure </w:t>
      </w:r>
      <w:r w:rsidRPr="001F00CE">
        <w:fldChar w:fldCharType="begin"/>
      </w:r>
      <w:r w:rsidRPr="001F00CE">
        <w:rPr>
          <w:noProof/>
        </w:rPr>
        <w:instrText xml:space="preserve"> SEQ Figure \* ARABIC </w:instrText>
      </w:r>
      <w:r w:rsidRPr="001F00CE">
        <w:fldChar w:fldCharType="separate"/>
      </w:r>
      <w:r w:rsidR="00751625">
        <w:rPr>
          <w:noProof/>
        </w:rPr>
        <w:t>22</w:t>
      </w:r>
      <w:r w:rsidRPr="001F00CE">
        <w:fldChar w:fldCharType="end"/>
      </w:r>
      <w:r w:rsidRPr="001F00CE">
        <w:t xml:space="preserve">: 2018/19 </w:t>
      </w:r>
      <w:r>
        <w:t>Entry and Exit E</w:t>
      </w:r>
      <w:r w:rsidRPr="001F00CE">
        <w:t xml:space="preserve">xperience by </w:t>
      </w:r>
      <w:r>
        <w:t>G</w:t>
      </w:r>
      <w:r w:rsidRPr="001F00CE">
        <w:t xml:space="preserve">ender and </w:t>
      </w:r>
      <w:r>
        <w:t>A</w:t>
      </w:r>
      <w:r w:rsidRPr="001F00CE">
        <w:t>ge</w:t>
      </w:r>
      <w:r>
        <w:t xml:space="preserve"> </w:t>
      </w:r>
      <w:r w:rsidRPr="001F00CE">
        <w:t>for Class 7</w:t>
      </w:r>
      <w:bookmarkEnd w:id="201"/>
    </w:p>
    <w:p w14:paraId="7E066E98" w14:textId="337D4975" w:rsidR="00372837" w:rsidRPr="002735F9" w:rsidRDefault="002735F9" w:rsidP="002735F9">
      <w:pPr>
        <w:pStyle w:val="PwCNormal"/>
        <w:rPr>
          <w:color w:val="auto"/>
        </w:rPr>
      </w:pPr>
      <w:r w:rsidRPr="002735F9">
        <w:rPr>
          <w:noProof/>
          <w:lang w:eastAsia="en-AU"/>
        </w:rPr>
        <w:drawing>
          <wp:inline distT="0" distB="0" distL="0" distR="0" wp14:anchorId="002F2C38" wp14:editId="30135B39">
            <wp:extent cx="4895850" cy="3495713"/>
            <wp:effectExtent l="0" t="0" r="0" b="9525"/>
            <wp:docPr id="302" name="Picture 302" descr="This combination stacked/line chart is split by age (from 22-68) and gender. It shows the total number of people in Class 7 along with the entry and exit rates. The majority of the people in Class 7 are female. The overall shape of the counts is parabolic, with a peak of around 85,000 near age 40. The entry rates start high (50% for females and 18% for males at age 27) but decrease quickly with age. The exit rates start at around 15% and increase with age to 25% at the end of the age 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descr="This combination stacked/line chart is split by age (from 22-68) and gender. It shows the total number of people in Class 7 along with the entry and exit rates. The majority of the people in Class 7 are female. The overall shape of the counts is parabolic, with a peak of around 85,000 near age 40. The entry rates start high (50% for females and 18% for males at age 27) but decrease quickly with age. The exit rates start at around 15% and increase with age to 25% at the end of the age rang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895850" cy="3495713"/>
                    </a:xfrm>
                    <a:prstGeom prst="rect">
                      <a:avLst/>
                    </a:prstGeom>
                    <a:noFill/>
                    <a:ln>
                      <a:noFill/>
                    </a:ln>
                  </pic:spPr>
                </pic:pic>
              </a:graphicData>
            </a:graphic>
          </wp:inline>
        </w:drawing>
      </w:r>
    </w:p>
    <w:p w14:paraId="2361D3C4" w14:textId="77777777" w:rsidR="001B1D12" w:rsidRPr="001B1D12" w:rsidRDefault="001B1D12" w:rsidP="001B1D12">
      <w:pPr>
        <w:pStyle w:val="OutlineNumbered1"/>
      </w:pPr>
      <w:r w:rsidRPr="001B1D12">
        <w:t xml:space="preserve">Class 7 is a family payment class and, as such, shares some of its characteristics with Class 3. </w:t>
      </w:r>
    </w:p>
    <w:p w14:paraId="079E6FF4" w14:textId="701A9241" w:rsidR="00372837" w:rsidRDefault="00372837" w:rsidP="00BF1A16">
      <w:pPr>
        <w:pStyle w:val="OutlineNumbered1"/>
      </w:pPr>
      <w:r>
        <w:t xml:space="preserve">The Class 7 population has remained relatively constant, with both entry and exit rates relatively stable over time. </w:t>
      </w:r>
    </w:p>
    <w:p w14:paraId="64399072" w14:textId="3B4C2E3E" w:rsidR="00372837" w:rsidRDefault="00372837" w:rsidP="00BF1A16">
      <w:pPr>
        <w:pStyle w:val="OutlineNumbered1"/>
      </w:pPr>
      <w:r>
        <w:t>Class 7 transitions mainly occur with non-welfare classes, with most people entering from and then leaving to non-welfare. Non-welfare for the purpose of Class</w:t>
      </w:r>
      <w:r w:rsidR="00931B66">
        <w:t> </w:t>
      </w:r>
      <w:r>
        <w:t>7 is defined as those who enter into Class 7 from non-welfare through Class</w:t>
      </w:r>
      <w:r w:rsidR="00931B66">
        <w:t> </w:t>
      </w:r>
      <w:r>
        <w:t>9.</w:t>
      </w:r>
    </w:p>
    <w:p w14:paraId="0F675715" w14:textId="77777777" w:rsidR="00372837" w:rsidRDefault="00372837" w:rsidP="00BF1A16">
      <w:pPr>
        <w:pStyle w:val="OutlineNumbered1"/>
      </w:pPr>
      <w:r>
        <w:t xml:space="preserve">At younger ages, entry rates are higher than exit rates as people have children and move into Class 7. Around age 40, exit rates exceed entry rates and there is a net exit from the class as people lose eligibility as, for example, their children become older than the eligible age thresholds. </w:t>
      </w:r>
    </w:p>
    <w:p w14:paraId="0A84892A" w14:textId="77777777" w:rsidR="00372837" w:rsidRPr="005832F3" w:rsidRDefault="00372837" w:rsidP="00BF1A16">
      <w:pPr>
        <w:pStyle w:val="OutlineNumbered1"/>
      </w:pPr>
      <w:r>
        <w:t>The majority of Class 7 recipients are female.</w:t>
      </w:r>
    </w:p>
    <w:p w14:paraId="198EBD24" w14:textId="77777777" w:rsidR="00372837" w:rsidRPr="005832F3" w:rsidRDefault="00372837" w:rsidP="00BF1A16">
      <w:pPr>
        <w:pStyle w:val="OutlineNumbered1"/>
      </w:pPr>
      <w:r>
        <w:t xml:space="preserve">We note that the above experience is based on </w:t>
      </w:r>
      <w:r>
        <w:rPr>
          <w:color w:val="222222"/>
          <w:shd w:val="clear" w:color="auto" w:fill="FFFFFF"/>
        </w:rPr>
        <w:t xml:space="preserve">Child Care Benefit (CCB) and Child Care Rebate (CCR) data up to 2018, and </w:t>
      </w:r>
      <w:r>
        <w:t>Child Care Subsidy (CCS) data in 2019. The CCB + CCR data forms the basis of establishing projected utilisation of this class</w:t>
      </w:r>
      <w:r>
        <w:rPr>
          <w:color w:val="222222"/>
          <w:shd w:val="clear" w:color="auto" w:fill="FFFFFF"/>
        </w:rPr>
        <w:t>.</w:t>
      </w:r>
    </w:p>
    <w:p w14:paraId="13FAE05A" w14:textId="77777777" w:rsidR="00372837" w:rsidRPr="005832F3" w:rsidRDefault="00372837" w:rsidP="00372837">
      <w:pPr>
        <w:pStyle w:val="PwCNormal"/>
        <w:keepNext/>
        <w:numPr>
          <w:ilvl w:val="0"/>
          <w:numId w:val="0"/>
        </w:numPr>
        <w:rPr>
          <w:rFonts w:ascii="Arial" w:hAnsi="Arial"/>
          <w:i/>
          <w:color w:val="auto"/>
          <w:sz w:val="20"/>
          <w:szCs w:val="20"/>
        </w:rPr>
      </w:pPr>
      <w:r>
        <w:rPr>
          <w:rFonts w:ascii="Arial" w:hAnsi="Arial"/>
          <w:i/>
          <w:color w:val="auto"/>
          <w:sz w:val="20"/>
          <w:szCs w:val="20"/>
        </w:rPr>
        <w:lastRenderedPageBreak/>
        <w:t>Class</w:t>
      </w:r>
      <w:r w:rsidRPr="005832F3">
        <w:rPr>
          <w:rFonts w:ascii="Arial" w:hAnsi="Arial"/>
          <w:i/>
          <w:color w:val="auto"/>
          <w:sz w:val="20"/>
          <w:szCs w:val="20"/>
        </w:rPr>
        <w:t xml:space="preserve"> </w:t>
      </w:r>
      <w:r>
        <w:rPr>
          <w:rFonts w:ascii="Arial" w:hAnsi="Arial"/>
          <w:i/>
          <w:color w:val="auto"/>
          <w:sz w:val="20"/>
          <w:szCs w:val="20"/>
        </w:rPr>
        <w:t>8</w:t>
      </w:r>
      <w:r w:rsidRPr="005832F3">
        <w:rPr>
          <w:rFonts w:ascii="Arial" w:hAnsi="Arial"/>
          <w:i/>
          <w:color w:val="auto"/>
          <w:sz w:val="20"/>
          <w:szCs w:val="20"/>
        </w:rPr>
        <w:t xml:space="preserve"> </w:t>
      </w:r>
      <w:r>
        <w:rPr>
          <w:rFonts w:ascii="Arial" w:hAnsi="Arial"/>
          <w:i/>
          <w:color w:val="auto"/>
          <w:sz w:val="20"/>
          <w:szCs w:val="20"/>
        </w:rPr>
        <w:t>(Non IS Carer) E</w:t>
      </w:r>
      <w:r w:rsidRPr="005832F3">
        <w:rPr>
          <w:rFonts w:ascii="Arial" w:hAnsi="Arial"/>
          <w:i/>
          <w:color w:val="auto"/>
          <w:sz w:val="20"/>
          <w:szCs w:val="20"/>
        </w:rPr>
        <w:t>xperience</w:t>
      </w:r>
    </w:p>
    <w:p w14:paraId="1A7DA11C" w14:textId="5AC26DC4" w:rsidR="00372837" w:rsidRPr="005832F3" w:rsidRDefault="00372837" w:rsidP="00BF1A16">
      <w:pPr>
        <w:pStyle w:val="OutlineNumbered1"/>
      </w:pPr>
      <w:r>
        <w:t>The following analysis summarises</w:t>
      </w:r>
      <w:r w:rsidRPr="005832F3">
        <w:t xml:space="preserve"> trends </w:t>
      </w:r>
      <w:r>
        <w:t>in</w:t>
      </w:r>
      <w:r w:rsidRPr="005832F3">
        <w:t xml:space="preserve"> key experience parameters </w:t>
      </w:r>
      <w:r>
        <w:t>for Class</w:t>
      </w:r>
      <w:r w:rsidR="00931B66">
        <w:t> </w:t>
      </w:r>
      <w:r>
        <w:t>8</w:t>
      </w:r>
      <w:r w:rsidRPr="005832F3">
        <w:t>.</w:t>
      </w:r>
    </w:p>
    <w:p w14:paraId="609A5C6D" w14:textId="18C306C0" w:rsidR="00372837" w:rsidRPr="001F00CE" w:rsidRDefault="00372837" w:rsidP="000B1493">
      <w:pPr>
        <w:pStyle w:val="Caption"/>
      </w:pPr>
      <w:bookmarkStart w:id="202" w:name="_Toc100131533"/>
      <w:r w:rsidRPr="001F00CE">
        <w:t xml:space="preserve">Figure </w:t>
      </w:r>
      <w:r w:rsidRPr="001F00CE">
        <w:fldChar w:fldCharType="begin"/>
      </w:r>
      <w:r w:rsidRPr="001F00CE">
        <w:rPr>
          <w:noProof/>
        </w:rPr>
        <w:instrText xml:space="preserve"> SEQ Figure \* ARABIC </w:instrText>
      </w:r>
      <w:r w:rsidRPr="001F00CE">
        <w:fldChar w:fldCharType="separate"/>
      </w:r>
      <w:r w:rsidR="00751625">
        <w:rPr>
          <w:noProof/>
        </w:rPr>
        <w:t>23</w:t>
      </w:r>
      <w:r w:rsidRPr="001F00CE">
        <w:fldChar w:fldCharType="end"/>
      </w:r>
      <w:r w:rsidRPr="001F00CE">
        <w:t xml:space="preserve">: Trends in </w:t>
      </w:r>
      <w:r>
        <w:t>E</w:t>
      </w:r>
      <w:r w:rsidRPr="001F00CE">
        <w:t xml:space="preserve">ntry and </w:t>
      </w:r>
      <w:r>
        <w:t>E</w:t>
      </w:r>
      <w:r w:rsidRPr="001F00CE">
        <w:t xml:space="preserve">xit </w:t>
      </w:r>
      <w:r>
        <w:t>R</w:t>
      </w:r>
      <w:r w:rsidRPr="001F00CE">
        <w:t>ates for Class 8</w:t>
      </w:r>
      <w:bookmarkEnd w:id="202"/>
    </w:p>
    <w:p w14:paraId="1CD8B6B7" w14:textId="46C60804" w:rsidR="00372837" w:rsidRPr="00A63814" w:rsidRDefault="00A63814" w:rsidP="00A63814">
      <w:pPr>
        <w:pStyle w:val="PwCNormal"/>
        <w:rPr>
          <w:rFonts w:ascii="Arial" w:hAnsi="Arial"/>
          <w:color w:val="auto"/>
          <w:sz w:val="20"/>
          <w:szCs w:val="20"/>
        </w:rPr>
      </w:pPr>
      <w:r w:rsidRPr="00A63814">
        <w:rPr>
          <w:noProof/>
          <w:lang w:eastAsia="en-AU"/>
        </w:rPr>
        <w:drawing>
          <wp:inline distT="0" distB="0" distL="0" distR="0" wp14:anchorId="1F115A21" wp14:editId="39A110E4">
            <wp:extent cx="4895850" cy="3374521"/>
            <wp:effectExtent l="0" t="0" r="0" b="0"/>
            <wp:docPr id="316" name="Picture 316" descr="This combination bar/line chart shows the total number of people in Class 8 from 2015 to 2019, as well as entry and exit rates. The rates are differentiated between other welfare classes and non-welfare. The total number in Class 8 slowly increased from 205,000 for 2015 to 219,000 in 2019. The exit and entry rates for other welfare were heading down from 9% for 2015, except for the noticeable spike for the entry rate in 2018. The exit and entry rates for non-welfare classes have gradually trended down from 7% for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16" descr="This combination bar/line chart shows the total number of people in Class 8 from 2015 to 2019, as well as entry and exit rates. The rates are differentiated between other welfare classes and non-welfare. The total number in Class 8 slowly increased from 205,000 for 2015 to 219,000 in 2019. The exit and entry rates for other welfare were heading down from 9% for 2015, except for the noticeable spike for the entry rate in 2018. The exit and entry rates for non-welfare classes have gradually trended down from 7% for 201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895850" cy="3374521"/>
                    </a:xfrm>
                    <a:prstGeom prst="rect">
                      <a:avLst/>
                    </a:prstGeom>
                    <a:noFill/>
                    <a:ln>
                      <a:noFill/>
                    </a:ln>
                  </pic:spPr>
                </pic:pic>
              </a:graphicData>
            </a:graphic>
          </wp:inline>
        </w:drawing>
      </w:r>
    </w:p>
    <w:p w14:paraId="40E63A49" w14:textId="52AA46DE" w:rsidR="00372837" w:rsidRPr="001F00CE" w:rsidRDefault="00372837" w:rsidP="000B1493">
      <w:pPr>
        <w:pStyle w:val="Caption"/>
      </w:pPr>
      <w:bookmarkStart w:id="203" w:name="_Toc100131534"/>
      <w:r w:rsidRPr="001F00CE">
        <w:lastRenderedPageBreak/>
        <w:t xml:space="preserve">Figure </w:t>
      </w:r>
      <w:r w:rsidRPr="001F00CE">
        <w:fldChar w:fldCharType="begin"/>
      </w:r>
      <w:r w:rsidRPr="001F00CE">
        <w:rPr>
          <w:noProof/>
        </w:rPr>
        <w:instrText xml:space="preserve"> SEQ Figure \* ARABIC </w:instrText>
      </w:r>
      <w:r w:rsidRPr="001F00CE">
        <w:fldChar w:fldCharType="separate"/>
      </w:r>
      <w:r w:rsidR="00751625">
        <w:rPr>
          <w:noProof/>
        </w:rPr>
        <w:t>24</w:t>
      </w:r>
      <w:r w:rsidRPr="001F00CE">
        <w:fldChar w:fldCharType="end"/>
      </w:r>
      <w:r w:rsidRPr="001F00CE">
        <w:t xml:space="preserve">: 2018/19 </w:t>
      </w:r>
      <w:r>
        <w:t>Entry and Exit E</w:t>
      </w:r>
      <w:r w:rsidRPr="00C25626">
        <w:t>xperience</w:t>
      </w:r>
      <w:r w:rsidRPr="001F00CE">
        <w:t xml:space="preserve"> by </w:t>
      </w:r>
      <w:r>
        <w:t>G</w:t>
      </w:r>
      <w:r w:rsidRPr="001F00CE">
        <w:t xml:space="preserve">ender and </w:t>
      </w:r>
      <w:r>
        <w:t>A</w:t>
      </w:r>
      <w:r w:rsidRPr="001F00CE">
        <w:t>ge</w:t>
      </w:r>
      <w:r>
        <w:t xml:space="preserve"> </w:t>
      </w:r>
      <w:r w:rsidRPr="001F00CE">
        <w:t>for Class 8</w:t>
      </w:r>
      <w:bookmarkEnd w:id="203"/>
    </w:p>
    <w:p w14:paraId="5B56D803" w14:textId="2D09B6D1" w:rsidR="00372837" w:rsidRPr="003B526B" w:rsidRDefault="003B526B" w:rsidP="003B526B">
      <w:pPr>
        <w:pStyle w:val="PwCNormal"/>
        <w:rPr>
          <w:color w:val="auto"/>
        </w:rPr>
      </w:pPr>
      <w:r w:rsidRPr="003B526B">
        <w:rPr>
          <w:noProof/>
          <w:lang w:eastAsia="en-AU"/>
        </w:rPr>
        <w:drawing>
          <wp:inline distT="0" distB="0" distL="0" distR="0" wp14:anchorId="545A1AB8" wp14:editId="4D8F3754">
            <wp:extent cx="4895850" cy="3495713"/>
            <wp:effectExtent l="0" t="0" r="0" b="9525"/>
            <wp:docPr id="303" name="Picture 303" descr="This combination stacked/line chart is split by age (from 23-90) and gender. It shows the total number of people in Class 8 along with the entry and exit rates. The majority of the people in Class 8 are female. The counts grow quickly with age to a peak of 8,000 near age 45, before a slower decrease back down toward zero. The female entry rates started quite high at 40% but steeply decreased down to a level of 5%-10% by around age 40. The female exit rates were in the 10% to 15% 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descr="This combination stacked/line chart is split by age (from 23-90) and gender. It shows the total number of people in Class 8 along with the entry and exit rates. The majority of the people in Class 8 are female. The counts grow quickly with age to a peak of 8,000 near age 45, before a slower decrease back down toward zero. The female entry rates started quite high at 40% but steeply decreased down to a level of 5%-10% by around age 40. The female exit rates were in the 10% to 15% rang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895850" cy="3495713"/>
                    </a:xfrm>
                    <a:prstGeom prst="rect">
                      <a:avLst/>
                    </a:prstGeom>
                    <a:noFill/>
                    <a:ln>
                      <a:noFill/>
                    </a:ln>
                  </pic:spPr>
                </pic:pic>
              </a:graphicData>
            </a:graphic>
          </wp:inline>
        </w:drawing>
      </w:r>
    </w:p>
    <w:p w14:paraId="2DA9CE99" w14:textId="77777777" w:rsidR="00372837" w:rsidRDefault="00372837" w:rsidP="00BF1A16">
      <w:pPr>
        <w:pStyle w:val="OutlineNumbered1"/>
      </w:pPr>
      <w:r>
        <w:t xml:space="preserve">Class 8 is a carer payment class and, as such, shares some of its characteristics with Class 4. </w:t>
      </w:r>
    </w:p>
    <w:p w14:paraId="66677F73" w14:textId="77777777" w:rsidR="00372837" w:rsidRDefault="00372837" w:rsidP="00BF1A16">
      <w:pPr>
        <w:pStyle w:val="OutlineNumbered1"/>
      </w:pPr>
      <w:r w:rsidRPr="0072769E">
        <w:t xml:space="preserve">The population of </w:t>
      </w:r>
      <w:r>
        <w:t>C</w:t>
      </w:r>
      <w:r w:rsidRPr="0072769E">
        <w:t xml:space="preserve">lass 8 carers has been increasing, with the rate of exit generally decreasing in recent years. </w:t>
      </w:r>
      <w:r>
        <w:t xml:space="preserve">The increase in entry rate in 2018 is linked to the change in asset tests in 2017, which meant some people were no longer eligible for income support payments but still eligible for non-income support payments. This resulted in a movement of people out of income support classes, mainly Class 4 (Carers) and Class 6 (Pension Age), some of whom moved into Class 8. </w:t>
      </w:r>
    </w:p>
    <w:p w14:paraId="2B913DA3" w14:textId="77777777" w:rsidR="00372837" w:rsidRPr="0072769E" w:rsidRDefault="00372837" w:rsidP="00BF1A16">
      <w:pPr>
        <w:pStyle w:val="OutlineNumbered1"/>
      </w:pPr>
      <w:r w:rsidRPr="0072769E">
        <w:t xml:space="preserve">A majority of entries into </w:t>
      </w:r>
      <w:r>
        <w:t>C</w:t>
      </w:r>
      <w:r w:rsidRPr="0072769E">
        <w:t xml:space="preserve">lass 8 carers are from existing welfare recipients, whereas exits are more evenly split between welfare and non-welfare classes. </w:t>
      </w:r>
    </w:p>
    <w:p w14:paraId="7DF66E67" w14:textId="77777777" w:rsidR="00372837" w:rsidRPr="00E25B36" w:rsidRDefault="00372837" w:rsidP="00BF1A16">
      <w:pPr>
        <w:pStyle w:val="OutlineNumbered1"/>
      </w:pPr>
      <w:r>
        <w:t>Entry rates into Class 8 are higher at younger ages, where people are more likely to be caring for their children, their parents or their spouse</w:t>
      </w:r>
      <w:r w:rsidRPr="00E25B36">
        <w:t xml:space="preserve">. </w:t>
      </w:r>
      <w:r>
        <w:t>Class 8 is a non-income support class so many recipients are not eligible for income support payments. Thus, although a reasonable number move to Class 6 at retirement age, the retention of recipients within Class 8 is significant.</w:t>
      </w:r>
    </w:p>
    <w:p w14:paraId="71F65D9A" w14:textId="77777777" w:rsidR="00372837" w:rsidRPr="00E25B36" w:rsidRDefault="00372837" w:rsidP="00BF1A16">
      <w:pPr>
        <w:pStyle w:val="OutlineNumbered1"/>
      </w:pPr>
      <w:r w:rsidRPr="00E25B36">
        <w:t xml:space="preserve">The majority of </w:t>
      </w:r>
      <w:r>
        <w:t>C</w:t>
      </w:r>
      <w:r w:rsidRPr="00E25B36">
        <w:t xml:space="preserve">lass 8 recipients are female. </w:t>
      </w:r>
    </w:p>
    <w:p w14:paraId="1371C446" w14:textId="77777777" w:rsidR="00372837" w:rsidRPr="005832F3" w:rsidRDefault="00372837" w:rsidP="00372837">
      <w:pPr>
        <w:pStyle w:val="PwCNormal"/>
        <w:keepNext/>
        <w:numPr>
          <w:ilvl w:val="0"/>
          <w:numId w:val="0"/>
        </w:numPr>
        <w:rPr>
          <w:rFonts w:ascii="Arial" w:hAnsi="Arial"/>
          <w:i/>
          <w:color w:val="auto"/>
          <w:sz w:val="20"/>
          <w:szCs w:val="20"/>
        </w:rPr>
      </w:pPr>
      <w:r>
        <w:rPr>
          <w:rFonts w:ascii="Arial" w:hAnsi="Arial"/>
          <w:i/>
          <w:color w:val="auto"/>
          <w:sz w:val="20"/>
          <w:szCs w:val="20"/>
        </w:rPr>
        <w:lastRenderedPageBreak/>
        <w:t>Class</w:t>
      </w:r>
      <w:r w:rsidRPr="005832F3">
        <w:rPr>
          <w:rFonts w:ascii="Arial" w:hAnsi="Arial"/>
          <w:i/>
          <w:color w:val="auto"/>
          <w:sz w:val="20"/>
          <w:szCs w:val="20"/>
        </w:rPr>
        <w:t xml:space="preserve"> </w:t>
      </w:r>
      <w:r>
        <w:rPr>
          <w:rFonts w:ascii="Arial" w:hAnsi="Arial"/>
          <w:i/>
          <w:color w:val="auto"/>
          <w:sz w:val="20"/>
          <w:szCs w:val="20"/>
        </w:rPr>
        <w:t>9</w:t>
      </w:r>
      <w:r w:rsidRPr="005832F3">
        <w:rPr>
          <w:rFonts w:ascii="Arial" w:hAnsi="Arial"/>
          <w:i/>
          <w:color w:val="auto"/>
          <w:sz w:val="20"/>
          <w:szCs w:val="20"/>
        </w:rPr>
        <w:t xml:space="preserve"> </w:t>
      </w:r>
      <w:r>
        <w:rPr>
          <w:rFonts w:ascii="Arial" w:hAnsi="Arial"/>
          <w:i/>
          <w:color w:val="auto"/>
          <w:sz w:val="20"/>
          <w:szCs w:val="20"/>
        </w:rPr>
        <w:t>(Non IS Other) E</w:t>
      </w:r>
      <w:r w:rsidRPr="005832F3">
        <w:rPr>
          <w:rFonts w:ascii="Arial" w:hAnsi="Arial"/>
          <w:i/>
          <w:color w:val="auto"/>
          <w:sz w:val="20"/>
          <w:szCs w:val="20"/>
        </w:rPr>
        <w:t>xperience</w:t>
      </w:r>
    </w:p>
    <w:p w14:paraId="0E83777E" w14:textId="5F82B014" w:rsidR="00372837" w:rsidRPr="005832F3" w:rsidRDefault="00372837" w:rsidP="00BF1A16">
      <w:pPr>
        <w:pStyle w:val="OutlineNumbered1"/>
      </w:pPr>
      <w:r>
        <w:t xml:space="preserve">The following analysis summarises </w:t>
      </w:r>
      <w:r w:rsidRPr="005832F3">
        <w:t xml:space="preserve">trends </w:t>
      </w:r>
      <w:r>
        <w:t>in</w:t>
      </w:r>
      <w:r w:rsidRPr="005832F3">
        <w:t xml:space="preserve"> key experience parameters </w:t>
      </w:r>
      <w:r>
        <w:t>for Class</w:t>
      </w:r>
      <w:r w:rsidR="00931B66">
        <w:t> </w:t>
      </w:r>
      <w:r>
        <w:t>9</w:t>
      </w:r>
      <w:r w:rsidRPr="005832F3">
        <w:t>.</w:t>
      </w:r>
    </w:p>
    <w:p w14:paraId="648BC9E1" w14:textId="14482953" w:rsidR="00372837" w:rsidRPr="001F00CE" w:rsidRDefault="00372837" w:rsidP="000B1493">
      <w:pPr>
        <w:pStyle w:val="Caption"/>
      </w:pPr>
      <w:bookmarkStart w:id="204" w:name="_Toc100131535"/>
      <w:r w:rsidRPr="001F00CE">
        <w:t xml:space="preserve">Figure </w:t>
      </w:r>
      <w:r w:rsidRPr="001F00CE">
        <w:fldChar w:fldCharType="begin"/>
      </w:r>
      <w:r w:rsidRPr="001F00CE">
        <w:rPr>
          <w:noProof/>
        </w:rPr>
        <w:instrText xml:space="preserve"> SEQ Figure \* ARABIC </w:instrText>
      </w:r>
      <w:r w:rsidRPr="001F00CE">
        <w:fldChar w:fldCharType="separate"/>
      </w:r>
      <w:r w:rsidR="00751625">
        <w:rPr>
          <w:noProof/>
        </w:rPr>
        <w:t>25</w:t>
      </w:r>
      <w:r w:rsidRPr="001F00CE">
        <w:fldChar w:fldCharType="end"/>
      </w:r>
      <w:r w:rsidRPr="001F00CE">
        <w:t xml:space="preserve">: Trends in </w:t>
      </w:r>
      <w:r>
        <w:t>E</w:t>
      </w:r>
      <w:r w:rsidRPr="001F00CE">
        <w:t xml:space="preserve">ntry and </w:t>
      </w:r>
      <w:r>
        <w:t>E</w:t>
      </w:r>
      <w:r w:rsidRPr="001F00CE">
        <w:t xml:space="preserve">xit </w:t>
      </w:r>
      <w:r>
        <w:t>R</w:t>
      </w:r>
      <w:r w:rsidRPr="001F00CE">
        <w:t>ates for Class 9</w:t>
      </w:r>
      <w:bookmarkEnd w:id="204"/>
    </w:p>
    <w:p w14:paraId="61CCA3EA" w14:textId="60E5490E" w:rsidR="00372837" w:rsidRPr="00422AFC" w:rsidRDefault="00422AFC" w:rsidP="00422AFC">
      <w:pPr>
        <w:pStyle w:val="PwCNormal"/>
        <w:rPr>
          <w:rFonts w:ascii="Arial" w:hAnsi="Arial"/>
          <w:color w:val="auto"/>
          <w:sz w:val="20"/>
          <w:szCs w:val="20"/>
        </w:rPr>
      </w:pPr>
      <w:r w:rsidRPr="00422AFC">
        <w:rPr>
          <w:noProof/>
          <w:lang w:eastAsia="en-AU"/>
        </w:rPr>
        <w:drawing>
          <wp:inline distT="0" distB="0" distL="0" distR="0" wp14:anchorId="238DF35B" wp14:editId="03E2C67F">
            <wp:extent cx="4895850" cy="3374521"/>
            <wp:effectExtent l="0" t="0" r="0" b="0"/>
            <wp:docPr id="317" name="Picture 317" descr="This combination bar/line chart shows the total number of people in Class 9 from 2015 to 2019, as well as entry and exit rates. The rates are differentiated between other welfare classes and non-welfare. The total number in Class 9 has decreased from 615,000 for 2015, to 593,000 for 2017, before increasing to 647,000 for 2019. Other than a spike for the other welfare entry rate in 2018, the rates were relatively stable. The other welfare exit rate was around 45%. The non-welfare entry was around 40%. The other welfare entry rate was around 10%. The non-welfare exit rate was aroun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descr="This combination bar/line chart shows the total number of people in Class 9 from 2015 to 2019, as well as entry and exit rates. The rates are differentiated between other welfare classes and non-welfare. The total number in Class 9 has decreased from 615,000 for 2015, to 593,000 for 2017, before increasing to 647,000 for 2019. Other than a spike for the other welfare entry rate in 2018, the rates were relatively stable. The other welfare exit rate was around 45%. The non-welfare entry was around 40%. The other welfare entry rate was around 10%. The non-welfare exit rate was around 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895850" cy="3374521"/>
                    </a:xfrm>
                    <a:prstGeom prst="rect">
                      <a:avLst/>
                    </a:prstGeom>
                    <a:noFill/>
                    <a:ln>
                      <a:noFill/>
                    </a:ln>
                  </pic:spPr>
                </pic:pic>
              </a:graphicData>
            </a:graphic>
          </wp:inline>
        </w:drawing>
      </w:r>
    </w:p>
    <w:p w14:paraId="02B9266C" w14:textId="76253B1D" w:rsidR="00372837" w:rsidRPr="001F00CE" w:rsidRDefault="00372837" w:rsidP="000B1493">
      <w:pPr>
        <w:pStyle w:val="Caption"/>
      </w:pPr>
      <w:bookmarkStart w:id="205" w:name="_Toc100131536"/>
      <w:r w:rsidRPr="001F00CE">
        <w:lastRenderedPageBreak/>
        <w:t xml:space="preserve">Figure </w:t>
      </w:r>
      <w:r w:rsidRPr="001F00CE">
        <w:fldChar w:fldCharType="begin"/>
      </w:r>
      <w:r w:rsidRPr="001F00CE">
        <w:rPr>
          <w:noProof/>
        </w:rPr>
        <w:instrText xml:space="preserve"> SEQ Figure \* ARABIC </w:instrText>
      </w:r>
      <w:r w:rsidRPr="001F00CE">
        <w:fldChar w:fldCharType="separate"/>
      </w:r>
      <w:r w:rsidR="00751625">
        <w:rPr>
          <w:noProof/>
        </w:rPr>
        <w:t>26</w:t>
      </w:r>
      <w:r w:rsidRPr="001F00CE">
        <w:fldChar w:fldCharType="end"/>
      </w:r>
      <w:r w:rsidRPr="001F00CE">
        <w:t xml:space="preserve">: 2018/19 </w:t>
      </w:r>
      <w:r>
        <w:t>Entry and Exit E</w:t>
      </w:r>
      <w:r w:rsidRPr="001F00CE">
        <w:t xml:space="preserve">xperience by </w:t>
      </w:r>
      <w:r>
        <w:t>G</w:t>
      </w:r>
      <w:r w:rsidRPr="001F00CE">
        <w:t xml:space="preserve">ender and </w:t>
      </w:r>
      <w:r>
        <w:t>A</w:t>
      </w:r>
      <w:r w:rsidRPr="001F00CE">
        <w:t>ge</w:t>
      </w:r>
      <w:r>
        <w:t xml:space="preserve"> </w:t>
      </w:r>
      <w:r w:rsidRPr="001F00CE">
        <w:t>for Class 9</w:t>
      </w:r>
      <w:bookmarkEnd w:id="205"/>
    </w:p>
    <w:p w14:paraId="1403AB9E" w14:textId="592EA59A" w:rsidR="00372837" w:rsidRPr="003B526B" w:rsidRDefault="003B526B" w:rsidP="003B526B">
      <w:pPr>
        <w:pStyle w:val="PwCNormal"/>
        <w:rPr>
          <w:color w:val="auto"/>
        </w:rPr>
      </w:pPr>
      <w:r w:rsidRPr="003B526B">
        <w:rPr>
          <w:noProof/>
          <w:lang w:eastAsia="en-AU"/>
        </w:rPr>
        <w:drawing>
          <wp:inline distT="0" distB="0" distL="0" distR="0" wp14:anchorId="30E2A359" wp14:editId="5A703EA7">
            <wp:extent cx="4895850" cy="3495713"/>
            <wp:effectExtent l="0" t="0" r="0" b="9525"/>
            <wp:docPr id="304" name="Picture 304" descr="This combination stacked/line chart is split by age (from 13-90) and gender. It shows the total number of people in Class 9 along with the entry and exit rates. The counts of people in Class 9 are quite evenly spread between male and female across all ages. There were two distinct peaks of people in Class 9, with not many people outside of these two vicinities. The peaks are at 35 and 75, with counts of around 20,000 and 25,000 respectively. The entry and exit rates are visually volatile, particularly in the age range from 18 to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4" descr="This combination stacked/line chart is split by age (from 13-90) and gender. It shows the total number of people in Class 9 along with the entry and exit rates. The counts of people in Class 9 are quite evenly spread between male and female across all ages. There were two distinct peaks of people in Class 9, with not many people outside of these two vicinities. The peaks are at 35 and 75, with counts of around 20,000 and 25,000 respectively. The entry and exit rates are visually volatile, particularly in the age range from 18 to 6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895850" cy="3495713"/>
                    </a:xfrm>
                    <a:prstGeom prst="rect">
                      <a:avLst/>
                    </a:prstGeom>
                    <a:noFill/>
                    <a:ln>
                      <a:noFill/>
                    </a:ln>
                  </pic:spPr>
                </pic:pic>
              </a:graphicData>
            </a:graphic>
          </wp:inline>
        </w:drawing>
      </w:r>
    </w:p>
    <w:p w14:paraId="6BDB9095" w14:textId="77777777" w:rsidR="00372837" w:rsidRDefault="00372837" w:rsidP="00BF1A16">
      <w:pPr>
        <w:pStyle w:val="OutlineNumbered1"/>
      </w:pPr>
      <w:r>
        <w:t>The composition of C</w:t>
      </w:r>
      <w:r w:rsidRPr="00645665">
        <w:t xml:space="preserve">lass 9 is </w:t>
      </w:r>
      <w:r>
        <w:t>more of a construct for modelling convenience rather than similarity of welfare types. It</w:t>
      </w:r>
      <w:r w:rsidRPr="00645665">
        <w:t xml:space="preserve"> is composed of three different cohorts</w:t>
      </w:r>
      <w:r>
        <w:t>:</w:t>
      </w:r>
    </w:p>
    <w:p w14:paraId="6146A035" w14:textId="77777777" w:rsidR="00372837" w:rsidRDefault="00372837" w:rsidP="00BF1A16">
      <w:pPr>
        <w:pStyle w:val="Bullet1"/>
      </w:pPr>
      <w:r>
        <w:t>Y</w:t>
      </w:r>
      <w:r w:rsidRPr="00645665">
        <w:t xml:space="preserve">oung people receiving school </w:t>
      </w:r>
      <w:r>
        <w:t xml:space="preserve">and study </w:t>
      </w:r>
      <w:r w:rsidRPr="00645665">
        <w:t>related payments</w:t>
      </w:r>
      <w:r>
        <w:t xml:space="preserve"> (hence, a spike in entries at younger ages);</w:t>
      </w:r>
    </w:p>
    <w:p w14:paraId="6D7D09A9" w14:textId="77777777" w:rsidR="00372837" w:rsidRDefault="00372837" w:rsidP="00BF1A16">
      <w:pPr>
        <w:pStyle w:val="Bullet1"/>
      </w:pPr>
      <w:r>
        <w:t>P</w:t>
      </w:r>
      <w:r w:rsidRPr="00645665">
        <w:t>arents transitioning from non-welfare onto families payments</w:t>
      </w:r>
      <w:r>
        <w:t xml:space="preserve"> (hence, an increase in in entries throughout the early 20s); and</w:t>
      </w:r>
    </w:p>
    <w:p w14:paraId="70E8949F" w14:textId="77777777" w:rsidR="00372837" w:rsidRDefault="00372837" w:rsidP="00BF1A16">
      <w:pPr>
        <w:pStyle w:val="Bullet1"/>
      </w:pPr>
      <w:r>
        <w:t>R</w:t>
      </w:r>
      <w:r w:rsidRPr="00645665">
        <w:t>etire</w:t>
      </w:r>
      <w:r>
        <w:t>d people receiving supplements (hence, a spike in entries at Age Pension age).</w:t>
      </w:r>
    </w:p>
    <w:p w14:paraId="259A9E43" w14:textId="77777777" w:rsidR="00372837" w:rsidRPr="00645665" w:rsidRDefault="00372837" w:rsidP="00BF1A16">
      <w:pPr>
        <w:pStyle w:val="OutlineNumbered1"/>
      </w:pPr>
      <w:r>
        <w:t>E</w:t>
      </w:r>
      <w:r w:rsidRPr="00645665">
        <w:t xml:space="preserve">ntries into </w:t>
      </w:r>
      <w:r>
        <w:t>Class 9</w:t>
      </w:r>
      <w:r w:rsidRPr="00645665">
        <w:t xml:space="preserve"> largely relate to people using FTB for the first time. These people will transition into </w:t>
      </w:r>
      <w:r>
        <w:t>Class 7</w:t>
      </w:r>
      <w:r w:rsidRPr="00645665">
        <w:t xml:space="preserve"> if they continue to utilise FTB in the following year. The reason these people enter into </w:t>
      </w:r>
      <w:r>
        <w:t>Class 9</w:t>
      </w:r>
      <w:r w:rsidRPr="00645665">
        <w:t xml:space="preserve"> rather than </w:t>
      </w:r>
      <w:r>
        <w:t>Class 7 initially,</w:t>
      </w:r>
      <w:r w:rsidRPr="00645665">
        <w:t xml:space="preserve"> is because of </w:t>
      </w:r>
      <w:r>
        <w:t>a</w:t>
      </w:r>
      <w:r w:rsidRPr="00645665">
        <w:t xml:space="preserve"> one year timing lag on the definition of people in </w:t>
      </w:r>
      <w:r>
        <w:t>C</w:t>
      </w:r>
      <w:r w:rsidRPr="00645665">
        <w:t>lass 7.</w:t>
      </w:r>
    </w:p>
    <w:p w14:paraId="37B6259D" w14:textId="77777777" w:rsidR="00372837" w:rsidRDefault="00372837" w:rsidP="00BF1A16">
      <w:pPr>
        <w:pStyle w:val="OutlineNumbered1"/>
      </w:pPr>
      <w:r>
        <w:t xml:space="preserve">Similar to Class 8, the increase in entries in 2018 is linked to the change in asset tests in 2017. </w:t>
      </w:r>
    </w:p>
    <w:p w14:paraId="61CDD77E" w14:textId="298D9058" w:rsidR="00372837" w:rsidRDefault="00372837" w:rsidP="00746DB7">
      <w:pPr>
        <w:pStyle w:val="Heading3notnumbered"/>
      </w:pPr>
      <w:r>
        <w:t xml:space="preserve">Interactions of </w:t>
      </w:r>
      <w:r w:rsidR="00890CAA">
        <w:t>m</w:t>
      </w:r>
      <w:r>
        <w:t xml:space="preserve">ovements between </w:t>
      </w:r>
      <w:r w:rsidR="00890CAA">
        <w:t>c</w:t>
      </w:r>
      <w:r>
        <w:t>lasses</w:t>
      </w:r>
    </w:p>
    <w:p w14:paraId="30D0E659" w14:textId="77777777" w:rsidR="00372837" w:rsidRPr="00547280" w:rsidRDefault="00372837" w:rsidP="00BF1A16">
      <w:pPr>
        <w:pStyle w:val="OutlineNumbered1"/>
        <w:rPr>
          <w:rFonts w:cs="Arial"/>
          <w:color w:val="auto"/>
        </w:rPr>
      </w:pPr>
      <w:r>
        <w:rPr>
          <w:rFonts w:cs="Arial"/>
          <w:color w:val="auto"/>
        </w:rPr>
        <w:t xml:space="preserve">As per the prior analysis, </w:t>
      </w:r>
      <w:r>
        <w:t>the profile of entrants, re-entrants, and exits from the welfare system varies significantly by age and gender, reflecting the way in which females and males access different classes at different stages of life.</w:t>
      </w:r>
    </w:p>
    <w:p w14:paraId="6958B974" w14:textId="0353AECB" w:rsidR="00F72403" w:rsidRPr="008224C9" w:rsidRDefault="00372837" w:rsidP="008224C9">
      <w:pPr>
        <w:pStyle w:val="OutlineNumbered1"/>
        <w:rPr>
          <w:rFonts w:cs="Arial"/>
          <w:color w:val="auto"/>
        </w:rPr>
      </w:pPr>
      <w:r w:rsidRPr="00547280">
        <w:rPr>
          <w:color w:val="auto"/>
        </w:rPr>
        <w:lastRenderedPageBreak/>
        <w:t xml:space="preserve">Apart from overall entrants and exits, the movements of people between the various parts of the welfare system are </w:t>
      </w:r>
      <w:r>
        <w:rPr>
          <w:color w:val="auto"/>
        </w:rPr>
        <w:t xml:space="preserve">also </w:t>
      </w:r>
      <w:r w:rsidRPr="00547280">
        <w:rPr>
          <w:color w:val="auto"/>
        </w:rPr>
        <w:t xml:space="preserve">a key driver of changes in </w:t>
      </w:r>
      <w:r>
        <w:rPr>
          <w:color w:val="auto"/>
        </w:rPr>
        <w:t>Lifetime Cost</w:t>
      </w:r>
      <w:r w:rsidRPr="00547280">
        <w:rPr>
          <w:color w:val="auto"/>
        </w:rPr>
        <w:t>. The following chart shows the transition</w:t>
      </w:r>
      <w:r>
        <w:rPr>
          <w:color w:val="auto"/>
        </w:rPr>
        <w:t xml:space="preserve"> experience</w:t>
      </w:r>
      <w:r w:rsidRPr="00547280">
        <w:rPr>
          <w:color w:val="auto"/>
        </w:rPr>
        <w:t xml:space="preserve"> between </w:t>
      </w:r>
      <w:r>
        <w:rPr>
          <w:color w:val="auto"/>
        </w:rPr>
        <w:t>each of the 9 welfare classes,</w:t>
      </w:r>
      <w:r w:rsidRPr="00547280">
        <w:rPr>
          <w:color w:val="auto"/>
        </w:rPr>
        <w:t xml:space="preserve"> </w:t>
      </w:r>
      <w:r>
        <w:rPr>
          <w:color w:val="auto"/>
        </w:rPr>
        <w:t>based on 2017-18 to 2018-19 experience</w:t>
      </w:r>
      <w:r w:rsidRPr="00547280">
        <w:rPr>
          <w:color w:val="auto"/>
        </w:rPr>
        <w:t>.</w:t>
      </w:r>
      <w:r>
        <w:rPr>
          <w:color w:val="auto"/>
        </w:rPr>
        <w:t xml:space="preserve"> Rates of movement are expressed as a percentage of population of class X. </w:t>
      </w:r>
    </w:p>
    <w:p w14:paraId="3136971E" w14:textId="5276B24B" w:rsidR="00372837" w:rsidRDefault="00372837" w:rsidP="000B1493">
      <w:pPr>
        <w:pStyle w:val="Caption"/>
      </w:pPr>
      <w:r w:rsidRPr="00362E81">
        <w:t xml:space="preserve">Table </w:t>
      </w:r>
      <w:r w:rsidR="00215A2C">
        <w:fldChar w:fldCharType="begin"/>
      </w:r>
      <w:r w:rsidR="00215A2C">
        <w:instrText xml:space="preserve"> SEQ Table \* ARABIC </w:instrText>
      </w:r>
      <w:r w:rsidR="00215A2C">
        <w:fldChar w:fldCharType="separate"/>
      </w:r>
      <w:r w:rsidR="00751625">
        <w:rPr>
          <w:noProof/>
        </w:rPr>
        <w:t>4</w:t>
      </w:r>
      <w:r w:rsidR="00215A2C">
        <w:rPr>
          <w:noProof/>
        </w:rPr>
        <w:fldChar w:fldCharType="end"/>
      </w:r>
      <w:r w:rsidRPr="00362E81">
        <w:t>: FY2018 to FY2019 Inter-Class Transfer Experience.  Transfer Rate (%) and number of people (c</w:t>
      </w:r>
      <w:r w:rsidR="00187AC0">
        <w:t>olour) from Class X to Class Y.</w:t>
      </w:r>
    </w:p>
    <w:tbl>
      <w:tblPr>
        <w:tblW w:w="7889" w:type="dxa"/>
        <w:tblLook w:val="04A0" w:firstRow="1" w:lastRow="0" w:firstColumn="1" w:lastColumn="0" w:noHBand="0" w:noVBand="1"/>
      </w:tblPr>
      <w:tblGrid>
        <w:gridCol w:w="818"/>
        <w:gridCol w:w="625"/>
        <w:gridCol w:w="625"/>
        <w:gridCol w:w="625"/>
        <w:gridCol w:w="625"/>
        <w:gridCol w:w="625"/>
        <w:gridCol w:w="625"/>
        <w:gridCol w:w="625"/>
        <w:gridCol w:w="625"/>
        <w:gridCol w:w="625"/>
        <w:gridCol w:w="485"/>
        <w:gridCol w:w="961"/>
      </w:tblGrid>
      <w:tr w:rsidR="000B5319" w:rsidRPr="00747AAC" w14:paraId="3F3B343F" w14:textId="77777777" w:rsidTr="006F58B0">
        <w:trPr>
          <w:trHeight w:val="300"/>
          <w:tblHeader/>
        </w:trPr>
        <w:tc>
          <w:tcPr>
            <w:tcW w:w="818" w:type="dxa"/>
            <w:vMerge w:val="restart"/>
            <w:tcBorders>
              <w:top w:val="nil"/>
              <w:left w:val="nil"/>
              <w:right w:val="single" w:sz="4" w:space="0" w:color="FFFFFF" w:themeColor="background1"/>
            </w:tcBorders>
            <w:shd w:val="clear" w:color="auto" w:fill="74000E" w:themeFill="accent1"/>
            <w:noWrap/>
            <w:vAlign w:val="center"/>
            <w:hideMark/>
          </w:tcPr>
          <w:p w14:paraId="274C3E44" w14:textId="02757599" w:rsidR="000B5319" w:rsidRPr="000B5319" w:rsidRDefault="000B5319" w:rsidP="007B0C5A">
            <w:pPr>
              <w:pStyle w:val="TableColumnHeadingCentred"/>
            </w:pPr>
            <w:r w:rsidRPr="000B5319">
              <w:t>Class X</w:t>
            </w:r>
          </w:p>
        </w:tc>
        <w:tc>
          <w:tcPr>
            <w:tcW w:w="7071" w:type="dxa"/>
            <w:gridSpan w:val="11"/>
            <w:tcBorders>
              <w:top w:val="nil"/>
              <w:left w:val="single" w:sz="4" w:space="0" w:color="FFFFFF" w:themeColor="background1"/>
              <w:bottom w:val="nil"/>
              <w:right w:val="nil"/>
            </w:tcBorders>
            <w:shd w:val="clear" w:color="auto" w:fill="74000E" w:themeFill="accent1"/>
            <w:noWrap/>
            <w:vAlign w:val="bottom"/>
            <w:hideMark/>
          </w:tcPr>
          <w:p w14:paraId="32FD6C94" w14:textId="77777777" w:rsidR="000B5319" w:rsidRPr="000B5319" w:rsidRDefault="000B5319" w:rsidP="007B0C5A">
            <w:pPr>
              <w:pStyle w:val="TableColumnHeadingCentred"/>
            </w:pPr>
            <w:r w:rsidRPr="000B5319">
              <w:t>Class Y</w:t>
            </w:r>
          </w:p>
        </w:tc>
      </w:tr>
      <w:tr w:rsidR="000B5319" w:rsidRPr="00747AAC" w14:paraId="5BC4BBD4" w14:textId="77777777" w:rsidTr="00187AC0">
        <w:trPr>
          <w:trHeight w:val="300"/>
        </w:trPr>
        <w:tc>
          <w:tcPr>
            <w:tcW w:w="818" w:type="dxa"/>
            <w:vMerge/>
            <w:tcBorders>
              <w:left w:val="nil"/>
              <w:bottom w:val="single" w:sz="4" w:space="0" w:color="74000E" w:themeColor="accent1"/>
              <w:right w:val="single" w:sz="4" w:space="0" w:color="FFFFFF" w:themeColor="background1"/>
            </w:tcBorders>
            <w:shd w:val="clear" w:color="auto" w:fill="74000E" w:themeFill="accent1"/>
            <w:noWrap/>
            <w:vAlign w:val="bottom"/>
            <w:hideMark/>
          </w:tcPr>
          <w:p w14:paraId="5D501D7E" w14:textId="451B9131" w:rsidR="000B5319" w:rsidRPr="000B5319" w:rsidRDefault="000B5319" w:rsidP="000B5319">
            <w:pPr>
              <w:spacing w:before="40" w:after="40" w:line="240" w:lineRule="auto"/>
              <w:rPr>
                <w:rFonts w:cs="Arial"/>
                <w:b/>
                <w:bCs/>
                <w:color w:val="FFFFFF" w:themeColor="background1"/>
                <w:sz w:val="18"/>
                <w:szCs w:val="18"/>
              </w:rPr>
            </w:pPr>
          </w:p>
        </w:tc>
        <w:tc>
          <w:tcPr>
            <w:tcW w:w="625" w:type="dxa"/>
            <w:tcBorders>
              <w:top w:val="nil"/>
              <w:left w:val="single" w:sz="4" w:space="0" w:color="FFFFFF" w:themeColor="background1"/>
              <w:bottom w:val="single" w:sz="4" w:space="0" w:color="74000E" w:themeColor="accent1"/>
              <w:right w:val="nil"/>
            </w:tcBorders>
            <w:shd w:val="clear" w:color="auto" w:fill="74000E" w:themeFill="accent1"/>
            <w:noWrap/>
            <w:vAlign w:val="bottom"/>
            <w:hideMark/>
          </w:tcPr>
          <w:p w14:paraId="658844FC" w14:textId="77777777" w:rsidR="000B5319" w:rsidRPr="000B5319" w:rsidRDefault="000B5319" w:rsidP="007B0C5A">
            <w:pPr>
              <w:pStyle w:val="TableColumnHeadingCentred"/>
            </w:pPr>
            <w:r w:rsidRPr="000B5319">
              <w:t>1</w:t>
            </w:r>
          </w:p>
        </w:tc>
        <w:tc>
          <w:tcPr>
            <w:tcW w:w="625" w:type="dxa"/>
            <w:tcBorders>
              <w:top w:val="nil"/>
              <w:left w:val="nil"/>
              <w:bottom w:val="single" w:sz="4" w:space="0" w:color="74000E" w:themeColor="accent1"/>
              <w:right w:val="nil"/>
            </w:tcBorders>
            <w:shd w:val="clear" w:color="auto" w:fill="74000E" w:themeFill="accent1"/>
            <w:noWrap/>
            <w:vAlign w:val="bottom"/>
            <w:hideMark/>
          </w:tcPr>
          <w:p w14:paraId="37CB6C10" w14:textId="77777777" w:rsidR="000B5319" w:rsidRPr="000B5319" w:rsidRDefault="000B5319" w:rsidP="007B0C5A">
            <w:pPr>
              <w:pStyle w:val="TableColumnHeadingCentred"/>
            </w:pPr>
            <w:r w:rsidRPr="000B5319">
              <w:t>2</w:t>
            </w:r>
          </w:p>
        </w:tc>
        <w:tc>
          <w:tcPr>
            <w:tcW w:w="625" w:type="dxa"/>
            <w:tcBorders>
              <w:top w:val="nil"/>
              <w:left w:val="nil"/>
              <w:bottom w:val="single" w:sz="4" w:space="0" w:color="74000E" w:themeColor="accent1"/>
              <w:right w:val="nil"/>
            </w:tcBorders>
            <w:shd w:val="clear" w:color="auto" w:fill="74000E" w:themeFill="accent1"/>
            <w:noWrap/>
            <w:vAlign w:val="bottom"/>
            <w:hideMark/>
          </w:tcPr>
          <w:p w14:paraId="11FD669A" w14:textId="77777777" w:rsidR="000B5319" w:rsidRPr="000B5319" w:rsidRDefault="000B5319" w:rsidP="007B0C5A">
            <w:pPr>
              <w:pStyle w:val="TableColumnHeadingCentred"/>
            </w:pPr>
            <w:r w:rsidRPr="000B5319">
              <w:t>3</w:t>
            </w:r>
          </w:p>
        </w:tc>
        <w:tc>
          <w:tcPr>
            <w:tcW w:w="625" w:type="dxa"/>
            <w:tcBorders>
              <w:top w:val="nil"/>
              <w:left w:val="nil"/>
              <w:bottom w:val="single" w:sz="4" w:space="0" w:color="74000E" w:themeColor="accent1"/>
              <w:right w:val="nil"/>
            </w:tcBorders>
            <w:shd w:val="clear" w:color="auto" w:fill="74000E" w:themeFill="accent1"/>
            <w:noWrap/>
            <w:vAlign w:val="bottom"/>
            <w:hideMark/>
          </w:tcPr>
          <w:p w14:paraId="4155CBAE" w14:textId="77777777" w:rsidR="000B5319" w:rsidRPr="000B5319" w:rsidRDefault="000B5319" w:rsidP="007B0C5A">
            <w:pPr>
              <w:pStyle w:val="TableColumnHeadingCentred"/>
            </w:pPr>
            <w:r w:rsidRPr="000B5319">
              <w:t>4</w:t>
            </w:r>
          </w:p>
        </w:tc>
        <w:tc>
          <w:tcPr>
            <w:tcW w:w="625" w:type="dxa"/>
            <w:tcBorders>
              <w:top w:val="nil"/>
              <w:left w:val="nil"/>
              <w:bottom w:val="single" w:sz="4" w:space="0" w:color="74000E" w:themeColor="accent1"/>
              <w:right w:val="nil"/>
            </w:tcBorders>
            <w:shd w:val="clear" w:color="auto" w:fill="74000E" w:themeFill="accent1"/>
            <w:noWrap/>
            <w:vAlign w:val="bottom"/>
            <w:hideMark/>
          </w:tcPr>
          <w:p w14:paraId="1373B2B9" w14:textId="77777777" w:rsidR="000B5319" w:rsidRPr="000B5319" w:rsidRDefault="000B5319" w:rsidP="007B0C5A">
            <w:pPr>
              <w:pStyle w:val="TableColumnHeadingCentred"/>
            </w:pPr>
            <w:r w:rsidRPr="000B5319">
              <w:t>5</w:t>
            </w:r>
          </w:p>
        </w:tc>
        <w:tc>
          <w:tcPr>
            <w:tcW w:w="625" w:type="dxa"/>
            <w:tcBorders>
              <w:top w:val="nil"/>
              <w:left w:val="nil"/>
              <w:bottom w:val="single" w:sz="4" w:space="0" w:color="74000E" w:themeColor="accent1"/>
              <w:right w:val="nil"/>
            </w:tcBorders>
            <w:shd w:val="clear" w:color="auto" w:fill="74000E" w:themeFill="accent1"/>
            <w:noWrap/>
            <w:vAlign w:val="bottom"/>
            <w:hideMark/>
          </w:tcPr>
          <w:p w14:paraId="589C14E2" w14:textId="77777777" w:rsidR="000B5319" w:rsidRPr="000B5319" w:rsidRDefault="000B5319" w:rsidP="007B0C5A">
            <w:pPr>
              <w:pStyle w:val="TableColumnHeadingCentred"/>
            </w:pPr>
            <w:r w:rsidRPr="000B5319">
              <w:t>6</w:t>
            </w:r>
          </w:p>
        </w:tc>
        <w:tc>
          <w:tcPr>
            <w:tcW w:w="625" w:type="dxa"/>
            <w:tcBorders>
              <w:top w:val="nil"/>
              <w:left w:val="nil"/>
              <w:bottom w:val="single" w:sz="4" w:space="0" w:color="74000E" w:themeColor="accent1"/>
              <w:right w:val="nil"/>
            </w:tcBorders>
            <w:shd w:val="clear" w:color="auto" w:fill="74000E" w:themeFill="accent1"/>
            <w:noWrap/>
            <w:vAlign w:val="bottom"/>
            <w:hideMark/>
          </w:tcPr>
          <w:p w14:paraId="76DA0C59" w14:textId="77777777" w:rsidR="000B5319" w:rsidRPr="000B5319" w:rsidRDefault="000B5319" w:rsidP="007B0C5A">
            <w:pPr>
              <w:pStyle w:val="TableColumnHeadingCentred"/>
            </w:pPr>
            <w:r w:rsidRPr="000B5319">
              <w:t>7</w:t>
            </w:r>
          </w:p>
        </w:tc>
        <w:tc>
          <w:tcPr>
            <w:tcW w:w="625" w:type="dxa"/>
            <w:tcBorders>
              <w:top w:val="nil"/>
              <w:left w:val="nil"/>
              <w:bottom w:val="single" w:sz="4" w:space="0" w:color="74000E" w:themeColor="accent1"/>
              <w:right w:val="nil"/>
            </w:tcBorders>
            <w:shd w:val="clear" w:color="auto" w:fill="74000E" w:themeFill="accent1"/>
            <w:noWrap/>
            <w:vAlign w:val="bottom"/>
            <w:hideMark/>
          </w:tcPr>
          <w:p w14:paraId="2618A1E7" w14:textId="77777777" w:rsidR="000B5319" w:rsidRPr="000B5319" w:rsidRDefault="000B5319" w:rsidP="007B0C5A">
            <w:pPr>
              <w:pStyle w:val="TableColumnHeadingCentred"/>
            </w:pPr>
            <w:r w:rsidRPr="000B5319">
              <w:t>8</w:t>
            </w:r>
          </w:p>
        </w:tc>
        <w:tc>
          <w:tcPr>
            <w:tcW w:w="625" w:type="dxa"/>
            <w:tcBorders>
              <w:top w:val="nil"/>
              <w:left w:val="nil"/>
              <w:bottom w:val="single" w:sz="4" w:space="0" w:color="74000E" w:themeColor="accent1"/>
              <w:right w:val="nil"/>
            </w:tcBorders>
            <w:shd w:val="clear" w:color="auto" w:fill="74000E" w:themeFill="accent1"/>
            <w:noWrap/>
            <w:vAlign w:val="bottom"/>
            <w:hideMark/>
          </w:tcPr>
          <w:p w14:paraId="1A07E03B" w14:textId="77777777" w:rsidR="000B5319" w:rsidRPr="000B5319" w:rsidRDefault="000B5319" w:rsidP="007B0C5A">
            <w:pPr>
              <w:pStyle w:val="TableColumnHeadingCentred"/>
            </w:pPr>
            <w:r w:rsidRPr="000B5319">
              <w:t>9</w:t>
            </w:r>
          </w:p>
        </w:tc>
        <w:tc>
          <w:tcPr>
            <w:tcW w:w="485" w:type="dxa"/>
            <w:tcBorders>
              <w:top w:val="nil"/>
              <w:left w:val="nil"/>
              <w:bottom w:val="single" w:sz="4" w:space="0" w:color="74000E" w:themeColor="accent1"/>
              <w:right w:val="nil"/>
            </w:tcBorders>
            <w:shd w:val="clear" w:color="auto" w:fill="74000E" w:themeFill="accent1"/>
            <w:noWrap/>
            <w:vAlign w:val="bottom"/>
            <w:hideMark/>
          </w:tcPr>
          <w:p w14:paraId="3B31EB96" w14:textId="77777777" w:rsidR="000B5319" w:rsidRPr="000B5319" w:rsidRDefault="000B5319" w:rsidP="007B0C5A">
            <w:pPr>
              <w:pStyle w:val="TableColumnHeadingCentred"/>
            </w:pPr>
            <w:r w:rsidRPr="000B5319">
              <w:t>11</w:t>
            </w:r>
          </w:p>
        </w:tc>
        <w:tc>
          <w:tcPr>
            <w:tcW w:w="961" w:type="dxa"/>
            <w:tcBorders>
              <w:top w:val="nil"/>
              <w:left w:val="nil"/>
              <w:bottom w:val="single" w:sz="4" w:space="0" w:color="74000E" w:themeColor="accent1"/>
              <w:right w:val="nil"/>
            </w:tcBorders>
            <w:shd w:val="clear" w:color="auto" w:fill="74000E" w:themeFill="accent1"/>
            <w:noWrap/>
            <w:vAlign w:val="bottom"/>
            <w:hideMark/>
          </w:tcPr>
          <w:p w14:paraId="05279D28" w14:textId="77777777" w:rsidR="000B5319" w:rsidRPr="000B5319" w:rsidRDefault="000B5319" w:rsidP="007B0C5A">
            <w:pPr>
              <w:pStyle w:val="TableColumnHeadingCentred"/>
            </w:pPr>
            <w:r w:rsidRPr="000B5319">
              <w:t>10&amp;12</w:t>
            </w:r>
          </w:p>
        </w:tc>
      </w:tr>
      <w:tr w:rsidR="000B5319" w:rsidRPr="00747AAC" w14:paraId="61812C3F" w14:textId="77777777" w:rsidTr="00187AC0">
        <w:trPr>
          <w:trHeight w:val="300"/>
        </w:trPr>
        <w:tc>
          <w:tcPr>
            <w:tcW w:w="818" w:type="dxa"/>
            <w:tcBorders>
              <w:top w:val="single" w:sz="4" w:space="0" w:color="74000E" w:themeColor="accent1"/>
              <w:left w:val="single" w:sz="4" w:space="0" w:color="74000E" w:themeColor="accent1"/>
              <w:bottom w:val="single" w:sz="4" w:space="0" w:color="74000E" w:themeColor="accent1"/>
              <w:right w:val="single" w:sz="4" w:space="0" w:color="74000E" w:themeColor="accent1"/>
            </w:tcBorders>
            <w:shd w:val="clear" w:color="auto" w:fill="auto"/>
            <w:noWrap/>
            <w:vAlign w:val="bottom"/>
            <w:hideMark/>
          </w:tcPr>
          <w:p w14:paraId="2566ABFA" w14:textId="77777777" w:rsidR="000B5319" w:rsidRPr="00187AC0" w:rsidRDefault="000B5319" w:rsidP="007B0C5A">
            <w:pPr>
              <w:pStyle w:val="TableTextCentered"/>
            </w:pPr>
            <w:r w:rsidRPr="00187AC0">
              <w:t>1</w:t>
            </w:r>
          </w:p>
        </w:tc>
        <w:tc>
          <w:tcPr>
            <w:tcW w:w="625" w:type="dxa"/>
            <w:tcBorders>
              <w:top w:val="single" w:sz="4" w:space="0" w:color="74000E" w:themeColor="accent1"/>
              <w:left w:val="single" w:sz="4" w:space="0" w:color="74000E" w:themeColor="accent1"/>
              <w:bottom w:val="single" w:sz="4" w:space="0" w:color="74000E" w:themeColor="accent1"/>
              <w:right w:val="nil"/>
            </w:tcBorders>
            <w:shd w:val="clear" w:color="000000" w:fill="F2D2D5"/>
            <w:noWrap/>
            <w:vAlign w:val="bottom"/>
            <w:hideMark/>
          </w:tcPr>
          <w:p w14:paraId="6EE0683D" w14:textId="77777777" w:rsidR="000B5319" w:rsidRPr="000B5319" w:rsidRDefault="000B5319" w:rsidP="007B0C5A">
            <w:pPr>
              <w:pStyle w:val="TableTextCentered"/>
            </w:pPr>
            <w:r w:rsidRPr="000B5319">
              <w:t>62%</w:t>
            </w:r>
          </w:p>
        </w:tc>
        <w:tc>
          <w:tcPr>
            <w:tcW w:w="625" w:type="dxa"/>
            <w:tcBorders>
              <w:top w:val="single" w:sz="4" w:space="0" w:color="74000E" w:themeColor="accent1"/>
              <w:left w:val="nil"/>
              <w:bottom w:val="single" w:sz="4" w:space="0" w:color="74000E" w:themeColor="accent1"/>
              <w:right w:val="nil"/>
            </w:tcBorders>
            <w:shd w:val="clear" w:color="000000" w:fill="F2E2D0"/>
            <w:noWrap/>
            <w:vAlign w:val="bottom"/>
            <w:hideMark/>
          </w:tcPr>
          <w:p w14:paraId="320BE4DF" w14:textId="77777777" w:rsidR="000B5319" w:rsidRPr="000B5319" w:rsidRDefault="000B5319" w:rsidP="007B0C5A">
            <w:pPr>
              <w:pStyle w:val="TableTextCentered"/>
              <w:rPr>
                <w:color w:val="auto"/>
              </w:rPr>
            </w:pPr>
            <w:r w:rsidRPr="000B5319">
              <w:t>12%</w:t>
            </w:r>
          </w:p>
        </w:tc>
        <w:tc>
          <w:tcPr>
            <w:tcW w:w="625" w:type="dxa"/>
            <w:tcBorders>
              <w:top w:val="single" w:sz="4" w:space="0" w:color="74000E" w:themeColor="accent1"/>
              <w:left w:val="nil"/>
              <w:bottom w:val="single" w:sz="4" w:space="0" w:color="74000E" w:themeColor="accent1"/>
              <w:right w:val="nil"/>
            </w:tcBorders>
            <w:shd w:val="clear" w:color="auto" w:fill="auto"/>
            <w:noWrap/>
            <w:vAlign w:val="bottom"/>
            <w:hideMark/>
          </w:tcPr>
          <w:p w14:paraId="0D580A78" w14:textId="77777777" w:rsidR="000B5319" w:rsidRPr="000B5319" w:rsidRDefault="000B5319" w:rsidP="007B0C5A">
            <w:pPr>
              <w:pStyle w:val="TableTextCentered"/>
            </w:pPr>
            <w:r w:rsidRPr="000B5319">
              <w:t>0%</w:t>
            </w:r>
          </w:p>
        </w:tc>
        <w:tc>
          <w:tcPr>
            <w:tcW w:w="625" w:type="dxa"/>
            <w:tcBorders>
              <w:top w:val="single" w:sz="4" w:space="0" w:color="74000E" w:themeColor="accent1"/>
              <w:left w:val="nil"/>
              <w:bottom w:val="single" w:sz="4" w:space="0" w:color="74000E" w:themeColor="accent1"/>
              <w:right w:val="nil"/>
            </w:tcBorders>
            <w:shd w:val="clear" w:color="auto" w:fill="auto"/>
            <w:noWrap/>
            <w:vAlign w:val="bottom"/>
            <w:hideMark/>
          </w:tcPr>
          <w:p w14:paraId="05964DB4" w14:textId="77777777" w:rsidR="000B5319" w:rsidRPr="000B5319" w:rsidRDefault="000B5319" w:rsidP="007B0C5A">
            <w:pPr>
              <w:pStyle w:val="TableTextCentered"/>
            </w:pPr>
            <w:r w:rsidRPr="000B5319">
              <w:t>0%</w:t>
            </w:r>
          </w:p>
        </w:tc>
        <w:tc>
          <w:tcPr>
            <w:tcW w:w="625" w:type="dxa"/>
            <w:tcBorders>
              <w:top w:val="single" w:sz="4" w:space="0" w:color="74000E" w:themeColor="accent1"/>
              <w:left w:val="nil"/>
              <w:bottom w:val="single" w:sz="4" w:space="0" w:color="74000E" w:themeColor="accent1"/>
              <w:right w:val="nil"/>
            </w:tcBorders>
            <w:shd w:val="clear" w:color="auto" w:fill="auto"/>
            <w:noWrap/>
            <w:vAlign w:val="bottom"/>
            <w:hideMark/>
          </w:tcPr>
          <w:p w14:paraId="722F9707" w14:textId="77777777" w:rsidR="000B5319" w:rsidRPr="000B5319" w:rsidRDefault="000B5319" w:rsidP="007B0C5A">
            <w:pPr>
              <w:pStyle w:val="TableTextCentered"/>
            </w:pPr>
            <w:r w:rsidRPr="000B5319">
              <w:t>0%</w:t>
            </w:r>
          </w:p>
        </w:tc>
        <w:tc>
          <w:tcPr>
            <w:tcW w:w="625" w:type="dxa"/>
            <w:tcBorders>
              <w:top w:val="single" w:sz="4" w:space="0" w:color="74000E" w:themeColor="accent1"/>
              <w:left w:val="nil"/>
              <w:bottom w:val="single" w:sz="4" w:space="0" w:color="74000E" w:themeColor="accent1"/>
              <w:right w:val="nil"/>
            </w:tcBorders>
            <w:shd w:val="clear" w:color="auto" w:fill="auto"/>
            <w:noWrap/>
            <w:vAlign w:val="bottom"/>
            <w:hideMark/>
          </w:tcPr>
          <w:p w14:paraId="26C1E0EE" w14:textId="77777777" w:rsidR="000B5319" w:rsidRPr="000B5319" w:rsidRDefault="000B5319" w:rsidP="007B0C5A">
            <w:pPr>
              <w:pStyle w:val="TableTextCentered"/>
            </w:pPr>
            <w:r w:rsidRPr="000B5319">
              <w:t>0%</w:t>
            </w:r>
          </w:p>
        </w:tc>
        <w:tc>
          <w:tcPr>
            <w:tcW w:w="625" w:type="dxa"/>
            <w:tcBorders>
              <w:top w:val="single" w:sz="4" w:space="0" w:color="74000E" w:themeColor="accent1"/>
              <w:left w:val="nil"/>
              <w:bottom w:val="single" w:sz="4" w:space="0" w:color="74000E" w:themeColor="accent1"/>
              <w:right w:val="nil"/>
            </w:tcBorders>
            <w:shd w:val="clear" w:color="auto" w:fill="auto"/>
            <w:noWrap/>
            <w:vAlign w:val="bottom"/>
            <w:hideMark/>
          </w:tcPr>
          <w:p w14:paraId="76DEC7D3" w14:textId="77777777" w:rsidR="000B5319" w:rsidRPr="000B5319" w:rsidRDefault="000B5319" w:rsidP="007B0C5A">
            <w:pPr>
              <w:pStyle w:val="TableTextCentered"/>
            </w:pPr>
            <w:r w:rsidRPr="000B5319">
              <w:t>1%</w:t>
            </w:r>
          </w:p>
        </w:tc>
        <w:tc>
          <w:tcPr>
            <w:tcW w:w="625" w:type="dxa"/>
            <w:tcBorders>
              <w:top w:val="single" w:sz="4" w:space="0" w:color="74000E" w:themeColor="accent1"/>
              <w:left w:val="nil"/>
              <w:bottom w:val="single" w:sz="4" w:space="0" w:color="74000E" w:themeColor="accent1"/>
              <w:right w:val="nil"/>
            </w:tcBorders>
            <w:shd w:val="clear" w:color="auto" w:fill="auto"/>
            <w:noWrap/>
            <w:vAlign w:val="bottom"/>
            <w:hideMark/>
          </w:tcPr>
          <w:p w14:paraId="5BA4E0C9" w14:textId="77777777" w:rsidR="000B5319" w:rsidRPr="000B5319" w:rsidRDefault="000B5319" w:rsidP="007B0C5A">
            <w:pPr>
              <w:pStyle w:val="TableTextCentered"/>
            </w:pPr>
            <w:r w:rsidRPr="000B5319">
              <w:t>0%</w:t>
            </w:r>
          </w:p>
        </w:tc>
        <w:tc>
          <w:tcPr>
            <w:tcW w:w="625" w:type="dxa"/>
            <w:tcBorders>
              <w:top w:val="single" w:sz="4" w:space="0" w:color="74000E" w:themeColor="accent1"/>
              <w:left w:val="nil"/>
              <w:bottom w:val="single" w:sz="4" w:space="0" w:color="74000E" w:themeColor="accent1"/>
              <w:right w:val="nil"/>
            </w:tcBorders>
            <w:shd w:val="clear" w:color="auto" w:fill="auto"/>
            <w:noWrap/>
            <w:vAlign w:val="bottom"/>
            <w:hideMark/>
          </w:tcPr>
          <w:p w14:paraId="5F507807" w14:textId="77777777" w:rsidR="000B5319" w:rsidRPr="000B5319" w:rsidRDefault="000B5319" w:rsidP="007B0C5A">
            <w:pPr>
              <w:pStyle w:val="TableTextCentered"/>
            </w:pPr>
            <w:r w:rsidRPr="000B5319">
              <w:t>1%</w:t>
            </w:r>
          </w:p>
        </w:tc>
        <w:tc>
          <w:tcPr>
            <w:tcW w:w="485" w:type="dxa"/>
            <w:tcBorders>
              <w:top w:val="single" w:sz="4" w:space="0" w:color="74000E" w:themeColor="accent1"/>
              <w:left w:val="nil"/>
              <w:bottom w:val="single" w:sz="4" w:space="0" w:color="74000E" w:themeColor="accent1"/>
              <w:right w:val="nil"/>
            </w:tcBorders>
            <w:shd w:val="clear" w:color="auto" w:fill="auto"/>
            <w:noWrap/>
            <w:vAlign w:val="bottom"/>
            <w:hideMark/>
          </w:tcPr>
          <w:p w14:paraId="2D198BCC" w14:textId="77777777" w:rsidR="000B5319" w:rsidRPr="000B5319" w:rsidRDefault="000B5319" w:rsidP="007B0C5A">
            <w:pPr>
              <w:pStyle w:val="TableTextCentered"/>
            </w:pPr>
            <w:r w:rsidRPr="000B5319">
              <w:t>0%</w:t>
            </w:r>
          </w:p>
        </w:tc>
        <w:tc>
          <w:tcPr>
            <w:tcW w:w="961" w:type="dxa"/>
            <w:tcBorders>
              <w:top w:val="single" w:sz="4" w:space="0" w:color="74000E" w:themeColor="accent1"/>
              <w:left w:val="nil"/>
              <w:bottom w:val="single" w:sz="4" w:space="0" w:color="74000E" w:themeColor="accent1"/>
              <w:right w:val="single" w:sz="4" w:space="0" w:color="74000E" w:themeColor="accent1"/>
            </w:tcBorders>
            <w:shd w:val="clear" w:color="000000" w:fill="F2E2D0"/>
            <w:noWrap/>
            <w:vAlign w:val="bottom"/>
            <w:hideMark/>
          </w:tcPr>
          <w:p w14:paraId="4814D020" w14:textId="77777777" w:rsidR="000B5319" w:rsidRPr="000B5319" w:rsidRDefault="000B5319" w:rsidP="007B0C5A">
            <w:pPr>
              <w:pStyle w:val="TableTextRight"/>
            </w:pPr>
            <w:r w:rsidRPr="000B5319">
              <w:t>24%</w:t>
            </w:r>
          </w:p>
        </w:tc>
      </w:tr>
      <w:tr w:rsidR="000B5319" w:rsidRPr="00747AAC" w14:paraId="5A1AEC58" w14:textId="77777777" w:rsidTr="00187AC0">
        <w:trPr>
          <w:trHeight w:val="300"/>
        </w:trPr>
        <w:tc>
          <w:tcPr>
            <w:tcW w:w="818" w:type="dxa"/>
            <w:tcBorders>
              <w:top w:val="single" w:sz="4" w:space="0" w:color="74000E" w:themeColor="accent1"/>
              <w:left w:val="single" w:sz="4" w:space="0" w:color="74000E" w:themeColor="accent1"/>
              <w:bottom w:val="single" w:sz="4" w:space="0" w:color="74000E" w:themeColor="accent1"/>
              <w:right w:val="single" w:sz="4" w:space="0" w:color="74000E" w:themeColor="accent1"/>
            </w:tcBorders>
            <w:shd w:val="clear" w:color="auto" w:fill="auto"/>
            <w:noWrap/>
            <w:vAlign w:val="bottom"/>
            <w:hideMark/>
          </w:tcPr>
          <w:p w14:paraId="338B57CF" w14:textId="77777777" w:rsidR="000B5319" w:rsidRPr="00187AC0" w:rsidRDefault="000B5319" w:rsidP="007B0C5A">
            <w:pPr>
              <w:pStyle w:val="TableTextCentered"/>
            </w:pPr>
            <w:r w:rsidRPr="00187AC0">
              <w:t>2</w:t>
            </w:r>
          </w:p>
        </w:tc>
        <w:tc>
          <w:tcPr>
            <w:tcW w:w="625" w:type="dxa"/>
            <w:tcBorders>
              <w:top w:val="single" w:sz="4" w:space="0" w:color="74000E" w:themeColor="accent1"/>
              <w:left w:val="single" w:sz="4" w:space="0" w:color="74000E" w:themeColor="accent1"/>
              <w:bottom w:val="single" w:sz="4" w:space="0" w:color="74000E" w:themeColor="accent1"/>
              <w:right w:val="nil"/>
            </w:tcBorders>
            <w:shd w:val="clear" w:color="000000" w:fill="F2E2D0"/>
            <w:noWrap/>
            <w:vAlign w:val="bottom"/>
            <w:hideMark/>
          </w:tcPr>
          <w:p w14:paraId="03B481C3" w14:textId="77777777" w:rsidR="000B5319" w:rsidRPr="000B5319" w:rsidRDefault="000B5319" w:rsidP="007B0C5A">
            <w:pPr>
              <w:pStyle w:val="TableTextCentered"/>
            </w:pPr>
            <w:r w:rsidRPr="000B5319">
              <w:t>2%</w:t>
            </w:r>
          </w:p>
        </w:tc>
        <w:tc>
          <w:tcPr>
            <w:tcW w:w="625" w:type="dxa"/>
            <w:tcBorders>
              <w:top w:val="single" w:sz="4" w:space="0" w:color="74000E" w:themeColor="accent1"/>
              <w:left w:val="nil"/>
              <w:bottom w:val="single" w:sz="4" w:space="0" w:color="74000E" w:themeColor="accent1"/>
              <w:right w:val="nil"/>
            </w:tcBorders>
            <w:shd w:val="clear" w:color="000000" w:fill="F2D2D5"/>
            <w:noWrap/>
            <w:vAlign w:val="bottom"/>
            <w:hideMark/>
          </w:tcPr>
          <w:p w14:paraId="3EE2B5FC" w14:textId="77777777" w:rsidR="000B5319" w:rsidRPr="000B5319" w:rsidRDefault="000B5319" w:rsidP="007B0C5A">
            <w:pPr>
              <w:pStyle w:val="TableTextCentered"/>
            </w:pPr>
            <w:r w:rsidRPr="000B5319">
              <w:t>71%</w:t>
            </w:r>
          </w:p>
        </w:tc>
        <w:tc>
          <w:tcPr>
            <w:tcW w:w="625" w:type="dxa"/>
            <w:tcBorders>
              <w:top w:val="single" w:sz="4" w:space="0" w:color="74000E" w:themeColor="accent1"/>
              <w:left w:val="nil"/>
              <w:bottom w:val="single" w:sz="4" w:space="0" w:color="74000E" w:themeColor="accent1"/>
              <w:right w:val="nil"/>
            </w:tcBorders>
            <w:shd w:val="clear" w:color="000000" w:fill="CEDBE3"/>
            <w:noWrap/>
            <w:vAlign w:val="bottom"/>
            <w:hideMark/>
          </w:tcPr>
          <w:p w14:paraId="1A6C5B77" w14:textId="77777777" w:rsidR="000B5319" w:rsidRPr="000B5319" w:rsidRDefault="000B5319" w:rsidP="007B0C5A">
            <w:pPr>
              <w:pStyle w:val="TableTextCentered"/>
            </w:pPr>
            <w:r w:rsidRPr="000B5319">
              <w:t>1%</w:t>
            </w:r>
          </w:p>
        </w:tc>
        <w:tc>
          <w:tcPr>
            <w:tcW w:w="625" w:type="dxa"/>
            <w:tcBorders>
              <w:top w:val="single" w:sz="4" w:space="0" w:color="74000E" w:themeColor="accent1"/>
              <w:left w:val="nil"/>
              <w:bottom w:val="single" w:sz="4" w:space="0" w:color="74000E" w:themeColor="accent1"/>
              <w:right w:val="nil"/>
            </w:tcBorders>
            <w:shd w:val="clear" w:color="000000" w:fill="CEDBE3"/>
            <w:noWrap/>
            <w:vAlign w:val="bottom"/>
            <w:hideMark/>
          </w:tcPr>
          <w:p w14:paraId="49FDB2AE" w14:textId="77777777" w:rsidR="000B5319" w:rsidRPr="000B5319" w:rsidRDefault="000B5319" w:rsidP="007B0C5A">
            <w:pPr>
              <w:pStyle w:val="TableTextCentered"/>
            </w:pPr>
            <w:r w:rsidRPr="000B5319">
              <w:t>1%</w:t>
            </w:r>
          </w:p>
        </w:tc>
        <w:tc>
          <w:tcPr>
            <w:tcW w:w="625" w:type="dxa"/>
            <w:tcBorders>
              <w:top w:val="single" w:sz="4" w:space="0" w:color="74000E" w:themeColor="accent1"/>
              <w:left w:val="nil"/>
              <w:bottom w:val="single" w:sz="4" w:space="0" w:color="74000E" w:themeColor="accent1"/>
              <w:right w:val="nil"/>
            </w:tcBorders>
            <w:shd w:val="clear" w:color="000000" w:fill="CEDBE3"/>
            <w:noWrap/>
            <w:vAlign w:val="bottom"/>
            <w:hideMark/>
          </w:tcPr>
          <w:p w14:paraId="24BC9DDF" w14:textId="77777777" w:rsidR="000B5319" w:rsidRPr="000B5319" w:rsidRDefault="000B5319" w:rsidP="007B0C5A">
            <w:pPr>
              <w:pStyle w:val="TableTextCentered"/>
            </w:pPr>
            <w:r w:rsidRPr="000B5319">
              <w:t>1%</w:t>
            </w:r>
          </w:p>
        </w:tc>
        <w:tc>
          <w:tcPr>
            <w:tcW w:w="625" w:type="dxa"/>
            <w:tcBorders>
              <w:top w:val="single" w:sz="4" w:space="0" w:color="74000E" w:themeColor="accent1"/>
              <w:left w:val="nil"/>
              <w:bottom w:val="single" w:sz="4" w:space="0" w:color="74000E" w:themeColor="accent1"/>
              <w:right w:val="nil"/>
            </w:tcBorders>
            <w:shd w:val="clear" w:color="000000" w:fill="F2E2D0"/>
            <w:noWrap/>
            <w:vAlign w:val="bottom"/>
            <w:hideMark/>
          </w:tcPr>
          <w:p w14:paraId="730133A0" w14:textId="77777777" w:rsidR="000B5319" w:rsidRPr="000B5319" w:rsidRDefault="000B5319" w:rsidP="007B0C5A">
            <w:pPr>
              <w:pStyle w:val="TableTextCentered"/>
            </w:pPr>
            <w:r w:rsidRPr="000B5319">
              <w:t>2%</w:t>
            </w:r>
          </w:p>
        </w:tc>
        <w:tc>
          <w:tcPr>
            <w:tcW w:w="625" w:type="dxa"/>
            <w:tcBorders>
              <w:top w:val="single" w:sz="4" w:space="0" w:color="74000E" w:themeColor="accent1"/>
              <w:left w:val="nil"/>
              <w:bottom w:val="single" w:sz="4" w:space="0" w:color="74000E" w:themeColor="accent1"/>
              <w:right w:val="nil"/>
            </w:tcBorders>
            <w:shd w:val="clear" w:color="000000" w:fill="F2E2D0"/>
            <w:noWrap/>
            <w:vAlign w:val="bottom"/>
            <w:hideMark/>
          </w:tcPr>
          <w:p w14:paraId="10266322" w14:textId="77777777" w:rsidR="000B5319" w:rsidRPr="000B5319" w:rsidRDefault="000B5319" w:rsidP="007B0C5A">
            <w:pPr>
              <w:pStyle w:val="TableTextCentered"/>
            </w:pPr>
            <w:r w:rsidRPr="000B5319">
              <w:t>2%</w:t>
            </w:r>
          </w:p>
        </w:tc>
        <w:tc>
          <w:tcPr>
            <w:tcW w:w="625" w:type="dxa"/>
            <w:tcBorders>
              <w:top w:val="single" w:sz="4" w:space="0" w:color="74000E" w:themeColor="accent1"/>
              <w:left w:val="nil"/>
              <w:bottom w:val="single" w:sz="4" w:space="0" w:color="74000E" w:themeColor="accent1"/>
              <w:right w:val="nil"/>
            </w:tcBorders>
            <w:shd w:val="clear" w:color="auto" w:fill="auto"/>
            <w:noWrap/>
            <w:vAlign w:val="bottom"/>
            <w:hideMark/>
          </w:tcPr>
          <w:p w14:paraId="2BB5D94F" w14:textId="77777777" w:rsidR="000B5319" w:rsidRPr="000B5319" w:rsidRDefault="000B5319" w:rsidP="007B0C5A">
            <w:pPr>
              <w:pStyle w:val="TableTextCentered"/>
            </w:pPr>
            <w:r w:rsidRPr="000B5319">
              <w:t>0%</w:t>
            </w:r>
          </w:p>
        </w:tc>
        <w:tc>
          <w:tcPr>
            <w:tcW w:w="625" w:type="dxa"/>
            <w:tcBorders>
              <w:top w:val="single" w:sz="4" w:space="0" w:color="74000E" w:themeColor="accent1"/>
              <w:left w:val="nil"/>
              <w:bottom w:val="single" w:sz="4" w:space="0" w:color="74000E" w:themeColor="accent1"/>
              <w:right w:val="nil"/>
            </w:tcBorders>
            <w:shd w:val="clear" w:color="000000" w:fill="CEDBE3"/>
            <w:noWrap/>
            <w:vAlign w:val="bottom"/>
            <w:hideMark/>
          </w:tcPr>
          <w:p w14:paraId="7A5E69E3" w14:textId="77777777" w:rsidR="000B5319" w:rsidRPr="000B5319" w:rsidRDefault="000B5319" w:rsidP="007B0C5A">
            <w:pPr>
              <w:pStyle w:val="TableTextCentered"/>
            </w:pPr>
            <w:r w:rsidRPr="000B5319">
              <w:t>1%</w:t>
            </w:r>
          </w:p>
        </w:tc>
        <w:tc>
          <w:tcPr>
            <w:tcW w:w="485" w:type="dxa"/>
            <w:tcBorders>
              <w:top w:val="single" w:sz="4" w:space="0" w:color="74000E" w:themeColor="accent1"/>
              <w:left w:val="nil"/>
              <w:bottom w:val="single" w:sz="4" w:space="0" w:color="74000E" w:themeColor="accent1"/>
              <w:right w:val="nil"/>
            </w:tcBorders>
            <w:shd w:val="clear" w:color="auto" w:fill="auto"/>
            <w:noWrap/>
            <w:vAlign w:val="bottom"/>
            <w:hideMark/>
          </w:tcPr>
          <w:p w14:paraId="13112087" w14:textId="77777777" w:rsidR="000B5319" w:rsidRPr="000B5319" w:rsidRDefault="000B5319" w:rsidP="007B0C5A">
            <w:pPr>
              <w:pStyle w:val="TableTextCentered"/>
            </w:pPr>
            <w:r w:rsidRPr="000B5319">
              <w:t>0%</w:t>
            </w:r>
          </w:p>
        </w:tc>
        <w:tc>
          <w:tcPr>
            <w:tcW w:w="961" w:type="dxa"/>
            <w:tcBorders>
              <w:top w:val="single" w:sz="4" w:space="0" w:color="74000E" w:themeColor="accent1"/>
              <w:left w:val="nil"/>
              <w:bottom w:val="single" w:sz="4" w:space="0" w:color="74000E" w:themeColor="accent1"/>
              <w:right w:val="single" w:sz="4" w:space="0" w:color="74000E" w:themeColor="accent1"/>
            </w:tcBorders>
            <w:shd w:val="clear" w:color="000000" w:fill="F2D2D5"/>
            <w:noWrap/>
            <w:vAlign w:val="bottom"/>
            <w:hideMark/>
          </w:tcPr>
          <w:p w14:paraId="1319A6A6" w14:textId="77777777" w:rsidR="000B5319" w:rsidRPr="000B5319" w:rsidRDefault="000B5319" w:rsidP="007B0C5A">
            <w:pPr>
              <w:pStyle w:val="TableTextRight"/>
            </w:pPr>
            <w:r w:rsidRPr="000B5319">
              <w:t>17%</w:t>
            </w:r>
          </w:p>
        </w:tc>
      </w:tr>
      <w:tr w:rsidR="000B5319" w:rsidRPr="00747AAC" w14:paraId="6516CCF8" w14:textId="77777777" w:rsidTr="00187AC0">
        <w:trPr>
          <w:trHeight w:val="300"/>
        </w:trPr>
        <w:tc>
          <w:tcPr>
            <w:tcW w:w="818" w:type="dxa"/>
            <w:tcBorders>
              <w:top w:val="single" w:sz="4" w:space="0" w:color="74000E" w:themeColor="accent1"/>
              <w:left w:val="single" w:sz="4" w:space="0" w:color="74000E" w:themeColor="accent1"/>
              <w:bottom w:val="single" w:sz="4" w:space="0" w:color="74000E" w:themeColor="accent1"/>
              <w:right w:val="single" w:sz="4" w:space="0" w:color="74000E" w:themeColor="accent1"/>
            </w:tcBorders>
            <w:shd w:val="clear" w:color="auto" w:fill="auto"/>
            <w:noWrap/>
            <w:vAlign w:val="bottom"/>
            <w:hideMark/>
          </w:tcPr>
          <w:p w14:paraId="55E9D518" w14:textId="77777777" w:rsidR="000B5319" w:rsidRPr="00187AC0" w:rsidRDefault="000B5319" w:rsidP="007B0C5A">
            <w:pPr>
              <w:pStyle w:val="TableTextCentered"/>
            </w:pPr>
            <w:r w:rsidRPr="00187AC0">
              <w:t>3</w:t>
            </w:r>
          </w:p>
        </w:tc>
        <w:tc>
          <w:tcPr>
            <w:tcW w:w="625" w:type="dxa"/>
            <w:tcBorders>
              <w:top w:val="single" w:sz="4" w:space="0" w:color="74000E" w:themeColor="accent1"/>
              <w:left w:val="single" w:sz="4" w:space="0" w:color="74000E" w:themeColor="accent1"/>
              <w:bottom w:val="single" w:sz="4" w:space="0" w:color="74000E" w:themeColor="accent1"/>
              <w:right w:val="nil"/>
            </w:tcBorders>
            <w:shd w:val="clear" w:color="auto" w:fill="auto"/>
            <w:noWrap/>
            <w:vAlign w:val="bottom"/>
            <w:hideMark/>
          </w:tcPr>
          <w:p w14:paraId="06A0CD7E" w14:textId="77777777" w:rsidR="000B5319" w:rsidRPr="000B5319" w:rsidRDefault="000B5319" w:rsidP="007B0C5A">
            <w:pPr>
              <w:pStyle w:val="TableTextCentered"/>
            </w:pPr>
            <w:r w:rsidRPr="000B5319">
              <w:t>0%</w:t>
            </w:r>
          </w:p>
        </w:tc>
        <w:tc>
          <w:tcPr>
            <w:tcW w:w="625" w:type="dxa"/>
            <w:tcBorders>
              <w:top w:val="single" w:sz="4" w:space="0" w:color="74000E" w:themeColor="accent1"/>
              <w:left w:val="nil"/>
              <w:bottom w:val="single" w:sz="4" w:space="0" w:color="74000E" w:themeColor="accent1"/>
              <w:right w:val="nil"/>
            </w:tcBorders>
            <w:shd w:val="clear" w:color="000000" w:fill="F2E2D0"/>
            <w:noWrap/>
            <w:vAlign w:val="bottom"/>
            <w:hideMark/>
          </w:tcPr>
          <w:p w14:paraId="61F81118" w14:textId="77777777" w:rsidR="000B5319" w:rsidRPr="000B5319" w:rsidRDefault="000B5319" w:rsidP="007B0C5A">
            <w:pPr>
              <w:pStyle w:val="TableTextCentered"/>
            </w:pPr>
            <w:r w:rsidRPr="000B5319">
              <w:t>7%</w:t>
            </w:r>
          </w:p>
        </w:tc>
        <w:tc>
          <w:tcPr>
            <w:tcW w:w="625" w:type="dxa"/>
            <w:tcBorders>
              <w:top w:val="single" w:sz="4" w:space="0" w:color="74000E" w:themeColor="accent1"/>
              <w:left w:val="nil"/>
              <w:bottom w:val="single" w:sz="4" w:space="0" w:color="74000E" w:themeColor="accent1"/>
              <w:right w:val="nil"/>
            </w:tcBorders>
            <w:shd w:val="clear" w:color="000000" w:fill="F2D2D5"/>
            <w:noWrap/>
            <w:vAlign w:val="bottom"/>
            <w:hideMark/>
          </w:tcPr>
          <w:p w14:paraId="04B4BA03" w14:textId="77777777" w:rsidR="000B5319" w:rsidRPr="000B5319" w:rsidRDefault="000B5319" w:rsidP="007B0C5A">
            <w:pPr>
              <w:pStyle w:val="TableTextCentered"/>
            </w:pPr>
            <w:r w:rsidRPr="000B5319">
              <w:t>80%</w:t>
            </w:r>
          </w:p>
        </w:tc>
        <w:tc>
          <w:tcPr>
            <w:tcW w:w="625" w:type="dxa"/>
            <w:tcBorders>
              <w:top w:val="single" w:sz="4" w:space="0" w:color="74000E" w:themeColor="accent1"/>
              <w:left w:val="nil"/>
              <w:bottom w:val="single" w:sz="4" w:space="0" w:color="74000E" w:themeColor="accent1"/>
              <w:right w:val="nil"/>
            </w:tcBorders>
            <w:shd w:val="clear" w:color="000000" w:fill="CEDBE3"/>
            <w:noWrap/>
            <w:vAlign w:val="bottom"/>
            <w:hideMark/>
          </w:tcPr>
          <w:p w14:paraId="2450B4F9" w14:textId="77777777" w:rsidR="000B5319" w:rsidRPr="000B5319" w:rsidRDefault="000B5319" w:rsidP="007B0C5A">
            <w:pPr>
              <w:pStyle w:val="TableTextCentered"/>
            </w:pPr>
            <w:r w:rsidRPr="000B5319">
              <w:t>2%</w:t>
            </w:r>
          </w:p>
        </w:tc>
        <w:tc>
          <w:tcPr>
            <w:tcW w:w="625" w:type="dxa"/>
            <w:tcBorders>
              <w:top w:val="single" w:sz="4" w:space="0" w:color="74000E" w:themeColor="accent1"/>
              <w:left w:val="nil"/>
              <w:bottom w:val="single" w:sz="4" w:space="0" w:color="74000E" w:themeColor="accent1"/>
              <w:right w:val="nil"/>
            </w:tcBorders>
            <w:shd w:val="clear" w:color="auto" w:fill="auto"/>
            <w:noWrap/>
            <w:vAlign w:val="bottom"/>
            <w:hideMark/>
          </w:tcPr>
          <w:p w14:paraId="473B6A8E" w14:textId="77777777" w:rsidR="000B5319" w:rsidRPr="000B5319" w:rsidRDefault="000B5319" w:rsidP="007B0C5A">
            <w:pPr>
              <w:pStyle w:val="TableTextCentered"/>
            </w:pPr>
            <w:r w:rsidRPr="000B5319">
              <w:t>0%</w:t>
            </w:r>
          </w:p>
        </w:tc>
        <w:tc>
          <w:tcPr>
            <w:tcW w:w="625" w:type="dxa"/>
            <w:tcBorders>
              <w:top w:val="single" w:sz="4" w:space="0" w:color="74000E" w:themeColor="accent1"/>
              <w:left w:val="nil"/>
              <w:bottom w:val="single" w:sz="4" w:space="0" w:color="74000E" w:themeColor="accent1"/>
              <w:right w:val="nil"/>
            </w:tcBorders>
            <w:shd w:val="clear" w:color="auto" w:fill="auto"/>
            <w:noWrap/>
            <w:vAlign w:val="bottom"/>
            <w:hideMark/>
          </w:tcPr>
          <w:p w14:paraId="4D73A8F8" w14:textId="77777777" w:rsidR="000B5319" w:rsidRPr="000B5319" w:rsidRDefault="000B5319" w:rsidP="007B0C5A">
            <w:pPr>
              <w:pStyle w:val="TableTextCentered"/>
            </w:pPr>
            <w:r w:rsidRPr="000B5319">
              <w:t>0%</w:t>
            </w:r>
          </w:p>
        </w:tc>
        <w:tc>
          <w:tcPr>
            <w:tcW w:w="625" w:type="dxa"/>
            <w:tcBorders>
              <w:top w:val="single" w:sz="4" w:space="0" w:color="74000E" w:themeColor="accent1"/>
              <w:left w:val="nil"/>
              <w:bottom w:val="single" w:sz="4" w:space="0" w:color="74000E" w:themeColor="accent1"/>
              <w:right w:val="nil"/>
            </w:tcBorders>
            <w:shd w:val="clear" w:color="000000" w:fill="F2E2D0"/>
            <w:noWrap/>
            <w:vAlign w:val="bottom"/>
            <w:hideMark/>
          </w:tcPr>
          <w:p w14:paraId="692614B2" w14:textId="77777777" w:rsidR="000B5319" w:rsidRPr="000B5319" w:rsidRDefault="000B5319" w:rsidP="007B0C5A">
            <w:pPr>
              <w:pStyle w:val="TableTextCentered"/>
            </w:pPr>
            <w:r w:rsidRPr="000B5319">
              <w:t>10%</w:t>
            </w:r>
          </w:p>
        </w:tc>
        <w:tc>
          <w:tcPr>
            <w:tcW w:w="625" w:type="dxa"/>
            <w:tcBorders>
              <w:top w:val="single" w:sz="4" w:space="0" w:color="74000E" w:themeColor="accent1"/>
              <w:left w:val="nil"/>
              <w:bottom w:val="single" w:sz="4" w:space="0" w:color="74000E" w:themeColor="accent1"/>
              <w:right w:val="nil"/>
            </w:tcBorders>
            <w:shd w:val="clear" w:color="auto" w:fill="auto"/>
            <w:noWrap/>
            <w:vAlign w:val="bottom"/>
            <w:hideMark/>
          </w:tcPr>
          <w:p w14:paraId="74F4F25D" w14:textId="77777777" w:rsidR="000B5319" w:rsidRPr="000B5319" w:rsidRDefault="000B5319" w:rsidP="007B0C5A">
            <w:pPr>
              <w:pStyle w:val="TableTextCentered"/>
            </w:pPr>
            <w:r w:rsidRPr="000B5319">
              <w:t>1%</w:t>
            </w:r>
          </w:p>
        </w:tc>
        <w:tc>
          <w:tcPr>
            <w:tcW w:w="625" w:type="dxa"/>
            <w:tcBorders>
              <w:top w:val="single" w:sz="4" w:space="0" w:color="74000E" w:themeColor="accent1"/>
              <w:left w:val="nil"/>
              <w:bottom w:val="single" w:sz="4" w:space="0" w:color="74000E" w:themeColor="accent1"/>
              <w:right w:val="nil"/>
            </w:tcBorders>
            <w:shd w:val="clear" w:color="auto" w:fill="auto"/>
            <w:noWrap/>
            <w:vAlign w:val="bottom"/>
            <w:hideMark/>
          </w:tcPr>
          <w:p w14:paraId="7402C3BB" w14:textId="77777777" w:rsidR="000B5319" w:rsidRPr="000B5319" w:rsidRDefault="000B5319" w:rsidP="007B0C5A">
            <w:pPr>
              <w:pStyle w:val="TableTextCentered"/>
            </w:pPr>
            <w:r w:rsidRPr="000B5319">
              <w:t>0%</w:t>
            </w:r>
          </w:p>
        </w:tc>
        <w:tc>
          <w:tcPr>
            <w:tcW w:w="485" w:type="dxa"/>
            <w:tcBorders>
              <w:top w:val="single" w:sz="4" w:space="0" w:color="74000E" w:themeColor="accent1"/>
              <w:left w:val="nil"/>
              <w:bottom w:val="single" w:sz="4" w:space="0" w:color="74000E" w:themeColor="accent1"/>
              <w:right w:val="nil"/>
            </w:tcBorders>
            <w:shd w:val="clear" w:color="auto" w:fill="auto"/>
            <w:noWrap/>
            <w:vAlign w:val="bottom"/>
            <w:hideMark/>
          </w:tcPr>
          <w:p w14:paraId="291BD725" w14:textId="77777777" w:rsidR="000B5319" w:rsidRPr="000B5319" w:rsidRDefault="000B5319" w:rsidP="007B0C5A">
            <w:pPr>
              <w:pStyle w:val="TableTextCentered"/>
            </w:pPr>
            <w:r w:rsidRPr="000B5319">
              <w:t>0%</w:t>
            </w:r>
          </w:p>
        </w:tc>
        <w:tc>
          <w:tcPr>
            <w:tcW w:w="961" w:type="dxa"/>
            <w:tcBorders>
              <w:top w:val="single" w:sz="4" w:space="0" w:color="74000E" w:themeColor="accent1"/>
              <w:left w:val="nil"/>
              <w:bottom w:val="single" w:sz="4" w:space="0" w:color="74000E" w:themeColor="accent1"/>
              <w:right w:val="single" w:sz="4" w:space="0" w:color="74000E" w:themeColor="accent1"/>
            </w:tcBorders>
            <w:shd w:val="clear" w:color="auto" w:fill="auto"/>
            <w:noWrap/>
            <w:vAlign w:val="bottom"/>
            <w:hideMark/>
          </w:tcPr>
          <w:p w14:paraId="2C1963CF" w14:textId="77777777" w:rsidR="000B5319" w:rsidRPr="000B5319" w:rsidRDefault="000B5319" w:rsidP="007B0C5A">
            <w:pPr>
              <w:pStyle w:val="TableTextRight"/>
            </w:pPr>
            <w:r w:rsidRPr="000B5319">
              <w:t>1%</w:t>
            </w:r>
          </w:p>
        </w:tc>
      </w:tr>
      <w:tr w:rsidR="000B5319" w:rsidRPr="00747AAC" w14:paraId="5218856D" w14:textId="77777777" w:rsidTr="00187AC0">
        <w:trPr>
          <w:trHeight w:val="300"/>
        </w:trPr>
        <w:tc>
          <w:tcPr>
            <w:tcW w:w="818" w:type="dxa"/>
            <w:tcBorders>
              <w:top w:val="single" w:sz="4" w:space="0" w:color="74000E" w:themeColor="accent1"/>
              <w:left w:val="single" w:sz="4" w:space="0" w:color="74000E" w:themeColor="accent1"/>
              <w:bottom w:val="single" w:sz="4" w:space="0" w:color="74000E" w:themeColor="accent1"/>
              <w:right w:val="single" w:sz="4" w:space="0" w:color="74000E" w:themeColor="accent1"/>
            </w:tcBorders>
            <w:shd w:val="clear" w:color="auto" w:fill="auto"/>
            <w:noWrap/>
            <w:vAlign w:val="bottom"/>
            <w:hideMark/>
          </w:tcPr>
          <w:p w14:paraId="36C23EF4" w14:textId="77777777" w:rsidR="000B5319" w:rsidRPr="00187AC0" w:rsidRDefault="000B5319" w:rsidP="007B0C5A">
            <w:pPr>
              <w:pStyle w:val="TableTextCentered"/>
            </w:pPr>
            <w:r w:rsidRPr="00187AC0">
              <w:t>4</w:t>
            </w:r>
          </w:p>
        </w:tc>
        <w:tc>
          <w:tcPr>
            <w:tcW w:w="625" w:type="dxa"/>
            <w:tcBorders>
              <w:top w:val="single" w:sz="4" w:space="0" w:color="74000E" w:themeColor="accent1"/>
              <w:left w:val="single" w:sz="4" w:space="0" w:color="74000E" w:themeColor="accent1"/>
              <w:bottom w:val="single" w:sz="4" w:space="0" w:color="74000E" w:themeColor="accent1"/>
              <w:right w:val="nil"/>
            </w:tcBorders>
            <w:shd w:val="clear" w:color="auto" w:fill="auto"/>
            <w:noWrap/>
            <w:vAlign w:val="bottom"/>
            <w:hideMark/>
          </w:tcPr>
          <w:p w14:paraId="54F5EFF4" w14:textId="77777777" w:rsidR="000B5319" w:rsidRPr="000B5319" w:rsidRDefault="000B5319" w:rsidP="007B0C5A">
            <w:pPr>
              <w:pStyle w:val="TableTextCentered"/>
            </w:pPr>
            <w:r w:rsidRPr="000B5319">
              <w:t>0%</w:t>
            </w:r>
          </w:p>
        </w:tc>
        <w:tc>
          <w:tcPr>
            <w:tcW w:w="625" w:type="dxa"/>
            <w:tcBorders>
              <w:top w:val="single" w:sz="4" w:space="0" w:color="74000E" w:themeColor="accent1"/>
              <w:left w:val="nil"/>
              <w:bottom w:val="single" w:sz="4" w:space="0" w:color="74000E" w:themeColor="accent1"/>
              <w:right w:val="nil"/>
            </w:tcBorders>
            <w:shd w:val="clear" w:color="000000" w:fill="CEDBE3"/>
            <w:noWrap/>
            <w:vAlign w:val="bottom"/>
            <w:hideMark/>
          </w:tcPr>
          <w:p w14:paraId="7A035142" w14:textId="77777777" w:rsidR="000B5319" w:rsidRPr="000B5319" w:rsidRDefault="000B5319" w:rsidP="007B0C5A">
            <w:pPr>
              <w:pStyle w:val="TableTextCentered"/>
            </w:pPr>
            <w:r w:rsidRPr="000B5319">
              <w:t>4%</w:t>
            </w:r>
          </w:p>
        </w:tc>
        <w:tc>
          <w:tcPr>
            <w:tcW w:w="625" w:type="dxa"/>
            <w:tcBorders>
              <w:top w:val="single" w:sz="4" w:space="0" w:color="74000E" w:themeColor="accent1"/>
              <w:left w:val="nil"/>
              <w:bottom w:val="single" w:sz="4" w:space="0" w:color="74000E" w:themeColor="accent1"/>
              <w:right w:val="nil"/>
            </w:tcBorders>
            <w:shd w:val="clear" w:color="auto" w:fill="auto"/>
            <w:noWrap/>
            <w:vAlign w:val="bottom"/>
            <w:hideMark/>
          </w:tcPr>
          <w:p w14:paraId="6C514736" w14:textId="77777777" w:rsidR="000B5319" w:rsidRPr="000B5319" w:rsidRDefault="000B5319" w:rsidP="007B0C5A">
            <w:pPr>
              <w:pStyle w:val="TableTextCentered"/>
            </w:pPr>
            <w:r w:rsidRPr="000B5319">
              <w:t>1%</w:t>
            </w:r>
          </w:p>
        </w:tc>
        <w:tc>
          <w:tcPr>
            <w:tcW w:w="625" w:type="dxa"/>
            <w:tcBorders>
              <w:top w:val="single" w:sz="4" w:space="0" w:color="74000E" w:themeColor="accent1"/>
              <w:left w:val="nil"/>
              <w:bottom w:val="single" w:sz="4" w:space="0" w:color="74000E" w:themeColor="accent1"/>
              <w:right w:val="nil"/>
            </w:tcBorders>
            <w:shd w:val="clear" w:color="000000" w:fill="F2D2D5"/>
            <w:noWrap/>
            <w:vAlign w:val="bottom"/>
            <w:hideMark/>
          </w:tcPr>
          <w:p w14:paraId="0525D4BD" w14:textId="77777777" w:rsidR="000B5319" w:rsidRPr="000B5319" w:rsidRDefault="000B5319" w:rsidP="007B0C5A">
            <w:pPr>
              <w:pStyle w:val="TableTextCentered"/>
            </w:pPr>
            <w:r w:rsidRPr="000B5319">
              <w:t>89%</w:t>
            </w:r>
          </w:p>
        </w:tc>
        <w:tc>
          <w:tcPr>
            <w:tcW w:w="625" w:type="dxa"/>
            <w:tcBorders>
              <w:top w:val="single" w:sz="4" w:space="0" w:color="74000E" w:themeColor="accent1"/>
              <w:left w:val="nil"/>
              <w:bottom w:val="single" w:sz="4" w:space="0" w:color="74000E" w:themeColor="accent1"/>
              <w:right w:val="nil"/>
            </w:tcBorders>
            <w:shd w:val="clear" w:color="auto" w:fill="auto"/>
            <w:noWrap/>
            <w:vAlign w:val="bottom"/>
            <w:hideMark/>
          </w:tcPr>
          <w:p w14:paraId="175EFC5A" w14:textId="77777777" w:rsidR="000B5319" w:rsidRPr="000B5319" w:rsidRDefault="000B5319" w:rsidP="007B0C5A">
            <w:pPr>
              <w:pStyle w:val="TableTextCentered"/>
            </w:pPr>
            <w:r w:rsidRPr="000B5319">
              <w:t>0%</w:t>
            </w:r>
          </w:p>
        </w:tc>
        <w:tc>
          <w:tcPr>
            <w:tcW w:w="625" w:type="dxa"/>
            <w:tcBorders>
              <w:top w:val="single" w:sz="4" w:space="0" w:color="74000E" w:themeColor="accent1"/>
              <w:left w:val="nil"/>
              <w:bottom w:val="single" w:sz="4" w:space="0" w:color="74000E" w:themeColor="accent1"/>
              <w:right w:val="nil"/>
            </w:tcBorders>
            <w:shd w:val="clear" w:color="000000" w:fill="CEDBE3"/>
            <w:noWrap/>
            <w:vAlign w:val="bottom"/>
            <w:hideMark/>
          </w:tcPr>
          <w:p w14:paraId="3203CA2F" w14:textId="77777777" w:rsidR="000B5319" w:rsidRPr="000B5319" w:rsidRDefault="000B5319" w:rsidP="007B0C5A">
            <w:pPr>
              <w:pStyle w:val="TableTextCentered"/>
            </w:pPr>
            <w:r w:rsidRPr="000B5319">
              <w:t>2%</w:t>
            </w:r>
          </w:p>
        </w:tc>
        <w:tc>
          <w:tcPr>
            <w:tcW w:w="625" w:type="dxa"/>
            <w:tcBorders>
              <w:top w:val="single" w:sz="4" w:space="0" w:color="74000E" w:themeColor="accent1"/>
              <w:left w:val="nil"/>
              <w:bottom w:val="single" w:sz="4" w:space="0" w:color="74000E" w:themeColor="accent1"/>
              <w:right w:val="nil"/>
            </w:tcBorders>
            <w:shd w:val="clear" w:color="auto" w:fill="auto"/>
            <w:noWrap/>
            <w:vAlign w:val="bottom"/>
            <w:hideMark/>
          </w:tcPr>
          <w:p w14:paraId="56703D79" w14:textId="77777777" w:rsidR="000B5319" w:rsidRPr="000B5319" w:rsidRDefault="000B5319" w:rsidP="007B0C5A">
            <w:pPr>
              <w:pStyle w:val="TableTextCentered"/>
            </w:pPr>
            <w:r w:rsidRPr="000B5319">
              <w:t>0%</w:t>
            </w:r>
          </w:p>
        </w:tc>
        <w:tc>
          <w:tcPr>
            <w:tcW w:w="625" w:type="dxa"/>
            <w:tcBorders>
              <w:top w:val="single" w:sz="4" w:space="0" w:color="74000E" w:themeColor="accent1"/>
              <w:left w:val="nil"/>
              <w:bottom w:val="single" w:sz="4" w:space="0" w:color="74000E" w:themeColor="accent1"/>
              <w:right w:val="nil"/>
            </w:tcBorders>
            <w:shd w:val="clear" w:color="auto" w:fill="auto"/>
            <w:noWrap/>
            <w:vAlign w:val="bottom"/>
            <w:hideMark/>
          </w:tcPr>
          <w:p w14:paraId="2AF320FA" w14:textId="77777777" w:rsidR="000B5319" w:rsidRPr="000B5319" w:rsidRDefault="000B5319" w:rsidP="007B0C5A">
            <w:pPr>
              <w:pStyle w:val="TableTextCentered"/>
            </w:pPr>
            <w:r w:rsidRPr="000B5319">
              <w:t>1%</w:t>
            </w:r>
          </w:p>
        </w:tc>
        <w:tc>
          <w:tcPr>
            <w:tcW w:w="625" w:type="dxa"/>
            <w:tcBorders>
              <w:top w:val="single" w:sz="4" w:space="0" w:color="74000E" w:themeColor="accent1"/>
              <w:left w:val="nil"/>
              <w:bottom w:val="single" w:sz="4" w:space="0" w:color="74000E" w:themeColor="accent1"/>
              <w:right w:val="nil"/>
            </w:tcBorders>
            <w:shd w:val="clear" w:color="auto" w:fill="auto"/>
            <w:noWrap/>
            <w:vAlign w:val="bottom"/>
            <w:hideMark/>
          </w:tcPr>
          <w:p w14:paraId="4C44DE60" w14:textId="77777777" w:rsidR="000B5319" w:rsidRPr="000B5319" w:rsidRDefault="000B5319" w:rsidP="007B0C5A">
            <w:pPr>
              <w:pStyle w:val="TableTextCentered"/>
            </w:pPr>
            <w:r w:rsidRPr="000B5319">
              <w:t>0%</w:t>
            </w:r>
          </w:p>
        </w:tc>
        <w:tc>
          <w:tcPr>
            <w:tcW w:w="485" w:type="dxa"/>
            <w:tcBorders>
              <w:top w:val="single" w:sz="4" w:space="0" w:color="74000E" w:themeColor="accent1"/>
              <w:left w:val="nil"/>
              <w:bottom w:val="single" w:sz="4" w:space="0" w:color="74000E" w:themeColor="accent1"/>
              <w:right w:val="nil"/>
            </w:tcBorders>
            <w:shd w:val="clear" w:color="auto" w:fill="auto"/>
            <w:noWrap/>
            <w:vAlign w:val="bottom"/>
            <w:hideMark/>
          </w:tcPr>
          <w:p w14:paraId="0913F4A0" w14:textId="77777777" w:rsidR="000B5319" w:rsidRPr="000B5319" w:rsidRDefault="000B5319" w:rsidP="007B0C5A">
            <w:pPr>
              <w:pStyle w:val="TableTextCentered"/>
            </w:pPr>
            <w:r w:rsidRPr="000B5319">
              <w:t>0%</w:t>
            </w:r>
          </w:p>
        </w:tc>
        <w:tc>
          <w:tcPr>
            <w:tcW w:w="961" w:type="dxa"/>
            <w:tcBorders>
              <w:top w:val="single" w:sz="4" w:space="0" w:color="74000E" w:themeColor="accent1"/>
              <w:left w:val="nil"/>
              <w:bottom w:val="single" w:sz="4" w:space="0" w:color="74000E" w:themeColor="accent1"/>
              <w:right w:val="single" w:sz="4" w:space="0" w:color="74000E" w:themeColor="accent1"/>
            </w:tcBorders>
            <w:shd w:val="clear" w:color="000000" w:fill="CEDBE3"/>
            <w:noWrap/>
            <w:vAlign w:val="bottom"/>
            <w:hideMark/>
          </w:tcPr>
          <w:p w14:paraId="5D9C593E" w14:textId="77777777" w:rsidR="000B5319" w:rsidRPr="000B5319" w:rsidRDefault="000B5319" w:rsidP="007B0C5A">
            <w:pPr>
              <w:pStyle w:val="TableTextRight"/>
            </w:pPr>
            <w:r w:rsidRPr="000B5319">
              <w:t>2%</w:t>
            </w:r>
          </w:p>
        </w:tc>
      </w:tr>
      <w:tr w:rsidR="000B5319" w:rsidRPr="00747AAC" w14:paraId="1B38538E" w14:textId="77777777" w:rsidTr="00187AC0">
        <w:trPr>
          <w:trHeight w:val="300"/>
        </w:trPr>
        <w:tc>
          <w:tcPr>
            <w:tcW w:w="818" w:type="dxa"/>
            <w:tcBorders>
              <w:top w:val="single" w:sz="4" w:space="0" w:color="74000E" w:themeColor="accent1"/>
              <w:left w:val="single" w:sz="4" w:space="0" w:color="74000E" w:themeColor="accent1"/>
              <w:bottom w:val="single" w:sz="4" w:space="0" w:color="74000E" w:themeColor="accent1"/>
              <w:right w:val="single" w:sz="4" w:space="0" w:color="74000E" w:themeColor="accent1"/>
            </w:tcBorders>
            <w:shd w:val="clear" w:color="auto" w:fill="auto"/>
            <w:noWrap/>
            <w:vAlign w:val="bottom"/>
            <w:hideMark/>
          </w:tcPr>
          <w:p w14:paraId="11C381A4" w14:textId="77777777" w:rsidR="000B5319" w:rsidRPr="00187AC0" w:rsidRDefault="000B5319" w:rsidP="007B0C5A">
            <w:pPr>
              <w:pStyle w:val="TableTextCentered"/>
            </w:pPr>
            <w:r w:rsidRPr="00187AC0">
              <w:t>5</w:t>
            </w:r>
          </w:p>
        </w:tc>
        <w:tc>
          <w:tcPr>
            <w:tcW w:w="625" w:type="dxa"/>
            <w:tcBorders>
              <w:top w:val="single" w:sz="4" w:space="0" w:color="74000E" w:themeColor="accent1"/>
              <w:left w:val="single" w:sz="4" w:space="0" w:color="74000E" w:themeColor="accent1"/>
              <w:bottom w:val="single" w:sz="4" w:space="0" w:color="74000E" w:themeColor="accent1"/>
              <w:right w:val="nil"/>
            </w:tcBorders>
            <w:shd w:val="clear" w:color="auto" w:fill="auto"/>
            <w:noWrap/>
            <w:vAlign w:val="bottom"/>
            <w:hideMark/>
          </w:tcPr>
          <w:p w14:paraId="1451184B" w14:textId="77777777" w:rsidR="000B5319" w:rsidRPr="000B5319" w:rsidRDefault="000B5319" w:rsidP="007B0C5A">
            <w:pPr>
              <w:pStyle w:val="TableTextCentered"/>
            </w:pPr>
            <w:r w:rsidRPr="000B5319">
              <w:t>0%</w:t>
            </w:r>
          </w:p>
        </w:tc>
        <w:tc>
          <w:tcPr>
            <w:tcW w:w="625" w:type="dxa"/>
            <w:tcBorders>
              <w:top w:val="single" w:sz="4" w:space="0" w:color="74000E" w:themeColor="accent1"/>
              <w:left w:val="nil"/>
              <w:bottom w:val="single" w:sz="4" w:space="0" w:color="74000E" w:themeColor="accent1"/>
              <w:right w:val="nil"/>
            </w:tcBorders>
            <w:shd w:val="clear" w:color="auto" w:fill="auto"/>
            <w:noWrap/>
            <w:vAlign w:val="bottom"/>
            <w:hideMark/>
          </w:tcPr>
          <w:p w14:paraId="061DB311" w14:textId="77777777" w:rsidR="000B5319" w:rsidRPr="000B5319" w:rsidRDefault="000B5319" w:rsidP="007B0C5A">
            <w:pPr>
              <w:pStyle w:val="TableTextCentered"/>
            </w:pPr>
            <w:r w:rsidRPr="000B5319">
              <w:t>0%</w:t>
            </w:r>
          </w:p>
        </w:tc>
        <w:tc>
          <w:tcPr>
            <w:tcW w:w="625" w:type="dxa"/>
            <w:tcBorders>
              <w:top w:val="single" w:sz="4" w:space="0" w:color="74000E" w:themeColor="accent1"/>
              <w:left w:val="nil"/>
              <w:bottom w:val="single" w:sz="4" w:space="0" w:color="74000E" w:themeColor="accent1"/>
              <w:right w:val="nil"/>
            </w:tcBorders>
            <w:shd w:val="clear" w:color="auto" w:fill="auto"/>
            <w:noWrap/>
            <w:vAlign w:val="bottom"/>
            <w:hideMark/>
          </w:tcPr>
          <w:p w14:paraId="3C6B4108" w14:textId="77777777" w:rsidR="000B5319" w:rsidRPr="000B5319" w:rsidRDefault="000B5319" w:rsidP="007B0C5A">
            <w:pPr>
              <w:pStyle w:val="TableTextCentered"/>
            </w:pPr>
            <w:r w:rsidRPr="000B5319">
              <w:t>0%</w:t>
            </w:r>
          </w:p>
        </w:tc>
        <w:tc>
          <w:tcPr>
            <w:tcW w:w="625" w:type="dxa"/>
            <w:tcBorders>
              <w:top w:val="single" w:sz="4" w:space="0" w:color="74000E" w:themeColor="accent1"/>
              <w:left w:val="nil"/>
              <w:bottom w:val="single" w:sz="4" w:space="0" w:color="74000E" w:themeColor="accent1"/>
              <w:right w:val="nil"/>
            </w:tcBorders>
            <w:shd w:val="clear" w:color="auto" w:fill="auto"/>
            <w:noWrap/>
            <w:vAlign w:val="bottom"/>
            <w:hideMark/>
          </w:tcPr>
          <w:p w14:paraId="79AAB009" w14:textId="77777777" w:rsidR="000B5319" w:rsidRPr="000B5319" w:rsidRDefault="000B5319" w:rsidP="007B0C5A">
            <w:pPr>
              <w:pStyle w:val="TableTextCentered"/>
            </w:pPr>
            <w:r w:rsidRPr="000B5319">
              <w:t>0%</w:t>
            </w:r>
          </w:p>
        </w:tc>
        <w:tc>
          <w:tcPr>
            <w:tcW w:w="625" w:type="dxa"/>
            <w:tcBorders>
              <w:top w:val="single" w:sz="4" w:space="0" w:color="74000E" w:themeColor="accent1"/>
              <w:left w:val="nil"/>
              <w:bottom w:val="single" w:sz="4" w:space="0" w:color="74000E" w:themeColor="accent1"/>
              <w:right w:val="nil"/>
            </w:tcBorders>
            <w:shd w:val="clear" w:color="000000" w:fill="F2D2D5"/>
            <w:noWrap/>
            <w:vAlign w:val="bottom"/>
            <w:hideMark/>
          </w:tcPr>
          <w:p w14:paraId="24304B32" w14:textId="77777777" w:rsidR="000B5319" w:rsidRPr="000B5319" w:rsidRDefault="000B5319" w:rsidP="007B0C5A">
            <w:pPr>
              <w:pStyle w:val="TableTextCentered"/>
            </w:pPr>
            <w:r w:rsidRPr="000B5319">
              <w:t>94%</w:t>
            </w:r>
          </w:p>
        </w:tc>
        <w:tc>
          <w:tcPr>
            <w:tcW w:w="625" w:type="dxa"/>
            <w:tcBorders>
              <w:top w:val="single" w:sz="4" w:space="0" w:color="74000E" w:themeColor="accent1"/>
              <w:left w:val="nil"/>
              <w:bottom w:val="single" w:sz="4" w:space="0" w:color="74000E" w:themeColor="accent1"/>
              <w:right w:val="nil"/>
            </w:tcBorders>
            <w:shd w:val="clear" w:color="000000" w:fill="F2E2D0"/>
            <w:noWrap/>
            <w:vAlign w:val="bottom"/>
            <w:hideMark/>
          </w:tcPr>
          <w:p w14:paraId="6BC195CD" w14:textId="77777777" w:rsidR="000B5319" w:rsidRPr="000B5319" w:rsidRDefault="000B5319" w:rsidP="007B0C5A">
            <w:pPr>
              <w:pStyle w:val="TableTextCentered"/>
            </w:pPr>
            <w:r w:rsidRPr="000B5319">
              <w:t>3%</w:t>
            </w:r>
          </w:p>
        </w:tc>
        <w:tc>
          <w:tcPr>
            <w:tcW w:w="625" w:type="dxa"/>
            <w:tcBorders>
              <w:top w:val="single" w:sz="4" w:space="0" w:color="74000E" w:themeColor="accent1"/>
              <w:left w:val="nil"/>
              <w:bottom w:val="single" w:sz="4" w:space="0" w:color="74000E" w:themeColor="accent1"/>
              <w:right w:val="nil"/>
            </w:tcBorders>
            <w:shd w:val="clear" w:color="auto" w:fill="auto"/>
            <w:noWrap/>
            <w:vAlign w:val="bottom"/>
            <w:hideMark/>
          </w:tcPr>
          <w:p w14:paraId="7C9CD51A" w14:textId="77777777" w:rsidR="000B5319" w:rsidRPr="000B5319" w:rsidRDefault="000B5319" w:rsidP="007B0C5A">
            <w:pPr>
              <w:pStyle w:val="TableTextCentered"/>
            </w:pPr>
            <w:r w:rsidRPr="000B5319">
              <w:t>0%</w:t>
            </w:r>
          </w:p>
        </w:tc>
        <w:tc>
          <w:tcPr>
            <w:tcW w:w="625" w:type="dxa"/>
            <w:tcBorders>
              <w:top w:val="single" w:sz="4" w:space="0" w:color="74000E" w:themeColor="accent1"/>
              <w:left w:val="nil"/>
              <w:bottom w:val="single" w:sz="4" w:space="0" w:color="74000E" w:themeColor="accent1"/>
              <w:right w:val="nil"/>
            </w:tcBorders>
            <w:shd w:val="clear" w:color="auto" w:fill="auto"/>
            <w:noWrap/>
            <w:vAlign w:val="bottom"/>
            <w:hideMark/>
          </w:tcPr>
          <w:p w14:paraId="27A83B8F" w14:textId="77777777" w:rsidR="000B5319" w:rsidRPr="000B5319" w:rsidRDefault="000B5319" w:rsidP="007B0C5A">
            <w:pPr>
              <w:pStyle w:val="TableTextCentered"/>
            </w:pPr>
            <w:r w:rsidRPr="000B5319">
              <w:t>0%</w:t>
            </w:r>
          </w:p>
        </w:tc>
        <w:tc>
          <w:tcPr>
            <w:tcW w:w="625" w:type="dxa"/>
            <w:tcBorders>
              <w:top w:val="single" w:sz="4" w:space="0" w:color="74000E" w:themeColor="accent1"/>
              <w:left w:val="nil"/>
              <w:bottom w:val="single" w:sz="4" w:space="0" w:color="74000E" w:themeColor="accent1"/>
              <w:right w:val="nil"/>
            </w:tcBorders>
            <w:shd w:val="clear" w:color="auto" w:fill="auto"/>
            <w:noWrap/>
            <w:vAlign w:val="bottom"/>
            <w:hideMark/>
          </w:tcPr>
          <w:p w14:paraId="7C01B330" w14:textId="77777777" w:rsidR="000B5319" w:rsidRPr="000B5319" w:rsidRDefault="000B5319" w:rsidP="007B0C5A">
            <w:pPr>
              <w:pStyle w:val="TableTextCentered"/>
            </w:pPr>
            <w:r w:rsidRPr="000B5319">
              <w:t>0%</w:t>
            </w:r>
          </w:p>
        </w:tc>
        <w:tc>
          <w:tcPr>
            <w:tcW w:w="485" w:type="dxa"/>
            <w:tcBorders>
              <w:top w:val="single" w:sz="4" w:space="0" w:color="74000E" w:themeColor="accent1"/>
              <w:left w:val="nil"/>
              <w:bottom w:val="single" w:sz="4" w:space="0" w:color="74000E" w:themeColor="accent1"/>
              <w:right w:val="nil"/>
            </w:tcBorders>
            <w:shd w:val="clear" w:color="000000" w:fill="CEDBE3"/>
            <w:noWrap/>
            <w:vAlign w:val="bottom"/>
            <w:hideMark/>
          </w:tcPr>
          <w:p w14:paraId="68443B43" w14:textId="77777777" w:rsidR="000B5319" w:rsidRPr="000B5319" w:rsidRDefault="000B5319" w:rsidP="007B0C5A">
            <w:pPr>
              <w:pStyle w:val="TableTextCentered"/>
            </w:pPr>
            <w:r w:rsidRPr="000B5319">
              <w:t>2%</w:t>
            </w:r>
          </w:p>
        </w:tc>
        <w:tc>
          <w:tcPr>
            <w:tcW w:w="961" w:type="dxa"/>
            <w:tcBorders>
              <w:top w:val="single" w:sz="4" w:space="0" w:color="74000E" w:themeColor="accent1"/>
              <w:left w:val="nil"/>
              <w:bottom w:val="single" w:sz="4" w:space="0" w:color="74000E" w:themeColor="accent1"/>
              <w:right w:val="single" w:sz="4" w:space="0" w:color="74000E" w:themeColor="accent1"/>
            </w:tcBorders>
            <w:shd w:val="clear" w:color="auto" w:fill="auto"/>
            <w:noWrap/>
            <w:vAlign w:val="bottom"/>
            <w:hideMark/>
          </w:tcPr>
          <w:p w14:paraId="1CA258E0" w14:textId="77777777" w:rsidR="000B5319" w:rsidRPr="000B5319" w:rsidRDefault="000B5319" w:rsidP="007B0C5A">
            <w:pPr>
              <w:pStyle w:val="TableTextRight"/>
            </w:pPr>
            <w:r w:rsidRPr="000B5319">
              <w:t>1%</w:t>
            </w:r>
          </w:p>
        </w:tc>
      </w:tr>
      <w:tr w:rsidR="000B5319" w:rsidRPr="00747AAC" w14:paraId="0131A69E" w14:textId="77777777" w:rsidTr="00187AC0">
        <w:trPr>
          <w:trHeight w:val="300"/>
        </w:trPr>
        <w:tc>
          <w:tcPr>
            <w:tcW w:w="818" w:type="dxa"/>
            <w:tcBorders>
              <w:top w:val="single" w:sz="4" w:space="0" w:color="74000E" w:themeColor="accent1"/>
              <w:left w:val="single" w:sz="4" w:space="0" w:color="74000E" w:themeColor="accent1"/>
              <w:bottom w:val="single" w:sz="4" w:space="0" w:color="74000E" w:themeColor="accent1"/>
              <w:right w:val="single" w:sz="4" w:space="0" w:color="74000E" w:themeColor="accent1"/>
            </w:tcBorders>
            <w:shd w:val="clear" w:color="auto" w:fill="auto"/>
            <w:noWrap/>
            <w:vAlign w:val="bottom"/>
            <w:hideMark/>
          </w:tcPr>
          <w:p w14:paraId="5AEA41AE" w14:textId="77777777" w:rsidR="000B5319" w:rsidRPr="00187AC0" w:rsidRDefault="000B5319" w:rsidP="007B0C5A">
            <w:pPr>
              <w:pStyle w:val="TableTextCentered"/>
            </w:pPr>
            <w:r w:rsidRPr="00187AC0">
              <w:t>6</w:t>
            </w:r>
          </w:p>
        </w:tc>
        <w:tc>
          <w:tcPr>
            <w:tcW w:w="625" w:type="dxa"/>
            <w:tcBorders>
              <w:top w:val="single" w:sz="4" w:space="0" w:color="74000E" w:themeColor="accent1"/>
              <w:left w:val="single" w:sz="4" w:space="0" w:color="74000E" w:themeColor="accent1"/>
              <w:bottom w:val="single" w:sz="4" w:space="0" w:color="74000E" w:themeColor="accent1"/>
              <w:right w:val="nil"/>
            </w:tcBorders>
            <w:shd w:val="clear" w:color="auto" w:fill="auto"/>
            <w:noWrap/>
            <w:vAlign w:val="bottom"/>
            <w:hideMark/>
          </w:tcPr>
          <w:p w14:paraId="67E69AE8" w14:textId="77777777" w:rsidR="000B5319" w:rsidRPr="000B5319" w:rsidRDefault="000B5319" w:rsidP="007B0C5A">
            <w:pPr>
              <w:pStyle w:val="TableTextCentered"/>
            </w:pPr>
            <w:r w:rsidRPr="000B5319">
              <w:t>0%</w:t>
            </w:r>
          </w:p>
        </w:tc>
        <w:tc>
          <w:tcPr>
            <w:tcW w:w="625" w:type="dxa"/>
            <w:tcBorders>
              <w:top w:val="single" w:sz="4" w:space="0" w:color="74000E" w:themeColor="accent1"/>
              <w:left w:val="nil"/>
              <w:bottom w:val="single" w:sz="4" w:space="0" w:color="74000E" w:themeColor="accent1"/>
              <w:right w:val="nil"/>
            </w:tcBorders>
            <w:shd w:val="clear" w:color="auto" w:fill="auto"/>
            <w:noWrap/>
            <w:vAlign w:val="bottom"/>
            <w:hideMark/>
          </w:tcPr>
          <w:p w14:paraId="14D1A94D" w14:textId="77777777" w:rsidR="000B5319" w:rsidRPr="000B5319" w:rsidRDefault="000B5319" w:rsidP="007B0C5A">
            <w:pPr>
              <w:pStyle w:val="TableTextCentered"/>
            </w:pPr>
            <w:r w:rsidRPr="000B5319">
              <w:t>0%</w:t>
            </w:r>
          </w:p>
        </w:tc>
        <w:tc>
          <w:tcPr>
            <w:tcW w:w="625" w:type="dxa"/>
            <w:tcBorders>
              <w:top w:val="single" w:sz="4" w:space="0" w:color="74000E" w:themeColor="accent1"/>
              <w:left w:val="nil"/>
              <w:bottom w:val="single" w:sz="4" w:space="0" w:color="74000E" w:themeColor="accent1"/>
              <w:right w:val="nil"/>
            </w:tcBorders>
            <w:shd w:val="clear" w:color="auto" w:fill="auto"/>
            <w:noWrap/>
            <w:vAlign w:val="bottom"/>
            <w:hideMark/>
          </w:tcPr>
          <w:p w14:paraId="4A589B7B" w14:textId="77777777" w:rsidR="000B5319" w:rsidRPr="000B5319" w:rsidRDefault="000B5319" w:rsidP="007B0C5A">
            <w:pPr>
              <w:pStyle w:val="TableTextCentered"/>
            </w:pPr>
            <w:r w:rsidRPr="000B5319">
              <w:t>0%</w:t>
            </w:r>
          </w:p>
        </w:tc>
        <w:tc>
          <w:tcPr>
            <w:tcW w:w="625" w:type="dxa"/>
            <w:tcBorders>
              <w:top w:val="single" w:sz="4" w:space="0" w:color="74000E" w:themeColor="accent1"/>
              <w:left w:val="nil"/>
              <w:bottom w:val="single" w:sz="4" w:space="0" w:color="74000E" w:themeColor="accent1"/>
              <w:right w:val="nil"/>
            </w:tcBorders>
            <w:shd w:val="clear" w:color="auto" w:fill="auto"/>
            <w:noWrap/>
            <w:vAlign w:val="bottom"/>
            <w:hideMark/>
          </w:tcPr>
          <w:p w14:paraId="4451937A" w14:textId="77777777" w:rsidR="000B5319" w:rsidRPr="000B5319" w:rsidRDefault="000B5319" w:rsidP="007B0C5A">
            <w:pPr>
              <w:pStyle w:val="TableTextCentered"/>
            </w:pPr>
            <w:r w:rsidRPr="000B5319">
              <w:t>0%</w:t>
            </w:r>
          </w:p>
        </w:tc>
        <w:tc>
          <w:tcPr>
            <w:tcW w:w="625" w:type="dxa"/>
            <w:tcBorders>
              <w:top w:val="single" w:sz="4" w:space="0" w:color="74000E" w:themeColor="accent1"/>
              <w:left w:val="nil"/>
              <w:bottom w:val="single" w:sz="4" w:space="0" w:color="74000E" w:themeColor="accent1"/>
              <w:right w:val="nil"/>
            </w:tcBorders>
            <w:shd w:val="clear" w:color="auto" w:fill="auto"/>
            <w:noWrap/>
            <w:vAlign w:val="bottom"/>
            <w:hideMark/>
          </w:tcPr>
          <w:p w14:paraId="08938857" w14:textId="77777777" w:rsidR="000B5319" w:rsidRPr="000B5319" w:rsidRDefault="000B5319" w:rsidP="007B0C5A">
            <w:pPr>
              <w:pStyle w:val="TableTextCentered"/>
            </w:pPr>
            <w:r w:rsidRPr="000B5319">
              <w:t>0%</w:t>
            </w:r>
          </w:p>
        </w:tc>
        <w:tc>
          <w:tcPr>
            <w:tcW w:w="625" w:type="dxa"/>
            <w:tcBorders>
              <w:top w:val="single" w:sz="4" w:space="0" w:color="74000E" w:themeColor="accent1"/>
              <w:left w:val="nil"/>
              <w:bottom w:val="single" w:sz="4" w:space="0" w:color="74000E" w:themeColor="accent1"/>
              <w:right w:val="nil"/>
            </w:tcBorders>
            <w:shd w:val="clear" w:color="000000" w:fill="F2D2D5"/>
            <w:noWrap/>
            <w:vAlign w:val="bottom"/>
            <w:hideMark/>
          </w:tcPr>
          <w:p w14:paraId="1EE21CFE" w14:textId="77777777" w:rsidR="000B5319" w:rsidRPr="000B5319" w:rsidRDefault="000B5319" w:rsidP="007B0C5A">
            <w:pPr>
              <w:pStyle w:val="TableTextCentered"/>
            </w:pPr>
            <w:r w:rsidRPr="000B5319">
              <w:t>95%</w:t>
            </w:r>
          </w:p>
        </w:tc>
        <w:tc>
          <w:tcPr>
            <w:tcW w:w="625" w:type="dxa"/>
            <w:tcBorders>
              <w:top w:val="single" w:sz="4" w:space="0" w:color="74000E" w:themeColor="accent1"/>
              <w:left w:val="nil"/>
              <w:bottom w:val="single" w:sz="4" w:space="0" w:color="74000E" w:themeColor="accent1"/>
              <w:right w:val="nil"/>
            </w:tcBorders>
            <w:shd w:val="clear" w:color="auto" w:fill="auto"/>
            <w:noWrap/>
            <w:vAlign w:val="bottom"/>
            <w:hideMark/>
          </w:tcPr>
          <w:p w14:paraId="637EF644" w14:textId="77777777" w:rsidR="000B5319" w:rsidRPr="000B5319" w:rsidRDefault="000B5319" w:rsidP="007B0C5A">
            <w:pPr>
              <w:pStyle w:val="TableTextCentered"/>
            </w:pPr>
            <w:r w:rsidRPr="000B5319">
              <w:t>0%</w:t>
            </w:r>
          </w:p>
        </w:tc>
        <w:tc>
          <w:tcPr>
            <w:tcW w:w="625" w:type="dxa"/>
            <w:tcBorders>
              <w:top w:val="single" w:sz="4" w:space="0" w:color="74000E" w:themeColor="accent1"/>
              <w:left w:val="nil"/>
              <w:bottom w:val="single" w:sz="4" w:space="0" w:color="74000E" w:themeColor="accent1"/>
              <w:right w:val="nil"/>
            </w:tcBorders>
            <w:shd w:val="clear" w:color="auto" w:fill="auto"/>
            <w:noWrap/>
            <w:vAlign w:val="bottom"/>
            <w:hideMark/>
          </w:tcPr>
          <w:p w14:paraId="18BA7F2C" w14:textId="77777777" w:rsidR="000B5319" w:rsidRPr="000B5319" w:rsidRDefault="000B5319" w:rsidP="007B0C5A">
            <w:pPr>
              <w:pStyle w:val="TableTextCentered"/>
            </w:pPr>
            <w:r w:rsidRPr="000B5319">
              <w:t>0%</w:t>
            </w:r>
          </w:p>
        </w:tc>
        <w:tc>
          <w:tcPr>
            <w:tcW w:w="625" w:type="dxa"/>
            <w:tcBorders>
              <w:top w:val="single" w:sz="4" w:space="0" w:color="74000E" w:themeColor="accent1"/>
              <w:left w:val="nil"/>
              <w:bottom w:val="single" w:sz="4" w:space="0" w:color="74000E" w:themeColor="accent1"/>
              <w:right w:val="nil"/>
            </w:tcBorders>
            <w:shd w:val="clear" w:color="000000" w:fill="CEDBE3"/>
            <w:noWrap/>
            <w:vAlign w:val="bottom"/>
            <w:hideMark/>
          </w:tcPr>
          <w:p w14:paraId="45AD871D" w14:textId="77777777" w:rsidR="000B5319" w:rsidRPr="000B5319" w:rsidRDefault="000B5319" w:rsidP="007B0C5A">
            <w:pPr>
              <w:pStyle w:val="TableTextCentered"/>
            </w:pPr>
            <w:r w:rsidRPr="000B5319">
              <w:t>0%</w:t>
            </w:r>
          </w:p>
        </w:tc>
        <w:tc>
          <w:tcPr>
            <w:tcW w:w="485" w:type="dxa"/>
            <w:tcBorders>
              <w:top w:val="single" w:sz="4" w:space="0" w:color="74000E" w:themeColor="accent1"/>
              <w:left w:val="nil"/>
              <w:bottom w:val="single" w:sz="4" w:space="0" w:color="74000E" w:themeColor="accent1"/>
              <w:right w:val="nil"/>
            </w:tcBorders>
            <w:shd w:val="clear" w:color="000000" w:fill="F2D2D5"/>
            <w:noWrap/>
            <w:vAlign w:val="bottom"/>
            <w:hideMark/>
          </w:tcPr>
          <w:p w14:paraId="2D252BFE" w14:textId="77777777" w:rsidR="000B5319" w:rsidRPr="000B5319" w:rsidRDefault="000B5319" w:rsidP="007B0C5A">
            <w:pPr>
              <w:pStyle w:val="TableTextCentered"/>
            </w:pPr>
            <w:r w:rsidRPr="000B5319">
              <w:t>4%</w:t>
            </w:r>
          </w:p>
        </w:tc>
        <w:tc>
          <w:tcPr>
            <w:tcW w:w="961" w:type="dxa"/>
            <w:tcBorders>
              <w:top w:val="single" w:sz="4" w:space="0" w:color="74000E" w:themeColor="accent1"/>
              <w:left w:val="nil"/>
              <w:bottom w:val="single" w:sz="4" w:space="0" w:color="74000E" w:themeColor="accent1"/>
              <w:right w:val="single" w:sz="4" w:space="0" w:color="74000E" w:themeColor="accent1"/>
            </w:tcBorders>
            <w:shd w:val="clear" w:color="000000" w:fill="CEDBE3"/>
            <w:noWrap/>
            <w:vAlign w:val="bottom"/>
            <w:hideMark/>
          </w:tcPr>
          <w:p w14:paraId="06157B8E" w14:textId="77777777" w:rsidR="000B5319" w:rsidRPr="000B5319" w:rsidRDefault="000B5319" w:rsidP="007B0C5A">
            <w:pPr>
              <w:pStyle w:val="TableTextRight"/>
            </w:pPr>
            <w:r w:rsidRPr="000B5319">
              <w:t>0%</w:t>
            </w:r>
          </w:p>
        </w:tc>
      </w:tr>
      <w:tr w:rsidR="000B5319" w:rsidRPr="00747AAC" w14:paraId="3744A0D8" w14:textId="77777777" w:rsidTr="00187AC0">
        <w:trPr>
          <w:trHeight w:val="300"/>
        </w:trPr>
        <w:tc>
          <w:tcPr>
            <w:tcW w:w="818" w:type="dxa"/>
            <w:tcBorders>
              <w:top w:val="single" w:sz="4" w:space="0" w:color="74000E" w:themeColor="accent1"/>
              <w:left w:val="single" w:sz="4" w:space="0" w:color="74000E" w:themeColor="accent1"/>
              <w:bottom w:val="single" w:sz="4" w:space="0" w:color="74000E" w:themeColor="accent1"/>
              <w:right w:val="single" w:sz="4" w:space="0" w:color="74000E" w:themeColor="accent1"/>
            </w:tcBorders>
            <w:shd w:val="clear" w:color="auto" w:fill="auto"/>
            <w:noWrap/>
            <w:vAlign w:val="bottom"/>
            <w:hideMark/>
          </w:tcPr>
          <w:p w14:paraId="68D1BF6E" w14:textId="77777777" w:rsidR="000B5319" w:rsidRPr="00187AC0" w:rsidRDefault="000B5319" w:rsidP="007B0C5A">
            <w:pPr>
              <w:pStyle w:val="TableTextCentered"/>
            </w:pPr>
            <w:r w:rsidRPr="00187AC0">
              <w:t>7</w:t>
            </w:r>
          </w:p>
        </w:tc>
        <w:tc>
          <w:tcPr>
            <w:tcW w:w="625" w:type="dxa"/>
            <w:tcBorders>
              <w:top w:val="single" w:sz="4" w:space="0" w:color="74000E" w:themeColor="accent1"/>
              <w:left w:val="single" w:sz="4" w:space="0" w:color="74000E" w:themeColor="accent1"/>
              <w:bottom w:val="single" w:sz="4" w:space="0" w:color="74000E" w:themeColor="accent1"/>
              <w:right w:val="nil"/>
            </w:tcBorders>
            <w:shd w:val="clear" w:color="auto" w:fill="auto"/>
            <w:noWrap/>
            <w:vAlign w:val="bottom"/>
            <w:hideMark/>
          </w:tcPr>
          <w:p w14:paraId="51A9DC77" w14:textId="77777777" w:rsidR="000B5319" w:rsidRPr="000B5319" w:rsidRDefault="000B5319" w:rsidP="007B0C5A">
            <w:pPr>
              <w:pStyle w:val="TableTextCentered"/>
            </w:pPr>
            <w:r w:rsidRPr="000B5319">
              <w:t>0%</w:t>
            </w:r>
          </w:p>
        </w:tc>
        <w:tc>
          <w:tcPr>
            <w:tcW w:w="625" w:type="dxa"/>
            <w:tcBorders>
              <w:top w:val="single" w:sz="4" w:space="0" w:color="74000E" w:themeColor="accent1"/>
              <w:left w:val="nil"/>
              <w:bottom w:val="single" w:sz="4" w:space="0" w:color="74000E" w:themeColor="accent1"/>
              <w:right w:val="nil"/>
            </w:tcBorders>
            <w:shd w:val="clear" w:color="000000" w:fill="CEDBE3"/>
            <w:noWrap/>
            <w:vAlign w:val="bottom"/>
            <w:hideMark/>
          </w:tcPr>
          <w:p w14:paraId="7C7BB00C" w14:textId="77777777" w:rsidR="000B5319" w:rsidRPr="000B5319" w:rsidRDefault="000B5319" w:rsidP="007B0C5A">
            <w:pPr>
              <w:pStyle w:val="TableTextCentered"/>
            </w:pPr>
            <w:r w:rsidRPr="000B5319">
              <w:t>1%</w:t>
            </w:r>
          </w:p>
        </w:tc>
        <w:tc>
          <w:tcPr>
            <w:tcW w:w="625" w:type="dxa"/>
            <w:tcBorders>
              <w:top w:val="single" w:sz="4" w:space="0" w:color="74000E" w:themeColor="accent1"/>
              <w:left w:val="nil"/>
              <w:bottom w:val="single" w:sz="4" w:space="0" w:color="74000E" w:themeColor="accent1"/>
              <w:right w:val="nil"/>
            </w:tcBorders>
            <w:shd w:val="clear" w:color="000000" w:fill="CEDBE3"/>
            <w:noWrap/>
            <w:vAlign w:val="bottom"/>
            <w:hideMark/>
          </w:tcPr>
          <w:p w14:paraId="301DAF00" w14:textId="77777777" w:rsidR="000B5319" w:rsidRPr="000B5319" w:rsidRDefault="000B5319" w:rsidP="007B0C5A">
            <w:pPr>
              <w:pStyle w:val="TableTextCentered"/>
            </w:pPr>
            <w:r w:rsidRPr="000B5319">
              <w:t>1%</w:t>
            </w:r>
          </w:p>
        </w:tc>
        <w:tc>
          <w:tcPr>
            <w:tcW w:w="625" w:type="dxa"/>
            <w:tcBorders>
              <w:top w:val="single" w:sz="4" w:space="0" w:color="74000E" w:themeColor="accent1"/>
              <w:left w:val="nil"/>
              <w:bottom w:val="single" w:sz="4" w:space="0" w:color="74000E" w:themeColor="accent1"/>
              <w:right w:val="nil"/>
            </w:tcBorders>
            <w:shd w:val="clear" w:color="auto" w:fill="auto"/>
            <w:noWrap/>
            <w:vAlign w:val="bottom"/>
            <w:hideMark/>
          </w:tcPr>
          <w:p w14:paraId="7DCF698A" w14:textId="77777777" w:rsidR="000B5319" w:rsidRPr="000B5319" w:rsidRDefault="000B5319" w:rsidP="007B0C5A">
            <w:pPr>
              <w:pStyle w:val="TableTextCentered"/>
            </w:pPr>
            <w:r w:rsidRPr="000B5319">
              <w:t>0%</w:t>
            </w:r>
          </w:p>
        </w:tc>
        <w:tc>
          <w:tcPr>
            <w:tcW w:w="625" w:type="dxa"/>
            <w:tcBorders>
              <w:top w:val="single" w:sz="4" w:space="0" w:color="74000E" w:themeColor="accent1"/>
              <w:left w:val="nil"/>
              <w:bottom w:val="single" w:sz="4" w:space="0" w:color="74000E" w:themeColor="accent1"/>
              <w:right w:val="nil"/>
            </w:tcBorders>
            <w:shd w:val="clear" w:color="auto" w:fill="auto"/>
            <w:noWrap/>
            <w:vAlign w:val="bottom"/>
            <w:hideMark/>
          </w:tcPr>
          <w:p w14:paraId="1910CB78" w14:textId="77777777" w:rsidR="000B5319" w:rsidRPr="000B5319" w:rsidRDefault="000B5319" w:rsidP="007B0C5A">
            <w:pPr>
              <w:pStyle w:val="TableTextCentered"/>
            </w:pPr>
            <w:r w:rsidRPr="000B5319">
              <w:t>0%</w:t>
            </w:r>
          </w:p>
        </w:tc>
        <w:tc>
          <w:tcPr>
            <w:tcW w:w="625" w:type="dxa"/>
            <w:tcBorders>
              <w:top w:val="single" w:sz="4" w:space="0" w:color="74000E" w:themeColor="accent1"/>
              <w:left w:val="nil"/>
              <w:bottom w:val="single" w:sz="4" w:space="0" w:color="74000E" w:themeColor="accent1"/>
              <w:right w:val="nil"/>
            </w:tcBorders>
            <w:shd w:val="clear" w:color="auto" w:fill="auto"/>
            <w:noWrap/>
            <w:vAlign w:val="bottom"/>
            <w:hideMark/>
          </w:tcPr>
          <w:p w14:paraId="345A89A5" w14:textId="77777777" w:rsidR="000B5319" w:rsidRPr="000B5319" w:rsidRDefault="000B5319" w:rsidP="007B0C5A">
            <w:pPr>
              <w:pStyle w:val="TableTextCentered"/>
            </w:pPr>
            <w:r w:rsidRPr="000B5319">
              <w:t>0%</w:t>
            </w:r>
          </w:p>
        </w:tc>
        <w:tc>
          <w:tcPr>
            <w:tcW w:w="625" w:type="dxa"/>
            <w:tcBorders>
              <w:top w:val="single" w:sz="4" w:space="0" w:color="74000E" w:themeColor="accent1"/>
              <w:left w:val="nil"/>
              <w:bottom w:val="single" w:sz="4" w:space="0" w:color="74000E" w:themeColor="accent1"/>
              <w:right w:val="nil"/>
            </w:tcBorders>
            <w:shd w:val="clear" w:color="000000" w:fill="F2D2D5"/>
            <w:noWrap/>
            <w:vAlign w:val="bottom"/>
            <w:hideMark/>
          </w:tcPr>
          <w:p w14:paraId="105F4A9F" w14:textId="77777777" w:rsidR="000B5319" w:rsidRPr="000B5319" w:rsidRDefault="000B5319" w:rsidP="007B0C5A">
            <w:pPr>
              <w:pStyle w:val="TableTextCentered"/>
            </w:pPr>
            <w:r w:rsidRPr="000B5319">
              <w:t>79%</w:t>
            </w:r>
          </w:p>
        </w:tc>
        <w:tc>
          <w:tcPr>
            <w:tcW w:w="625" w:type="dxa"/>
            <w:tcBorders>
              <w:top w:val="single" w:sz="4" w:space="0" w:color="74000E" w:themeColor="accent1"/>
              <w:left w:val="nil"/>
              <w:bottom w:val="single" w:sz="4" w:space="0" w:color="74000E" w:themeColor="accent1"/>
              <w:right w:val="nil"/>
            </w:tcBorders>
            <w:shd w:val="clear" w:color="000000" w:fill="CEDBE3"/>
            <w:noWrap/>
            <w:vAlign w:val="bottom"/>
            <w:hideMark/>
          </w:tcPr>
          <w:p w14:paraId="32BE7AC6" w14:textId="77777777" w:rsidR="000B5319" w:rsidRPr="000B5319" w:rsidRDefault="000B5319" w:rsidP="007B0C5A">
            <w:pPr>
              <w:pStyle w:val="TableTextCentered"/>
            </w:pPr>
            <w:r w:rsidRPr="000B5319">
              <w:t>0%</w:t>
            </w:r>
          </w:p>
        </w:tc>
        <w:tc>
          <w:tcPr>
            <w:tcW w:w="625" w:type="dxa"/>
            <w:tcBorders>
              <w:top w:val="single" w:sz="4" w:space="0" w:color="74000E" w:themeColor="accent1"/>
              <w:left w:val="nil"/>
              <w:bottom w:val="single" w:sz="4" w:space="0" w:color="74000E" w:themeColor="accent1"/>
              <w:right w:val="nil"/>
            </w:tcBorders>
            <w:shd w:val="clear" w:color="000000" w:fill="F2E2D0"/>
            <w:noWrap/>
            <w:vAlign w:val="bottom"/>
            <w:hideMark/>
          </w:tcPr>
          <w:p w14:paraId="5078BC92" w14:textId="77777777" w:rsidR="000B5319" w:rsidRPr="000B5319" w:rsidRDefault="000B5319" w:rsidP="007B0C5A">
            <w:pPr>
              <w:pStyle w:val="TableTextCentered"/>
            </w:pPr>
            <w:r w:rsidRPr="000B5319">
              <w:t>4%</w:t>
            </w:r>
          </w:p>
        </w:tc>
        <w:tc>
          <w:tcPr>
            <w:tcW w:w="485" w:type="dxa"/>
            <w:tcBorders>
              <w:top w:val="single" w:sz="4" w:space="0" w:color="74000E" w:themeColor="accent1"/>
              <w:left w:val="nil"/>
              <w:bottom w:val="single" w:sz="4" w:space="0" w:color="74000E" w:themeColor="accent1"/>
              <w:right w:val="nil"/>
            </w:tcBorders>
            <w:shd w:val="clear" w:color="auto" w:fill="auto"/>
            <w:noWrap/>
            <w:vAlign w:val="bottom"/>
            <w:hideMark/>
          </w:tcPr>
          <w:p w14:paraId="42E7012F" w14:textId="77777777" w:rsidR="000B5319" w:rsidRPr="000B5319" w:rsidRDefault="000B5319" w:rsidP="007B0C5A">
            <w:pPr>
              <w:pStyle w:val="TableTextCentered"/>
            </w:pPr>
            <w:r w:rsidRPr="000B5319">
              <w:t>0%</w:t>
            </w:r>
          </w:p>
        </w:tc>
        <w:tc>
          <w:tcPr>
            <w:tcW w:w="961" w:type="dxa"/>
            <w:tcBorders>
              <w:top w:val="single" w:sz="4" w:space="0" w:color="74000E" w:themeColor="accent1"/>
              <w:left w:val="nil"/>
              <w:bottom w:val="single" w:sz="4" w:space="0" w:color="74000E" w:themeColor="accent1"/>
              <w:right w:val="single" w:sz="4" w:space="0" w:color="74000E" w:themeColor="accent1"/>
            </w:tcBorders>
            <w:shd w:val="clear" w:color="000000" w:fill="F2D2D5"/>
            <w:noWrap/>
            <w:vAlign w:val="bottom"/>
            <w:hideMark/>
          </w:tcPr>
          <w:p w14:paraId="3325413D" w14:textId="77777777" w:rsidR="000B5319" w:rsidRPr="000B5319" w:rsidRDefault="000B5319" w:rsidP="007B0C5A">
            <w:pPr>
              <w:pStyle w:val="TableTextRight"/>
            </w:pPr>
            <w:r w:rsidRPr="000B5319">
              <w:t>15%</w:t>
            </w:r>
          </w:p>
        </w:tc>
      </w:tr>
      <w:tr w:rsidR="000B5319" w:rsidRPr="00747AAC" w14:paraId="6771488D" w14:textId="77777777" w:rsidTr="00187AC0">
        <w:trPr>
          <w:trHeight w:val="300"/>
        </w:trPr>
        <w:tc>
          <w:tcPr>
            <w:tcW w:w="818" w:type="dxa"/>
            <w:tcBorders>
              <w:top w:val="single" w:sz="4" w:space="0" w:color="74000E" w:themeColor="accent1"/>
              <w:left w:val="single" w:sz="4" w:space="0" w:color="74000E" w:themeColor="accent1"/>
              <w:bottom w:val="single" w:sz="4" w:space="0" w:color="74000E" w:themeColor="accent1"/>
              <w:right w:val="single" w:sz="4" w:space="0" w:color="74000E" w:themeColor="accent1"/>
            </w:tcBorders>
            <w:shd w:val="clear" w:color="auto" w:fill="auto"/>
            <w:noWrap/>
            <w:vAlign w:val="bottom"/>
            <w:hideMark/>
          </w:tcPr>
          <w:p w14:paraId="5EDB5695" w14:textId="77777777" w:rsidR="000B5319" w:rsidRPr="00187AC0" w:rsidRDefault="000B5319" w:rsidP="007B0C5A">
            <w:pPr>
              <w:pStyle w:val="TableTextCentered"/>
            </w:pPr>
            <w:r w:rsidRPr="00187AC0">
              <w:t>8</w:t>
            </w:r>
          </w:p>
        </w:tc>
        <w:tc>
          <w:tcPr>
            <w:tcW w:w="625" w:type="dxa"/>
            <w:tcBorders>
              <w:top w:val="single" w:sz="4" w:space="0" w:color="74000E" w:themeColor="accent1"/>
              <w:left w:val="single" w:sz="4" w:space="0" w:color="74000E" w:themeColor="accent1"/>
              <w:bottom w:val="single" w:sz="4" w:space="0" w:color="74000E" w:themeColor="accent1"/>
              <w:right w:val="nil"/>
            </w:tcBorders>
            <w:shd w:val="clear" w:color="auto" w:fill="auto"/>
            <w:noWrap/>
            <w:vAlign w:val="bottom"/>
            <w:hideMark/>
          </w:tcPr>
          <w:p w14:paraId="1F958359" w14:textId="77777777" w:rsidR="000B5319" w:rsidRPr="000B5319" w:rsidRDefault="000B5319" w:rsidP="007B0C5A">
            <w:pPr>
              <w:pStyle w:val="TableTextCentered"/>
            </w:pPr>
            <w:r w:rsidRPr="000B5319">
              <w:t>0%</w:t>
            </w:r>
          </w:p>
        </w:tc>
        <w:tc>
          <w:tcPr>
            <w:tcW w:w="625" w:type="dxa"/>
            <w:tcBorders>
              <w:top w:val="single" w:sz="4" w:space="0" w:color="74000E" w:themeColor="accent1"/>
              <w:left w:val="nil"/>
              <w:bottom w:val="single" w:sz="4" w:space="0" w:color="74000E" w:themeColor="accent1"/>
              <w:right w:val="nil"/>
            </w:tcBorders>
            <w:shd w:val="clear" w:color="auto" w:fill="auto"/>
            <w:noWrap/>
            <w:vAlign w:val="bottom"/>
            <w:hideMark/>
          </w:tcPr>
          <w:p w14:paraId="45DCB26A" w14:textId="77777777" w:rsidR="000B5319" w:rsidRPr="000B5319" w:rsidRDefault="000B5319" w:rsidP="007B0C5A">
            <w:pPr>
              <w:pStyle w:val="TableTextCentered"/>
            </w:pPr>
            <w:r w:rsidRPr="000B5319">
              <w:t>1%</w:t>
            </w:r>
          </w:p>
        </w:tc>
        <w:tc>
          <w:tcPr>
            <w:tcW w:w="625" w:type="dxa"/>
            <w:tcBorders>
              <w:top w:val="single" w:sz="4" w:space="0" w:color="74000E" w:themeColor="accent1"/>
              <w:left w:val="nil"/>
              <w:bottom w:val="single" w:sz="4" w:space="0" w:color="74000E" w:themeColor="accent1"/>
              <w:right w:val="nil"/>
            </w:tcBorders>
            <w:shd w:val="clear" w:color="auto" w:fill="auto"/>
            <w:noWrap/>
            <w:vAlign w:val="bottom"/>
            <w:hideMark/>
          </w:tcPr>
          <w:p w14:paraId="3EB5787B" w14:textId="77777777" w:rsidR="000B5319" w:rsidRPr="000B5319" w:rsidRDefault="000B5319" w:rsidP="007B0C5A">
            <w:pPr>
              <w:pStyle w:val="TableTextCentered"/>
            </w:pPr>
            <w:r w:rsidRPr="000B5319">
              <w:t>0%</w:t>
            </w:r>
          </w:p>
        </w:tc>
        <w:tc>
          <w:tcPr>
            <w:tcW w:w="625" w:type="dxa"/>
            <w:tcBorders>
              <w:top w:val="single" w:sz="4" w:space="0" w:color="74000E" w:themeColor="accent1"/>
              <w:left w:val="nil"/>
              <w:bottom w:val="single" w:sz="4" w:space="0" w:color="74000E" w:themeColor="accent1"/>
              <w:right w:val="nil"/>
            </w:tcBorders>
            <w:shd w:val="clear" w:color="auto" w:fill="auto"/>
            <w:noWrap/>
            <w:vAlign w:val="bottom"/>
            <w:hideMark/>
          </w:tcPr>
          <w:p w14:paraId="52DBD6B5" w14:textId="77777777" w:rsidR="000B5319" w:rsidRPr="000B5319" w:rsidRDefault="000B5319" w:rsidP="007B0C5A">
            <w:pPr>
              <w:pStyle w:val="TableTextCentered"/>
            </w:pPr>
            <w:r w:rsidRPr="000B5319">
              <w:t>2%</w:t>
            </w:r>
          </w:p>
        </w:tc>
        <w:tc>
          <w:tcPr>
            <w:tcW w:w="625" w:type="dxa"/>
            <w:tcBorders>
              <w:top w:val="single" w:sz="4" w:space="0" w:color="74000E" w:themeColor="accent1"/>
              <w:left w:val="nil"/>
              <w:bottom w:val="single" w:sz="4" w:space="0" w:color="74000E" w:themeColor="accent1"/>
              <w:right w:val="nil"/>
            </w:tcBorders>
            <w:shd w:val="clear" w:color="auto" w:fill="auto"/>
            <w:noWrap/>
            <w:vAlign w:val="bottom"/>
            <w:hideMark/>
          </w:tcPr>
          <w:p w14:paraId="56C8B74B" w14:textId="77777777" w:rsidR="000B5319" w:rsidRPr="000B5319" w:rsidRDefault="000B5319" w:rsidP="007B0C5A">
            <w:pPr>
              <w:pStyle w:val="TableTextCentered"/>
            </w:pPr>
            <w:r w:rsidRPr="000B5319">
              <w:t>0%</w:t>
            </w:r>
          </w:p>
        </w:tc>
        <w:tc>
          <w:tcPr>
            <w:tcW w:w="625" w:type="dxa"/>
            <w:tcBorders>
              <w:top w:val="single" w:sz="4" w:space="0" w:color="74000E" w:themeColor="accent1"/>
              <w:left w:val="nil"/>
              <w:bottom w:val="single" w:sz="4" w:space="0" w:color="74000E" w:themeColor="accent1"/>
              <w:right w:val="nil"/>
            </w:tcBorders>
            <w:shd w:val="clear" w:color="auto" w:fill="auto"/>
            <w:noWrap/>
            <w:vAlign w:val="bottom"/>
            <w:hideMark/>
          </w:tcPr>
          <w:p w14:paraId="6D2C9468" w14:textId="77777777" w:rsidR="000B5319" w:rsidRPr="000B5319" w:rsidRDefault="000B5319" w:rsidP="007B0C5A">
            <w:pPr>
              <w:pStyle w:val="TableTextCentered"/>
            </w:pPr>
            <w:r w:rsidRPr="000B5319">
              <w:t>1%</w:t>
            </w:r>
          </w:p>
        </w:tc>
        <w:tc>
          <w:tcPr>
            <w:tcW w:w="625" w:type="dxa"/>
            <w:tcBorders>
              <w:top w:val="single" w:sz="4" w:space="0" w:color="74000E" w:themeColor="accent1"/>
              <w:left w:val="nil"/>
              <w:bottom w:val="single" w:sz="4" w:space="0" w:color="74000E" w:themeColor="accent1"/>
              <w:right w:val="nil"/>
            </w:tcBorders>
            <w:shd w:val="clear" w:color="auto" w:fill="auto"/>
            <w:noWrap/>
            <w:vAlign w:val="bottom"/>
            <w:hideMark/>
          </w:tcPr>
          <w:p w14:paraId="624643A7" w14:textId="77777777" w:rsidR="000B5319" w:rsidRPr="000B5319" w:rsidRDefault="000B5319" w:rsidP="007B0C5A">
            <w:pPr>
              <w:pStyle w:val="TableTextCentered"/>
            </w:pPr>
            <w:r w:rsidRPr="000B5319">
              <w:t>2%</w:t>
            </w:r>
          </w:p>
        </w:tc>
        <w:tc>
          <w:tcPr>
            <w:tcW w:w="625" w:type="dxa"/>
            <w:tcBorders>
              <w:top w:val="single" w:sz="4" w:space="0" w:color="74000E" w:themeColor="accent1"/>
              <w:left w:val="nil"/>
              <w:bottom w:val="single" w:sz="4" w:space="0" w:color="74000E" w:themeColor="accent1"/>
              <w:right w:val="nil"/>
            </w:tcBorders>
            <w:shd w:val="clear" w:color="000000" w:fill="F2D2D5"/>
            <w:noWrap/>
            <w:vAlign w:val="bottom"/>
            <w:hideMark/>
          </w:tcPr>
          <w:p w14:paraId="3C9E50D5" w14:textId="77777777" w:rsidR="000B5319" w:rsidRPr="000B5319" w:rsidRDefault="000B5319" w:rsidP="007B0C5A">
            <w:pPr>
              <w:pStyle w:val="TableTextCentered"/>
            </w:pPr>
            <w:r w:rsidRPr="000B5319">
              <w:t>87%</w:t>
            </w:r>
          </w:p>
        </w:tc>
        <w:tc>
          <w:tcPr>
            <w:tcW w:w="625" w:type="dxa"/>
            <w:tcBorders>
              <w:top w:val="single" w:sz="4" w:space="0" w:color="74000E" w:themeColor="accent1"/>
              <w:left w:val="nil"/>
              <w:bottom w:val="single" w:sz="4" w:space="0" w:color="74000E" w:themeColor="accent1"/>
              <w:right w:val="nil"/>
            </w:tcBorders>
            <w:shd w:val="clear" w:color="auto" w:fill="auto"/>
            <w:noWrap/>
            <w:vAlign w:val="bottom"/>
            <w:hideMark/>
          </w:tcPr>
          <w:p w14:paraId="208FDC30" w14:textId="77777777" w:rsidR="000B5319" w:rsidRPr="000B5319" w:rsidRDefault="000B5319" w:rsidP="007B0C5A">
            <w:pPr>
              <w:pStyle w:val="TableTextCentered"/>
            </w:pPr>
            <w:r w:rsidRPr="000B5319">
              <w:t>1%</w:t>
            </w:r>
          </w:p>
        </w:tc>
        <w:tc>
          <w:tcPr>
            <w:tcW w:w="485" w:type="dxa"/>
            <w:tcBorders>
              <w:top w:val="single" w:sz="4" w:space="0" w:color="74000E" w:themeColor="accent1"/>
              <w:left w:val="nil"/>
              <w:bottom w:val="single" w:sz="4" w:space="0" w:color="74000E" w:themeColor="accent1"/>
              <w:right w:val="nil"/>
            </w:tcBorders>
            <w:shd w:val="clear" w:color="auto" w:fill="auto"/>
            <w:noWrap/>
            <w:vAlign w:val="bottom"/>
            <w:hideMark/>
          </w:tcPr>
          <w:p w14:paraId="49FEEAFD" w14:textId="77777777" w:rsidR="000B5319" w:rsidRPr="000B5319" w:rsidRDefault="000B5319" w:rsidP="007B0C5A">
            <w:pPr>
              <w:pStyle w:val="TableTextCentered"/>
            </w:pPr>
            <w:r w:rsidRPr="000B5319">
              <w:t>0%</w:t>
            </w:r>
          </w:p>
        </w:tc>
        <w:tc>
          <w:tcPr>
            <w:tcW w:w="961" w:type="dxa"/>
            <w:tcBorders>
              <w:top w:val="single" w:sz="4" w:space="0" w:color="74000E" w:themeColor="accent1"/>
              <w:left w:val="nil"/>
              <w:bottom w:val="single" w:sz="4" w:space="0" w:color="74000E" w:themeColor="accent1"/>
              <w:right w:val="single" w:sz="4" w:space="0" w:color="74000E" w:themeColor="accent1"/>
            </w:tcBorders>
            <w:shd w:val="clear" w:color="000000" w:fill="CEDBE3"/>
            <w:noWrap/>
            <w:vAlign w:val="bottom"/>
            <w:hideMark/>
          </w:tcPr>
          <w:p w14:paraId="5389C5AC" w14:textId="77777777" w:rsidR="000B5319" w:rsidRPr="000B5319" w:rsidRDefault="000B5319" w:rsidP="007B0C5A">
            <w:pPr>
              <w:pStyle w:val="TableTextRight"/>
            </w:pPr>
            <w:r w:rsidRPr="000B5319">
              <w:t>6%</w:t>
            </w:r>
          </w:p>
        </w:tc>
      </w:tr>
      <w:tr w:rsidR="000B5319" w:rsidRPr="00747AAC" w14:paraId="70DBBBDA" w14:textId="77777777" w:rsidTr="00187AC0">
        <w:trPr>
          <w:trHeight w:val="300"/>
        </w:trPr>
        <w:tc>
          <w:tcPr>
            <w:tcW w:w="818" w:type="dxa"/>
            <w:tcBorders>
              <w:top w:val="single" w:sz="4" w:space="0" w:color="74000E" w:themeColor="accent1"/>
              <w:left w:val="single" w:sz="4" w:space="0" w:color="74000E" w:themeColor="accent1"/>
              <w:bottom w:val="single" w:sz="4" w:space="0" w:color="74000E" w:themeColor="accent1"/>
              <w:right w:val="single" w:sz="4" w:space="0" w:color="74000E" w:themeColor="accent1"/>
            </w:tcBorders>
            <w:shd w:val="clear" w:color="auto" w:fill="auto"/>
            <w:noWrap/>
            <w:vAlign w:val="bottom"/>
            <w:hideMark/>
          </w:tcPr>
          <w:p w14:paraId="7FF926BB" w14:textId="77777777" w:rsidR="000B5319" w:rsidRPr="00187AC0" w:rsidRDefault="000B5319" w:rsidP="007B0C5A">
            <w:pPr>
              <w:pStyle w:val="TableTextCentered"/>
            </w:pPr>
            <w:r w:rsidRPr="00187AC0">
              <w:t>9</w:t>
            </w:r>
          </w:p>
        </w:tc>
        <w:tc>
          <w:tcPr>
            <w:tcW w:w="625" w:type="dxa"/>
            <w:tcBorders>
              <w:top w:val="single" w:sz="4" w:space="0" w:color="74000E" w:themeColor="accent1"/>
              <w:left w:val="single" w:sz="4" w:space="0" w:color="74000E" w:themeColor="accent1"/>
              <w:bottom w:val="single" w:sz="4" w:space="0" w:color="74000E" w:themeColor="accent1"/>
              <w:right w:val="nil"/>
            </w:tcBorders>
            <w:shd w:val="clear" w:color="auto" w:fill="auto"/>
            <w:noWrap/>
            <w:vAlign w:val="bottom"/>
            <w:hideMark/>
          </w:tcPr>
          <w:p w14:paraId="144FC826" w14:textId="77777777" w:rsidR="000B5319" w:rsidRPr="000B5319" w:rsidRDefault="000B5319" w:rsidP="007B0C5A">
            <w:pPr>
              <w:pStyle w:val="TableTextCentered"/>
            </w:pPr>
            <w:r w:rsidRPr="000B5319">
              <w:t>0%</w:t>
            </w:r>
          </w:p>
        </w:tc>
        <w:tc>
          <w:tcPr>
            <w:tcW w:w="625" w:type="dxa"/>
            <w:tcBorders>
              <w:top w:val="single" w:sz="4" w:space="0" w:color="74000E" w:themeColor="accent1"/>
              <w:left w:val="nil"/>
              <w:bottom w:val="single" w:sz="4" w:space="0" w:color="74000E" w:themeColor="accent1"/>
              <w:right w:val="nil"/>
            </w:tcBorders>
            <w:shd w:val="clear" w:color="000000" w:fill="CEDBE3"/>
            <w:noWrap/>
            <w:vAlign w:val="bottom"/>
            <w:hideMark/>
          </w:tcPr>
          <w:p w14:paraId="53BE2927" w14:textId="77777777" w:rsidR="000B5319" w:rsidRPr="000B5319" w:rsidRDefault="000B5319" w:rsidP="007B0C5A">
            <w:pPr>
              <w:pStyle w:val="TableTextCentered"/>
            </w:pPr>
            <w:r w:rsidRPr="000B5319">
              <w:t>1%</w:t>
            </w:r>
          </w:p>
        </w:tc>
        <w:tc>
          <w:tcPr>
            <w:tcW w:w="625" w:type="dxa"/>
            <w:tcBorders>
              <w:top w:val="single" w:sz="4" w:space="0" w:color="74000E" w:themeColor="accent1"/>
              <w:left w:val="nil"/>
              <w:bottom w:val="single" w:sz="4" w:space="0" w:color="74000E" w:themeColor="accent1"/>
              <w:right w:val="nil"/>
            </w:tcBorders>
            <w:shd w:val="clear" w:color="000000" w:fill="CEDBE3"/>
            <w:noWrap/>
            <w:vAlign w:val="bottom"/>
            <w:hideMark/>
          </w:tcPr>
          <w:p w14:paraId="413DA4B8" w14:textId="77777777" w:rsidR="000B5319" w:rsidRPr="000B5319" w:rsidRDefault="000B5319" w:rsidP="007B0C5A">
            <w:pPr>
              <w:pStyle w:val="TableTextCentered"/>
            </w:pPr>
            <w:r w:rsidRPr="000B5319">
              <w:t>1%</w:t>
            </w:r>
          </w:p>
        </w:tc>
        <w:tc>
          <w:tcPr>
            <w:tcW w:w="625" w:type="dxa"/>
            <w:tcBorders>
              <w:top w:val="single" w:sz="4" w:space="0" w:color="74000E" w:themeColor="accent1"/>
              <w:left w:val="nil"/>
              <w:bottom w:val="single" w:sz="4" w:space="0" w:color="74000E" w:themeColor="accent1"/>
              <w:right w:val="nil"/>
            </w:tcBorders>
            <w:shd w:val="clear" w:color="auto" w:fill="auto"/>
            <w:noWrap/>
            <w:vAlign w:val="bottom"/>
            <w:hideMark/>
          </w:tcPr>
          <w:p w14:paraId="74E501BB" w14:textId="77777777" w:rsidR="000B5319" w:rsidRPr="000B5319" w:rsidRDefault="000B5319" w:rsidP="007B0C5A">
            <w:pPr>
              <w:pStyle w:val="TableTextCentered"/>
            </w:pPr>
            <w:r w:rsidRPr="000B5319">
              <w:t>0%</w:t>
            </w:r>
          </w:p>
        </w:tc>
        <w:tc>
          <w:tcPr>
            <w:tcW w:w="625" w:type="dxa"/>
            <w:tcBorders>
              <w:top w:val="single" w:sz="4" w:space="0" w:color="74000E" w:themeColor="accent1"/>
              <w:left w:val="nil"/>
              <w:bottom w:val="single" w:sz="4" w:space="0" w:color="74000E" w:themeColor="accent1"/>
              <w:right w:val="nil"/>
            </w:tcBorders>
            <w:shd w:val="clear" w:color="auto" w:fill="auto"/>
            <w:noWrap/>
            <w:vAlign w:val="bottom"/>
            <w:hideMark/>
          </w:tcPr>
          <w:p w14:paraId="10804970" w14:textId="77777777" w:rsidR="000B5319" w:rsidRPr="000B5319" w:rsidRDefault="000B5319" w:rsidP="007B0C5A">
            <w:pPr>
              <w:pStyle w:val="TableTextCentered"/>
            </w:pPr>
            <w:r w:rsidRPr="000B5319">
              <w:t>0%</w:t>
            </w:r>
          </w:p>
        </w:tc>
        <w:tc>
          <w:tcPr>
            <w:tcW w:w="625" w:type="dxa"/>
            <w:tcBorders>
              <w:top w:val="single" w:sz="4" w:space="0" w:color="74000E" w:themeColor="accent1"/>
              <w:left w:val="nil"/>
              <w:bottom w:val="single" w:sz="4" w:space="0" w:color="74000E" w:themeColor="accent1"/>
              <w:right w:val="nil"/>
            </w:tcBorders>
            <w:shd w:val="clear" w:color="000000" w:fill="CEDBE3"/>
            <w:noWrap/>
            <w:vAlign w:val="bottom"/>
            <w:hideMark/>
          </w:tcPr>
          <w:p w14:paraId="248E13BF" w14:textId="77777777" w:rsidR="000B5319" w:rsidRPr="000B5319" w:rsidRDefault="000B5319" w:rsidP="007B0C5A">
            <w:pPr>
              <w:pStyle w:val="TableTextCentered"/>
            </w:pPr>
            <w:r w:rsidRPr="000B5319">
              <w:t>3%</w:t>
            </w:r>
          </w:p>
        </w:tc>
        <w:tc>
          <w:tcPr>
            <w:tcW w:w="625" w:type="dxa"/>
            <w:tcBorders>
              <w:top w:val="single" w:sz="4" w:space="0" w:color="74000E" w:themeColor="accent1"/>
              <w:left w:val="nil"/>
              <w:bottom w:val="single" w:sz="4" w:space="0" w:color="74000E" w:themeColor="accent1"/>
              <w:right w:val="nil"/>
            </w:tcBorders>
            <w:shd w:val="clear" w:color="000000" w:fill="F2D2D5"/>
            <w:noWrap/>
            <w:vAlign w:val="bottom"/>
            <w:hideMark/>
          </w:tcPr>
          <w:p w14:paraId="799859DB" w14:textId="77777777" w:rsidR="000B5319" w:rsidRPr="000B5319" w:rsidRDefault="000B5319" w:rsidP="007B0C5A">
            <w:pPr>
              <w:pStyle w:val="TableTextCentered"/>
            </w:pPr>
            <w:r w:rsidRPr="000B5319">
              <w:t>37%</w:t>
            </w:r>
          </w:p>
        </w:tc>
        <w:tc>
          <w:tcPr>
            <w:tcW w:w="625" w:type="dxa"/>
            <w:tcBorders>
              <w:top w:val="single" w:sz="4" w:space="0" w:color="74000E" w:themeColor="accent1"/>
              <w:left w:val="nil"/>
              <w:bottom w:val="single" w:sz="4" w:space="0" w:color="74000E" w:themeColor="accent1"/>
              <w:right w:val="nil"/>
            </w:tcBorders>
            <w:shd w:val="clear" w:color="auto" w:fill="auto"/>
            <w:noWrap/>
            <w:vAlign w:val="bottom"/>
            <w:hideMark/>
          </w:tcPr>
          <w:p w14:paraId="64BC0DBC" w14:textId="77777777" w:rsidR="000B5319" w:rsidRPr="000B5319" w:rsidRDefault="000B5319" w:rsidP="007B0C5A">
            <w:pPr>
              <w:pStyle w:val="TableTextCentered"/>
            </w:pPr>
            <w:r w:rsidRPr="000B5319">
              <w:t>0%</w:t>
            </w:r>
          </w:p>
        </w:tc>
        <w:tc>
          <w:tcPr>
            <w:tcW w:w="625" w:type="dxa"/>
            <w:tcBorders>
              <w:top w:val="single" w:sz="4" w:space="0" w:color="74000E" w:themeColor="accent1"/>
              <w:left w:val="nil"/>
              <w:bottom w:val="single" w:sz="4" w:space="0" w:color="74000E" w:themeColor="accent1"/>
              <w:right w:val="nil"/>
            </w:tcBorders>
            <w:shd w:val="clear" w:color="000000" w:fill="F2D2D5"/>
            <w:noWrap/>
            <w:vAlign w:val="bottom"/>
            <w:hideMark/>
          </w:tcPr>
          <w:p w14:paraId="1D67C3C9" w14:textId="77777777" w:rsidR="000B5319" w:rsidRPr="000B5319" w:rsidRDefault="000B5319" w:rsidP="007B0C5A">
            <w:pPr>
              <w:pStyle w:val="TableTextCentered"/>
            </w:pPr>
            <w:r w:rsidRPr="000B5319">
              <w:t>52%</w:t>
            </w:r>
          </w:p>
        </w:tc>
        <w:tc>
          <w:tcPr>
            <w:tcW w:w="485" w:type="dxa"/>
            <w:tcBorders>
              <w:top w:val="single" w:sz="4" w:space="0" w:color="74000E" w:themeColor="accent1"/>
              <w:left w:val="nil"/>
              <w:bottom w:val="single" w:sz="4" w:space="0" w:color="74000E" w:themeColor="accent1"/>
              <w:right w:val="nil"/>
            </w:tcBorders>
            <w:shd w:val="clear" w:color="000000" w:fill="CEDBE3"/>
            <w:noWrap/>
            <w:vAlign w:val="bottom"/>
            <w:hideMark/>
          </w:tcPr>
          <w:p w14:paraId="30CEAB5F" w14:textId="77777777" w:rsidR="000B5319" w:rsidRPr="000B5319" w:rsidRDefault="000B5319" w:rsidP="007B0C5A">
            <w:pPr>
              <w:pStyle w:val="TableTextCentered"/>
            </w:pPr>
            <w:r w:rsidRPr="000B5319">
              <w:t>1%</w:t>
            </w:r>
          </w:p>
        </w:tc>
        <w:tc>
          <w:tcPr>
            <w:tcW w:w="961" w:type="dxa"/>
            <w:tcBorders>
              <w:top w:val="single" w:sz="4" w:space="0" w:color="74000E" w:themeColor="accent1"/>
              <w:left w:val="nil"/>
              <w:bottom w:val="single" w:sz="4" w:space="0" w:color="74000E" w:themeColor="accent1"/>
              <w:right w:val="single" w:sz="4" w:space="0" w:color="74000E" w:themeColor="accent1"/>
            </w:tcBorders>
            <w:shd w:val="clear" w:color="000000" w:fill="F2E2D0"/>
            <w:noWrap/>
            <w:vAlign w:val="bottom"/>
            <w:hideMark/>
          </w:tcPr>
          <w:p w14:paraId="03911B94" w14:textId="77777777" w:rsidR="000B5319" w:rsidRPr="000B5319" w:rsidRDefault="000B5319" w:rsidP="007B0C5A">
            <w:pPr>
              <w:pStyle w:val="TableTextRight"/>
            </w:pPr>
            <w:r w:rsidRPr="000B5319">
              <w:t>4%</w:t>
            </w:r>
          </w:p>
        </w:tc>
      </w:tr>
      <w:tr w:rsidR="000B5319" w:rsidRPr="00747AAC" w14:paraId="7833CE7A" w14:textId="77777777" w:rsidTr="00187AC0">
        <w:trPr>
          <w:trHeight w:val="300"/>
        </w:trPr>
        <w:tc>
          <w:tcPr>
            <w:tcW w:w="818" w:type="dxa"/>
            <w:tcBorders>
              <w:top w:val="single" w:sz="4" w:space="0" w:color="74000E" w:themeColor="accent1"/>
              <w:left w:val="single" w:sz="4" w:space="0" w:color="74000E" w:themeColor="accent1"/>
              <w:bottom w:val="single" w:sz="4" w:space="0" w:color="74000E" w:themeColor="accent1"/>
              <w:right w:val="single" w:sz="4" w:space="0" w:color="74000E" w:themeColor="accent1"/>
            </w:tcBorders>
            <w:shd w:val="clear" w:color="auto" w:fill="auto"/>
            <w:noWrap/>
            <w:vAlign w:val="bottom"/>
            <w:hideMark/>
          </w:tcPr>
          <w:p w14:paraId="38C29827" w14:textId="77777777" w:rsidR="000B5319" w:rsidRPr="00187AC0" w:rsidRDefault="000B5319" w:rsidP="007B0C5A">
            <w:pPr>
              <w:pStyle w:val="TableTextCentered"/>
            </w:pPr>
            <w:r w:rsidRPr="00187AC0">
              <w:t>10&amp;12</w:t>
            </w:r>
          </w:p>
        </w:tc>
        <w:tc>
          <w:tcPr>
            <w:tcW w:w="625" w:type="dxa"/>
            <w:tcBorders>
              <w:top w:val="single" w:sz="4" w:space="0" w:color="74000E" w:themeColor="accent1"/>
              <w:left w:val="single" w:sz="4" w:space="0" w:color="74000E" w:themeColor="accent1"/>
              <w:bottom w:val="single" w:sz="4" w:space="0" w:color="74000E" w:themeColor="accent1"/>
              <w:right w:val="nil"/>
            </w:tcBorders>
            <w:shd w:val="clear" w:color="000000" w:fill="F2E2D0"/>
            <w:noWrap/>
            <w:vAlign w:val="bottom"/>
            <w:hideMark/>
          </w:tcPr>
          <w:p w14:paraId="1C53D0AF" w14:textId="77777777" w:rsidR="000B5319" w:rsidRPr="000B5319" w:rsidRDefault="000B5319" w:rsidP="007B0C5A">
            <w:pPr>
              <w:pStyle w:val="TableTextCentered"/>
            </w:pPr>
            <w:r w:rsidRPr="000B5319">
              <w:t>2%</w:t>
            </w:r>
          </w:p>
        </w:tc>
        <w:tc>
          <w:tcPr>
            <w:tcW w:w="625" w:type="dxa"/>
            <w:tcBorders>
              <w:top w:val="single" w:sz="4" w:space="0" w:color="74000E" w:themeColor="accent1"/>
              <w:left w:val="nil"/>
              <w:bottom w:val="single" w:sz="4" w:space="0" w:color="74000E" w:themeColor="accent1"/>
              <w:right w:val="nil"/>
            </w:tcBorders>
            <w:shd w:val="clear" w:color="000000" w:fill="F2D2D5"/>
            <w:noWrap/>
            <w:vAlign w:val="bottom"/>
            <w:hideMark/>
          </w:tcPr>
          <w:p w14:paraId="56798C1C" w14:textId="77777777" w:rsidR="000B5319" w:rsidRPr="000B5319" w:rsidRDefault="000B5319" w:rsidP="007B0C5A">
            <w:pPr>
              <w:pStyle w:val="TableTextCentered"/>
            </w:pPr>
            <w:r w:rsidRPr="000B5319">
              <w:t>4%</w:t>
            </w:r>
          </w:p>
        </w:tc>
        <w:tc>
          <w:tcPr>
            <w:tcW w:w="625" w:type="dxa"/>
            <w:tcBorders>
              <w:top w:val="single" w:sz="4" w:space="0" w:color="74000E" w:themeColor="accent1"/>
              <w:left w:val="nil"/>
              <w:bottom w:val="single" w:sz="4" w:space="0" w:color="74000E" w:themeColor="accent1"/>
              <w:right w:val="nil"/>
            </w:tcBorders>
            <w:shd w:val="clear" w:color="000000" w:fill="CEDBE3"/>
            <w:noWrap/>
            <w:vAlign w:val="bottom"/>
            <w:hideMark/>
          </w:tcPr>
          <w:p w14:paraId="1000F367" w14:textId="77777777" w:rsidR="000B5319" w:rsidRPr="000B5319" w:rsidRDefault="000B5319" w:rsidP="007B0C5A">
            <w:pPr>
              <w:pStyle w:val="TableTextCentered"/>
            </w:pPr>
            <w:r w:rsidRPr="000B5319">
              <w:t>0%</w:t>
            </w:r>
          </w:p>
        </w:tc>
        <w:tc>
          <w:tcPr>
            <w:tcW w:w="625" w:type="dxa"/>
            <w:tcBorders>
              <w:top w:val="single" w:sz="4" w:space="0" w:color="74000E" w:themeColor="accent1"/>
              <w:left w:val="nil"/>
              <w:bottom w:val="single" w:sz="4" w:space="0" w:color="74000E" w:themeColor="accent1"/>
              <w:right w:val="nil"/>
            </w:tcBorders>
            <w:shd w:val="clear" w:color="000000" w:fill="CEDBE3"/>
            <w:noWrap/>
            <w:vAlign w:val="bottom"/>
            <w:hideMark/>
          </w:tcPr>
          <w:p w14:paraId="0F86791C" w14:textId="77777777" w:rsidR="000B5319" w:rsidRPr="000B5319" w:rsidRDefault="000B5319" w:rsidP="007B0C5A">
            <w:pPr>
              <w:pStyle w:val="TableTextCentered"/>
            </w:pPr>
            <w:r w:rsidRPr="000B5319">
              <w:t>0%</w:t>
            </w:r>
          </w:p>
        </w:tc>
        <w:tc>
          <w:tcPr>
            <w:tcW w:w="625" w:type="dxa"/>
            <w:tcBorders>
              <w:top w:val="single" w:sz="4" w:space="0" w:color="74000E" w:themeColor="accent1"/>
              <w:left w:val="nil"/>
              <w:bottom w:val="single" w:sz="4" w:space="0" w:color="74000E" w:themeColor="accent1"/>
              <w:right w:val="nil"/>
            </w:tcBorders>
            <w:shd w:val="clear" w:color="000000" w:fill="CEDBE3"/>
            <w:noWrap/>
            <w:vAlign w:val="bottom"/>
            <w:hideMark/>
          </w:tcPr>
          <w:p w14:paraId="34E0CD9C" w14:textId="77777777" w:rsidR="000B5319" w:rsidRPr="000B5319" w:rsidRDefault="000B5319" w:rsidP="007B0C5A">
            <w:pPr>
              <w:pStyle w:val="TableTextCentered"/>
            </w:pPr>
            <w:r w:rsidRPr="000B5319">
              <w:t>0%</w:t>
            </w:r>
          </w:p>
        </w:tc>
        <w:tc>
          <w:tcPr>
            <w:tcW w:w="625" w:type="dxa"/>
            <w:tcBorders>
              <w:top w:val="single" w:sz="4" w:space="0" w:color="74000E" w:themeColor="accent1"/>
              <w:left w:val="nil"/>
              <w:bottom w:val="single" w:sz="4" w:space="0" w:color="74000E" w:themeColor="accent1"/>
              <w:right w:val="nil"/>
            </w:tcBorders>
            <w:shd w:val="clear" w:color="000000" w:fill="F2E2D0"/>
            <w:noWrap/>
            <w:vAlign w:val="bottom"/>
            <w:hideMark/>
          </w:tcPr>
          <w:p w14:paraId="2F3CBA7B" w14:textId="77777777" w:rsidR="000B5319" w:rsidRPr="000B5319" w:rsidRDefault="000B5319" w:rsidP="007B0C5A">
            <w:pPr>
              <w:pStyle w:val="TableTextCentered"/>
            </w:pPr>
            <w:r w:rsidRPr="000B5319">
              <w:t>2%</w:t>
            </w:r>
          </w:p>
        </w:tc>
        <w:tc>
          <w:tcPr>
            <w:tcW w:w="625" w:type="dxa"/>
            <w:tcBorders>
              <w:top w:val="single" w:sz="4" w:space="0" w:color="74000E" w:themeColor="accent1"/>
              <w:left w:val="nil"/>
              <w:bottom w:val="single" w:sz="4" w:space="0" w:color="74000E" w:themeColor="accent1"/>
              <w:right w:val="nil"/>
            </w:tcBorders>
            <w:shd w:val="clear" w:color="auto" w:fill="auto"/>
            <w:noWrap/>
            <w:vAlign w:val="bottom"/>
            <w:hideMark/>
          </w:tcPr>
          <w:p w14:paraId="47CACE3C" w14:textId="77777777" w:rsidR="000B5319" w:rsidRPr="000B5319" w:rsidRDefault="000B5319" w:rsidP="007B0C5A">
            <w:pPr>
              <w:pStyle w:val="TableTextCentered"/>
            </w:pPr>
            <w:r w:rsidRPr="000B5319">
              <w:t>0%</w:t>
            </w:r>
          </w:p>
        </w:tc>
        <w:tc>
          <w:tcPr>
            <w:tcW w:w="625" w:type="dxa"/>
            <w:tcBorders>
              <w:top w:val="single" w:sz="4" w:space="0" w:color="74000E" w:themeColor="accent1"/>
              <w:left w:val="nil"/>
              <w:bottom w:val="single" w:sz="4" w:space="0" w:color="74000E" w:themeColor="accent1"/>
              <w:right w:val="nil"/>
            </w:tcBorders>
            <w:shd w:val="clear" w:color="000000" w:fill="CEDBE3"/>
            <w:noWrap/>
            <w:vAlign w:val="bottom"/>
            <w:hideMark/>
          </w:tcPr>
          <w:p w14:paraId="4A56AD90" w14:textId="77777777" w:rsidR="000B5319" w:rsidRPr="000B5319" w:rsidRDefault="000B5319" w:rsidP="007B0C5A">
            <w:pPr>
              <w:pStyle w:val="TableTextCentered"/>
            </w:pPr>
            <w:r w:rsidRPr="000B5319">
              <w:t>0%</w:t>
            </w:r>
          </w:p>
        </w:tc>
        <w:tc>
          <w:tcPr>
            <w:tcW w:w="625" w:type="dxa"/>
            <w:tcBorders>
              <w:top w:val="single" w:sz="4" w:space="0" w:color="74000E" w:themeColor="accent1"/>
              <w:left w:val="nil"/>
              <w:bottom w:val="single" w:sz="4" w:space="0" w:color="74000E" w:themeColor="accent1"/>
              <w:right w:val="nil"/>
            </w:tcBorders>
            <w:shd w:val="clear" w:color="000000" w:fill="F2D2D5"/>
            <w:noWrap/>
            <w:vAlign w:val="bottom"/>
            <w:hideMark/>
          </w:tcPr>
          <w:p w14:paraId="7A4D3803" w14:textId="77777777" w:rsidR="000B5319" w:rsidRPr="000B5319" w:rsidRDefault="000B5319" w:rsidP="007B0C5A">
            <w:pPr>
              <w:pStyle w:val="TableTextCentered"/>
            </w:pPr>
            <w:r w:rsidRPr="000B5319">
              <w:t>4%</w:t>
            </w:r>
          </w:p>
        </w:tc>
        <w:tc>
          <w:tcPr>
            <w:tcW w:w="485" w:type="dxa"/>
            <w:tcBorders>
              <w:top w:val="single" w:sz="4" w:space="0" w:color="74000E" w:themeColor="accent1"/>
              <w:left w:val="nil"/>
              <w:bottom w:val="single" w:sz="4" w:space="0" w:color="74000E" w:themeColor="accent1"/>
              <w:right w:val="nil"/>
            </w:tcBorders>
            <w:shd w:val="clear" w:color="000000" w:fill="CEDBE3"/>
            <w:noWrap/>
            <w:vAlign w:val="bottom"/>
            <w:hideMark/>
          </w:tcPr>
          <w:p w14:paraId="7F6ACEF6" w14:textId="77777777" w:rsidR="000B5319" w:rsidRPr="000B5319" w:rsidRDefault="000B5319" w:rsidP="007B0C5A">
            <w:pPr>
              <w:pStyle w:val="TableTextCentered"/>
            </w:pPr>
            <w:r w:rsidRPr="000B5319">
              <w:t>0%</w:t>
            </w:r>
          </w:p>
        </w:tc>
        <w:tc>
          <w:tcPr>
            <w:tcW w:w="961" w:type="dxa"/>
            <w:tcBorders>
              <w:top w:val="single" w:sz="4" w:space="0" w:color="74000E" w:themeColor="accent1"/>
              <w:left w:val="nil"/>
              <w:bottom w:val="single" w:sz="4" w:space="0" w:color="74000E" w:themeColor="accent1"/>
              <w:right w:val="single" w:sz="4" w:space="0" w:color="74000E" w:themeColor="accent1"/>
            </w:tcBorders>
            <w:shd w:val="clear" w:color="000000" w:fill="F2D2D5"/>
            <w:noWrap/>
            <w:vAlign w:val="bottom"/>
            <w:hideMark/>
          </w:tcPr>
          <w:p w14:paraId="3F92A795" w14:textId="77777777" w:rsidR="000B5319" w:rsidRPr="000B5319" w:rsidRDefault="000B5319" w:rsidP="007B0C5A">
            <w:pPr>
              <w:pStyle w:val="TableTextRight"/>
            </w:pPr>
            <w:r w:rsidRPr="000B5319">
              <w:t>88%</w:t>
            </w:r>
          </w:p>
        </w:tc>
      </w:tr>
    </w:tbl>
    <w:p w14:paraId="4A66E7C2" w14:textId="77777777" w:rsidR="007B0C5A" w:rsidRPr="004A3A7B" w:rsidRDefault="007B0C5A" w:rsidP="00372837"/>
    <w:p w14:paraId="16501BFD" w14:textId="1536D8C2" w:rsidR="00372837" w:rsidRPr="005C4D40" w:rsidRDefault="005C4D40" w:rsidP="000B1493">
      <w:pPr>
        <w:pStyle w:val="Caption"/>
      </w:pPr>
      <w:r w:rsidRPr="00362E81">
        <w:t xml:space="preserve">Table </w:t>
      </w:r>
      <w:r w:rsidR="00215A2C">
        <w:fldChar w:fldCharType="begin"/>
      </w:r>
      <w:r w:rsidR="00215A2C">
        <w:instrText xml:space="preserve"> SEQ Table \* ARABIC </w:instrText>
      </w:r>
      <w:r w:rsidR="00215A2C">
        <w:fldChar w:fldCharType="separate"/>
      </w:r>
      <w:r w:rsidR="00751625">
        <w:rPr>
          <w:noProof/>
        </w:rPr>
        <w:t>5</w:t>
      </w:r>
      <w:r w:rsidR="00215A2C">
        <w:rPr>
          <w:noProof/>
        </w:rPr>
        <w:fldChar w:fldCharType="end"/>
      </w:r>
      <w:r>
        <w:t xml:space="preserve">: </w:t>
      </w:r>
      <w:r w:rsidR="00372837" w:rsidRPr="005C4D40">
        <w:t>Legend: Cell Colour Reference</w:t>
      </w:r>
    </w:p>
    <w:tbl>
      <w:tblPr>
        <w:tblStyle w:val="ListTable3-Accent1"/>
        <w:tblW w:w="0" w:type="auto"/>
        <w:tblLook w:val="04A0" w:firstRow="1" w:lastRow="0" w:firstColumn="1" w:lastColumn="0" w:noHBand="0" w:noVBand="1"/>
      </w:tblPr>
      <w:tblGrid>
        <w:gridCol w:w="3850"/>
        <w:gridCol w:w="3850"/>
      </w:tblGrid>
      <w:tr w:rsidR="00372837" w:rsidRPr="007C7A19" w14:paraId="59719603" w14:textId="77777777" w:rsidTr="006F58B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855" w:type="dxa"/>
          </w:tcPr>
          <w:p w14:paraId="1A4E7455" w14:textId="77777777" w:rsidR="00372837" w:rsidRPr="00CA5ED0" w:rsidRDefault="00372837" w:rsidP="007B0C5A">
            <w:pPr>
              <w:pStyle w:val="TableColumnHeadingLeft"/>
              <w:rPr>
                <w:snapToGrid w:val="0"/>
              </w:rPr>
            </w:pPr>
            <w:r w:rsidRPr="00CA5ED0">
              <w:rPr>
                <w:snapToGrid w:val="0"/>
              </w:rPr>
              <w:t>Number of People</w:t>
            </w:r>
          </w:p>
        </w:tc>
        <w:tc>
          <w:tcPr>
            <w:tcW w:w="3855" w:type="dxa"/>
          </w:tcPr>
          <w:p w14:paraId="4ED195ED" w14:textId="77777777" w:rsidR="00372837" w:rsidRPr="00CA5ED0" w:rsidRDefault="00372837" w:rsidP="007B0C5A">
            <w:pPr>
              <w:pStyle w:val="TableColumnHeadingLeft"/>
              <w:cnfStyle w:val="100000000000" w:firstRow="1" w:lastRow="0" w:firstColumn="0" w:lastColumn="0" w:oddVBand="0" w:evenVBand="0" w:oddHBand="0" w:evenHBand="0" w:firstRowFirstColumn="0" w:firstRowLastColumn="0" w:lastRowFirstColumn="0" w:lastRowLastColumn="0"/>
              <w:rPr>
                <w:snapToGrid w:val="0"/>
              </w:rPr>
            </w:pPr>
            <w:r w:rsidRPr="00CA5ED0">
              <w:rPr>
                <w:snapToGrid w:val="0"/>
              </w:rPr>
              <w:t>Colour</w:t>
            </w:r>
          </w:p>
        </w:tc>
      </w:tr>
      <w:tr w:rsidR="00372837" w:rsidRPr="007C7A19" w14:paraId="1830B4D1" w14:textId="77777777" w:rsidTr="00187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5" w:type="dxa"/>
          </w:tcPr>
          <w:p w14:paraId="7594E706" w14:textId="77777777" w:rsidR="00372837" w:rsidRPr="007C7A19" w:rsidRDefault="00372837" w:rsidP="007B0C5A">
            <w:pPr>
              <w:pStyle w:val="TableTextLeft"/>
              <w:rPr>
                <w:snapToGrid w:val="0"/>
              </w:rPr>
            </w:pPr>
            <w:r w:rsidRPr="007C7A19">
              <w:rPr>
                <w:snapToGrid w:val="0"/>
              </w:rPr>
              <w:t>&gt; 100,000</w:t>
            </w:r>
          </w:p>
        </w:tc>
        <w:tc>
          <w:tcPr>
            <w:tcW w:w="3855" w:type="dxa"/>
            <w:shd w:val="clear" w:color="auto" w:fill="F2D2D5" w:themeFill="background2"/>
          </w:tcPr>
          <w:p w14:paraId="6C6FCDA2" w14:textId="77777777" w:rsidR="00372837" w:rsidRPr="007B0C5A" w:rsidRDefault="00372837" w:rsidP="007B0C5A">
            <w:pPr>
              <w:pStyle w:val="TableTextLeft"/>
              <w:cnfStyle w:val="000000100000" w:firstRow="0" w:lastRow="0" w:firstColumn="0" w:lastColumn="0" w:oddVBand="0" w:evenVBand="0" w:oddHBand="1" w:evenHBand="0" w:firstRowFirstColumn="0" w:firstRowLastColumn="0" w:lastRowFirstColumn="0" w:lastRowLastColumn="0"/>
            </w:pPr>
            <w:r w:rsidRPr="007B0C5A">
              <w:t>Red</w:t>
            </w:r>
          </w:p>
        </w:tc>
      </w:tr>
      <w:tr w:rsidR="00372837" w:rsidRPr="007C7A19" w14:paraId="58455759" w14:textId="77777777" w:rsidTr="00187AC0">
        <w:tc>
          <w:tcPr>
            <w:cnfStyle w:val="001000000000" w:firstRow="0" w:lastRow="0" w:firstColumn="1" w:lastColumn="0" w:oddVBand="0" w:evenVBand="0" w:oddHBand="0" w:evenHBand="0" w:firstRowFirstColumn="0" w:firstRowLastColumn="0" w:lastRowFirstColumn="0" w:lastRowLastColumn="0"/>
            <w:tcW w:w="3855" w:type="dxa"/>
          </w:tcPr>
          <w:p w14:paraId="1F957E3C" w14:textId="77777777" w:rsidR="00372837" w:rsidRPr="007C7A19" w:rsidRDefault="00372837" w:rsidP="007B0C5A">
            <w:pPr>
              <w:pStyle w:val="TableTextLeft"/>
              <w:rPr>
                <w:snapToGrid w:val="0"/>
              </w:rPr>
            </w:pPr>
            <w:r w:rsidRPr="007C7A19">
              <w:rPr>
                <w:snapToGrid w:val="0"/>
              </w:rPr>
              <w:t xml:space="preserve">20,000 </w:t>
            </w:r>
            <w:r w:rsidRPr="007C7A19">
              <w:rPr>
                <w:snapToGrid w:val="0"/>
                <w:u w:val="single"/>
              </w:rPr>
              <w:t xml:space="preserve">&lt; </w:t>
            </w:r>
            <w:r w:rsidRPr="007C7A19">
              <w:rPr>
                <w:snapToGrid w:val="0"/>
              </w:rPr>
              <w:t>100,000</w:t>
            </w:r>
          </w:p>
        </w:tc>
        <w:tc>
          <w:tcPr>
            <w:tcW w:w="3855" w:type="dxa"/>
            <w:shd w:val="clear" w:color="auto" w:fill="F2E1CF" w:themeFill="accent4" w:themeFillTint="33"/>
          </w:tcPr>
          <w:p w14:paraId="45188223" w14:textId="77777777" w:rsidR="00372837" w:rsidRPr="007B0C5A" w:rsidRDefault="00372837" w:rsidP="007B0C5A">
            <w:pPr>
              <w:pStyle w:val="TableTextLeft"/>
              <w:cnfStyle w:val="000000000000" w:firstRow="0" w:lastRow="0" w:firstColumn="0" w:lastColumn="0" w:oddVBand="0" w:evenVBand="0" w:oddHBand="0" w:evenHBand="0" w:firstRowFirstColumn="0" w:firstRowLastColumn="0" w:lastRowFirstColumn="0" w:lastRowLastColumn="0"/>
            </w:pPr>
            <w:r w:rsidRPr="007B0C5A">
              <w:t>Orange</w:t>
            </w:r>
          </w:p>
        </w:tc>
      </w:tr>
      <w:tr w:rsidR="00372837" w:rsidRPr="007C7A19" w14:paraId="3E24D56D" w14:textId="77777777" w:rsidTr="00187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5" w:type="dxa"/>
          </w:tcPr>
          <w:p w14:paraId="7734DAFA" w14:textId="77777777" w:rsidR="00372837" w:rsidRPr="007C7A19" w:rsidRDefault="00372837" w:rsidP="007B0C5A">
            <w:pPr>
              <w:pStyle w:val="TableTextLeft"/>
              <w:rPr>
                <w:snapToGrid w:val="0"/>
              </w:rPr>
            </w:pPr>
            <w:r>
              <w:rPr>
                <w:snapToGrid w:val="0"/>
              </w:rPr>
              <w:t>5</w:t>
            </w:r>
            <w:r w:rsidRPr="007C7A19">
              <w:rPr>
                <w:snapToGrid w:val="0"/>
              </w:rPr>
              <w:t xml:space="preserve">,000 </w:t>
            </w:r>
            <w:r w:rsidRPr="007C7A19">
              <w:rPr>
                <w:snapToGrid w:val="0"/>
                <w:u w:val="single"/>
              </w:rPr>
              <w:t>&lt;</w:t>
            </w:r>
            <w:r w:rsidRPr="007C7A19">
              <w:rPr>
                <w:snapToGrid w:val="0"/>
              </w:rPr>
              <w:t xml:space="preserve"> 20,000</w:t>
            </w:r>
          </w:p>
        </w:tc>
        <w:tc>
          <w:tcPr>
            <w:tcW w:w="3855" w:type="dxa"/>
            <w:shd w:val="clear" w:color="auto" w:fill="CEDBE3" w:themeFill="text2"/>
          </w:tcPr>
          <w:p w14:paraId="41C1AD5E" w14:textId="77777777" w:rsidR="00372837" w:rsidRPr="007B0C5A" w:rsidRDefault="00372837" w:rsidP="007B0C5A">
            <w:pPr>
              <w:pStyle w:val="TableTextLeft"/>
              <w:cnfStyle w:val="000000100000" w:firstRow="0" w:lastRow="0" w:firstColumn="0" w:lastColumn="0" w:oddVBand="0" w:evenVBand="0" w:oddHBand="1" w:evenHBand="0" w:firstRowFirstColumn="0" w:firstRowLastColumn="0" w:lastRowFirstColumn="0" w:lastRowLastColumn="0"/>
            </w:pPr>
            <w:r w:rsidRPr="007B0C5A">
              <w:t>Blue</w:t>
            </w:r>
          </w:p>
        </w:tc>
      </w:tr>
      <w:tr w:rsidR="00372837" w:rsidRPr="007C7A19" w14:paraId="71EDD233" w14:textId="77777777" w:rsidTr="00FB22F3">
        <w:tc>
          <w:tcPr>
            <w:cnfStyle w:val="001000000000" w:firstRow="0" w:lastRow="0" w:firstColumn="1" w:lastColumn="0" w:oddVBand="0" w:evenVBand="0" w:oddHBand="0" w:evenHBand="0" w:firstRowFirstColumn="0" w:firstRowLastColumn="0" w:lastRowFirstColumn="0" w:lastRowLastColumn="0"/>
            <w:tcW w:w="3855" w:type="dxa"/>
          </w:tcPr>
          <w:p w14:paraId="261C8E1E" w14:textId="77777777" w:rsidR="00372837" w:rsidRPr="007C7A19" w:rsidRDefault="00372837" w:rsidP="007B0C5A">
            <w:pPr>
              <w:pStyle w:val="TableTextLeft"/>
              <w:rPr>
                <w:snapToGrid w:val="0"/>
              </w:rPr>
            </w:pPr>
            <w:r w:rsidRPr="007C7A19">
              <w:rPr>
                <w:snapToGrid w:val="0"/>
              </w:rPr>
              <w:t xml:space="preserve">&lt; </w:t>
            </w:r>
            <w:r>
              <w:rPr>
                <w:snapToGrid w:val="0"/>
              </w:rPr>
              <w:t>5</w:t>
            </w:r>
            <w:r w:rsidRPr="007C7A19">
              <w:rPr>
                <w:snapToGrid w:val="0"/>
              </w:rPr>
              <w:t>,000</w:t>
            </w:r>
          </w:p>
        </w:tc>
        <w:tc>
          <w:tcPr>
            <w:tcW w:w="3855" w:type="dxa"/>
          </w:tcPr>
          <w:p w14:paraId="3084CE5F" w14:textId="77777777" w:rsidR="00372837" w:rsidRPr="007B0C5A" w:rsidRDefault="00372837" w:rsidP="007B0C5A">
            <w:pPr>
              <w:pStyle w:val="TableTextLeft"/>
              <w:cnfStyle w:val="000000000000" w:firstRow="0" w:lastRow="0" w:firstColumn="0" w:lastColumn="0" w:oddVBand="0" w:evenVBand="0" w:oddHBand="0" w:evenHBand="0" w:firstRowFirstColumn="0" w:firstRowLastColumn="0" w:lastRowFirstColumn="0" w:lastRowLastColumn="0"/>
            </w:pPr>
            <w:r w:rsidRPr="007B0C5A">
              <w:t>No fill</w:t>
            </w:r>
          </w:p>
        </w:tc>
      </w:tr>
    </w:tbl>
    <w:p w14:paraId="4BA5D780" w14:textId="77777777" w:rsidR="00372837" w:rsidRDefault="00372837" w:rsidP="007B0C5A">
      <w:pPr>
        <w:pStyle w:val="TableTextLeft"/>
        <w:rPr>
          <w:rFonts w:cs="Arial"/>
        </w:rPr>
      </w:pPr>
    </w:p>
    <w:p w14:paraId="344935C6" w14:textId="77777777" w:rsidR="00372837" w:rsidRDefault="00372837" w:rsidP="00BF1A16">
      <w:pPr>
        <w:pStyle w:val="OutlineNumbered1"/>
      </w:pPr>
      <w:r>
        <w:t>Across</w:t>
      </w:r>
      <w:r w:rsidRPr="00AA4435">
        <w:t xml:space="preserve"> all classes, the </w:t>
      </w:r>
      <w:r>
        <w:t>high persistency of staying within a class over the 2018 to 2019 period is evident.</w:t>
      </w:r>
    </w:p>
    <w:p w14:paraId="77A0B276" w14:textId="0BA5DE3D" w:rsidR="00372837" w:rsidRDefault="00372837" w:rsidP="00BF1A16">
      <w:pPr>
        <w:pStyle w:val="OutlineNumbered1"/>
      </w:pPr>
      <w:r w:rsidRPr="0057373E">
        <w:t xml:space="preserve">Classes 5 and 6 exhibit the highest persistency, which correspond to the low exit rates demonstrated in </w:t>
      </w:r>
      <w:r w:rsidR="000C7C46">
        <w:fldChar w:fldCharType="begin"/>
      </w:r>
      <w:r w:rsidR="000C7C46">
        <w:instrText xml:space="preserve"> REF  Figure17 \* Caps \h  \* MERGEFORMAT </w:instrText>
      </w:r>
      <w:r w:rsidR="000C7C46">
        <w:fldChar w:fldCharType="separate"/>
      </w:r>
      <w:r w:rsidR="00751625" w:rsidRPr="002B1B4A">
        <w:t xml:space="preserve">Figure </w:t>
      </w:r>
      <w:r w:rsidR="00751625">
        <w:rPr>
          <w:noProof/>
        </w:rPr>
        <w:t>17</w:t>
      </w:r>
      <w:r w:rsidR="000C7C46">
        <w:fldChar w:fldCharType="end"/>
      </w:r>
      <w:r w:rsidRPr="0057373E">
        <w:t xml:space="preserve"> and </w:t>
      </w:r>
      <w:r w:rsidR="000C7C46">
        <w:fldChar w:fldCharType="begin"/>
      </w:r>
      <w:r w:rsidR="000C7C46">
        <w:instrText xml:space="preserve"> REF  Figure18 \h  \* MERGEFORMAT </w:instrText>
      </w:r>
      <w:r w:rsidR="000C7C46">
        <w:fldChar w:fldCharType="separate"/>
      </w:r>
      <w:r w:rsidR="00751625" w:rsidRPr="00B073BB">
        <w:t xml:space="preserve">Figure </w:t>
      </w:r>
      <w:r w:rsidR="00751625">
        <w:rPr>
          <w:noProof/>
        </w:rPr>
        <w:t>18</w:t>
      </w:r>
      <w:r w:rsidR="000C7C46">
        <w:fldChar w:fldCharType="end"/>
      </w:r>
      <w:r w:rsidRPr="0057373E">
        <w:t xml:space="preserve"> (</w:t>
      </w:r>
      <w:r>
        <w:t>C</w:t>
      </w:r>
      <w:r w:rsidRPr="0057373E">
        <w:t xml:space="preserve">lass 5), and </w:t>
      </w:r>
      <w:r w:rsidR="000C7C46">
        <w:fldChar w:fldCharType="begin"/>
      </w:r>
      <w:r w:rsidR="000C7C46">
        <w:instrText xml:space="preserve"> REF  Figure19 \h  \* MERGEFORMAT </w:instrText>
      </w:r>
      <w:r w:rsidR="000C7C46">
        <w:fldChar w:fldCharType="separate"/>
      </w:r>
      <w:r w:rsidR="00751625" w:rsidRPr="00B073BB">
        <w:t xml:space="preserve">Figure </w:t>
      </w:r>
      <w:r w:rsidR="00751625">
        <w:rPr>
          <w:noProof/>
        </w:rPr>
        <w:t>19</w:t>
      </w:r>
      <w:r w:rsidR="000C7C46">
        <w:fldChar w:fldCharType="end"/>
      </w:r>
      <w:r w:rsidRPr="0057373E">
        <w:t xml:space="preserve"> and </w:t>
      </w:r>
      <w:r w:rsidR="000C7C46">
        <w:fldChar w:fldCharType="begin"/>
      </w:r>
      <w:r w:rsidR="000C7C46">
        <w:instrText xml:space="preserve"> REF  Figure20 \* Caps \h  \* MERGEFORMAT </w:instrText>
      </w:r>
      <w:r w:rsidR="000C7C46">
        <w:fldChar w:fldCharType="separate"/>
      </w:r>
      <w:r w:rsidR="00751625" w:rsidRPr="006312A5">
        <w:t xml:space="preserve">Figure </w:t>
      </w:r>
      <w:r w:rsidR="00751625">
        <w:rPr>
          <w:noProof/>
        </w:rPr>
        <w:t>20</w:t>
      </w:r>
      <w:r w:rsidR="000C7C46">
        <w:fldChar w:fldCharType="end"/>
      </w:r>
      <w:r w:rsidRPr="0057373E">
        <w:t xml:space="preserve"> (</w:t>
      </w:r>
      <w:r>
        <w:t>C</w:t>
      </w:r>
      <w:r w:rsidRPr="0057373E">
        <w:t>lass 6). Both are characterised by very low tra</w:t>
      </w:r>
      <w:r>
        <w:t>nsitions to non-welfare (Class</w:t>
      </w:r>
      <w:r w:rsidRPr="0057373E">
        <w:t xml:space="preserve"> 10).</w:t>
      </w:r>
    </w:p>
    <w:p w14:paraId="6AEB4849" w14:textId="77777777" w:rsidR="00372837" w:rsidRDefault="00372837" w:rsidP="00BF1A16">
      <w:pPr>
        <w:pStyle w:val="OutlineNumbered1"/>
      </w:pPr>
      <w:r>
        <w:t>Significant transitions between classes include:</w:t>
      </w:r>
    </w:p>
    <w:p w14:paraId="5F40F641" w14:textId="77777777" w:rsidR="00372837" w:rsidRDefault="00372837" w:rsidP="00BF1A16">
      <w:pPr>
        <w:pStyle w:val="Bullet1"/>
      </w:pPr>
      <w:r>
        <w:t>Movements into working age (Class 2) from studying (Class 1), parents (Class 3), and carers (Class 4).</w:t>
      </w:r>
    </w:p>
    <w:p w14:paraId="5A33FE71" w14:textId="77777777" w:rsidR="00372837" w:rsidRDefault="00372837" w:rsidP="00BF1A16">
      <w:pPr>
        <w:pStyle w:val="Bullet1"/>
      </w:pPr>
      <w:r>
        <w:lastRenderedPageBreak/>
        <w:t>Movements into non-income support – family (Class 7) from working age (Class 2) and parents (Class 3).</w:t>
      </w:r>
    </w:p>
    <w:p w14:paraId="17B5254C" w14:textId="77777777" w:rsidR="00372837" w:rsidRDefault="00372837" w:rsidP="00BF1A16">
      <w:pPr>
        <w:pStyle w:val="Bullet1"/>
      </w:pPr>
      <w:r>
        <w:t>Movements into Age Pension (Class 6) occurs from across the spectrum of the welfare and non-welfare population, notwithstanding that some welfare classes are age-restricted and, hence, are associated with transfer rates of 0% to Class 6. Classes 2, 4, 5 and 9 have significant transitions into Class 6 by both number of transfers and transfer rate.</w:t>
      </w:r>
    </w:p>
    <w:p w14:paraId="1B648BD6" w14:textId="77777777" w:rsidR="00372837" w:rsidRDefault="00372837" w:rsidP="00BF1A16">
      <w:pPr>
        <w:pStyle w:val="Bullet1"/>
      </w:pPr>
      <w:r>
        <w:t>Age Pension (Class 6) and disability (Class 5) have a significant number (and rate) of exits due to death.</w:t>
      </w:r>
    </w:p>
    <w:p w14:paraId="7B553F32" w14:textId="77777777" w:rsidR="00372837" w:rsidRDefault="00372837" w:rsidP="00BF1A16">
      <w:pPr>
        <w:pStyle w:val="OutlineNumbered1"/>
      </w:pPr>
      <w:r>
        <w:t>Overall, the main entry points into welfare are through working age (Class 2), non-income support families payments (with entry through Class 9), studying payments (Class 1), and Age Pension (Class 6).</w:t>
      </w:r>
    </w:p>
    <w:p w14:paraId="106652AF" w14:textId="77777777" w:rsidR="00372837" w:rsidRDefault="00372837" w:rsidP="00BF1A16">
      <w:pPr>
        <w:pStyle w:val="OutlineNumbered1"/>
      </w:pPr>
      <w:r>
        <w:t>It is important to note that the above rates are not age- or profile- weighted. For example, 3.9% of all people in Class 6 died in the year; although, for older age groups this would have been much higher.</w:t>
      </w:r>
    </w:p>
    <w:p w14:paraId="407EBE3E" w14:textId="7880B2EF" w:rsidR="00372837" w:rsidRDefault="00372837" w:rsidP="00746DB7">
      <w:pPr>
        <w:pStyle w:val="Heading3notnumbered"/>
      </w:pPr>
      <w:r>
        <w:t xml:space="preserve">Payment </w:t>
      </w:r>
      <w:r w:rsidR="00890CAA">
        <w:t>s</w:t>
      </w:r>
      <w:r>
        <w:t xml:space="preserve">ize per </w:t>
      </w:r>
      <w:r w:rsidR="00890CAA">
        <w:t>c</w:t>
      </w:r>
      <w:r>
        <w:t>lass</w:t>
      </w:r>
    </w:p>
    <w:p w14:paraId="595532FA" w14:textId="00BD1041" w:rsidR="00372837" w:rsidRDefault="00372837" w:rsidP="00A62E3F">
      <w:pPr>
        <w:pStyle w:val="OutlineNumbered1"/>
        <w:rPr>
          <w:snapToGrid w:val="0"/>
        </w:rPr>
      </w:pPr>
      <w:r>
        <w:t xml:space="preserve">The average payment per welfare class is a key driver of Lifetime Cost. </w:t>
      </w:r>
      <w:r w:rsidR="001F127A">
        <w:fldChar w:fldCharType="begin"/>
      </w:r>
      <w:r w:rsidR="001F127A">
        <w:instrText xml:space="preserve"> REF  Table6 \h </w:instrText>
      </w:r>
      <w:r w:rsidR="001F127A">
        <w:fldChar w:fldCharType="separate"/>
      </w:r>
      <w:r w:rsidR="00751625">
        <w:t xml:space="preserve">Table </w:t>
      </w:r>
      <w:r w:rsidR="00751625">
        <w:rPr>
          <w:noProof/>
        </w:rPr>
        <w:t>6</w:t>
      </w:r>
      <w:r w:rsidR="001F127A">
        <w:fldChar w:fldCharType="end"/>
      </w:r>
      <w:r>
        <w:t xml:space="preserve"> presents the amounts for each class.</w:t>
      </w:r>
      <w:r>
        <w:rPr>
          <w:snapToGrid w:val="0"/>
        </w:rPr>
        <w:t xml:space="preserve"> </w:t>
      </w:r>
    </w:p>
    <w:p w14:paraId="34919496" w14:textId="35DC46F0" w:rsidR="00372837" w:rsidRDefault="00372837" w:rsidP="000B1493">
      <w:pPr>
        <w:pStyle w:val="Caption"/>
      </w:pPr>
      <w:bookmarkStart w:id="206" w:name="Table6"/>
      <w:r>
        <w:t xml:space="preserve">Table </w:t>
      </w:r>
      <w:r w:rsidR="00215A2C">
        <w:fldChar w:fldCharType="begin"/>
      </w:r>
      <w:r w:rsidR="00215A2C">
        <w:instrText xml:space="preserve"> SEQ Table \* ARABIC </w:instrText>
      </w:r>
      <w:r w:rsidR="00215A2C">
        <w:fldChar w:fldCharType="separate"/>
      </w:r>
      <w:r w:rsidR="00751625">
        <w:rPr>
          <w:noProof/>
        </w:rPr>
        <w:t>6</w:t>
      </w:r>
      <w:r w:rsidR="00215A2C">
        <w:rPr>
          <w:noProof/>
        </w:rPr>
        <w:fldChar w:fldCharType="end"/>
      </w:r>
      <w:bookmarkEnd w:id="206"/>
      <w:r>
        <w:t>: Average Payments per Welfare Class, 2017-18 and 2018-19.</w:t>
      </w:r>
    </w:p>
    <w:tbl>
      <w:tblPr>
        <w:tblStyle w:val="ListTable3-Accent1"/>
        <w:tblW w:w="5000" w:type="pct"/>
        <w:tblLook w:val="04A0" w:firstRow="1" w:lastRow="0" w:firstColumn="1" w:lastColumn="0" w:noHBand="0" w:noVBand="1"/>
      </w:tblPr>
      <w:tblGrid>
        <w:gridCol w:w="2385"/>
        <w:gridCol w:w="1391"/>
        <w:gridCol w:w="1391"/>
        <w:gridCol w:w="2533"/>
      </w:tblGrid>
      <w:tr w:rsidR="00372837" w:rsidRPr="00D05FBC" w14:paraId="0A768759" w14:textId="77777777" w:rsidTr="00217D8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49" w:type="pct"/>
            <w:vMerge w:val="restart"/>
          </w:tcPr>
          <w:p w14:paraId="4FFE0A52" w14:textId="77777777" w:rsidR="00372837" w:rsidRPr="00200DAF" w:rsidRDefault="00372837" w:rsidP="007B0C5A">
            <w:pPr>
              <w:pStyle w:val="TableColumnHeadingCentred"/>
              <w:rPr>
                <w:b/>
                <w:snapToGrid w:val="0"/>
              </w:rPr>
            </w:pPr>
            <w:r w:rsidRPr="00200DAF">
              <w:rPr>
                <w:b/>
                <w:snapToGrid w:val="0"/>
              </w:rPr>
              <w:t>Class</w:t>
            </w:r>
          </w:p>
        </w:tc>
        <w:tc>
          <w:tcPr>
            <w:tcW w:w="1806" w:type="pct"/>
            <w:gridSpan w:val="2"/>
          </w:tcPr>
          <w:p w14:paraId="5FDEBEBC" w14:textId="77777777" w:rsidR="00372837" w:rsidRPr="00200DAF" w:rsidRDefault="00372837" w:rsidP="007B0C5A">
            <w:pPr>
              <w:pStyle w:val="TableColumnHeadingCentred"/>
              <w:cnfStyle w:val="100000000000" w:firstRow="1" w:lastRow="0" w:firstColumn="0" w:lastColumn="0" w:oddVBand="0" w:evenVBand="0" w:oddHBand="0" w:evenHBand="0" w:firstRowFirstColumn="0" w:firstRowLastColumn="0" w:lastRowFirstColumn="0" w:lastRowLastColumn="0"/>
              <w:rPr>
                <w:b/>
                <w:snapToGrid w:val="0"/>
              </w:rPr>
            </w:pPr>
            <w:r w:rsidRPr="00200DAF">
              <w:rPr>
                <w:b/>
                <w:snapToGrid w:val="0"/>
              </w:rPr>
              <w:t>Average Payment in Year</w:t>
            </w:r>
          </w:p>
        </w:tc>
        <w:tc>
          <w:tcPr>
            <w:tcW w:w="1645" w:type="pct"/>
            <w:vMerge w:val="restart"/>
          </w:tcPr>
          <w:p w14:paraId="7F480F0E" w14:textId="77777777" w:rsidR="00372837" w:rsidRPr="00200DAF" w:rsidRDefault="00372837" w:rsidP="007B0C5A">
            <w:pPr>
              <w:pStyle w:val="TableColumnHeadingCentred"/>
              <w:cnfStyle w:val="100000000000" w:firstRow="1" w:lastRow="0" w:firstColumn="0" w:lastColumn="0" w:oddVBand="0" w:evenVBand="0" w:oddHBand="0" w:evenHBand="0" w:firstRowFirstColumn="0" w:firstRowLastColumn="0" w:lastRowFirstColumn="0" w:lastRowLastColumn="0"/>
              <w:rPr>
                <w:b/>
                <w:snapToGrid w:val="0"/>
              </w:rPr>
            </w:pPr>
            <w:r w:rsidRPr="00200DAF">
              <w:rPr>
                <w:b/>
                <w:snapToGrid w:val="0"/>
              </w:rPr>
              <w:t xml:space="preserve">% Change in </w:t>
            </w:r>
            <w:r w:rsidRPr="00200DAF">
              <w:rPr>
                <w:b/>
                <w:bCs w:val="0"/>
                <w:snapToGrid w:val="0"/>
              </w:rPr>
              <w:t>Past</w:t>
            </w:r>
            <w:r w:rsidRPr="00200DAF">
              <w:rPr>
                <w:b/>
                <w:snapToGrid w:val="0"/>
              </w:rPr>
              <w:t xml:space="preserve"> Year</w:t>
            </w:r>
          </w:p>
        </w:tc>
      </w:tr>
      <w:tr w:rsidR="00372837" w:rsidRPr="00D05FBC" w14:paraId="1ED9AC3A" w14:textId="77777777" w:rsidTr="00A128CA">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549" w:type="pct"/>
            <w:vMerge/>
          </w:tcPr>
          <w:p w14:paraId="00330D2B" w14:textId="77777777" w:rsidR="00372837" w:rsidRPr="00FE29EA" w:rsidRDefault="00372837" w:rsidP="00D47E77">
            <w:pPr>
              <w:keepNext/>
              <w:spacing w:before="40" w:after="40"/>
              <w:jc w:val="center"/>
              <w:rPr>
                <w:rFonts w:cs="Arial"/>
                <w:snapToGrid w:val="0"/>
                <w:sz w:val="18"/>
                <w:szCs w:val="18"/>
              </w:rPr>
            </w:pPr>
          </w:p>
        </w:tc>
        <w:tc>
          <w:tcPr>
            <w:tcW w:w="903" w:type="pct"/>
            <w:shd w:val="clear" w:color="auto" w:fill="74000E" w:themeFill="accent1"/>
          </w:tcPr>
          <w:p w14:paraId="418CE810" w14:textId="77777777" w:rsidR="00372837" w:rsidRPr="00FE29EA" w:rsidRDefault="00372837" w:rsidP="00D47E77">
            <w:pPr>
              <w:keepNext/>
              <w:spacing w:before="40" w:after="40"/>
              <w:jc w:val="center"/>
              <w:cnfStyle w:val="000000100000" w:firstRow="0" w:lastRow="0" w:firstColumn="0" w:lastColumn="0" w:oddVBand="0" w:evenVBand="0" w:oddHBand="1" w:evenHBand="0" w:firstRowFirstColumn="0" w:firstRowLastColumn="0" w:lastRowFirstColumn="0" w:lastRowLastColumn="0"/>
              <w:rPr>
                <w:rFonts w:cs="Arial"/>
                <w:b/>
                <w:snapToGrid w:val="0"/>
                <w:color w:val="FFFFFF" w:themeColor="background1"/>
                <w:sz w:val="18"/>
                <w:szCs w:val="18"/>
              </w:rPr>
            </w:pPr>
            <w:r w:rsidRPr="00FE29EA">
              <w:rPr>
                <w:rFonts w:cs="Arial"/>
                <w:b/>
                <w:snapToGrid w:val="0"/>
                <w:color w:val="FFFFFF" w:themeColor="background1"/>
                <w:sz w:val="18"/>
                <w:szCs w:val="18"/>
              </w:rPr>
              <w:t>2018</w:t>
            </w:r>
          </w:p>
        </w:tc>
        <w:tc>
          <w:tcPr>
            <w:tcW w:w="903" w:type="pct"/>
            <w:shd w:val="clear" w:color="auto" w:fill="74000E" w:themeFill="accent1"/>
          </w:tcPr>
          <w:p w14:paraId="55AF858E" w14:textId="77777777" w:rsidR="00372837" w:rsidRPr="00FE29EA" w:rsidRDefault="00372837" w:rsidP="00D47E77">
            <w:pPr>
              <w:keepNext/>
              <w:spacing w:before="40" w:after="40"/>
              <w:jc w:val="center"/>
              <w:cnfStyle w:val="000000100000" w:firstRow="0" w:lastRow="0" w:firstColumn="0" w:lastColumn="0" w:oddVBand="0" w:evenVBand="0" w:oddHBand="1" w:evenHBand="0" w:firstRowFirstColumn="0" w:firstRowLastColumn="0" w:lastRowFirstColumn="0" w:lastRowLastColumn="0"/>
              <w:rPr>
                <w:rFonts w:cs="Arial"/>
                <w:b/>
                <w:snapToGrid w:val="0"/>
                <w:color w:val="FFFFFF" w:themeColor="background1"/>
                <w:sz w:val="18"/>
                <w:szCs w:val="18"/>
              </w:rPr>
            </w:pPr>
            <w:r w:rsidRPr="00FE29EA">
              <w:rPr>
                <w:rFonts w:cs="Arial"/>
                <w:b/>
                <w:snapToGrid w:val="0"/>
                <w:color w:val="FFFFFF" w:themeColor="background1"/>
                <w:sz w:val="18"/>
                <w:szCs w:val="18"/>
              </w:rPr>
              <w:t>2019</w:t>
            </w:r>
          </w:p>
        </w:tc>
        <w:tc>
          <w:tcPr>
            <w:tcW w:w="1645" w:type="pct"/>
            <w:vMerge/>
          </w:tcPr>
          <w:p w14:paraId="49A37559" w14:textId="77777777" w:rsidR="00372837" w:rsidRPr="00FE29EA" w:rsidRDefault="00372837" w:rsidP="00D47E77">
            <w:pPr>
              <w:keepNext/>
              <w:spacing w:before="40" w:after="40"/>
              <w:jc w:val="center"/>
              <w:cnfStyle w:val="000000100000" w:firstRow="0" w:lastRow="0" w:firstColumn="0" w:lastColumn="0" w:oddVBand="0" w:evenVBand="0" w:oddHBand="1" w:evenHBand="0" w:firstRowFirstColumn="0" w:firstRowLastColumn="0" w:lastRowFirstColumn="0" w:lastRowLastColumn="0"/>
              <w:rPr>
                <w:rFonts w:cs="Arial"/>
                <w:b/>
                <w:snapToGrid w:val="0"/>
                <w:sz w:val="18"/>
                <w:szCs w:val="18"/>
              </w:rPr>
            </w:pPr>
          </w:p>
        </w:tc>
      </w:tr>
      <w:tr w:rsidR="00372837" w:rsidRPr="00D05FBC" w14:paraId="388C0AEA" w14:textId="77777777" w:rsidTr="00217D8A">
        <w:tc>
          <w:tcPr>
            <w:cnfStyle w:val="001000000000" w:firstRow="0" w:lastRow="0" w:firstColumn="1" w:lastColumn="0" w:oddVBand="0" w:evenVBand="0" w:oddHBand="0" w:evenHBand="0" w:firstRowFirstColumn="0" w:firstRowLastColumn="0" w:lastRowFirstColumn="0" w:lastRowLastColumn="0"/>
            <w:tcW w:w="1549" w:type="pct"/>
          </w:tcPr>
          <w:p w14:paraId="1FB0FF32" w14:textId="77777777" w:rsidR="00372837" w:rsidRPr="00FE29EA" w:rsidRDefault="00372837" w:rsidP="00D47E77">
            <w:pPr>
              <w:keepNext/>
              <w:spacing w:before="40" w:after="40"/>
              <w:jc w:val="center"/>
              <w:rPr>
                <w:rFonts w:cs="Arial"/>
                <w:snapToGrid w:val="0"/>
                <w:sz w:val="18"/>
                <w:szCs w:val="18"/>
              </w:rPr>
            </w:pPr>
            <w:r w:rsidRPr="00FE29EA">
              <w:rPr>
                <w:rFonts w:cs="Arial"/>
                <w:sz w:val="18"/>
                <w:szCs w:val="18"/>
              </w:rPr>
              <w:t>1 Studying</w:t>
            </w:r>
          </w:p>
        </w:tc>
        <w:tc>
          <w:tcPr>
            <w:tcW w:w="903" w:type="pct"/>
          </w:tcPr>
          <w:p w14:paraId="643AD7A3" w14:textId="77777777" w:rsidR="00372837" w:rsidRPr="00200DAF" w:rsidRDefault="00372837" w:rsidP="00D47E77">
            <w:pPr>
              <w:keepNext/>
              <w:spacing w:before="40" w:after="40"/>
              <w:jc w:val="center"/>
              <w:cnfStyle w:val="000000000000" w:firstRow="0" w:lastRow="0" w:firstColumn="0" w:lastColumn="0" w:oddVBand="0" w:evenVBand="0" w:oddHBand="0" w:evenHBand="0" w:firstRowFirstColumn="0" w:firstRowLastColumn="0" w:lastRowFirstColumn="0" w:lastRowLastColumn="0"/>
              <w:rPr>
                <w:rFonts w:cs="Arial"/>
                <w:snapToGrid w:val="0"/>
                <w:sz w:val="18"/>
                <w:szCs w:val="18"/>
              </w:rPr>
            </w:pPr>
            <w:r w:rsidRPr="00200DAF">
              <w:rPr>
                <w:rFonts w:cs="Arial"/>
                <w:sz w:val="18"/>
                <w:szCs w:val="18"/>
              </w:rPr>
              <w:t>7,500</w:t>
            </w:r>
          </w:p>
        </w:tc>
        <w:tc>
          <w:tcPr>
            <w:tcW w:w="903" w:type="pct"/>
          </w:tcPr>
          <w:p w14:paraId="406F6414" w14:textId="77777777" w:rsidR="00372837" w:rsidRPr="00200DAF" w:rsidRDefault="00372837" w:rsidP="00D47E77">
            <w:pPr>
              <w:keepNext/>
              <w:spacing w:before="40" w:after="40"/>
              <w:jc w:val="center"/>
              <w:cnfStyle w:val="000000000000" w:firstRow="0" w:lastRow="0" w:firstColumn="0" w:lastColumn="0" w:oddVBand="0" w:evenVBand="0" w:oddHBand="0" w:evenHBand="0" w:firstRowFirstColumn="0" w:firstRowLastColumn="0" w:lastRowFirstColumn="0" w:lastRowLastColumn="0"/>
              <w:rPr>
                <w:rFonts w:cs="Arial"/>
                <w:snapToGrid w:val="0"/>
                <w:sz w:val="18"/>
                <w:szCs w:val="18"/>
              </w:rPr>
            </w:pPr>
            <w:r w:rsidRPr="00200DAF">
              <w:rPr>
                <w:rFonts w:cs="Arial"/>
                <w:sz w:val="18"/>
                <w:szCs w:val="18"/>
              </w:rPr>
              <w:t>7,500</w:t>
            </w:r>
          </w:p>
        </w:tc>
        <w:tc>
          <w:tcPr>
            <w:tcW w:w="1645" w:type="pct"/>
          </w:tcPr>
          <w:p w14:paraId="0C5F2145" w14:textId="77777777" w:rsidR="00372837" w:rsidRPr="00200DAF" w:rsidRDefault="00372837" w:rsidP="00D47E77">
            <w:pPr>
              <w:keepNext/>
              <w:spacing w:before="40" w:after="40"/>
              <w:jc w:val="center"/>
              <w:cnfStyle w:val="000000000000" w:firstRow="0" w:lastRow="0" w:firstColumn="0" w:lastColumn="0" w:oddVBand="0" w:evenVBand="0" w:oddHBand="0" w:evenHBand="0" w:firstRowFirstColumn="0" w:firstRowLastColumn="0" w:lastRowFirstColumn="0" w:lastRowLastColumn="0"/>
              <w:rPr>
                <w:rFonts w:cs="Arial"/>
                <w:snapToGrid w:val="0"/>
                <w:sz w:val="18"/>
                <w:szCs w:val="18"/>
              </w:rPr>
            </w:pPr>
            <w:r w:rsidRPr="00200DAF">
              <w:rPr>
                <w:rFonts w:cs="Arial"/>
                <w:sz w:val="18"/>
                <w:szCs w:val="18"/>
              </w:rPr>
              <w:t>0.0%</w:t>
            </w:r>
          </w:p>
        </w:tc>
      </w:tr>
      <w:tr w:rsidR="00372837" w:rsidRPr="00D05FBC" w14:paraId="0E899B43" w14:textId="77777777" w:rsidTr="00217D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9" w:type="pct"/>
          </w:tcPr>
          <w:p w14:paraId="6F8B8B58" w14:textId="77777777" w:rsidR="00372837" w:rsidRPr="00D05FBC" w:rsidRDefault="00372837" w:rsidP="00D47E77">
            <w:pPr>
              <w:keepNext/>
              <w:spacing w:before="40" w:after="40"/>
              <w:jc w:val="center"/>
              <w:rPr>
                <w:rFonts w:cs="Arial"/>
                <w:snapToGrid w:val="0"/>
                <w:sz w:val="18"/>
                <w:szCs w:val="18"/>
              </w:rPr>
            </w:pPr>
            <w:r w:rsidRPr="009A3DFE">
              <w:rPr>
                <w:rFonts w:cs="Arial"/>
                <w:sz w:val="18"/>
                <w:szCs w:val="18"/>
              </w:rPr>
              <w:t>2 Working Age</w:t>
            </w:r>
          </w:p>
        </w:tc>
        <w:tc>
          <w:tcPr>
            <w:tcW w:w="903" w:type="pct"/>
          </w:tcPr>
          <w:p w14:paraId="576DB517" w14:textId="77777777" w:rsidR="00372837" w:rsidRPr="00D05FBC" w:rsidRDefault="00372837" w:rsidP="00D47E77">
            <w:pPr>
              <w:keepNext/>
              <w:spacing w:before="40" w:after="40"/>
              <w:jc w:val="center"/>
              <w:cnfStyle w:val="000000100000" w:firstRow="0" w:lastRow="0" w:firstColumn="0" w:lastColumn="0" w:oddVBand="0" w:evenVBand="0" w:oddHBand="1" w:evenHBand="0" w:firstRowFirstColumn="0" w:firstRowLastColumn="0" w:lastRowFirstColumn="0" w:lastRowLastColumn="0"/>
              <w:rPr>
                <w:rFonts w:cs="Arial"/>
                <w:snapToGrid w:val="0"/>
                <w:sz w:val="18"/>
                <w:szCs w:val="18"/>
              </w:rPr>
            </w:pPr>
            <w:r w:rsidRPr="00D05FBC">
              <w:rPr>
                <w:rFonts w:cs="Arial"/>
                <w:sz w:val="18"/>
                <w:szCs w:val="18"/>
              </w:rPr>
              <w:t>11,500</w:t>
            </w:r>
          </w:p>
        </w:tc>
        <w:tc>
          <w:tcPr>
            <w:tcW w:w="903" w:type="pct"/>
          </w:tcPr>
          <w:p w14:paraId="26C91297" w14:textId="77777777" w:rsidR="00372837" w:rsidRPr="00D05FBC" w:rsidRDefault="00372837" w:rsidP="00D47E77">
            <w:pPr>
              <w:keepNext/>
              <w:spacing w:before="40" w:after="40"/>
              <w:jc w:val="center"/>
              <w:cnfStyle w:val="000000100000" w:firstRow="0" w:lastRow="0" w:firstColumn="0" w:lastColumn="0" w:oddVBand="0" w:evenVBand="0" w:oddHBand="1" w:evenHBand="0" w:firstRowFirstColumn="0" w:firstRowLastColumn="0" w:lastRowFirstColumn="0" w:lastRowLastColumn="0"/>
              <w:rPr>
                <w:rFonts w:cs="Arial"/>
                <w:snapToGrid w:val="0"/>
                <w:sz w:val="18"/>
                <w:szCs w:val="18"/>
              </w:rPr>
            </w:pPr>
            <w:r w:rsidRPr="00D05FBC">
              <w:rPr>
                <w:rFonts w:cs="Arial"/>
                <w:sz w:val="18"/>
                <w:szCs w:val="18"/>
              </w:rPr>
              <w:t>11,800</w:t>
            </w:r>
          </w:p>
        </w:tc>
        <w:tc>
          <w:tcPr>
            <w:tcW w:w="1645" w:type="pct"/>
          </w:tcPr>
          <w:p w14:paraId="0ADAFF87" w14:textId="77777777" w:rsidR="00372837" w:rsidRPr="00D05FBC" w:rsidRDefault="00372837" w:rsidP="00D47E77">
            <w:pPr>
              <w:keepNext/>
              <w:spacing w:before="40" w:after="40"/>
              <w:jc w:val="center"/>
              <w:cnfStyle w:val="000000100000" w:firstRow="0" w:lastRow="0" w:firstColumn="0" w:lastColumn="0" w:oddVBand="0" w:evenVBand="0" w:oddHBand="1" w:evenHBand="0" w:firstRowFirstColumn="0" w:firstRowLastColumn="0" w:lastRowFirstColumn="0" w:lastRowLastColumn="0"/>
              <w:rPr>
                <w:rFonts w:cs="Arial"/>
                <w:snapToGrid w:val="0"/>
                <w:sz w:val="18"/>
                <w:szCs w:val="18"/>
              </w:rPr>
            </w:pPr>
            <w:r w:rsidRPr="00D05FBC">
              <w:rPr>
                <w:rFonts w:cs="Arial"/>
                <w:sz w:val="18"/>
                <w:szCs w:val="18"/>
              </w:rPr>
              <w:t>2.6%</w:t>
            </w:r>
          </w:p>
        </w:tc>
      </w:tr>
      <w:tr w:rsidR="00372837" w:rsidRPr="00D05FBC" w14:paraId="4AEF12C9" w14:textId="77777777" w:rsidTr="00217D8A">
        <w:tc>
          <w:tcPr>
            <w:cnfStyle w:val="001000000000" w:firstRow="0" w:lastRow="0" w:firstColumn="1" w:lastColumn="0" w:oddVBand="0" w:evenVBand="0" w:oddHBand="0" w:evenHBand="0" w:firstRowFirstColumn="0" w:firstRowLastColumn="0" w:lastRowFirstColumn="0" w:lastRowLastColumn="0"/>
            <w:tcW w:w="1549" w:type="pct"/>
          </w:tcPr>
          <w:p w14:paraId="50161C2D" w14:textId="77777777" w:rsidR="00372837" w:rsidRPr="00D05FBC" w:rsidRDefault="00372837" w:rsidP="00D47E77">
            <w:pPr>
              <w:spacing w:before="40" w:after="40"/>
              <w:jc w:val="center"/>
              <w:rPr>
                <w:rFonts w:cs="Arial"/>
                <w:snapToGrid w:val="0"/>
                <w:sz w:val="18"/>
                <w:szCs w:val="18"/>
              </w:rPr>
            </w:pPr>
            <w:r w:rsidRPr="009A3DFE">
              <w:rPr>
                <w:rFonts w:cs="Arial"/>
                <w:sz w:val="18"/>
                <w:szCs w:val="18"/>
              </w:rPr>
              <w:t>3 Parents</w:t>
            </w:r>
          </w:p>
        </w:tc>
        <w:tc>
          <w:tcPr>
            <w:tcW w:w="903" w:type="pct"/>
          </w:tcPr>
          <w:p w14:paraId="7B43C515" w14:textId="77777777" w:rsidR="00372837" w:rsidRPr="00D05FBC" w:rsidRDefault="00372837" w:rsidP="00D47E77">
            <w:pPr>
              <w:spacing w:before="40" w:after="40"/>
              <w:jc w:val="center"/>
              <w:cnfStyle w:val="000000000000" w:firstRow="0" w:lastRow="0" w:firstColumn="0" w:lastColumn="0" w:oddVBand="0" w:evenVBand="0" w:oddHBand="0" w:evenHBand="0" w:firstRowFirstColumn="0" w:firstRowLastColumn="0" w:lastRowFirstColumn="0" w:lastRowLastColumn="0"/>
              <w:rPr>
                <w:rFonts w:cs="Arial"/>
                <w:snapToGrid w:val="0"/>
                <w:sz w:val="18"/>
                <w:szCs w:val="18"/>
              </w:rPr>
            </w:pPr>
            <w:r w:rsidRPr="00D05FBC">
              <w:rPr>
                <w:rFonts w:cs="Arial"/>
                <w:sz w:val="18"/>
                <w:szCs w:val="18"/>
              </w:rPr>
              <w:t>33,000</w:t>
            </w:r>
          </w:p>
        </w:tc>
        <w:tc>
          <w:tcPr>
            <w:tcW w:w="903" w:type="pct"/>
          </w:tcPr>
          <w:p w14:paraId="71ECB58E" w14:textId="77777777" w:rsidR="00372837" w:rsidRPr="00D05FBC" w:rsidRDefault="00372837" w:rsidP="00D47E77">
            <w:pPr>
              <w:spacing w:before="40" w:after="40"/>
              <w:jc w:val="center"/>
              <w:cnfStyle w:val="000000000000" w:firstRow="0" w:lastRow="0" w:firstColumn="0" w:lastColumn="0" w:oddVBand="0" w:evenVBand="0" w:oddHBand="0" w:evenHBand="0" w:firstRowFirstColumn="0" w:firstRowLastColumn="0" w:lastRowFirstColumn="0" w:lastRowLastColumn="0"/>
              <w:rPr>
                <w:rFonts w:cs="Arial"/>
                <w:snapToGrid w:val="0"/>
                <w:sz w:val="18"/>
                <w:szCs w:val="18"/>
              </w:rPr>
            </w:pPr>
            <w:r w:rsidRPr="00D05FBC">
              <w:rPr>
                <w:rFonts w:cs="Arial"/>
                <w:sz w:val="18"/>
                <w:szCs w:val="18"/>
              </w:rPr>
              <w:t>33,300</w:t>
            </w:r>
          </w:p>
        </w:tc>
        <w:tc>
          <w:tcPr>
            <w:tcW w:w="1645" w:type="pct"/>
          </w:tcPr>
          <w:p w14:paraId="20FDFD67" w14:textId="77777777" w:rsidR="00372837" w:rsidRPr="00D05FBC" w:rsidRDefault="00372837" w:rsidP="00D47E77">
            <w:pPr>
              <w:spacing w:before="40" w:after="40"/>
              <w:jc w:val="center"/>
              <w:cnfStyle w:val="000000000000" w:firstRow="0" w:lastRow="0" w:firstColumn="0" w:lastColumn="0" w:oddVBand="0" w:evenVBand="0" w:oddHBand="0" w:evenHBand="0" w:firstRowFirstColumn="0" w:firstRowLastColumn="0" w:lastRowFirstColumn="0" w:lastRowLastColumn="0"/>
              <w:rPr>
                <w:rFonts w:cs="Arial"/>
                <w:snapToGrid w:val="0"/>
                <w:sz w:val="18"/>
                <w:szCs w:val="18"/>
              </w:rPr>
            </w:pPr>
            <w:r w:rsidRPr="00D05FBC">
              <w:rPr>
                <w:rFonts w:cs="Arial"/>
                <w:sz w:val="18"/>
                <w:szCs w:val="18"/>
              </w:rPr>
              <w:t>0.9%</w:t>
            </w:r>
          </w:p>
        </w:tc>
      </w:tr>
      <w:tr w:rsidR="00372837" w:rsidRPr="00D05FBC" w14:paraId="08CC2F68" w14:textId="77777777" w:rsidTr="00217D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9" w:type="pct"/>
          </w:tcPr>
          <w:p w14:paraId="50B095F7" w14:textId="77777777" w:rsidR="00372837" w:rsidRPr="00D05FBC" w:rsidRDefault="00372837" w:rsidP="00D47E77">
            <w:pPr>
              <w:spacing w:before="40" w:after="40"/>
              <w:jc w:val="center"/>
              <w:rPr>
                <w:rFonts w:cs="Arial"/>
                <w:snapToGrid w:val="0"/>
                <w:sz w:val="18"/>
                <w:szCs w:val="18"/>
              </w:rPr>
            </w:pPr>
            <w:r w:rsidRPr="009A3DFE">
              <w:rPr>
                <w:rFonts w:cs="Arial"/>
                <w:sz w:val="18"/>
                <w:szCs w:val="18"/>
              </w:rPr>
              <w:t>4 Carers</w:t>
            </w:r>
          </w:p>
        </w:tc>
        <w:tc>
          <w:tcPr>
            <w:tcW w:w="903" w:type="pct"/>
          </w:tcPr>
          <w:p w14:paraId="2176029E" w14:textId="77777777" w:rsidR="00372837" w:rsidRPr="00D05FBC" w:rsidRDefault="00372837" w:rsidP="00D47E77">
            <w:pPr>
              <w:spacing w:before="40" w:after="40"/>
              <w:jc w:val="center"/>
              <w:cnfStyle w:val="000000100000" w:firstRow="0" w:lastRow="0" w:firstColumn="0" w:lastColumn="0" w:oddVBand="0" w:evenVBand="0" w:oddHBand="1" w:evenHBand="0" w:firstRowFirstColumn="0" w:firstRowLastColumn="0" w:lastRowFirstColumn="0" w:lastRowLastColumn="0"/>
              <w:rPr>
                <w:rFonts w:cs="Arial"/>
                <w:snapToGrid w:val="0"/>
                <w:sz w:val="18"/>
                <w:szCs w:val="18"/>
              </w:rPr>
            </w:pPr>
            <w:r w:rsidRPr="00D05FBC">
              <w:rPr>
                <w:rFonts w:cs="Arial"/>
                <w:sz w:val="18"/>
                <w:szCs w:val="18"/>
              </w:rPr>
              <w:t>27,400</w:t>
            </w:r>
          </w:p>
        </w:tc>
        <w:tc>
          <w:tcPr>
            <w:tcW w:w="903" w:type="pct"/>
          </w:tcPr>
          <w:p w14:paraId="474F31BA" w14:textId="77777777" w:rsidR="00372837" w:rsidRPr="00D05FBC" w:rsidRDefault="00372837" w:rsidP="00D47E77">
            <w:pPr>
              <w:spacing w:before="40" w:after="40"/>
              <w:jc w:val="center"/>
              <w:cnfStyle w:val="000000100000" w:firstRow="0" w:lastRow="0" w:firstColumn="0" w:lastColumn="0" w:oddVBand="0" w:evenVBand="0" w:oddHBand="1" w:evenHBand="0" w:firstRowFirstColumn="0" w:firstRowLastColumn="0" w:lastRowFirstColumn="0" w:lastRowLastColumn="0"/>
              <w:rPr>
                <w:rFonts w:cs="Arial"/>
                <w:snapToGrid w:val="0"/>
                <w:sz w:val="18"/>
                <w:szCs w:val="18"/>
              </w:rPr>
            </w:pPr>
            <w:r w:rsidRPr="00D05FBC">
              <w:rPr>
                <w:rFonts w:cs="Arial"/>
                <w:sz w:val="18"/>
                <w:szCs w:val="18"/>
              </w:rPr>
              <w:t>28,000</w:t>
            </w:r>
          </w:p>
        </w:tc>
        <w:tc>
          <w:tcPr>
            <w:tcW w:w="1645" w:type="pct"/>
          </w:tcPr>
          <w:p w14:paraId="44338D9A" w14:textId="77777777" w:rsidR="00372837" w:rsidRPr="00D05FBC" w:rsidRDefault="00372837" w:rsidP="00D47E77">
            <w:pPr>
              <w:spacing w:before="40" w:after="40"/>
              <w:jc w:val="center"/>
              <w:cnfStyle w:val="000000100000" w:firstRow="0" w:lastRow="0" w:firstColumn="0" w:lastColumn="0" w:oddVBand="0" w:evenVBand="0" w:oddHBand="1" w:evenHBand="0" w:firstRowFirstColumn="0" w:firstRowLastColumn="0" w:lastRowFirstColumn="0" w:lastRowLastColumn="0"/>
              <w:rPr>
                <w:rFonts w:cs="Arial"/>
                <w:snapToGrid w:val="0"/>
                <w:sz w:val="18"/>
                <w:szCs w:val="18"/>
              </w:rPr>
            </w:pPr>
            <w:r w:rsidRPr="00D05FBC">
              <w:rPr>
                <w:rFonts w:cs="Arial"/>
                <w:sz w:val="18"/>
                <w:szCs w:val="18"/>
              </w:rPr>
              <w:t>2.2%</w:t>
            </w:r>
          </w:p>
        </w:tc>
      </w:tr>
      <w:tr w:rsidR="00372837" w:rsidRPr="00D05FBC" w14:paraId="5A658753" w14:textId="77777777" w:rsidTr="00217D8A">
        <w:tc>
          <w:tcPr>
            <w:cnfStyle w:val="001000000000" w:firstRow="0" w:lastRow="0" w:firstColumn="1" w:lastColumn="0" w:oddVBand="0" w:evenVBand="0" w:oddHBand="0" w:evenHBand="0" w:firstRowFirstColumn="0" w:firstRowLastColumn="0" w:lastRowFirstColumn="0" w:lastRowLastColumn="0"/>
            <w:tcW w:w="1549" w:type="pct"/>
          </w:tcPr>
          <w:p w14:paraId="1C434FD2" w14:textId="77777777" w:rsidR="00372837" w:rsidRPr="00D05FBC" w:rsidRDefault="00372837" w:rsidP="00D47E77">
            <w:pPr>
              <w:spacing w:before="40" w:after="40"/>
              <w:jc w:val="center"/>
              <w:rPr>
                <w:rFonts w:cs="Arial"/>
                <w:snapToGrid w:val="0"/>
                <w:sz w:val="18"/>
                <w:szCs w:val="18"/>
              </w:rPr>
            </w:pPr>
            <w:r w:rsidRPr="009A3DFE">
              <w:rPr>
                <w:rFonts w:cs="Arial"/>
                <w:sz w:val="18"/>
                <w:szCs w:val="18"/>
              </w:rPr>
              <w:t>5 Disability Support</w:t>
            </w:r>
          </w:p>
        </w:tc>
        <w:tc>
          <w:tcPr>
            <w:tcW w:w="903" w:type="pct"/>
          </w:tcPr>
          <w:p w14:paraId="5D59F71D" w14:textId="77777777" w:rsidR="00372837" w:rsidRPr="00D05FBC" w:rsidRDefault="00372837" w:rsidP="00D47E77">
            <w:pPr>
              <w:spacing w:before="40" w:after="40"/>
              <w:jc w:val="center"/>
              <w:cnfStyle w:val="000000000000" w:firstRow="0" w:lastRow="0" w:firstColumn="0" w:lastColumn="0" w:oddVBand="0" w:evenVBand="0" w:oddHBand="0" w:evenHBand="0" w:firstRowFirstColumn="0" w:firstRowLastColumn="0" w:lastRowFirstColumn="0" w:lastRowLastColumn="0"/>
              <w:rPr>
                <w:rFonts w:cs="Arial"/>
                <w:snapToGrid w:val="0"/>
                <w:sz w:val="18"/>
                <w:szCs w:val="18"/>
              </w:rPr>
            </w:pPr>
            <w:r w:rsidRPr="00D05FBC">
              <w:rPr>
                <w:rFonts w:cs="Arial"/>
                <w:sz w:val="18"/>
                <w:szCs w:val="18"/>
              </w:rPr>
              <w:t>22,400</w:t>
            </w:r>
          </w:p>
        </w:tc>
        <w:tc>
          <w:tcPr>
            <w:tcW w:w="903" w:type="pct"/>
          </w:tcPr>
          <w:p w14:paraId="5F6A0CD8" w14:textId="77777777" w:rsidR="00372837" w:rsidRPr="00D05FBC" w:rsidRDefault="00372837" w:rsidP="00D47E77">
            <w:pPr>
              <w:spacing w:before="40" w:after="40"/>
              <w:jc w:val="center"/>
              <w:cnfStyle w:val="000000000000" w:firstRow="0" w:lastRow="0" w:firstColumn="0" w:lastColumn="0" w:oddVBand="0" w:evenVBand="0" w:oddHBand="0" w:evenHBand="0" w:firstRowFirstColumn="0" w:firstRowLastColumn="0" w:lastRowFirstColumn="0" w:lastRowLastColumn="0"/>
              <w:rPr>
                <w:rFonts w:cs="Arial"/>
                <w:snapToGrid w:val="0"/>
                <w:sz w:val="18"/>
                <w:szCs w:val="18"/>
              </w:rPr>
            </w:pPr>
            <w:r w:rsidRPr="00D05FBC">
              <w:rPr>
                <w:rFonts w:cs="Arial"/>
                <w:sz w:val="18"/>
                <w:szCs w:val="18"/>
              </w:rPr>
              <w:t>22,900</w:t>
            </w:r>
          </w:p>
        </w:tc>
        <w:tc>
          <w:tcPr>
            <w:tcW w:w="1645" w:type="pct"/>
          </w:tcPr>
          <w:p w14:paraId="027B973C" w14:textId="77777777" w:rsidR="00372837" w:rsidRPr="00D05FBC" w:rsidRDefault="00372837" w:rsidP="00D47E77">
            <w:pPr>
              <w:spacing w:before="40" w:after="40"/>
              <w:jc w:val="center"/>
              <w:cnfStyle w:val="000000000000" w:firstRow="0" w:lastRow="0" w:firstColumn="0" w:lastColumn="0" w:oddVBand="0" w:evenVBand="0" w:oddHBand="0" w:evenHBand="0" w:firstRowFirstColumn="0" w:firstRowLastColumn="0" w:lastRowFirstColumn="0" w:lastRowLastColumn="0"/>
              <w:rPr>
                <w:rFonts w:cs="Arial"/>
                <w:snapToGrid w:val="0"/>
                <w:sz w:val="18"/>
                <w:szCs w:val="18"/>
              </w:rPr>
            </w:pPr>
            <w:r w:rsidRPr="00D05FBC">
              <w:rPr>
                <w:rFonts w:cs="Arial"/>
                <w:sz w:val="18"/>
                <w:szCs w:val="18"/>
              </w:rPr>
              <w:t>2.2%</w:t>
            </w:r>
          </w:p>
        </w:tc>
      </w:tr>
      <w:tr w:rsidR="00372837" w:rsidRPr="00D05FBC" w14:paraId="081D283D" w14:textId="77777777" w:rsidTr="00217D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9" w:type="pct"/>
          </w:tcPr>
          <w:p w14:paraId="040573A5" w14:textId="77777777" w:rsidR="00372837" w:rsidRPr="00D05FBC" w:rsidRDefault="00372837" w:rsidP="00D47E77">
            <w:pPr>
              <w:spacing w:before="40" w:after="40"/>
              <w:jc w:val="center"/>
              <w:rPr>
                <w:rFonts w:cs="Arial"/>
                <w:snapToGrid w:val="0"/>
                <w:sz w:val="18"/>
                <w:szCs w:val="18"/>
              </w:rPr>
            </w:pPr>
            <w:r w:rsidRPr="009A3DFE">
              <w:rPr>
                <w:rFonts w:cs="Arial"/>
                <w:sz w:val="18"/>
                <w:szCs w:val="18"/>
              </w:rPr>
              <w:t>6 Pension Age</w:t>
            </w:r>
          </w:p>
        </w:tc>
        <w:tc>
          <w:tcPr>
            <w:tcW w:w="903" w:type="pct"/>
          </w:tcPr>
          <w:p w14:paraId="6032280D" w14:textId="77777777" w:rsidR="00372837" w:rsidRPr="00D05FBC" w:rsidRDefault="00372837" w:rsidP="00D47E77">
            <w:pPr>
              <w:spacing w:before="40" w:after="40"/>
              <w:jc w:val="center"/>
              <w:cnfStyle w:val="000000100000" w:firstRow="0" w:lastRow="0" w:firstColumn="0" w:lastColumn="0" w:oddVBand="0" w:evenVBand="0" w:oddHBand="1" w:evenHBand="0" w:firstRowFirstColumn="0" w:firstRowLastColumn="0" w:lastRowFirstColumn="0" w:lastRowLastColumn="0"/>
              <w:rPr>
                <w:rFonts w:cs="Arial"/>
                <w:snapToGrid w:val="0"/>
                <w:sz w:val="18"/>
                <w:szCs w:val="18"/>
              </w:rPr>
            </w:pPr>
            <w:r w:rsidRPr="00D05FBC">
              <w:rPr>
                <w:rFonts w:cs="Arial"/>
                <w:sz w:val="18"/>
                <w:szCs w:val="18"/>
              </w:rPr>
              <w:t>17,600</w:t>
            </w:r>
          </w:p>
        </w:tc>
        <w:tc>
          <w:tcPr>
            <w:tcW w:w="903" w:type="pct"/>
          </w:tcPr>
          <w:p w14:paraId="7F3773E1" w14:textId="77777777" w:rsidR="00372837" w:rsidRPr="00D05FBC" w:rsidRDefault="00372837" w:rsidP="00D47E77">
            <w:pPr>
              <w:spacing w:before="40" w:after="40"/>
              <w:jc w:val="center"/>
              <w:cnfStyle w:val="000000100000" w:firstRow="0" w:lastRow="0" w:firstColumn="0" w:lastColumn="0" w:oddVBand="0" w:evenVBand="0" w:oddHBand="1" w:evenHBand="0" w:firstRowFirstColumn="0" w:firstRowLastColumn="0" w:lastRowFirstColumn="0" w:lastRowLastColumn="0"/>
              <w:rPr>
                <w:rFonts w:cs="Arial"/>
                <w:snapToGrid w:val="0"/>
                <w:sz w:val="18"/>
                <w:szCs w:val="18"/>
              </w:rPr>
            </w:pPr>
            <w:r w:rsidRPr="00D05FBC">
              <w:rPr>
                <w:rFonts w:cs="Arial"/>
                <w:sz w:val="18"/>
                <w:szCs w:val="18"/>
              </w:rPr>
              <w:t>18,000</w:t>
            </w:r>
          </w:p>
        </w:tc>
        <w:tc>
          <w:tcPr>
            <w:tcW w:w="1645" w:type="pct"/>
          </w:tcPr>
          <w:p w14:paraId="0D6573EE" w14:textId="77777777" w:rsidR="00372837" w:rsidRPr="00D05FBC" w:rsidRDefault="00372837" w:rsidP="00D47E77">
            <w:pPr>
              <w:spacing w:before="40" w:after="40"/>
              <w:jc w:val="center"/>
              <w:cnfStyle w:val="000000100000" w:firstRow="0" w:lastRow="0" w:firstColumn="0" w:lastColumn="0" w:oddVBand="0" w:evenVBand="0" w:oddHBand="1" w:evenHBand="0" w:firstRowFirstColumn="0" w:firstRowLastColumn="0" w:lastRowFirstColumn="0" w:lastRowLastColumn="0"/>
              <w:rPr>
                <w:rFonts w:cs="Arial"/>
                <w:snapToGrid w:val="0"/>
                <w:sz w:val="18"/>
                <w:szCs w:val="18"/>
              </w:rPr>
            </w:pPr>
            <w:r w:rsidRPr="00D05FBC">
              <w:rPr>
                <w:rFonts w:cs="Arial"/>
                <w:sz w:val="18"/>
                <w:szCs w:val="18"/>
              </w:rPr>
              <w:t>2.3%</w:t>
            </w:r>
          </w:p>
        </w:tc>
      </w:tr>
      <w:tr w:rsidR="00372837" w:rsidRPr="00D05FBC" w14:paraId="442AE713" w14:textId="77777777" w:rsidTr="00217D8A">
        <w:tc>
          <w:tcPr>
            <w:cnfStyle w:val="001000000000" w:firstRow="0" w:lastRow="0" w:firstColumn="1" w:lastColumn="0" w:oddVBand="0" w:evenVBand="0" w:oddHBand="0" w:evenHBand="0" w:firstRowFirstColumn="0" w:firstRowLastColumn="0" w:lastRowFirstColumn="0" w:lastRowLastColumn="0"/>
            <w:tcW w:w="1549" w:type="pct"/>
          </w:tcPr>
          <w:p w14:paraId="619D572B" w14:textId="77777777" w:rsidR="00372837" w:rsidRPr="00D05FBC" w:rsidRDefault="00372837" w:rsidP="00D47E77">
            <w:pPr>
              <w:spacing w:before="40" w:after="40"/>
              <w:jc w:val="center"/>
              <w:rPr>
                <w:rFonts w:cs="Arial"/>
                <w:snapToGrid w:val="0"/>
                <w:sz w:val="18"/>
                <w:szCs w:val="18"/>
              </w:rPr>
            </w:pPr>
            <w:r w:rsidRPr="009A3DFE">
              <w:rPr>
                <w:rFonts w:cs="Arial"/>
                <w:sz w:val="18"/>
                <w:szCs w:val="18"/>
              </w:rPr>
              <w:t>7 Non-IS Family</w:t>
            </w:r>
          </w:p>
        </w:tc>
        <w:tc>
          <w:tcPr>
            <w:tcW w:w="903" w:type="pct"/>
          </w:tcPr>
          <w:p w14:paraId="6C25F080" w14:textId="77777777" w:rsidR="00372837" w:rsidRPr="00D05FBC" w:rsidRDefault="00372837" w:rsidP="00D47E77">
            <w:pPr>
              <w:spacing w:before="40" w:after="40"/>
              <w:jc w:val="center"/>
              <w:cnfStyle w:val="000000000000" w:firstRow="0" w:lastRow="0" w:firstColumn="0" w:lastColumn="0" w:oddVBand="0" w:evenVBand="0" w:oddHBand="0" w:evenHBand="0" w:firstRowFirstColumn="0" w:firstRowLastColumn="0" w:lastRowFirstColumn="0" w:lastRowLastColumn="0"/>
              <w:rPr>
                <w:rFonts w:cs="Arial"/>
                <w:snapToGrid w:val="0"/>
                <w:sz w:val="18"/>
                <w:szCs w:val="18"/>
              </w:rPr>
            </w:pPr>
            <w:r w:rsidRPr="00D05FBC">
              <w:rPr>
                <w:rFonts w:cs="Arial"/>
                <w:sz w:val="18"/>
                <w:szCs w:val="18"/>
              </w:rPr>
              <w:t>7,200</w:t>
            </w:r>
          </w:p>
        </w:tc>
        <w:tc>
          <w:tcPr>
            <w:tcW w:w="903" w:type="pct"/>
          </w:tcPr>
          <w:p w14:paraId="06883D37" w14:textId="77777777" w:rsidR="00372837" w:rsidRPr="00D05FBC" w:rsidRDefault="00372837" w:rsidP="00D47E77">
            <w:pPr>
              <w:spacing w:before="40" w:after="40"/>
              <w:jc w:val="center"/>
              <w:cnfStyle w:val="000000000000" w:firstRow="0" w:lastRow="0" w:firstColumn="0" w:lastColumn="0" w:oddVBand="0" w:evenVBand="0" w:oddHBand="0" w:evenHBand="0" w:firstRowFirstColumn="0" w:firstRowLastColumn="0" w:lastRowFirstColumn="0" w:lastRowLastColumn="0"/>
              <w:rPr>
                <w:rFonts w:cs="Arial"/>
                <w:snapToGrid w:val="0"/>
                <w:sz w:val="18"/>
                <w:szCs w:val="18"/>
              </w:rPr>
            </w:pPr>
            <w:r w:rsidRPr="00D05FBC">
              <w:rPr>
                <w:rFonts w:cs="Arial"/>
                <w:sz w:val="18"/>
                <w:szCs w:val="18"/>
              </w:rPr>
              <w:t>8,000</w:t>
            </w:r>
          </w:p>
        </w:tc>
        <w:tc>
          <w:tcPr>
            <w:tcW w:w="1645" w:type="pct"/>
          </w:tcPr>
          <w:p w14:paraId="33A10ADF" w14:textId="77777777" w:rsidR="00372837" w:rsidRPr="00D05FBC" w:rsidRDefault="00372837" w:rsidP="00D47E77">
            <w:pPr>
              <w:spacing w:before="40" w:after="40"/>
              <w:jc w:val="center"/>
              <w:cnfStyle w:val="000000000000" w:firstRow="0" w:lastRow="0" w:firstColumn="0" w:lastColumn="0" w:oddVBand="0" w:evenVBand="0" w:oddHBand="0" w:evenHBand="0" w:firstRowFirstColumn="0" w:firstRowLastColumn="0" w:lastRowFirstColumn="0" w:lastRowLastColumn="0"/>
              <w:rPr>
                <w:rFonts w:cs="Arial"/>
                <w:snapToGrid w:val="0"/>
                <w:sz w:val="18"/>
                <w:szCs w:val="18"/>
              </w:rPr>
            </w:pPr>
            <w:r w:rsidRPr="00D05FBC">
              <w:rPr>
                <w:rFonts w:cs="Arial"/>
                <w:sz w:val="18"/>
                <w:szCs w:val="18"/>
              </w:rPr>
              <w:t>11.1%</w:t>
            </w:r>
          </w:p>
        </w:tc>
      </w:tr>
      <w:tr w:rsidR="00372837" w:rsidRPr="00D05FBC" w14:paraId="15FA8D8C" w14:textId="77777777" w:rsidTr="00217D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9" w:type="pct"/>
          </w:tcPr>
          <w:p w14:paraId="3CEFAA7B" w14:textId="77777777" w:rsidR="00372837" w:rsidRPr="00D05FBC" w:rsidRDefault="00372837" w:rsidP="00D47E77">
            <w:pPr>
              <w:spacing w:before="40" w:after="40"/>
              <w:jc w:val="center"/>
              <w:rPr>
                <w:rFonts w:cs="Arial"/>
                <w:snapToGrid w:val="0"/>
                <w:sz w:val="18"/>
                <w:szCs w:val="18"/>
              </w:rPr>
            </w:pPr>
            <w:r w:rsidRPr="009A3DFE">
              <w:rPr>
                <w:rFonts w:cs="Arial"/>
                <w:sz w:val="18"/>
                <w:szCs w:val="18"/>
              </w:rPr>
              <w:t>8 Non-IS Carer</w:t>
            </w:r>
          </w:p>
        </w:tc>
        <w:tc>
          <w:tcPr>
            <w:tcW w:w="903" w:type="pct"/>
          </w:tcPr>
          <w:p w14:paraId="516BFDB6" w14:textId="77777777" w:rsidR="00372837" w:rsidRPr="00D05FBC" w:rsidRDefault="00372837" w:rsidP="00D47E77">
            <w:pPr>
              <w:spacing w:before="40" w:after="40"/>
              <w:jc w:val="center"/>
              <w:cnfStyle w:val="000000100000" w:firstRow="0" w:lastRow="0" w:firstColumn="0" w:lastColumn="0" w:oddVBand="0" w:evenVBand="0" w:oddHBand="1" w:evenHBand="0" w:firstRowFirstColumn="0" w:firstRowLastColumn="0" w:lastRowFirstColumn="0" w:lastRowLastColumn="0"/>
              <w:rPr>
                <w:rFonts w:cs="Arial"/>
                <w:snapToGrid w:val="0"/>
                <w:sz w:val="18"/>
                <w:szCs w:val="18"/>
              </w:rPr>
            </w:pPr>
            <w:r w:rsidRPr="00D05FBC">
              <w:rPr>
                <w:rFonts w:cs="Arial"/>
                <w:sz w:val="18"/>
                <w:szCs w:val="18"/>
              </w:rPr>
              <w:t>7,100</w:t>
            </w:r>
          </w:p>
        </w:tc>
        <w:tc>
          <w:tcPr>
            <w:tcW w:w="903" w:type="pct"/>
          </w:tcPr>
          <w:p w14:paraId="36F0FE78" w14:textId="77777777" w:rsidR="00372837" w:rsidRPr="00D05FBC" w:rsidRDefault="00372837" w:rsidP="00D47E77">
            <w:pPr>
              <w:spacing w:before="40" w:after="40"/>
              <w:jc w:val="center"/>
              <w:cnfStyle w:val="000000100000" w:firstRow="0" w:lastRow="0" w:firstColumn="0" w:lastColumn="0" w:oddVBand="0" w:evenVBand="0" w:oddHBand="1" w:evenHBand="0" w:firstRowFirstColumn="0" w:firstRowLastColumn="0" w:lastRowFirstColumn="0" w:lastRowLastColumn="0"/>
              <w:rPr>
                <w:rFonts w:cs="Arial"/>
                <w:snapToGrid w:val="0"/>
                <w:sz w:val="18"/>
                <w:szCs w:val="18"/>
              </w:rPr>
            </w:pPr>
            <w:r w:rsidRPr="00D05FBC">
              <w:rPr>
                <w:rFonts w:cs="Arial"/>
                <w:sz w:val="18"/>
                <w:szCs w:val="18"/>
              </w:rPr>
              <w:t>7,400</w:t>
            </w:r>
          </w:p>
        </w:tc>
        <w:tc>
          <w:tcPr>
            <w:tcW w:w="1645" w:type="pct"/>
          </w:tcPr>
          <w:p w14:paraId="565F02C8" w14:textId="77777777" w:rsidR="00372837" w:rsidRPr="00D05FBC" w:rsidRDefault="00372837" w:rsidP="00D47E77">
            <w:pPr>
              <w:spacing w:before="40" w:after="40"/>
              <w:jc w:val="center"/>
              <w:cnfStyle w:val="000000100000" w:firstRow="0" w:lastRow="0" w:firstColumn="0" w:lastColumn="0" w:oddVBand="0" w:evenVBand="0" w:oddHBand="1" w:evenHBand="0" w:firstRowFirstColumn="0" w:firstRowLastColumn="0" w:lastRowFirstColumn="0" w:lastRowLastColumn="0"/>
              <w:rPr>
                <w:rFonts w:cs="Arial"/>
                <w:snapToGrid w:val="0"/>
                <w:sz w:val="18"/>
                <w:szCs w:val="18"/>
              </w:rPr>
            </w:pPr>
            <w:r w:rsidRPr="00D05FBC">
              <w:rPr>
                <w:rFonts w:cs="Arial"/>
                <w:sz w:val="18"/>
                <w:szCs w:val="18"/>
              </w:rPr>
              <w:t>4.2%</w:t>
            </w:r>
          </w:p>
        </w:tc>
      </w:tr>
      <w:tr w:rsidR="00372837" w:rsidRPr="00D05FBC" w14:paraId="6866F358" w14:textId="77777777" w:rsidTr="00217D8A">
        <w:tc>
          <w:tcPr>
            <w:cnfStyle w:val="001000000000" w:firstRow="0" w:lastRow="0" w:firstColumn="1" w:lastColumn="0" w:oddVBand="0" w:evenVBand="0" w:oddHBand="0" w:evenHBand="0" w:firstRowFirstColumn="0" w:firstRowLastColumn="0" w:lastRowFirstColumn="0" w:lastRowLastColumn="0"/>
            <w:tcW w:w="1549" w:type="pct"/>
          </w:tcPr>
          <w:p w14:paraId="4814F3FF" w14:textId="77777777" w:rsidR="00372837" w:rsidRPr="00D05FBC" w:rsidRDefault="00372837" w:rsidP="00D47E77">
            <w:pPr>
              <w:spacing w:before="40" w:after="40"/>
              <w:jc w:val="center"/>
              <w:rPr>
                <w:rFonts w:cs="Arial"/>
                <w:snapToGrid w:val="0"/>
                <w:sz w:val="18"/>
                <w:szCs w:val="18"/>
              </w:rPr>
            </w:pPr>
            <w:r w:rsidRPr="009A3DFE">
              <w:rPr>
                <w:rFonts w:cs="Arial"/>
                <w:sz w:val="18"/>
                <w:szCs w:val="18"/>
              </w:rPr>
              <w:t>9 Non-IS Other</w:t>
            </w:r>
          </w:p>
        </w:tc>
        <w:tc>
          <w:tcPr>
            <w:tcW w:w="903" w:type="pct"/>
          </w:tcPr>
          <w:p w14:paraId="66E16A0E" w14:textId="77777777" w:rsidR="00372837" w:rsidRPr="00D05FBC" w:rsidRDefault="00372837" w:rsidP="00D47E77">
            <w:pPr>
              <w:spacing w:before="40" w:after="40"/>
              <w:jc w:val="center"/>
              <w:cnfStyle w:val="000000000000" w:firstRow="0" w:lastRow="0" w:firstColumn="0" w:lastColumn="0" w:oddVBand="0" w:evenVBand="0" w:oddHBand="0" w:evenHBand="0" w:firstRowFirstColumn="0" w:firstRowLastColumn="0" w:lastRowFirstColumn="0" w:lastRowLastColumn="0"/>
              <w:rPr>
                <w:rFonts w:cs="Arial"/>
                <w:snapToGrid w:val="0"/>
                <w:sz w:val="18"/>
                <w:szCs w:val="18"/>
              </w:rPr>
            </w:pPr>
            <w:r w:rsidRPr="00D05FBC">
              <w:rPr>
                <w:rFonts w:cs="Arial"/>
                <w:sz w:val="18"/>
                <w:szCs w:val="18"/>
              </w:rPr>
              <w:t>2,900</w:t>
            </w:r>
          </w:p>
        </w:tc>
        <w:tc>
          <w:tcPr>
            <w:tcW w:w="903" w:type="pct"/>
          </w:tcPr>
          <w:p w14:paraId="70AE94EB" w14:textId="77777777" w:rsidR="00372837" w:rsidRPr="00D05FBC" w:rsidRDefault="00372837" w:rsidP="00D47E77">
            <w:pPr>
              <w:spacing w:before="40" w:after="40"/>
              <w:jc w:val="center"/>
              <w:cnfStyle w:val="000000000000" w:firstRow="0" w:lastRow="0" w:firstColumn="0" w:lastColumn="0" w:oddVBand="0" w:evenVBand="0" w:oddHBand="0" w:evenHBand="0" w:firstRowFirstColumn="0" w:firstRowLastColumn="0" w:lastRowFirstColumn="0" w:lastRowLastColumn="0"/>
              <w:rPr>
                <w:rFonts w:cs="Arial"/>
                <w:snapToGrid w:val="0"/>
                <w:sz w:val="18"/>
                <w:szCs w:val="18"/>
              </w:rPr>
            </w:pPr>
            <w:r w:rsidRPr="00D05FBC">
              <w:rPr>
                <w:rFonts w:cs="Arial"/>
                <w:sz w:val="18"/>
                <w:szCs w:val="18"/>
              </w:rPr>
              <w:t>3,200</w:t>
            </w:r>
          </w:p>
        </w:tc>
        <w:tc>
          <w:tcPr>
            <w:tcW w:w="1645" w:type="pct"/>
          </w:tcPr>
          <w:p w14:paraId="7493E28B" w14:textId="77777777" w:rsidR="00372837" w:rsidRPr="00D05FBC" w:rsidRDefault="00372837" w:rsidP="00D47E77">
            <w:pPr>
              <w:spacing w:before="40" w:after="40"/>
              <w:jc w:val="center"/>
              <w:cnfStyle w:val="000000000000" w:firstRow="0" w:lastRow="0" w:firstColumn="0" w:lastColumn="0" w:oddVBand="0" w:evenVBand="0" w:oddHBand="0" w:evenHBand="0" w:firstRowFirstColumn="0" w:firstRowLastColumn="0" w:lastRowFirstColumn="0" w:lastRowLastColumn="0"/>
              <w:rPr>
                <w:rFonts w:cs="Arial"/>
                <w:snapToGrid w:val="0"/>
                <w:sz w:val="18"/>
                <w:szCs w:val="18"/>
              </w:rPr>
            </w:pPr>
            <w:r w:rsidRPr="00D05FBC">
              <w:rPr>
                <w:rFonts w:cs="Arial"/>
                <w:sz w:val="18"/>
                <w:szCs w:val="18"/>
              </w:rPr>
              <w:t>10.3%</w:t>
            </w:r>
          </w:p>
        </w:tc>
      </w:tr>
      <w:tr w:rsidR="00372837" w:rsidRPr="00D05FBC" w14:paraId="5C017049" w14:textId="77777777" w:rsidTr="00217D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9" w:type="pct"/>
          </w:tcPr>
          <w:p w14:paraId="509252C1" w14:textId="77777777" w:rsidR="00372837" w:rsidRPr="00D05FBC" w:rsidRDefault="00372837" w:rsidP="00D47E77">
            <w:pPr>
              <w:spacing w:before="40" w:after="40"/>
              <w:jc w:val="center"/>
              <w:rPr>
                <w:rFonts w:cs="Arial"/>
                <w:snapToGrid w:val="0"/>
                <w:sz w:val="18"/>
                <w:szCs w:val="18"/>
              </w:rPr>
            </w:pPr>
            <w:r w:rsidRPr="00D05FBC">
              <w:rPr>
                <w:rFonts w:cs="Arial"/>
                <w:snapToGrid w:val="0"/>
                <w:sz w:val="18"/>
                <w:szCs w:val="18"/>
              </w:rPr>
              <w:t>All welfare</w:t>
            </w:r>
          </w:p>
        </w:tc>
        <w:tc>
          <w:tcPr>
            <w:tcW w:w="903" w:type="pct"/>
          </w:tcPr>
          <w:p w14:paraId="187DA383" w14:textId="77777777" w:rsidR="00372837" w:rsidRPr="00D05FBC" w:rsidRDefault="00372837" w:rsidP="00D47E77">
            <w:pPr>
              <w:spacing w:before="40" w:after="4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D05FBC">
              <w:rPr>
                <w:rFonts w:cs="Arial"/>
                <w:sz w:val="18"/>
                <w:szCs w:val="18"/>
              </w:rPr>
              <w:t>14,200</w:t>
            </w:r>
          </w:p>
        </w:tc>
        <w:tc>
          <w:tcPr>
            <w:tcW w:w="903" w:type="pct"/>
          </w:tcPr>
          <w:p w14:paraId="26F6938F" w14:textId="77777777" w:rsidR="00372837" w:rsidRPr="00D05FBC" w:rsidRDefault="00372837" w:rsidP="00D47E77">
            <w:pPr>
              <w:spacing w:before="40" w:after="4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D05FBC">
              <w:rPr>
                <w:rFonts w:cs="Arial"/>
                <w:sz w:val="18"/>
                <w:szCs w:val="18"/>
              </w:rPr>
              <w:t>14,800</w:t>
            </w:r>
          </w:p>
        </w:tc>
        <w:tc>
          <w:tcPr>
            <w:tcW w:w="1645" w:type="pct"/>
          </w:tcPr>
          <w:p w14:paraId="5C87ACEA" w14:textId="77777777" w:rsidR="00372837" w:rsidRPr="00D05FBC" w:rsidRDefault="00372837" w:rsidP="00D47E77">
            <w:pPr>
              <w:spacing w:before="40" w:after="4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D05FBC">
              <w:rPr>
                <w:rFonts w:cs="Arial"/>
                <w:sz w:val="18"/>
                <w:szCs w:val="18"/>
              </w:rPr>
              <w:t>4.2%</w:t>
            </w:r>
          </w:p>
        </w:tc>
      </w:tr>
    </w:tbl>
    <w:p w14:paraId="3E3D9436" w14:textId="77777777" w:rsidR="00372837" w:rsidRDefault="00372837" w:rsidP="00372837">
      <w:pPr>
        <w:pStyle w:val="OutlineNumbered2"/>
        <w:numPr>
          <w:ilvl w:val="0"/>
          <w:numId w:val="0"/>
        </w:numPr>
        <w:spacing w:after="0"/>
        <w:ind w:left="709"/>
        <w:rPr>
          <w:color w:val="auto"/>
        </w:rPr>
      </w:pPr>
    </w:p>
    <w:p w14:paraId="5B6BA07A" w14:textId="77777777" w:rsidR="00372837" w:rsidRDefault="00372837" w:rsidP="00A62E3F">
      <w:pPr>
        <w:pStyle w:val="OutlineNumbered1"/>
      </w:pPr>
      <w:r w:rsidRPr="00B62503">
        <w:t xml:space="preserve">The average amount of welfare received </w:t>
      </w:r>
      <w:r>
        <w:t xml:space="preserve">per person on welfare is $14,800 </w:t>
      </w:r>
      <w:r w:rsidRPr="00B62503">
        <w:t>p</w:t>
      </w:r>
      <w:r>
        <w:t xml:space="preserve">er annum, a 4% increase over the 2018 total of $14,200 per annum. This amount is significantly weighted to the large number of those receiving the Age Pension, who in welfare Class 6 have an average payment of $18,000 per annum. Note </w:t>
      </w:r>
      <w:r>
        <w:lastRenderedPageBreak/>
        <w:t>that this average payment is influenced by both the maximum entitlement amount available (which increases in line with AWE each year), and the mix of age pensioners who receive that maximum amount (full pension), and those who receive less than that amount (part-pension). The mix of full and part pensions is expected to change over time in line with changes in means tests, eligibility criteria, employment and other income, the maturity of the superannuation system, and movements in individual superannuation and non-superannuation savings.</w:t>
      </w:r>
    </w:p>
    <w:p w14:paraId="4AF83F63" w14:textId="77777777" w:rsidR="00372837" w:rsidRPr="00B62503" w:rsidRDefault="00372837" w:rsidP="00A62E3F">
      <w:pPr>
        <w:pStyle w:val="OutlineNumbered1"/>
      </w:pPr>
      <w:r>
        <w:t>T</w:t>
      </w:r>
      <w:r w:rsidRPr="00B62503">
        <w:t>he</w:t>
      </w:r>
      <w:r>
        <w:t>re is variability between welfare classes in terms of average payment amounts:</w:t>
      </w:r>
      <w:r w:rsidRPr="00B62503">
        <w:t xml:space="preserve"> </w:t>
      </w:r>
    </w:p>
    <w:p w14:paraId="30A4955A" w14:textId="77777777" w:rsidR="00372837" w:rsidRDefault="00372837" w:rsidP="00A62E3F">
      <w:pPr>
        <w:pStyle w:val="Bullet1"/>
      </w:pPr>
      <w:r>
        <w:t xml:space="preserve">Classes 1 and 2 recipients receive less payments than the average amount, with reflects the lower maximum amounts available. </w:t>
      </w:r>
    </w:p>
    <w:p w14:paraId="3502761D" w14:textId="77777777" w:rsidR="00372837" w:rsidRDefault="00372837" w:rsidP="00A62E3F">
      <w:pPr>
        <w:pStyle w:val="Bullet1"/>
      </w:pPr>
      <w:r>
        <w:t xml:space="preserve">Classes 3-6 recipients each receive payments above the average amount, and show relative stability in the past 2 years. </w:t>
      </w:r>
    </w:p>
    <w:p w14:paraId="3A79F6E6" w14:textId="3CFAB550" w:rsidR="00372837" w:rsidRDefault="00372837" w:rsidP="00A62E3F">
      <w:pPr>
        <w:pStyle w:val="Bullet1"/>
      </w:pPr>
      <w:r>
        <w:t>Recipients of support from non-income support classes (7-9) all receive payments below the average amount, as they are supplementary payments. An increase for classes 7 and 9 reflects the introduction of the new Child Care Subsidy from 1</w:t>
      </w:r>
      <w:r w:rsidR="00986C32">
        <w:t> </w:t>
      </w:r>
      <w:r>
        <w:t>July</w:t>
      </w:r>
      <w:r w:rsidR="00986C32">
        <w:t> </w:t>
      </w:r>
      <w:r>
        <w:t xml:space="preserve">2018. </w:t>
      </w:r>
    </w:p>
    <w:p w14:paraId="678011B1" w14:textId="6F87C82D" w:rsidR="000D1ECE" w:rsidRPr="00585C6F" w:rsidRDefault="000D1ECE" w:rsidP="00EE7DC2">
      <w:pPr>
        <w:pStyle w:val="OutlineNumbered1"/>
        <w:numPr>
          <w:ilvl w:val="0"/>
          <w:numId w:val="0"/>
        </w:numPr>
        <w:ind w:left="472"/>
        <w:sectPr w:rsidR="000D1ECE" w:rsidRPr="00585C6F" w:rsidSect="00F714BF">
          <w:headerReference w:type="first" r:id="rId61"/>
          <w:footerReference w:type="first" r:id="rId62"/>
          <w:type w:val="oddPage"/>
          <w:pgSz w:w="11906" w:h="16838" w:code="9"/>
          <w:pgMar w:top="2268" w:right="2098" w:bottom="2268" w:left="2098" w:header="1871" w:footer="1871" w:gutter="0"/>
          <w:pgNumType w:start="1"/>
          <w:cols w:space="708"/>
          <w:titlePg/>
          <w:docGrid w:linePitch="360"/>
        </w:sectPr>
      </w:pPr>
    </w:p>
    <w:p w14:paraId="2FEB35F8" w14:textId="12991650" w:rsidR="002D349D" w:rsidRPr="00BF1A16" w:rsidRDefault="002C6BA9" w:rsidP="002C30FE">
      <w:pPr>
        <w:pStyle w:val="Heading1"/>
      </w:pPr>
      <w:bookmarkStart w:id="207" w:name="_Toc36555801"/>
      <w:bookmarkStart w:id="208" w:name="_Toc36563900"/>
      <w:bookmarkStart w:id="209" w:name="_Toc36655871"/>
      <w:bookmarkStart w:id="210" w:name="_Toc37931081"/>
      <w:bookmarkStart w:id="211" w:name="_Toc38007025"/>
      <w:bookmarkStart w:id="212" w:name="_Toc38458550"/>
      <w:bookmarkStart w:id="213" w:name="_Toc39071808"/>
      <w:bookmarkStart w:id="214" w:name="_Toc39243438"/>
      <w:bookmarkStart w:id="215" w:name="_Toc100131562"/>
      <w:r w:rsidRPr="00BF1A16">
        <w:lastRenderedPageBreak/>
        <w:t>Population level results</w:t>
      </w:r>
      <w:bookmarkStart w:id="216" w:name="_Toc44576901"/>
      <w:bookmarkStart w:id="217" w:name="_Toc44576931"/>
      <w:bookmarkEnd w:id="207"/>
      <w:bookmarkEnd w:id="208"/>
      <w:bookmarkEnd w:id="209"/>
      <w:bookmarkEnd w:id="210"/>
      <w:bookmarkEnd w:id="211"/>
      <w:bookmarkEnd w:id="212"/>
      <w:bookmarkEnd w:id="213"/>
      <w:bookmarkEnd w:id="214"/>
      <w:bookmarkEnd w:id="216"/>
      <w:bookmarkEnd w:id="217"/>
      <w:bookmarkEnd w:id="215"/>
    </w:p>
    <w:p w14:paraId="043BD3AC" w14:textId="35272384" w:rsidR="00802D49" w:rsidRPr="00892AC5" w:rsidRDefault="00802D49" w:rsidP="00802D49">
      <w:pPr>
        <w:pStyle w:val="Heading2"/>
      </w:pPr>
      <w:bookmarkStart w:id="218" w:name="_Toc100131563"/>
      <w:r>
        <w:t xml:space="preserve">Total Lifetime </w:t>
      </w:r>
      <w:r w:rsidRPr="00892AC5">
        <w:t>Cost</w:t>
      </w:r>
      <w:bookmarkEnd w:id="218"/>
    </w:p>
    <w:p w14:paraId="4D905A86" w14:textId="6C887E88" w:rsidR="00FD610B" w:rsidRPr="00BF1A16" w:rsidRDefault="00D73C54" w:rsidP="00BF1A16">
      <w:pPr>
        <w:pStyle w:val="OutlineNumbered1"/>
        <w:rPr>
          <w:rFonts w:cs="Arial"/>
        </w:rPr>
      </w:pPr>
      <w:r w:rsidRPr="00BF1A16">
        <w:t>A</w:t>
      </w:r>
      <w:r w:rsidR="00597C65" w:rsidRPr="00BF1A16">
        <w:t>s at 30</w:t>
      </w:r>
      <w:r w:rsidR="008C791B">
        <w:t> </w:t>
      </w:r>
      <w:r w:rsidR="00597C65" w:rsidRPr="00BF1A16">
        <w:t>June</w:t>
      </w:r>
      <w:r w:rsidR="008C791B">
        <w:t> </w:t>
      </w:r>
      <w:r w:rsidR="00597C65" w:rsidRPr="00BF1A16">
        <w:t>2019</w:t>
      </w:r>
      <w:r w:rsidR="00911E03" w:rsidRPr="00BF1A16">
        <w:t>,</w:t>
      </w:r>
      <w:r w:rsidR="00597C65" w:rsidRPr="00BF1A16">
        <w:t xml:space="preserve"> the total </w:t>
      </w:r>
      <w:r w:rsidR="002A2F33" w:rsidRPr="00BF1A16">
        <w:t>Lifetime Cost</w:t>
      </w:r>
      <w:r w:rsidR="00597C65" w:rsidRPr="00BF1A16">
        <w:t xml:space="preserve"> </w:t>
      </w:r>
      <w:r w:rsidRPr="00BF1A16">
        <w:t xml:space="preserve">for the model population </w:t>
      </w:r>
      <w:r w:rsidR="00597C65" w:rsidRPr="00BF1A16">
        <w:t>is estimated to be $</w:t>
      </w:r>
      <w:r w:rsidR="00480C9A" w:rsidRPr="00BF1A16">
        <w:t>5,</w:t>
      </w:r>
      <w:r w:rsidR="00DF0E0B" w:rsidRPr="00BF1A16">
        <w:t>506</w:t>
      </w:r>
      <w:r w:rsidRPr="00BF1A16">
        <w:t xml:space="preserve"> billion. </w:t>
      </w:r>
      <w:r w:rsidR="000B2786" w:rsidRPr="00BF1A16">
        <w:t xml:space="preserve">This </w:t>
      </w:r>
      <w:r w:rsidRPr="00BF1A16">
        <w:t>represents</w:t>
      </w:r>
      <w:r w:rsidR="000B2786" w:rsidRPr="00BF1A16">
        <w:t xml:space="preserve"> the net present value of the in-scope payments expected to be made over the remaining lifetimes of the full model population. </w:t>
      </w:r>
      <w:r w:rsidR="00FD610B" w:rsidRPr="00BF1A16">
        <w:t>This value also represents a decrease of $</w:t>
      </w:r>
      <w:r w:rsidR="00DF0E0B" w:rsidRPr="00BF1A16">
        <w:t>195</w:t>
      </w:r>
      <w:r w:rsidR="00FD610B" w:rsidRPr="00BF1A16">
        <w:t xml:space="preserve"> b</w:t>
      </w:r>
      <w:r w:rsidR="002F76DC" w:rsidRPr="00BF1A16">
        <w:t>illio</w:t>
      </w:r>
      <w:r w:rsidR="00FD610B" w:rsidRPr="00BF1A16">
        <w:t>n (3.</w:t>
      </w:r>
      <w:r w:rsidR="00DF0E0B" w:rsidRPr="00BF1A16">
        <w:t>4</w:t>
      </w:r>
      <w:r w:rsidR="00FD610B" w:rsidRPr="00BF1A16">
        <w:t>%) from the 30</w:t>
      </w:r>
      <w:r w:rsidR="008C791B">
        <w:t> </w:t>
      </w:r>
      <w:r w:rsidR="00FD610B" w:rsidRPr="00BF1A16">
        <w:t>June 2018 rebased valuation of $5,701 b</w:t>
      </w:r>
      <w:r w:rsidR="002F76DC" w:rsidRPr="00BF1A16">
        <w:t>illion</w:t>
      </w:r>
      <w:r w:rsidR="00FD610B" w:rsidRPr="00BF1A16">
        <w:t>.</w:t>
      </w:r>
    </w:p>
    <w:p w14:paraId="15A6CD87" w14:textId="5331419D" w:rsidR="00892AC5" w:rsidRPr="00892AC5" w:rsidRDefault="00892AC5" w:rsidP="002C30FE">
      <w:pPr>
        <w:pStyle w:val="Heading2"/>
      </w:pPr>
      <w:bookmarkStart w:id="219" w:name="_Toc36555802"/>
      <w:bookmarkStart w:id="220" w:name="_Toc36563901"/>
      <w:bookmarkStart w:id="221" w:name="_Toc36655872"/>
      <w:bookmarkStart w:id="222" w:name="_Toc37931082"/>
      <w:bookmarkStart w:id="223" w:name="_Toc38007026"/>
      <w:bookmarkStart w:id="224" w:name="_Toc38458551"/>
      <w:bookmarkStart w:id="225" w:name="_Toc39071809"/>
      <w:bookmarkStart w:id="226" w:name="_Toc39243439"/>
      <w:bookmarkStart w:id="227" w:name="_Toc100131564"/>
      <w:r w:rsidRPr="00892AC5">
        <w:t>Costs by payment category</w:t>
      </w:r>
      <w:bookmarkEnd w:id="219"/>
      <w:bookmarkEnd w:id="220"/>
      <w:bookmarkEnd w:id="221"/>
      <w:bookmarkEnd w:id="222"/>
      <w:bookmarkEnd w:id="223"/>
      <w:bookmarkEnd w:id="224"/>
      <w:bookmarkEnd w:id="225"/>
      <w:bookmarkEnd w:id="226"/>
      <w:bookmarkEnd w:id="227"/>
    </w:p>
    <w:p w14:paraId="04BF8968" w14:textId="6473EFAB" w:rsidR="005F2620" w:rsidRDefault="00D73C54" w:rsidP="00BF1A16">
      <w:pPr>
        <w:pStyle w:val="OutlineNumbered1"/>
      </w:pPr>
      <w:r>
        <w:t xml:space="preserve">A breakdown of the total </w:t>
      </w:r>
      <w:r w:rsidR="002A2F33">
        <w:t>Lifetime Cost</w:t>
      </w:r>
      <w:r>
        <w:t xml:space="preserve"> by payment category</w:t>
      </w:r>
      <w:r w:rsidR="00AF5A51">
        <w:t xml:space="preserve"> is informative, as it identifies the actual type of welfare being paid. This breakdown is given </w:t>
      </w:r>
      <w:r>
        <w:t>below</w:t>
      </w:r>
      <w:r w:rsidR="005F2620" w:rsidRPr="00187EC8">
        <w:t>.</w:t>
      </w:r>
      <w:r w:rsidR="00853A23">
        <w:t xml:space="preserve"> A list of the payments included in these payment categories is included in Appendix C. </w:t>
      </w:r>
    </w:p>
    <w:p w14:paraId="4EBE4CEC" w14:textId="6C0E0E6C" w:rsidR="00811738" w:rsidRPr="00187EC8" w:rsidRDefault="00811738" w:rsidP="000B1493">
      <w:pPr>
        <w:pStyle w:val="Caption"/>
      </w:pPr>
      <w:bookmarkStart w:id="228" w:name="_Toc100131537"/>
      <w:r w:rsidRPr="00187EC8">
        <w:t xml:space="preserve">Figure </w:t>
      </w:r>
      <w:r>
        <w:rPr>
          <w:noProof/>
        </w:rPr>
        <w:fldChar w:fldCharType="begin"/>
      </w:r>
      <w:r>
        <w:rPr>
          <w:noProof/>
        </w:rPr>
        <w:instrText xml:space="preserve"> SEQ Figure \* ARABIC </w:instrText>
      </w:r>
      <w:r>
        <w:rPr>
          <w:noProof/>
        </w:rPr>
        <w:fldChar w:fldCharType="separate"/>
      </w:r>
      <w:r w:rsidR="00751625">
        <w:rPr>
          <w:noProof/>
        </w:rPr>
        <w:t>27</w:t>
      </w:r>
      <w:r>
        <w:rPr>
          <w:noProof/>
        </w:rPr>
        <w:fldChar w:fldCharType="end"/>
      </w:r>
      <w:r w:rsidRPr="00187EC8">
        <w:t xml:space="preserve">: Composition of </w:t>
      </w:r>
      <w:r>
        <w:t>Lifetime Cost</w:t>
      </w:r>
      <w:r w:rsidRPr="00187EC8">
        <w:t xml:space="preserve"> ($</w:t>
      </w:r>
      <w:r>
        <w:t xml:space="preserve"> </w:t>
      </w:r>
      <w:r w:rsidRPr="00187EC8">
        <w:t>b</w:t>
      </w:r>
      <w:r>
        <w:t>illion</w:t>
      </w:r>
      <w:r w:rsidRPr="00187EC8">
        <w:t xml:space="preserve">) by </w:t>
      </w:r>
      <w:r>
        <w:t>P</w:t>
      </w:r>
      <w:r w:rsidRPr="00187EC8">
        <w:t xml:space="preserve">ayment </w:t>
      </w:r>
      <w:r>
        <w:t>C</w:t>
      </w:r>
      <w:r w:rsidRPr="00187EC8">
        <w:t>ategory</w:t>
      </w:r>
      <w:bookmarkEnd w:id="228"/>
      <w:r>
        <w:t xml:space="preserve"> </w:t>
      </w:r>
    </w:p>
    <w:p w14:paraId="1075BE84" w14:textId="77777777" w:rsidR="00811738" w:rsidRDefault="00014EF2" w:rsidP="00AA26EE">
      <w:pPr>
        <w:pStyle w:val="ChartGraphic"/>
        <w:jc w:val="left"/>
      </w:pPr>
      <w:r w:rsidRPr="00014EF2">
        <w:rPr>
          <w:noProof/>
        </w:rPr>
        <w:drawing>
          <wp:inline distT="0" distB="0" distL="0" distR="0" wp14:anchorId="608CE243" wp14:editId="257A7BF3">
            <wp:extent cx="4895850" cy="3115162"/>
            <wp:effectExtent l="0" t="0" r="0" b="9525"/>
            <wp:docPr id="299" name="Picture 299" descr="This bar chart shows the payment category composition of the Lifetime Cost. The three largest components are Payment F (IS Pension Age; $3,202 billion), Payment E (IS Disability; $635 billion), and Payment H (Other FTB; $320 b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9" descr="This bar chart shows the payment category composition of the Lifetime Cost. The three largest components are Payment F (IS Pension Age; $3,202 billion), Payment E (IS Disability; $635 billion), and Payment H (Other FTB; $320 billion)."/>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895850" cy="3115162"/>
                    </a:xfrm>
                    <a:prstGeom prst="rect">
                      <a:avLst/>
                    </a:prstGeom>
                    <a:noFill/>
                    <a:ln>
                      <a:noFill/>
                    </a:ln>
                  </pic:spPr>
                </pic:pic>
              </a:graphicData>
            </a:graphic>
          </wp:inline>
        </w:drawing>
      </w:r>
    </w:p>
    <w:p w14:paraId="712F1298" w14:textId="61D0F1D7" w:rsidR="00E427AA" w:rsidRPr="00E131D6" w:rsidRDefault="00E427AA" w:rsidP="00811738">
      <w:pPr>
        <w:pStyle w:val="SingleParagraph"/>
      </w:pPr>
    </w:p>
    <w:p w14:paraId="76B851BD" w14:textId="6B688846" w:rsidR="00E41202" w:rsidRPr="00E41202" w:rsidRDefault="00E41202" w:rsidP="00BF1A16">
      <w:pPr>
        <w:pStyle w:val="OutlineNumbered1"/>
      </w:pPr>
      <w:r w:rsidRPr="00E41202">
        <w:t xml:space="preserve">The major contributors to the total </w:t>
      </w:r>
      <w:r w:rsidR="002A2F33">
        <w:t>Lifetime Cost</w:t>
      </w:r>
      <w:r w:rsidRPr="00E41202">
        <w:t xml:space="preserve"> are:</w:t>
      </w:r>
    </w:p>
    <w:p w14:paraId="7C4E9FCD" w14:textId="340600AA" w:rsidR="00E41202" w:rsidRPr="00E41202" w:rsidRDefault="00E41202" w:rsidP="00BF1A16">
      <w:pPr>
        <w:pStyle w:val="Bullet1"/>
      </w:pPr>
      <w:r w:rsidRPr="00E41202">
        <w:t xml:space="preserve">The </w:t>
      </w:r>
      <w:r w:rsidR="001F0FCC">
        <w:t>Age Pension</w:t>
      </w:r>
      <w:r w:rsidRPr="00E41202">
        <w:t xml:space="preserve"> </w:t>
      </w:r>
      <w:r w:rsidRPr="004E61F3">
        <w:t>($</w:t>
      </w:r>
      <w:r w:rsidR="004E61F3" w:rsidRPr="004E61F3">
        <w:t>3,</w:t>
      </w:r>
      <w:r w:rsidR="00E427AA">
        <w:t>202</w:t>
      </w:r>
      <w:r w:rsidRPr="004E61F3">
        <w:t xml:space="preserve"> b</w:t>
      </w:r>
      <w:r w:rsidR="00704DCF">
        <w:t>illion</w:t>
      </w:r>
      <w:r w:rsidRPr="004E61F3">
        <w:t xml:space="preserve">, or </w:t>
      </w:r>
      <w:r w:rsidR="00575759">
        <w:t>58.2</w:t>
      </w:r>
      <w:r w:rsidRPr="004E61F3">
        <w:t>% of the total</w:t>
      </w:r>
      <w:r w:rsidRPr="00E41202">
        <w:t xml:space="preserve">). </w:t>
      </w:r>
      <w:r w:rsidR="00D6070B">
        <w:t>T</w:t>
      </w:r>
      <w:r w:rsidRPr="00E41202">
        <w:t xml:space="preserve">he total </w:t>
      </w:r>
      <w:r w:rsidR="002A2F33">
        <w:t>Lifetime Cost</w:t>
      </w:r>
      <w:r w:rsidRPr="00E41202">
        <w:t xml:space="preserve"> is dominated by the </w:t>
      </w:r>
      <w:r w:rsidR="001F0FCC">
        <w:t>Age Pension</w:t>
      </w:r>
      <w:r w:rsidRPr="00E41202">
        <w:t xml:space="preserve">, as a large proportion of the model population is likely to receive the </w:t>
      </w:r>
      <w:r w:rsidR="001F0FCC">
        <w:t>Age Pension</w:t>
      </w:r>
      <w:r>
        <w:t xml:space="preserve"> at some stage in the future</w:t>
      </w:r>
      <w:r w:rsidR="00FC5D38">
        <w:t>.</w:t>
      </w:r>
    </w:p>
    <w:p w14:paraId="6EE1E162" w14:textId="6D321C1C" w:rsidR="00E41202" w:rsidRPr="00E41202" w:rsidRDefault="00E41202" w:rsidP="00BF1A16">
      <w:pPr>
        <w:pStyle w:val="Bullet1"/>
      </w:pPr>
      <w:r w:rsidRPr="00E41202">
        <w:lastRenderedPageBreak/>
        <w:t xml:space="preserve">The Disability Support Pension </w:t>
      </w:r>
      <w:r w:rsidRPr="00511484">
        <w:t>($</w:t>
      </w:r>
      <w:r w:rsidR="00924C02">
        <w:t>63</w:t>
      </w:r>
      <w:r w:rsidR="00E427AA">
        <w:t>5</w:t>
      </w:r>
      <w:r w:rsidRPr="00511484">
        <w:t xml:space="preserve"> </w:t>
      </w:r>
      <w:r w:rsidR="00704DCF" w:rsidRPr="004E61F3">
        <w:t>b</w:t>
      </w:r>
      <w:r w:rsidR="00704DCF">
        <w:t>illion</w:t>
      </w:r>
      <w:r w:rsidRPr="00511484">
        <w:t xml:space="preserve">, or </w:t>
      </w:r>
      <w:r w:rsidR="00511484" w:rsidRPr="00511484">
        <w:t>11.5</w:t>
      </w:r>
      <w:r w:rsidRPr="00511484">
        <w:t>% of the total</w:t>
      </w:r>
      <w:r w:rsidRPr="00E41202">
        <w:t>)</w:t>
      </w:r>
      <w:r w:rsidR="00CA1D52">
        <w:t>. Although only a small proportion of the population will access these payments, the average duration on payment and the payment rate are both higher than most other payment types</w:t>
      </w:r>
      <w:r w:rsidR="00FC5D38">
        <w:t>.</w:t>
      </w:r>
    </w:p>
    <w:p w14:paraId="46F3E6F8" w14:textId="366D3D7B" w:rsidR="00E41202" w:rsidRDefault="0088782E" w:rsidP="00BF1A16">
      <w:pPr>
        <w:pStyle w:val="Bullet1"/>
      </w:pPr>
      <w:r>
        <w:t>Non-</w:t>
      </w:r>
      <w:r w:rsidR="00E41202" w:rsidRPr="00E41202">
        <w:t xml:space="preserve">income support </w:t>
      </w:r>
      <w:r>
        <w:t>families payments</w:t>
      </w:r>
      <w:r w:rsidR="00E41202" w:rsidRPr="00E41202">
        <w:t xml:space="preserve"> </w:t>
      </w:r>
      <w:r w:rsidR="00E41202" w:rsidRPr="00511484">
        <w:t>($</w:t>
      </w:r>
      <w:r w:rsidR="005A687F">
        <w:t>55</w:t>
      </w:r>
      <w:r w:rsidR="00E427AA">
        <w:t>7</w:t>
      </w:r>
      <w:r w:rsidR="00E41202" w:rsidRPr="00511484">
        <w:t xml:space="preserve"> </w:t>
      </w:r>
      <w:r w:rsidR="00704DCF" w:rsidRPr="004E61F3">
        <w:t>b</w:t>
      </w:r>
      <w:r w:rsidR="00704DCF">
        <w:t>illion</w:t>
      </w:r>
      <w:r w:rsidR="00E41202" w:rsidRPr="00511484">
        <w:t xml:space="preserve">, or </w:t>
      </w:r>
      <w:r w:rsidR="005A687F">
        <w:t>10.1</w:t>
      </w:r>
      <w:r w:rsidR="00E41202" w:rsidRPr="00511484">
        <w:t>% of the total</w:t>
      </w:r>
      <w:r w:rsidR="00E41202" w:rsidRPr="00E41202">
        <w:t>)</w:t>
      </w:r>
      <w:r w:rsidR="00E41202">
        <w:t>.</w:t>
      </w:r>
      <w:r>
        <w:t xml:space="preserve"> This includes payment categories H, I and J.</w:t>
      </w:r>
      <w:r w:rsidR="00CA1D52">
        <w:t xml:space="preserve"> A large proportion of the population </w:t>
      </w:r>
      <w:r w:rsidR="00FA51A9">
        <w:t xml:space="preserve">will </w:t>
      </w:r>
      <w:r w:rsidR="00CA1D52">
        <w:t xml:space="preserve">access these payments, however with a shorter duration and payment rate than the Age Pension. </w:t>
      </w:r>
    </w:p>
    <w:p w14:paraId="65E11121" w14:textId="3731F96E" w:rsidR="008802A8" w:rsidRPr="00E41202" w:rsidRDefault="008802A8" w:rsidP="002C30FE">
      <w:pPr>
        <w:pStyle w:val="Heading2"/>
      </w:pPr>
      <w:bookmarkStart w:id="229" w:name="_Toc36555803"/>
      <w:bookmarkStart w:id="230" w:name="_Toc36563902"/>
      <w:bookmarkStart w:id="231" w:name="_Toc36655873"/>
      <w:bookmarkStart w:id="232" w:name="_Toc37931083"/>
      <w:bookmarkStart w:id="233" w:name="_Toc38007027"/>
      <w:bookmarkStart w:id="234" w:name="_Toc38458552"/>
      <w:bookmarkStart w:id="235" w:name="_Toc39071810"/>
      <w:bookmarkStart w:id="236" w:name="_Toc39243440"/>
      <w:bookmarkStart w:id="237" w:name="_Toc100131565"/>
      <w:r w:rsidRPr="007C0BB0">
        <w:t>Costs</w:t>
      </w:r>
      <w:r>
        <w:t xml:space="preserve"> by modelled welfare class</w:t>
      </w:r>
      <w:bookmarkEnd w:id="229"/>
      <w:bookmarkEnd w:id="230"/>
      <w:bookmarkEnd w:id="231"/>
      <w:bookmarkEnd w:id="232"/>
      <w:bookmarkEnd w:id="233"/>
      <w:bookmarkEnd w:id="234"/>
      <w:bookmarkEnd w:id="235"/>
      <w:bookmarkEnd w:id="236"/>
      <w:bookmarkEnd w:id="237"/>
    </w:p>
    <w:p w14:paraId="58913CC2" w14:textId="6FD0F7E5" w:rsidR="00AF5A51" w:rsidRDefault="00AF5A51" w:rsidP="00BF1A16">
      <w:pPr>
        <w:pStyle w:val="OutlineNumbered1"/>
      </w:pPr>
      <w:r>
        <w:t xml:space="preserve">A breakdown of the total </w:t>
      </w:r>
      <w:r w:rsidR="002A2F33">
        <w:t>Lifetime Cost</w:t>
      </w:r>
      <w:r>
        <w:t xml:space="preserve"> by </w:t>
      </w:r>
      <w:r w:rsidR="00B94642">
        <w:t xml:space="preserve">starting </w:t>
      </w:r>
      <w:r>
        <w:t xml:space="preserve">payment class aggregates the same payments as above, but allocates them </w:t>
      </w:r>
      <w:r w:rsidR="008626A2">
        <w:t>according to the hierarchical</w:t>
      </w:r>
      <w:r>
        <w:t xml:space="preserve"> class structure that is in place to allow the modelling process to run efficiently. For example, an</w:t>
      </w:r>
      <w:r w:rsidR="008626A2">
        <w:t xml:space="preserve"> individual in </w:t>
      </w:r>
      <w:r w:rsidR="00CA521F">
        <w:t>C</w:t>
      </w:r>
      <w:r w:rsidR="008626A2">
        <w:t>lass 1</w:t>
      </w:r>
      <w:r w:rsidR="00B94642">
        <w:t xml:space="preserve"> at the valuation date</w:t>
      </w:r>
      <w:r w:rsidR="008626A2">
        <w:t xml:space="preserve"> will be receiving payments </w:t>
      </w:r>
      <w:r w:rsidR="00965B54">
        <w:t xml:space="preserve">from welfare categories that are part of </w:t>
      </w:r>
      <w:r w:rsidR="00CA521F">
        <w:t>C</w:t>
      </w:r>
      <w:r w:rsidR="008626A2">
        <w:t>lass 1, but m</w:t>
      </w:r>
      <w:r w:rsidR="00965B54">
        <w:t>ight</w:t>
      </w:r>
      <w:r w:rsidR="008626A2">
        <w:t xml:space="preserve"> also receive payments from other sources of welfare</w:t>
      </w:r>
      <w:r w:rsidR="00B94642">
        <w:t>, either at the same time or in future years</w:t>
      </w:r>
      <w:r w:rsidR="00965B54">
        <w:t>. A breakdown of payments by category (</w:t>
      </w:r>
      <w:r w:rsidR="00B8168E">
        <w:t>Figure 27</w:t>
      </w:r>
      <w:r w:rsidR="00965B54">
        <w:t xml:space="preserve">) identifies the actual payment source, whereas a breakdown of payments by </w:t>
      </w:r>
      <w:r w:rsidR="00B94642">
        <w:t xml:space="preserve">starting </w:t>
      </w:r>
      <w:r w:rsidR="00965B54">
        <w:t xml:space="preserve">welfare class allocates payments according to the welfare class that an individual is defined/modelled to be in, in </w:t>
      </w:r>
      <w:r w:rsidR="00B94642">
        <w:t>the valuation</w:t>
      </w:r>
      <w:r w:rsidR="00965B54">
        <w:t xml:space="preserve"> year.</w:t>
      </w:r>
    </w:p>
    <w:p w14:paraId="459CA668" w14:textId="0A70DE29" w:rsidR="00D73C54" w:rsidRDefault="00950BA4" w:rsidP="00BF1A16">
      <w:pPr>
        <w:pStyle w:val="OutlineNumbered1"/>
      </w:pPr>
      <w:r>
        <w:t>A b</w:t>
      </w:r>
      <w:r w:rsidR="00965B54">
        <w:t>reakdown</w:t>
      </w:r>
      <w:r>
        <w:t xml:space="preserve"> of the total Lifetime Cost</w:t>
      </w:r>
      <w:r w:rsidR="00965B54">
        <w:t xml:space="preserve"> </w:t>
      </w:r>
      <w:r w:rsidR="00D711FE">
        <w:t>by welfare class and payment category, and average Lifetime Cost per current recipient, are</w:t>
      </w:r>
      <w:r w:rsidR="00965B54">
        <w:t xml:space="preserve"> </w:t>
      </w:r>
      <w:r w:rsidR="00B8168E">
        <w:t xml:space="preserve">shown in </w:t>
      </w:r>
      <w:r w:rsidR="00215A2C">
        <w:fldChar w:fldCharType="begin"/>
      </w:r>
      <w:r w:rsidR="00215A2C">
        <w:instrText xml:space="preserve"> REF  Table7 </w:instrText>
      </w:r>
      <w:r w:rsidR="00215A2C">
        <w:fldChar w:fldCharType="separate"/>
      </w:r>
      <w:r w:rsidR="00751625">
        <w:t xml:space="preserve">Table </w:t>
      </w:r>
      <w:r w:rsidR="00751625">
        <w:rPr>
          <w:noProof/>
        </w:rPr>
        <w:t>7</w:t>
      </w:r>
      <w:r w:rsidR="00215A2C">
        <w:rPr>
          <w:noProof/>
        </w:rPr>
        <w:fldChar w:fldCharType="end"/>
      </w:r>
      <w:r w:rsidR="001F127A">
        <w:t xml:space="preserve"> </w:t>
      </w:r>
      <w:r w:rsidR="00B8168E">
        <w:t xml:space="preserve">and </w:t>
      </w:r>
      <w:r w:rsidR="006E6E74">
        <w:t>Table 8</w:t>
      </w:r>
      <w:r w:rsidR="00965B54">
        <w:t>.</w:t>
      </w:r>
    </w:p>
    <w:p w14:paraId="4397F751" w14:textId="6B867F55" w:rsidR="00AF5A51" w:rsidRDefault="00D6070B" w:rsidP="000B1493">
      <w:pPr>
        <w:pStyle w:val="Caption"/>
        <w:rPr>
          <w:color w:val="FF0000"/>
        </w:rPr>
      </w:pPr>
      <w:bookmarkStart w:id="238" w:name="Table7"/>
      <w:r>
        <w:t xml:space="preserve">Table </w:t>
      </w:r>
      <w:r w:rsidR="00215A2C">
        <w:fldChar w:fldCharType="begin"/>
      </w:r>
      <w:r w:rsidR="00215A2C">
        <w:instrText xml:space="preserve"> SEQ Table \* ARABIC </w:instrText>
      </w:r>
      <w:r w:rsidR="00215A2C">
        <w:fldChar w:fldCharType="separate"/>
      </w:r>
      <w:r w:rsidR="00751625">
        <w:rPr>
          <w:noProof/>
        </w:rPr>
        <w:t>7</w:t>
      </w:r>
      <w:r w:rsidR="00215A2C">
        <w:rPr>
          <w:noProof/>
        </w:rPr>
        <w:fldChar w:fldCharType="end"/>
      </w:r>
      <w:bookmarkEnd w:id="238"/>
      <w:r w:rsidR="00AF5A51" w:rsidRPr="00187EC8">
        <w:t xml:space="preserve">: Composition of </w:t>
      </w:r>
      <w:r w:rsidR="002A2F33">
        <w:t>Lifetime Cost</w:t>
      </w:r>
      <w:r w:rsidR="00AF5A51" w:rsidRPr="00187EC8">
        <w:t xml:space="preserve"> ($</w:t>
      </w:r>
      <w:r w:rsidR="00704DCF">
        <w:t xml:space="preserve"> </w:t>
      </w:r>
      <w:r w:rsidR="00AF5A51" w:rsidRPr="00187EC8">
        <w:t>b</w:t>
      </w:r>
      <w:r w:rsidR="00704DCF">
        <w:t>illio</w:t>
      </w:r>
      <w:r w:rsidR="00AF5A51">
        <w:t>n</w:t>
      </w:r>
      <w:r w:rsidR="00AF5A51" w:rsidRPr="00187EC8">
        <w:t xml:space="preserve">) by </w:t>
      </w:r>
      <w:r w:rsidR="001C1141">
        <w:t>P</w:t>
      </w:r>
      <w:r w:rsidR="00AF5A51" w:rsidRPr="00187EC8">
        <w:t xml:space="preserve">ayment </w:t>
      </w:r>
      <w:r w:rsidR="001C1141">
        <w:t>C</w:t>
      </w:r>
      <w:r w:rsidR="00AF5A51">
        <w:t>lass</w:t>
      </w:r>
      <w:r w:rsidR="00D711FE">
        <w:t xml:space="preserve"> and </w:t>
      </w:r>
      <w:r w:rsidR="001C1141">
        <w:t>C</w:t>
      </w:r>
      <w:r w:rsidR="00D711FE">
        <w:t>ategory</w:t>
      </w:r>
    </w:p>
    <w:tbl>
      <w:tblPr>
        <w:tblStyle w:val="ListTable3-Accent1"/>
        <w:tblW w:w="7792" w:type="dxa"/>
        <w:tblLook w:val="04A0" w:firstRow="1" w:lastRow="0" w:firstColumn="1" w:lastColumn="0" w:noHBand="0" w:noVBand="1"/>
      </w:tblPr>
      <w:tblGrid>
        <w:gridCol w:w="1248"/>
        <w:gridCol w:w="1477"/>
        <w:gridCol w:w="1244"/>
        <w:gridCol w:w="1321"/>
        <w:gridCol w:w="1301"/>
        <w:gridCol w:w="1201"/>
      </w:tblGrid>
      <w:tr w:rsidR="00F31A78" w:rsidRPr="003158D0" w14:paraId="529A111E" w14:textId="77777777" w:rsidTr="00A128C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48" w:type="dxa"/>
            <w:vMerge w:val="restart"/>
          </w:tcPr>
          <w:p w14:paraId="087D0CD4" w14:textId="33A2C50E" w:rsidR="00F31A78" w:rsidRPr="00D47E77" w:rsidRDefault="00F31A78" w:rsidP="00D47E77">
            <w:pPr>
              <w:pStyle w:val="PwCNormal"/>
              <w:numPr>
                <w:ilvl w:val="0"/>
                <w:numId w:val="0"/>
              </w:numPr>
              <w:spacing w:before="40" w:after="40"/>
              <w:jc w:val="center"/>
              <w:rPr>
                <w:rFonts w:ascii="Arial" w:hAnsi="Arial"/>
                <w:noProof/>
                <w:snapToGrid w:val="0"/>
                <w:color w:val="auto"/>
                <w:sz w:val="18"/>
                <w:szCs w:val="18"/>
              </w:rPr>
            </w:pPr>
            <w:r w:rsidRPr="00D47E77">
              <w:rPr>
                <w:rFonts w:ascii="Arial" w:hAnsi="Arial"/>
                <w:noProof/>
                <w:snapToGrid w:val="0"/>
                <w:color w:val="auto"/>
                <w:sz w:val="18"/>
                <w:szCs w:val="18"/>
              </w:rPr>
              <w:t>Welfare class as at 30 June 2019</w:t>
            </w:r>
          </w:p>
        </w:tc>
        <w:tc>
          <w:tcPr>
            <w:tcW w:w="5343" w:type="dxa"/>
            <w:gridSpan w:val="4"/>
          </w:tcPr>
          <w:p w14:paraId="4EA5B466" w14:textId="2117DCD2" w:rsidR="00F31A78" w:rsidRPr="00D47E77" w:rsidRDefault="008911DB" w:rsidP="00D47E77">
            <w:pPr>
              <w:pStyle w:val="PwCNormal"/>
              <w:numPr>
                <w:ilvl w:val="0"/>
                <w:numId w:val="0"/>
              </w:numPr>
              <w:spacing w:before="40" w:after="40"/>
              <w:jc w:val="center"/>
              <w:cnfStyle w:val="100000000000" w:firstRow="1" w:lastRow="0" w:firstColumn="0" w:lastColumn="0" w:oddVBand="0" w:evenVBand="0" w:oddHBand="0" w:evenHBand="0" w:firstRowFirstColumn="0" w:firstRowLastColumn="0" w:lastRowFirstColumn="0" w:lastRowLastColumn="0"/>
              <w:rPr>
                <w:rFonts w:ascii="Arial" w:hAnsi="Arial"/>
                <w:noProof/>
                <w:snapToGrid w:val="0"/>
                <w:color w:val="auto"/>
                <w:sz w:val="18"/>
                <w:szCs w:val="18"/>
              </w:rPr>
            </w:pPr>
            <w:r w:rsidRPr="00D47E77">
              <w:rPr>
                <w:rFonts w:ascii="Arial" w:hAnsi="Arial"/>
                <w:noProof/>
                <w:snapToGrid w:val="0"/>
                <w:color w:val="auto"/>
                <w:sz w:val="18"/>
                <w:szCs w:val="18"/>
              </w:rPr>
              <w:t xml:space="preserve">Total </w:t>
            </w:r>
            <w:r w:rsidR="00F31A78" w:rsidRPr="00D47E77">
              <w:rPr>
                <w:rFonts w:ascii="Arial" w:hAnsi="Arial"/>
                <w:noProof/>
                <w:snapToGrid w:val="0"/>
                <w:color w:val="auto"/>
                <w:sz w:val="18"/>
                <w:szCs w:val="18"/>
              </w:rPr>
              <w:t xml:space="preserve">Lifetime Cost </w:t>
            </w:r>
            <w:r w:rsidRPr="00D47E77">
              <w:rPr>
                <w:rFonts w:ascii="Arial" w:hAnsi="Arial"/>
                <w:noProof/>
                <w:snapToGrid w:val="0"/>
                <w:color w:val="auto"/>
                <w:sz w:val="18"/>
                <w:szCs w:val="18"/>
              </w:rPr>
              <w:t>($ b</w:t>
            </w:r>
            <w:r w:rsidR="00704DCF" w:rsidRPr="00D47E77">
              <w:rPr>
                <w:rFonts w:ascii="Arial" w:hAnsi="Arial"/>
                <w:noProof/>
                <w:snapToGrid w:val="0"/>
                <w:color w:val="auto"/>
                <w:sz w:val="18"/>
                <w:szCs w:val="18"/>
              </w:rPr>
              <w:t>illio</w:t>
            </w:r>
            <w:r w:rsidRPr="00D47E77">
              <w:rPr>
                <w:rFonts w:ascii="Arial" w:hAnsi="Arial"/>
                <w:noProof/>
                <w:snapToGrid w:val="0"/>
                <w:color w:val="auto"/>
                <w:sz w:val="18"/>
                <w:szCs w:val="18"/>
              </w:rPr>
              <w:t xml:space="preserve">n) </w:t>
            </w:r>
            <w:r w:rsidR="00F31A78" w:rsidRPr="00D47E77">
              <w:rPr>
                <w:rFonts w:ascii="Arial" w:hAnsi="Arial"/>
                <w:noProof/>
                <w:snapToGrid w:val="0"/>
                <w:color w:val="auto"/>
                <w:sz w:val="18"/>
                <w:szCs w:val="18"/>
              </w:rPr>
              <w:t>arising from categories:</w:t>
            </w:r>
          </w:p>
        </w:tc>
        <w:tc>
          <w:tcPr>
            <w:tcW w:w="1201" w:type="dxa"/>
            <w:vMerge w:val="restart"/>
          </w:tcPr>
          <w:p w14:paraId="7D233193" w14:textId="1AFEC8C5" w:rsidR="00F31A78" w:rsidRPr="00D47E77" w:rsidRDefault="00F31A78" w:rsidP="00D47E77">
            <w:pPr>
              <w:pStyle w:val="PwCNormal"/>
              <w:numPr>
                <w:ilvl w:val="0"/>
                <w:numId w:val="0"/>
              </w:numPr>
              <w:spacing w:before="40" w:after="40"/>
              <w:jc w:val="center"/>
              <w:cnfStyle w:val="100000000000" w:firstRow="1" w:lastRow="0" w:firstColumn="0" w:lastColumn="0" w:oddVBand="0" w:evenVBand="0" w:oddHBand="0" w:evenHBand="0" w:firstRowFirstColumn="0" w:firstRowLastColumn="0" w:lastRowFirstColumn="0" w:lastRowLastColumn="0"/>
              <w:rPr>
                <w:rFonts w:ascii="Arial" w:hAnsi="Arial"/>
                <w:noProof/>
                <w:snapToGrid w:val="0"/>
                <w:color w:val="auto"/>
                <w:sz w:val="18"/>
                <w:szCs w:val="18"/>
              </w:rPr>
            </w:pPr>
          </w:p>
          <w:p w14:paraId="46068CF6" w14:textId="281059F2" w:rsidR="00F31A78" w:rsidRPr="00D47E77" w:rsidRDefault="00F31A78" w:rsidP="00D47E77">
            <w:pPr>
              <w:pStyle w:val="PwCNormal"/>
              <w:spacing w:before="40" w:after="40"/>
              <w:jc w:val="center"/>
              <w:cnfStyle w:val="100000000000" w:firstRow="1" w:lastRow="0" w:firstColumn="0" w:lastColumn="0" w:oddVBand="0" w:evenVBand="0" w:oddHBand="0" w:evenHBand="0" w:firstRowFirstColumn="0" w:firstRowLastColumn="0" w:lastRowFirstColumn="0" w:lastRowLastColumn="0"/>
              <w:rPr>
                <w:rFonts w:ascii="Arial" w:hAnsi="Arial"/>
                <w:noProof/>
                <w:snapToGrid w:val="0"/>
                <w:color w:val="auto"/>
                <w:sz w:val="18"/>
                <w:szCs w:val="18"/>
              </w:rPr>
            </w:pPr>
            <w:r w:rsidRPr="00D47E77">
              <w:rPr>
                <w:rFonts w:ascii="Arial" w:hAnsi="Arial"/>
                <w:noProof/>
                <w:snapToGrid w:val="0"/>
                <w:color w:val="auto"/>
                <w:sz w:val="18"/>
                <w:szCs w:val="18"/>
              </w:rPr>
              <w:t>Total Lifetime Cost</w:t>
            </w:r>
          </w:p>
        </w:tc>
      </w:tr>
      <w:tr w:rsidR="00F31A78" w:rsidRPr="003158D0" w14:paraId="6AB9D6EC" w14:textId="77777777" w:rsidTr="00A128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8" w:type="dxa"/>
            <w:vMerge/>
            <w:shd w:val="clear" w:color="auto" w:fill="74000E" w:themeFill="accent1"/>
          </w:tcPr>
          <w:p w14:paraId="7B8F9FF6" w14:textId="0E724CEC" w:rsidR="00F31A78" w:rsidRPr="00D47E77" w:rsidRDefault="00F31A78" w:rsidP="00D47E77">
            <w:pPr>
              <w:pStyle w:val="PwCNormal"/>
              <w:spacing w:before="40" w:after="40"/>
              <w:jc w:val="center"/>
              <w:rPr>
                <w:rFonts w:ascii="Arial" w:hAnsi="Arial"/>
                <w:noProof/>
                <w:snapToGrid w:val="0"/>
                <w:color w:val="auto"/>
                <w:sz w:val="18"/>
                <w:szCs w:val="18"/>
              </w:rPr>
            </w:pPr>
          </w:p>
        </w:tc>
        <w:tc>
          <w:tcPr>
            <w:tcW w:w="2721" w:type="dxa"/>
            <w:gridSpan w:val="2"/>
            <w:shd w:val="clear" w:color="auto" w:fill="74000E" w:themeFill="accent1"/>
          </w:tcPr>
          <w:p w14:paraId="79932742" w14:textId="5E9159EE" w:rsidR="00F31A78" w:rsidRPr="00D47E77" w:rsidRDefault="00F31A78" w:rsidP="00D47E77">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b/>
                <w:noProof/>
                <w:snapToGrid w:val="0"/>
                <w:color w:val="auto"/>
                <w:sz w:val="18"/>
                <w:szCs w:val="18"/>
              </w:rPr>
            </w:pPr>
            <w:r w:rsidRPr="00D47E77">
              <w:rPr>
                <w:rFonts w:ascii="Arial" w:hAnsi="Arial"/>
                <w:b/>
                <w:noProof/>
                <w:snapToGrid w:val="0"/>
                <w:color w:val="auto"/>
                <w:sz w:val="18"/>
                <w:szCs w:val="18"/>
              </w:rPr>
              <w:t>Income support</w:t>
            </w:r>
          </w:p>
        </w:tc>
        <w:tc>
          <w:tcPr>
            <w:tcW w:w="2622" w:type="dxa"/>
            <w:gridSpan w:val="2"/>
            <w:shd w:val="clear" w:color="auto" w:fill="74000E" w:themeFill="accent1"/>
          </w:tcPr>
          <w:p w14:paraId="06B70A4F" w14:textId="0C62D91D" w:rsidR="00F31A78" w:rsidRPr="00D47E77" w:rsidRDefault="00F31A78" w:rsidP="00D47E77">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b/>
                <w:noProof/>
                <w:snapToGrid w:val="0"/>
                <w:color w:val="auto"/>
                <w:sz w:val="18"/>
                <w:szCs w:val="18"/>
              </w:rPr>
            </w:pPr>
            <w:r w:rsidRPr="00D47E77">
              <w:rPr>
                <w:rFonts w:ascii="Arial" w:hAnsi="Arial"/>
                <w:b/>
                <w:noProof/>
                <w:snapToGrid w:val="0"/>
                <w:color w:val="auto"/>
                <w:sz w:val="18"/>
                <w:szCs w:val="18"/>
              </w:rPr>
              <w:t>Non-income support</w:t>
            </w:r>
          </w:p>
        </w:tc>
        <w:tc>
          <w:tcPr>
            <w:tcW w:w="1201" w:type="dxa"/>
            <w:vMerge/>
          </w:tcPr>
          <w:p w14:paraId="37133DA2" w14:textId="26E00CB7" w:rsidR="00F31A78" w:rsidRPr="00D47E77" w:rsidRDefault="00F31A78" w:rsidP="00D47E77">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b/>
                <w:noProof/>
                <w:snapToGrid w:val="0"/>
                <w:color w:val="auto"/>
                <w:sz w:val="18"/>
                <w:szCs w:val="18"/>
              </w:rPr>
            </w:pPr>
          </w:p>
        </w:tc>
      </w:tr>
      <w:tr w:rsidR="00F31A78" w:rsidRPr="003158D0" w14:paraId="154385D9" w14:textId="77777777" w:rsidTr="00A128CA">
        <w:tc>
          <w:tcPr>
            <w:cnfStyle w:val="001000000000" w:firstRow="0" w:lastRow="0" w:firstColumn="1" w:lastColumn="0" w:oddVBand="0" w:evenVBand="0" w:oddHBand="0" w:evenHBand="0" w:firstRowFirstColumn="0" w:firstRowLastColumn="0" w:lastRowFirstColumn="0" w:lastRowLastColumn="0"/>
            <w:tcW w:w="1248" w:type="dxa"/>
            <w:vMerge/>
            <w:shd w:val="clear" w:color="auto" w:fill="74000E" w:themeFill="accent1"/>
          </w:tcPr>
          <w:p w14:paraId="7677121E" w14:textId="4BE06072" w:rsidR="00F31A78" w:rsidRPr="00D47E77" w:rsidRDefault="00F31A78" w:rsidP="00D47E77">
            <w:pPr>
              <w:pStyle w:val="PwCNormal"/>
              <w:numPr>
                <w:ilvl w:val="0"/>
                <w:numId w:val="0"/>
              </w:numPr>
              <w:spacing w:before="40" w:after="40"/>
              <w:jc w:val="center"/>
              <w:rPr>
                <w:rFonts w:ascii="Arial" w:hAnsi="Arial"/>
                <w:noProof/>
                <w:snapToGrid w:val="0"/>
                <w:color w:val="auto"/>
                <w:sz w:val="18"/>
                <w:szCs w:val="18"/>
              </w:rPr>
            </w:pPr>
          </w:p>
        </w:tc>
        <w:tc>
          <w:tcPr>
            <w:tcW w:w="1477" w:type="dxa"/>
            <w:shd w:val="clear" w:color="auto" w:fill="74000E" w:themeFill="accent1"/>
          </w:tcPr>
          <w:p w14:paraId="63017CB5" w14:textId="2CC13B2A" w:rsidR="00F31A78" w:rsidRPr="00D47E77" w:rsidRDefault="00F31A78" w:rsidP="00D47E77">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b/>
                <w:noProof/>
                <w:snapToGrid w:val="0"/>
                <w:color w:val="auto"/>
                <w:sz w:val="18"/>
                <w:szCs w:val="18"/>
              </w:rPr>
            </w:pPr>
            <w:r w:rsidRPr="00D47E77">
              <w:rPr>
                <w:rFonts w:ascii="Arial" w:hAnsi="Arial"/>
                <w:b/>
                <w:noProof/>
                <w:snapToGrid w:val="0"/>
                <w:color w:val="auto"/>
                <w:sz w:val="18"/>
                <w:szCs w:val="18"/>
              </w:rPr>
              <w:t>F: Age Pension</w:t>
            </w:r>
          </w:p>
        </w:tc>
        <w:tc>
          <w:tcPr>
            <w:tcW w:w="1244" w:type="dxa"/>
            <w:shd w:val="clear" w:color="auto" w:fill="74000E" w:themeFill="accent1"/>
          </w:tcPr>
          <w:p w14:paraId="4B1A1C98" w14:textId="417C77F9" w:rsidR="00F31A78" w:rsidRPr="00D47E77" w:rsidRDefault="00F31A78" w:rsidP="00D47E77">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b/>
                <w:noProof/>
                <w:snapToGrid w:val="0"/>
                <w:color w:val="auto"/>
                <w:sz w:val="18"/>
                <w:szCs w:val="18"/>
              </w:rPr>
            </w:pPr>
            <w:r w:rsidRPr="00D47E77">
              <w:rPr>
                <w:rFonts w:ascii="Arial" w:hAnsi="Arial"/>
                <w:b/>
                <w:noProof/>
                <w:snapToGrid w:val="0"/>
                <w:color w:val="auto"/>
                <w:sz w:val="18"/>
                <w:szCs w:val="18"/>
              </w:rPr>
              <w:t>A-E,G: Other</w:t>
            </w:r>
          </w:p>
        </w:tc>
        <w:tc>
          <w:tcPr>
            <w:tcW w:w="1321" w:type="dxa"/>
            <w:shd w:val="clear" w:color="auto" w:fill="74000E" w:themeFill="accent1"/>
          </w:tcPr>
          <w:p w14:paraId="43C7E230" w14:textId="31248875" w:rsidR="00F31A78" w:rsidRPr="00D47E77" w:rsidRDefault="00F31A78" w:rsidP="00D47E77">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b/>
                <w:noProof/>
                <w:snapToGrid w:val="0"/>
                <w:color w:val="auto"/>
                <w:sz w:val="18"/>
                <w:szCs w:val="18"/>
              </w:rPr>
            </w:pPr>
            <w:r w:rsidRPr="00D47E77">
              <w:rPr>
                <w:rFonts w:ascii="Arial" w:hAnsi="Arial"/>
                <w:b/>
                <w:noProof/>
                <w:snapToGrid w:val="0"/>
                <w:color w:val="auto"/>
                <w:sz w:val="18"/>
                <w:szCs w:val="18"/>
              </w:rPr>
              <w:t>H-J: Famil</w:t>
            </w:r>
            <w:r w:rsidR="00B70689" w:rsidRPr="00D47E77">
              <w:rPr>
                <w:rFonts w:ascii="Arial" w:hAnsi="Arial"/>
                <w:b/>
                <w:noProof/>
                <w:snapToGrid w:val="0"/>
                <w:color w:val="auto"/>
                <w:sz w:val="18"/>
                <w:szCs w:val="18"/>
              </w:rPr>
              <w:t>ies</w:t>
            </w:r>
          </w:p>
        </w:tc>
        <w:tc>
          <w:tcPr>
            <w:tcW w:w="1301" w:type="dxa"/>
            <w:shd w:val="clear" w:color="auto" w:fill="74000E" w:themeFill="accent1"/>
          </w:tcPr>
          <w:p w14:paraId="663D25A6" w14:textId="184A17CD" w:rsidR="00F31A78" w:rsidRPr="00D47E77" w:rsidRDefault="00F31A78" w:rsidP="00D47E77">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b/>
                <w:noProof/>
                <w:snapToGrid w:val="0"/>
                <w:color w:val="auto"/>
                <w:sz w:val="18"/>
                <w:szCs w:val="18"/>
              </w:rPr>
            </w:pPr>
            <w:r w:rsidRPr="00D47E77">
              <w:rPr>
                <w:rFonts w:ascii="Arial" w:hAnsi="Arial"/>
                <w:b/>
                <w:noProof/>
                <w:snapToGrid w:val="0"/>
                <w:color w:val="auto"/>
                <w:sz w:val="18"/>
                <w:szCs w:val="18"/>
              </w:rPr>
              <w:t>L-R: Other</w:t>
            </w:r>
          </w:p>
        </w:tc>
        <w:tc>
          <w:tcPr>
            <w:tcW w:w="1201" w:type="dxa"/>
            <w:vMerge/>
          </w:tcPr>
          <w:p w14:paraId="52DA45D1" w14:textId="77777777" w:rsidR="00F31A78" w:rsidRPr="00D47E77" w:rsidRDefault="00F31A78" w:rsidP="00D47E77">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b/>
                <w:noProof/>
                <w:snapToGrid w:val="0"/>
                <w:color w:val="auto"/>
                <w:sz w:val="18"/>
                <w:szCs w:val="18"/>
              </w:rPr>
            </w:pPr>
          </w:p>
        </w:tc>
      </w:tr>
      <w:tr w:rsidR="00A04653" w:rsidRPr="003158D0" w14:paraId="56221BEF" w14:textId="77777777" w:rsidTr="00A128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8" w:type="dxa"/>
          </w:tcPr>
          <w:p w14:paraId="5A729B11" w14:textId="38C9DF1F" w:rsidR="00A04653" w:rsidRPr="00D47E77" w:rsidRDefault="00A04653" w:rsidP="00D47E77">
            <w:pPr>
              <w:pStyle w:val="PwCNormal"/>
              <w:numPr>
                <w:ilvl w:val="0"/>
                <w:numId w:val="0"/>
              </w:numPr>
              <w:spacing w:before="40" w:after="40"/>
              <w:jc w:val="center"/>
              <w:rPr>
                <w:rFonts w:ascii="Arial" w:hAnsi="Arial"/>
                <w:noProof/>
                <w:snapToGrid w:val="0"/>
                <w:color w:val="auto"/>
                <w:sz w:val="18"/>
                <w:szCs w:val="18"/>
              </w:rPr>
            </w:pPr>
            <w:r w:rsidRPr="00D47E77">
              <w:rPr>
                <w:rFonts w:ascii="Arial" w:hAnsi="Arial"/>
                <w:sz w:val="18"/>
                <w:szCs w:val="18"/>
              </w:rPr>
              <w:t>1 Studying</w:t>
            </w:r>
          </w:p>
        </w:tc>
        <w:tc>
          <w:tcPr>
            <w:tcW w:w="1477" w:type="dxa"/>
          </w:tcPr>
          <w:p w14:paraId="7D42B6FC" w14:textId="33818194" w:rsidR="00A04653" w:rsidRPr="00D47E77" w:rsidRDefault="00A04653" w:rsidP="00D47E77">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noProof/>
                <w:snapToGrid w:val="0"/>
                <w:color w:val="auto"/>
                <w:sz w:val="18"/>
                <w:szCs w:val="18"/>
              </w:rPr>
            </w:pPr>
            <w:r w:rsidRPr="00D47E77">
              <w:rPr>
                <w:rFonts w:ascii="Arial" w:hAnsi="Arial"/>
                <w:sz w:val="18"/>
                <w:szCs w:val="18"/>
              </w:rPr>
              <w:t>44</w:t>
            </w:r>
          </w:p>
        </w:tc>
        <w:tc>
          <w:tcPr>
            <w:tcW w:w="1244" w:type="dxa"/>
          </w:tcPr>
          <w:p w14:paraId="0372E25A" w14:textId="0A54D207" w:rsidR="00A04653" w:rsidRPr="00D47E77" w:rsidRDefault="00A04653" w:rsidP="00D47E77">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noProof/>
                <w:snapToGrid w:val="0"/>
                <w:color w:val="auto"/>
                <w:sz w:val="18"/>
                <w:szCs w:val="18"/>
              </w:rPr>
            </w:pPr>
            <w:r w:rsidRPr="00D47E77">
              <w:rPr>
                <w:rFonts w:ascii="Arial" w:hAnsi="Arial"/>
                <w:sz w:val="18"/>
                <w:szCs w:val="18"/>
              </w:rPr>
              <w:t>25</w:t>
            </w:r>
          </w:p>
        </w:tc>
        <w:tc>
          <w:tcPr>
            <w:tcW w:w="1321" w:type="dxa"/>
          </w:tcPr>
          <w:p w14:paraId="69625376" w14:textId="730A000D" w:rsidR="00A04653" w:rsidRPr="00D47E77" w:rsidRDefault="00A04653" w:rsidP="00D47E77">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noProof/>
                <w:snapToGrid w:val="0"/>
                <w:color w:val="auto"/>
                <w:sz w:val="18"/>
                <w:szCs w:val="18"/>
              </w:rPr>
            </w:pPr>
            <w:r w:rsidRPr="00D47E77">
              <w:rPr>
                <w:rFonts w:ascii="Arial" w:hAnsi="Arial"/>
                <w:sz w:val="18"/>
                <w:szCs w:val="18"/>
              </w:rPr>
              <w:t>16</w:t>
            </w:r>
          </w:p>
        </w:tc>
        <w:tc>
          <w:tcPr>
            <w:tcW w:w="1301" w:type="dxa"/>
          </w:tcPr>
          <w:p w14:paraId="7C28BB9E" w14:textId="61B0E4B0" w:rsidR="00A04653" w:rsidRPr="00D47E77" w:rsidRDefault="00A04653" w:rsidP="00D47E77">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noProof/>
                <w:snapToGrid w:val="0"/>
                <w:color w:val="auto"/>
                <w:sz w:val="18"/>
                <w:szCs w:val="18"/>
              </w:rPr>
            </w:pPr>
            <w:r w:rsidRPr="00D47E77">
              <w:rPr>
                <w:rFonts w:ascii="Arial" w:hAnsi="Arial"/>
                <w:sz w:val="18"/>
                <w:szCs w:val="18"/>
              </w:rPr>
              <w:t>7</w:t>
            </w:r>
          </w:p>
        </w:tc>
        <w:tc>
          <w:tcPr>
            <w:tcW w:w="1201" w:type="dxa"/>
          </w:tcPr>
          <w:p w14:paraId="41B28FDD" w14:textId="5A42186A" w:rsidR="00A04653" w:rsidRPr="00D47E77" w:rsidRDefault="00A04653" w:rsidP="00D47E77">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noProof/>
                <w:snapToGrid w:val="0"/>
                <w:color w:val="auto"/>
                <w:sz w:val="18"/>
                <w:szCs w:val="18"/>
              </w:rPr>
            </w:pPr>
            <w:r w:rsidRPr="00D47E77">
              <w:rPr>
                <w:rFonts w:ascii="Arial" w:hAnsi="Arial"/>
                <w:sz w:val="18"/>
                <w:szCs w:val="18"/>
              </w:rPr>
              <w:t>91</w:t>
            </w:r>
          </w:p>
        </w:tc>
      </w:tr>
      <w:tr w:rsidR="00A04653" w:rsidRPr="003158D0" w14:paraId="6973D27A" w14:textId="77777777" w:rsidTr="00A128CA">
        <w:tc>
          <w:tcPr>
            <w:cnfStyle w:val="001000000000" w:firstRow="0" w:lastRow="0" w:firstColumn="1" w:lastColumn="0" w:oddVBand="0" w:evenVBand="0" w:oddHBand="0" w:evenHBand="0" w:firstRowFirstColumn="0" w:firstRowLastColumn="0" w:lastRowFirstColumn="0" w:lastRowLastColumn="0"/>
            <w:tcW w:w="1248" w:type="dxa"/>
          </w:tcPr>
          <w:p w14:paraId="75967743" w14:textId="34AF8A9A" w:rsidR="00A04653" w:rsidRPr="00D47E77" w:rsidRDefault="00A04653" w:rsidP="00D47E77">
            <w:pPr>
              <w:pStyle w:val="PwCNormal"/>
              <w:numPr>
                <w:ilvl w:val="0"/>
                <w:numId w:val="0"/>
              </w:numPr>
              <w:spacing w:before="40" w:after="40"/>
              <w:jc w:val="center"/>
              <w:rPr>
                <w:rFonts w:ascii="Arial" w:hAnsi="Arial"/>
                <w:noProof/>
                <w:snapToGrid w:val="0"/>
                <w:color w:val="auto"/>
                <w:sz w:val="18"/>
                <w:szCs w:val="18"/>
              </w:rPr>
            </w:pPr>
            <w:r w:rsidRPr="00D47E77">
              <w:rPr>
                <w:rFonts w:ascii="Arial" w:hAnsi="Arial"/>
                <w:sz w:val="18"/>
                <w:szCs w:val="18"/>
              </w:rPr>
              <w:t>2 Working Age</w:t>
            </w:r>
          </w:p>
        </w:tc>
        <w:tc>
          <w:tcPr>
            <w:tcW w:w="1477" w:type="dxa"/>
          </w:tcPr>
          <w:p w14:paraId="0FD55901" w14:textId="4D650598" w:rsidR="00A04653" w:rsidRPr="00D47E77" w:rsidRDefault="00A04653" w:rsidP="00D47E77">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noProof/>
                <w:snapToGrid w:val="0"/>
                <w:color w:val="auto"/>
                <w:sz w:val="18"/>
                <w:szCs w:val="18"/>
              </w:rPr>
            </w:pPr>
            <w:r w:rsidRPr="00D47E77">
              <w:rPr>
                <w:rFonts w:ascii="Arial" w:hAnsi="Arial"/>
                <w:sz w:val="18"/>
                <w:szCs w:val="18"/>
              </w:rPr>
              <w:t>205</w:t>
            </w:r>
          </w:p>
        </w:tc>
        <w:tc>
          <w:tcPr>
            <w:tcW w:w="1244" w:type="dxa"/>
          </w:tcPr>
          <w:p w14:paraId="06C4252D" w14:textId="37947548" w:rsidR="00A04653" w:rsidRPr="00D47E77" w:rsidRDefault="00A04653" w:rsidP="00D47E77">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noProof/>
                <w:snapToGrid w:val="0"/>
                <w:color w:val="auto"/>
                <w:sz w:val="18"/>
                <w:szCs w:val="18"/>
              </w:rPr>
            </w:pPr>
            <w:r w:rsidRPr="00D47E77">
              <w:rPr>
                <w:rFonts w:ascii="Arial" w:hAnsi="Arial"/>
                <w:sz w:val="18"/>
                <w:szCs w:val="18"/>
              </w:rPr>
              <w:t>168</w:t>
            </w:r>
          </w:p>
        </w:tc>
        <w:tc>
          <w:tcPr>
            <w:tcW w:w="1321" w:type="dxa"/>
          </w:tcPr>
          <w:p w14:paraId="2DD2F076" w14:textId="5564158F" w:rsidR="00A04653" w:rsidRPr="00D47E77" w:rsidRDefault="00A04653" w:rsidP="00D47E77">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noProof/>
                <w:snapToGrid w:val="0"/>
                <w:color w:val="auto"/>
                <w:sz w:val="18"/>
                <w:szCs w:val="18"/>
              </w:rPr>
            </w:pPr>
            <w:r w:rsidRPr="00D47E77">
              <w:rPr>
                <w:rFonts w:ascii="Arial" w:hAnsi="Arial"/>
                <w:sz w:val="18"/>
                <w:szCs w:val="18"/>
              </w:rPr>
              <w:t>31</w:t>
            </w:r>
          </w:p>
        </w:tc>
        <w:tc>
          <w:tcPr>
            <w:tcW w:w="1301" w:type="dxa"/>
          </w:tcPr>
          <w:p w14:paraId="105FB2CA" w14:textId="7B9BF6F2" w:rsidR="00A04653" w:rsidRPr="00D47E77" w:rsidRDefault="00A04653" w:rsidP="00D47E77">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noProof/>
                <w:snapToGrid w:val="0"/>
                <w:color w:val="auto"/>
                <w:sz w:val="18"/>
                <w:szCs w:val="18"/>
              </w:rPr>
            </w:pPr>
            <w:r w:rsidRPr="00D47E77">
              <w:rPr>
                <w:rFonts w:ascii="Arial" w:hAnsi="Arial"/>
                <w:sz w:val="18"/>
                <w:szCs w:val="18"/>
              </w:rPr>
              <w:t>44</w:t>
            </w:r>
          </w:p>
        </w:tc>
        <w:tc>
          <w:tcPr>
            <w:tcW w:w="1201" w:type="dxa"/>
          </w:tcPr>
          <w:p w14:paraId="425AB3A5" w14:textId="295DA69D" w:rsidR="00A04653" w:rsidRPr="00D47E77" w:rsidRDefault="00A04653" w:rsidP="00D47E77">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noProof/>
                <w:snapToGrid w:val="0"/>
                <w:color w:val="auto"/>
                <w:sz w:val="18"/>
                <w:szCs w:val="18"/>
              </w:rPr>
            </w:pPr>
            <w:r w:rsidRPr="00D47E77">
              <w:rPr>
                <w:rFonts w:ascii="Arial" w:hAnsi="Arial"/>
                <w:sz w:val="18"/>
                <w:szCs w:val="18"/>
              </w:rPr>
              <w:t>447</w:t>
            </w:r>
          </w:p>
        </w:tc>
      </w:tr>
      <w:tr w:rsidR="00A04653" w:rsidRPr="003158D0" w14:paraId="0A5F65E9" w14:textId="77777777" w:rsidTr="00A128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8" w:type="dxa"/>
          </w:tcPr>
          <w:p w14:paraId="1B5E7BF9" w14:textId="08CDA2E4" w:rsidR="00A04653" w:rsidRPr="00D47E77" w:rsidRDefault="00A04653" w:rsidP="00D47E77">
            <w:pPr>
              <w:pStyle w:val="PwCNormal"/>
              <w:numPr>
                <w:ilvl w:val="0"/>
                <w:numId w:val="0"/>
              </w:numPr>
              <w:spacing w:before="40" w:after="40"/>
              <w:jc w:val="center"/>
              <w:rPr>
                <w:rFonts w:ascii="Arial" w:hAnsi="Arial"/>
                <w:noProof/>
                <w:snapToGrid w:val="0"/>
                <w:color w:val="auto"/>
                <w:sz w:val="18"/>
                <w:szCs w:val="18"/>
              </w:rPr>
            </w:pPr>
            <w:r w:rsidRPr="00D47E77">
              <w:rPr>
                <w:rFonts w:ascii="Arial" w:hAnsi="Arial"/>
                <w:sz w:val="18"/>
                <w:szCs w:val="18"/>
              </w:rPr>
              <w:t>3 Parents</w:t>
            </w:r>
          </w:p>
        </w:tc>
        <w:tc>
          <w:tcPr>
            <w:tcW w:w="1477" w:type="dxa"/>
          </w:tcPr>
          <w:p w14:paraId="6C7204FE" w14:textId="53EEADBD" w:rsidR="00A04653" w:rsidRPr="00D47E77" w:rsidRDefault="00A04653" w:rsidP="00D47E77">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noProof/>
                <w:snapToGrid w:val="0"/>
                <w:color w:val="auto"/>
                <w:sz w:val="18"/>
                <w:szCs w:val="18"/>
              </w:rPr>
            </w:pPr>
            <w:r w:rsidRPr="00D47E77">
              <w:rPr>
                <w:rFonts w:ascii="Arial" w:hAnsi="Arial"/>
                <w:sz w:val="18"/>
                <w:szCs w:val="18"/>
              </w:rPr>
              <w:t>59</w:t>
            </w:r>
          </w:p>
        </w:tc>
        <w:tc>
          <w:tcPr>
            <w:tcW w:w="1244" w:type="dxa"/>
          </w:tcPr>
          <w:p w14:paraId="6D367B2F" w14:textId="068C0C3F" w:rsidR="00A04653" w:rsidRPr="00D47E77" w:rsidRDefault="00A04653" w:rsidP="00D47E77">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noProof/>
                <w:snapToGrid w:val="0"/>
                <w:color w:val="auto"/>
                <w:sz w:val="18"/>
                <w:szCs w:val="18"/>
              </w:rPr>
            </w:pPr>
            <w:r w:rsidRPr="00D47E77">
              <w:rPr>
                <w:rFonts w:ascii="Arial" w:hAnsi="Arial"/>
                <w:sz w:val="18"/>
                <w:szCs w:val="18"/>
              </w:rPr>
              <w:t>86</w:t>
            </w:r>
          </w:p>
        </w:tc>
        <w:tc>
          <w:tcPr>
            <w:tcW w:w="1321" w:type="dxa"/>
          </w:tcPr>
          <w:p w14:paraId="5E209E1A" w14:textId="45BE8588" w:rsidR="00A04653" w:rsidRPr="00D47E77" w:rsidRDefault="00A04653" w:rsidP="00D47E77">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noProof/>
                <w:snapToGrid w:val="0"/>
                <w:color w:val="auto"/>
                <w:sz w:val="18"/>
                <w:szCs w:val="18"/>
              </w:rPr>
            </w:pPr>
            <w:r w:rsidRPr="00D47E77">
              <w:rPr>
                <w:rFonts w:ascii="Arial" w:hAnsi="Arial"/>
                <w:sz w:val="18"/>
                <w:szCs w:val="18"/>
              </w:rPr>
              <w:t>60</w:t>
            </w:r>
          </w:p>
        </w:tc>
        <w:tc>
          <w:tcPr>
            <w:tcW w:w="1301" w:type="dxa"/>
          </w:tcPr>
          <w:p w14:paraId="245E382B" w14:textId="39159889" w:rsidR="00A04653" w:rsidRPr="00D47E77" w:rsidRDefault="00A04653" w:rsidP="00D47E77">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noProof/>
                <w:snapToGrid w:val="0"/>
                <w:color w:val="auto"/>
                <w:sz w:val="18"/>
                <w:szCs w:val="18"/>
              </w:rPr>
            </w:pPr>
            <w:r w:rsidRPr="00D47E77">
              <w:rPr>
                <w:rFonts w:ascii="Arial" w:hAnsi="Arial"/>
                <w:sz w:val="18"/>
                <w:szCs w:val="18"/>
              </w:rPr>
              <w:t>23</w:t>
            </w:r>
          </w:p>
        </w:tc>
        <w:tc>
          <w:tcPr>
            <w:tcW w:w="1201" w:type="dxa"/>
          </w:tcPr>
          <w:p w14:paraId="4D9D929A" w14:textId="0C89895A" w:rsidR="00A04653" w:rsidRPr="00D47E77" w:rsidRDefault="00A04653" w:rsidP="00D47E77">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noProof/>
                <w:snapToGrid w:val="0"/>
                <w:color w:val="auto"/>
                <w:sz w:val="18"/>
                <w:szCs w:val="18"/>
              </w:rPr>
            </w:pPr>
            <w:r w:rsidRPr="00D47E77">
              <w:rPr>
                <w:rFonts w:ascii="Arial" w:hAnsi="Arial"/>
                <w:sz w:val="18"/>
                <w:szCs w:val="18"/>
              </w:rPr>
              <w:t>227</w:t>
            </w:r>
          </w:p>
        </w:tc>
      </w:tr>
      <w:tr w:rsidR="00A04653" w:rsidRPr="003158D0" w14:paraId="1B9EF1A5" w14:textId="77777777" w:rsidTr="00A128CA">
        <w:tc>
          <w:tcPr>
            <w:cnfStyle w:val="001000000000" w:firstRow="0" w:lastRow="0" w:firstColumn="1" w:lastColumn="0" w:oddVBand="0" w:evenVBand="0" w:oddHBand="0" w:evenHBand="0" w:firstRowFirstColumn="0" w:firstRowLastColumn="0" w:lastRowFirstColumn="0" w:lastRowLastColumn="0"/>
            <w:tcW w:w="1248" w:type="dxa"/>
          </w:tcPr>
          <w:p w14:paraId="08D55498" w14:textId="13670369" w:rsidR="00A04653" w:rsidRPr="00D47E77" w:rsidRDefault="00A04653" w:rsidP="00D47E77">
            <w:pPr>
              <w:pStyle w:val="PwCNormal"/>
              <w:numPr>
                <w:ilvl w:val="0"/>
                <w:numId w:val="0"/>
              </w:numPr>
              <w:spacing w:before="40" w:after="40"/>
              <w:jc w:val="center"/>
              <w:rPr>
                <w:rFonts w:ascii="Arial" w:hAnsi="Arial"/>
                <w:noProof/>
                <w:snapToGrid w:val="0"/>
                <w:color w:val="auto"/>
                <w:sz w:val="18"/>
                <w:szCs w:val="18"/>
              </w:rPr>
            </w:pPr>
            <w:r w:rsidRPr="00D47E77">
              <w:rPr>
                <w:rFonts w:ascii="Arial" w:hAnsi="Arial"/>
                <w:sz w:val="18"/>
                <w:szCs w:val="18"/>
              </w:rPr>
              <w:t>4 Carers</w:t>
            </w:r>
          </w:p>
        </w:tc>
        <w:tc>
          <w:tcPr>
            <w:tcW w:w="1477" w:type="dxa"/>
          </w:tcPr>
          <w:p w14:paraId="55EEC13B" w14:textId="71FA9215" w:rsidR="00A04653" w:rsidRPr="00D47E77" w:rsidRDefault="00A04653" w:rsidP="00D47E77">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noProof/>
                <w:snapToGrid w:val="0"/>
                <w:color w:val="auto"/>
                <w:sz w:val="18"/>
                <w:szCs w:val="18"/>
              </w:rPr>
            </w:pPr>
            <w:r w:rsidRPr="00D47E77">
              <w:rPr>
                <w:rFonts w:ascii="Arial" w:hAnsi="Arial"/>
                <w:sz w:val="18"/>
                <w:szCs w:val="18"/>
              </w:rPr>
              <w:t>59</w:t>
            </w:r>
          </w:p>
        </w:tc>
        <w:tc>
          <w:tcPr>
            <w:tcW w:w="1244" w:type="dxa"/>
          </w:tcPr>
          <w:p w14:paraId="4377DE28" w14:textId="34C31FA6" w:rsidR="00A04653" w:rsidRPr="00D47E77" w:rsidRDefault="00A04653" w:rsidP="00D47E77">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noProof/>
                <w:snapToGrid w:val="0"/>
                <w:color w:val="auto"/>
                <w:sz w:val="18"/>
                <w:szCs w:val="18"/>
              </w:rPr>
            </w:pPr>
            <w:r w:rsidRPr="00D47E77">
              <w:rPr>
                <w:rFonts w:ascii="Arial" w:hAnsi="Arial"/>
                <w:sz w:val="18"/>
                <w:szCs w:val="18"/>
              </w:rPr>
              <w:t>64</w:t>
            </w:r>
          </w:p>
        </w:tc>
        <w:tc>
          <w:tcPr>
            <w:tcW w:w="1321" w:type="dxa"/>
          </w:tcPr>
          <w:p w14:paraId="689289AF" w14:textId="3CA1EC10" w:rsidR="00A04653" w:rsidRPr="00D47E77" w:rsidRDefault="00A04653" w:rsidP="00D47E77">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noProof/>
                <w:snapToGrid w:val="0"/>
                <w:color w:val="auto"/>
                <w:sz w:val="18"/>
                <w:szCs w:val="18"/>
              </w:rPr>
            </w:pPr>
            <w:r w:rsidRPr="00D47E77">
              <w:rPr>
                <w:rFonts w:ascii="Arial" w:hAnsi="Arial"/>
                <w:sz w:val="18"/>
                <w:szCs w:val="18"/>
              </w:rPr>
              <w:t>10</w:t>
            </w:r>
          </w:p>
        </w:tc>
        <w:tc>
          <w:tcPr>
            <w:tcW w:w="1301" w:type="dxa"/>
          </w:tcPr>
          <w:p w14:paraId="58B8E0A7" w14:textId="2AE9E39A" w:rsidR="00A04653" w:rsidRPr="00D47E77" w:rsidRDefault="00A04653" w:rsidP="00D47E77">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noProof/>
                <w:snapToGrid w:val="0"/>
                <w:color w:val="auto"/>
                <w:sz w:val="18"/>
                <w:szCs w:val="18"/>
              </w:rPr>
            </w:pPr>
            <w:r w:rsidRPr="00D47E77">
              <w:rPr>
                <w:rFonts w:ascii="Arial" w:hAnsi="Arial"/>
                <w:sz w:val="18"/>
                <w:szCs w:val="18"/>
              </w:rPr>
              <w:t>25</w:t>
            </w:r>
          </w:p>
        </w:tc>
        <w:tc>
          <w:tcPr>
            <w:tcW w:w="1201" w:type="dxa"/>
          </w:tcPr>
          <w:p w14:paraId="478F5DF4" w14:textId="69CD50DA" w:rsidR="00A04653" w:rsidRPr="00D47E77" w:rsidRDefault="00A04653" w:rsidP="00D47E77">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noProof/>
                <w:snapToGrid w:val="0"/>
                <w:color w:val="auto"/>
                <w:sz w:val="18"/>
                <w:szCs w:val="18"/>
              </w:rPr>
            </w:pPr>
            <w:r w:rsidRPr="00D47E77">
              <w:rPr>
                <w:rFonts w:ascii="Arial" w:hAnsi="Arial"/>
                <w:sz w:val="18"/>
                <w:szCs w:val="18"/>
              </w:rPr>
              <w:t>157</w:t>
            </w:r>
          </w:p>
        </w:tc>
      </w:tr>
      <w:tr w:rsidR="00A04653" w:rsidRPr="003158D0" w14:paraId="0E5B0224" w14:textId="77777777" w:rsidTr="00A128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8" w:type="dxa"/>
          </w:tcPr>
          <w:p w14:paraId="3BA90CDA" w14:textId="04A3A719" w:rsidR="00A04653" w:rsidRPr="00D47E77" w:rsidRDefault="00A04653" w:rsidP="00D47E77">
            <w:pPr>
              <w:pStyle w:val="PwCNormal"/>
              <w:numPr>
                <w:ilvl w:val="0"/>
                <w:numId w:val="0"/>
              </w:numPr>
              <w:spacing w:before="40" w:after="40"/>
              <w:jc w:val="center"/>
              <w:rPr>
                <w:rFonts w:ascii="Arial" w:hAnsi="Arial"/>
                <w:noProof/>
                <w:snapToGrid w:val="0"/>
                <w:color w:val="auto"/>
                <w:sz w:val="18"/>
                <w:szCs w:val="18"/>
              </w:rPr>
            </w:pPr>
            <w:r w:rsidRPr="00D47E77">
              <w:rPr>
                <w:rFonts w:ascii="Arial" w:hAnsi="Arial"/>
                <w:sz w:val="18"/>
                <w:szCs w:val="18"/>
              </w:rPr>
              <w:t>5 Disability Support</w:t>
            </w:r>
          </w:p>
        </w:tc>
        <w:tc>
          <w:tcPr>
            <w:tcW w:w="1477" w:type="dxa"/>
          </w:tcPr>
          <w:p w14:paraId="52E0EAFD" w14:textId="154E0CC7" w:rsidR="00A04653" w:rsidRPr="00D47E77" w:rsidRDefault="00A04653" w:rsidP="00D47E77">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noProof/>
                <w:snapToGrid w:val="0"/>
                <w:color w:val="auto"/>
                <w:sz w:val="18"/>
                <w:szCs w:val="18"/>
              </w:rPr>
            </w:pPr>
            <w:r w:rsidRPr="00D47E77">
              <w:rPr>
                <w:rFonts w:ascii="Arial" w:hAnsi="Arial"/>
                <w:sz w:val="18"/>
                <w:szCs w:val="18"/>
              </w:rPr>
              <w:t>54</w:t>
            </w:r>
          </w:p>
        </w:tc>
        <w:tc>
          <w:tcPr>
            <w:tcW w:w="1244" w:type="dxa"/>
          </w:tcPr>
          <w:p w14:paraId="19A3C993" w14:textId="6E4CE596" w:rsidR="00A04653" w:rsidRPr="00D47E77" w:rsidRDefault="00A04653" w:rsidP="00D47E77">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noProof/>
                <w:snapToGrid w:val="0"/>
                <w:color w:val="auto"/>
                <w:sz w:val="18"/>
                <w:szCs w:val="18"/>
              </w:rPr>
            </w:pPr>
            <w:r w:rsidRPr="00D47E77">
              <w:rPr>
                <w:rFonts w:ascii="Arial" w:hAnsi="Arial"/>
                <w:sz w:val="18"/>
                <w:szCs w:val="18"/>
              </w:rPr>
              <w:t>286</w:t>
            </w:r>
          </w:p>
        </w:tc>
        <w:tc>
          <w:tcPr>
            <w:tcW w:w="1321" w:type="dxa"/>
          </w:tcPr>
          <w:p w14:paraId="3B78C1D4" w14:textId="1710ADA5" w:rsidR="00A04653" w:rsidRPr="00D47E77" w:rsidRDefault="00A04653" w:rsidP="00D47E77">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noProof/>
                <w:snapToGrid w:val="0"/>
                <w:color w:val="auto"/>
                <w:sz w:val="18"/>
                <w:szCs w:val="18"/>
              </w:rPr>
            </w:pPr>
            <w:r w:rsidRPr="00D47E77">
              <w:rPr>
                <w:rFonts w:ascii="Arial" w:hAnsi="Arial"/>
                <w:sz w:val="18"/>
                <w:szCs w:val="18"/>
              </w:rPr>
              <w:t>5</w:t>
            </w:r>
          </w:p>
        </w:tc>
        <w:tc>
          <w:tcPr>
            <w:tcW w:w="1301" w:type="dxa"/>
          </w:tcPr>
          <w:p w14:paraId="22B0A90D" w14:textId="75E25A0C" w:rsidR="00A04653" w:rsidRPr="00D47E77" w:rsidRDefault="00A04653" w:rsidP="00D47E77">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noProof/>
                <w:snapToGrid w:val="0"/>
                <w:color w:val="auto"/>
                <w:sz w:val="18"/>
                <w:szCs w:val="18"/>
              </w:rPr>
            </w:pPr>
            <w:r w:rsidRPr="00D47E77">
              <w:rPr>
                <w:rFonts w:ascii="Arial" w:hAnsi="Arial"/>
                <w:sz w:val="18"/>
                <w:szCs w:val="18"/>
              </w:rPr>
              <w:t>41</w:t>
            </w:r>
          </w:p>
        </w:tc>
        <w:tc>
          <w:tcPr>
            <w:tcW w:w="1201" w:type="dxa"/>
          </w:tcPr>
          <w:p w14:paraId="6E5212B0" w14:textId="07A566AA" w:rsidR="00A04653" w:rsidRPr="00D47E77" w:rsidRDefault="00A04653" w:rsidP="00D47E77">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noProof/>
                <w:snapToGrid w:val="0"/>
                <w:color w:val="auto"/>
                <w:sz w:val="18"/>
                <w:szCs w:val="18"/>
              </w:rPr>
            </w:pPr>
            <w:r w:rsidRPr="00D47E77">
              <w:rPr>
                <w:rFonts w:ascii="Arial" w:hAnsi="Arial"/>
                <w:sz w:val="18"/>
                <w:szCs w:val="18"/>
              </w:rPr>
              <w:t>386</w:t>
            </w:r>
          </w:p>
        </w:tc>
      </w:tr>
      <w:tr w:rsidR="00A04653" w14:paraId="7527C183" w14:textId="77777777" w:rsidTr="00A128CA">
        <w:tc>
          <w:tcPr>
            <w:cnfStyle w:val="001000000000" w:firstRow="0" w:lastRow="0" w:firstColumn="1" w:lastColumn="0" w:oddVBand="0" w:evenVBand="0" w:oddHBand="0" w:evenHBand="0" w:firstRowFirstColumn="0" w:firstRowLastColumn="0" w:lastRowFirstColumn="0" w:lastRowLastColumn="0"/>
            <w:tcW w:w="1248" w:type="dxa"/>
          </w:tcPr>
          <w:p w14:paraId="546DD1E1" w14:textId="6F60353D" w:rsidR="00A04653" w:rsidRPr="00D47E77" w:rsidRDefault="00A04653" w:rsidP="00D47E77">
            <w:pPr>
              <w:pStyle w:val="PwCNormal"/>
              <w:numPr>
                <w:ilvl w:val="0"/>
                <w:numId w:val="0"/>
              </w:numPr>
              <w:spacing w:before="40" w:after="40"/>
              <w:jc w:val="center"/>
              <w:rPr>
                <w:rFonts w:ascii="Arial" w:hAnsi="Arial"/>
                <w:noProof/>
                <w:snapToGrid w:val="0"/>
                <w:color w:val="auto"/>
                <w:sz w:val="18"/>
                <w:szCs w:val="18"/>
              </w:rPr>
            </w:pPr>
            <w:r w:rsidRPr="00D47E77">
              <w:rPr>
                <w:rFonts w:ascii="Arial" w:hAnsi="Arial"/>
                <w:sz w:val="18"/>
                <w:szCs w:val="18"/>
              </w:rPr>
              <w:t>6 Pension Age</w:t>
            </w:r>
          </w:p>
        </w:tc>
        <w:tc>
          <w:tcPr>
            <w:tcW w:w="1477" w:type="dxa"/>
          </w:tcPr>
          <w:p w14:paraId="31F9FB5A" w14:textId="58E748D0" w:rsidR="00A04653" w:rsidRPr="00D47E77" w:rsidRDefault="00A04653" w:rsidP="00D47E77">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noProof/>
                <w:snapToGrid w:val="0"/>
                <w:color w:val="auto"/>
                <w:sz w:val="18"/>
                <w:szCs w:val="18"/>
              </w:rPr>
            </w:pPr>
            <w:r w:rsidRPr="00D47E77">
              <w:rPr>
                <w:rFonts w:ascii="Arial" w:hAnsi="Arial"/>
                <w:sz w:val="18"/>
                <w:szCs w:val="18"/>
              </w:rPr>
              <w:t>487</w:t>
            </w:r>
          </w:p>
        </w:tc>
        <w:tc>
          <w:tcPr>
            <w:tcW w:w="1244" w:type="dxa"/>
          </w:tcPr>
          <w:p w14:paraId="5E2C768C" w14:textId="3BE143E1" w:rsidR="00A04653" w:rsidRPr="00D47E77" w:rsidRDefault="00A04653" w:rsidP="00D47E77">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noProof/>
                <w:snapToGrid w:val="0"/>
                <w:color w:val="auto"/>
                <w:sz w:val="18"/>
                <w:szCs w:val="18"/>
              </w:rPr>
            </w:pPr>
            <w:r w:rsidRPr="00D47E77">
              <w:rPr>
                <w:rFonts w:ascii="Arial" w:hAnsi="Arial"/>
                <w:sz w:val="18"/>
                <w:szCs w:val="18"/>
              </w:rPr>
              <w:t>1</w:t>
            </w:r>
          </w:p>
        </w:tc>
        <w:tc>
          <w:tcPr>
            <w:tcW w:w="1321" w:type="dxa"/>
          </w:tcPr>
          <w:p w14:paraId="6ACCC44E" w14:textId="4BF5F34B" w:rsidR="00A04653" w:rsidRPr="00D47E77" w:rsidRDefault="00A04653" w:rsidP="00D47E77">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noProof/>
                <w:snapToGrid w:val="0"/>
                <w:color w:val="auto"/>
                <w:sz w:val="18"/>
                <w:szCs w:val="18"/>
              </w:rPr>
            </w:pPr>
            <w:r w:rsidRPr="00D47E77">
              <w:rPr>
                <w:rFonts w:ascii="Arial" w:hAnsi="Arial"/>
                <w:sz w:val="18"/>
                <w:szCs w:val="18"/>
              </w:rPr>
              <w:t>1</w:t>
            </w:r>
          </w:p>
        </w:tc>
        <w:tc>
          <w:tcPr>
            <w:tcW w:w="1301" w:type="dxa"/>
          </w:tcPr>
          <w:p w14:paraId="4C93D04F" w14:textId="358354F2" w:rsidR="00A04653" w:rsidRPr="00D47E77" w:rsidRDefault="00A04653" w:rsidP="00D47E77">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noProof/>
                <w:snapToGrid w:val="0"/>
                <w:color w:val="auto"/>
                <w:sz w:val="18"/>
                <w:szCs w:val="18"/>
              </w:rPr>
            </w:pPr>
            <w:r w:rsidRPr="00D47E77">
              <w:rPr>
                <w:rFonts w:ascii="Arial" w:hAnsi="Arial"/>
                <w:sz w:val="18"/>
                <w:szCs w:val="18"/>
              </w:rPr>
              <w:t>57</w:t>
            </w:r>
          </w:p>
        </w:tc>
        <w:tc>
          <w:tcPr>
            <w:tcW w:w="1201" w:type="dxa"/>
          </w:tcPr>
          <w:p w14:paraId="5DAB36CC" w14:textId="0A5E9372" w:rsidR="00A04653" w:rsidRPr="00D47E77" w:rsidRDefault="00A04653" w:rsidP="00D47E77">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noProof/>
                <w:snapToGrid w:val="0"/>
                <w:color w:val="auto"/>
                <w:sz w:val="18"/>
                <w:szCs w:val="18"/>
              </w:rPr>
            </w:pPr>
            <w:r w:rsidRPr="00D47E77">
              <w:rPr>
                <w:rFonts w:ascii="Arial" w:hAnsi="Arial"/>
                <w:sz w:val="18"/>
                <w:szCs w:val="18"/>
              </w:rPr>
              <w:t>546</w:t>
            </w:r>
          </w:p>
        </w:tc>
      </w:tr>
      <w:tr w:rsidR="00A04653" w14:paraId="6248B79A" w14:textId="77777777" w:rsidTr="00A128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8" w:type="dxa"/>
          </w:tcPr>
          <w:p w14:paraId="1137A89E" w14:textId="694B337C" w:rsidR="00A04653" w:rsidRPr="00D47E77" w:rsidRDefault="00A04653" w:rsidP="00D47E77">
            <w:pPr>
              <w:pStyle w:val="PwCNormal"/>
              <w:numPr>
                <w:ilvl w:val="0"/>
                <w:numId w:val="0"/>
              </w:numPr>
              <w:spacing w:before="40" w:after="40"/>
              <w:jc w:val="center"/>
              <w:rPr>
                <w:rFonts w:ascii="Arial" w:hAnsi="Arial"/>
                <w:noProof/>
                <w:snapToGrid w:val="0"/>
                <w:color w:val="auto"/>
                <w:sz w:val="18"/>
                <w:szCs w:val="18"/>
              </w:rPr>
            </w:pPr>
            <w:r w:rsidRPr="00D47E77">
              <w:rPr>
                <w:rFonts w:ascii="Arial" w:hAnsi="Arial"/>
                <w:sz w:val="18"/>
                <w:szCs w:val="18"/>
              </w:rPr>
              <w:t>7 Non-IS Family</w:t>
            </w:r>
          </w:p>
        </w:tc>
        <w:tc>
          <w:tcPr>
            <w:tcW w:w="1477" w:type="dxa"/>
          </w:tcPr>
          <w:p w14:paraId="5182A97F" w14:textId="0503094C" w:rsidR="00A04653" w:rsidRPr="00D47E77" w:rsidRDefault="00A04653" w:rsidP="00D47E77">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noProof/>
                <w:snapToGrid w:val="0"/>
                <w:color w:val="auto"/>
                <w:sz w:val="18"/>
                <w:szCs w:val="18"/>
              </w:rPr>
            </w:pPr>
            <w:r w:rsidRPr="00D47E77">
              <w:rPr>
                <w:rFonts w:ascii="Arial" w:hAnsi="Arial"/>
                <w:sz w:val="18"/>
                <w:szCs w:val="18"/>
              </w:rPr>
              <w:t>223</w:t>
            </w:r>
          </w:p>
        </w:tc>
        <w:tc>
          <w:tcPr>
            <w:tcW w:w="1244" w:type="dxa"/>
          </w:tcPr>
          <w:p w14:paraId="1CAD3B70" w14:textId="608855A4" w:rsidR="00A04653" w:rsidRPr="00D47E77" w:rsidRDefault="00A04653" w:rsidP="00D47E77">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noProof/>
                <w:snapToGrid w:val="0"/>
                <w:color w:val="auto"/>
                <w:sz w:val="18"/>
                <w:szCs w:val="18"/>
              </w:rPr>
            </w:pPr>
            <w:r w:rsidRPr="00D47E77">
              <w:rPr>
                <w:rFonts w:ascii="Arial" w:hAnsi="Arial"/>
                <w:sz w:val="18"/>
                <w:szCs w:val="18"/>
              </w:rPr>
              <w:t>59</w:t>
            </w:r>
          </w:p>
        </w:tc>
        <w:tc>
          <w:tcPr>
            <w:tcW w:w="1321" w:type="dxa"/>
          </w:tcPr>
          <w:p w14:paraId="3CCE0A69" w14:textId="694A54C9" w:rsidR="00A04653" w:rsidRPr="00D47E77" w:rsidRDefault="00A04653" w:rsidP="00D47E77">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noProof/>
                <w:snapToGrid w:val="0"/>
                <w:color w:val="auto"/>
                <w:sz w:val="18"/>
                <w:szCs w:val="18"/>
              </w:rPr>
            </w:pPr>
            <w:r w:rsidRPr="00D47E77">
              <w:rPr>
                <w:rFonts w:ascii="Arial" w:hAnsi="Arial"/>
                <w:sz w:val="18"/>
                <w:szCs w:val="18"/>
              </w:rPr>
              <w:t>74</w:t>
            </w:r>
          </w:p>
        </w:tc>
        <w:tc>
          <w:tcPr>
            <w:tcW w:w="1301" w:type="dxa"/>
          </w:tcPr>
          <w:p w14:paraId="47722600" w14:textId="63A3858C" w:rsidR="00A04653" w:rsidRPr="00D47E77" w:rsidRDefault="00A04653" w:rsidP="00D47E77">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noProof/>
                <w:snapToGrid w:val="0"/>
                <w:color w:val="auto"/>
                <w:sz w:val="18"/>
                <w:szCs w:val="18"/>
              </w:rPr>
            </w:pPr>
            <w:r w:rsidRPr="00D47E77">
              <w:rPr>
                <w:rFonts w:ascii="Arial" w:hAnsi="Arial"/>
                <w:sz w:val="18"/>
                <w:szCs w:val="18"/>
              </w:rPr>
              <w:t>30</w:t>
            </w:r>
          </w:p>
        </w:tc>
        <w:tc>
          <w:tcPr>
            <w:tcW w:w="1201" w:type="dxa"/>
          </w:tcPr>
          <w:p w14:paraId="0128AF43" w14:textId="13474698" w:rsidR="00A04653" w:rsidRPr="00D47E77" w:rsidRDefault="00A04653" w:rsidP="00D47E77">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noProof/>
                <w:snapToGrid w:val="0"/>
                <w:color w:val="auto"/>
                <w:sz w:val="18"/>
                <w:szCs w:val="18"/>
              </w:rPr>
            </w:pPr>
            <w:r w:rsidRPr="00D47E77">
              <w:rPr>
                <w:rFonts w:ascii="Arial" w:hAnsi="Arial"/>
                <w:sz w:val="18"/>
                <w:szCs w:val="18"/>
              </w:rPr>
              <w:t>385</w:t>
            </w:r>
          </w:p>
        </w:tc>
      </w:tr>
      <w:tr w:rsidR="00A04653" w14:paraId="0143A877" w14:textId="77777777" w:rsidTr="00A128CA">
        <w:tc>
          <w:tcPr>
            <w:cnfStyle w:val="001000000000" w:firstRow="0" w:lastRow="0" w:firstColumn="1" w:lastColumn="0" w:oddVBand="0" w:evenVBand="0" w:oddHBand="0" w:evenHBand="0" w:firstRowFirstColumn="0" w:firstRowLastColumn="0" w:lastRowFirstColumn="0" w:lastRowLastColumn="0"/>
            <w:tcW w:w="1248" w:type="dxa"/>
          </w:tcPr>
          <w:p w14:paraId="1AB875AD" w14:textId="306BFCED" w:rsidR="00A04653" w:rsidRPr="00D47E77" w:rsidRDefault="00A04653" w:rsidP="00D47E77">
            <w:pPr>
              <w:pStyle w:val="PwCNormal"/>
              <w:numPr>
                <w:ilvl w:val="0"/>
                <w:numId w:val="0"/>
              </w:numPr>
              <w:spacing w:before="40" w:after="40"/>
              <w:jc w:val="center"/>
              <w:rPr>
                <w:rFonts w:ascii="Arial" w:hAnsi="Arial"/>
                <w:noProof/>
                <w:snapToGrid w:val="0"/>
                <w:color w:val="auto"/>
                <w:sz w:val="18"/>
                <w:szCs w:val="18"/>
              </w:rPr>
            </w:pPr>
            <w:r w:rsidRPr="00D47E77">
              <w:rPr>
                <w:rFonts w:ascii="Arial" w:hAnsi="Arial"/>
                <w:sz w:val="18"/>
                <w:szCs w:val="18"/>
              </w:rPr>
              <w:t>8 Non-IS Carer</w:t>
            </w:r>
          </w:p>
        </w:tc>
        <w:tc>
          <w:tcPr>
            <w:tcW w:w="1477" w:type="dxa"/>
          </w:tcPr>
          <w:p w14:paraId="28415CE3" w14:textId="39D2E36B" w:rsidR="00A04653" w:rsidRPr="00D47E77" w:rsidRDefault="00A04653" w:rsidP="00D47E77">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noProof/>
                <w:snapToGrid w:val="0"/>
                <w:color w:val="auto"/>
                <w:sz w:val="18"/>
                <w:szCs w:val="18"/>
              </w:rPr>
            </w:pPr>
            <w:r w:rsidRPr="00D47E77">
              <w:rPr>
                <w:rFonts w:ascii="Arial" w:hAnsi="Arial"/>
                <w:sz w:val="18"/>
                <w:szCs w:val="18"/>
              </w:rPr>
              <w:t>27</w:t>
            </w:r>
          </w:p>
        </w:tc>
        <w:tc>
          <w:tcPr>
            <w:tcW w:w="1244" w:type="dxa"/>
          </w:tcPr>
          <w:p w14:paraId="6E953266" w14:textId="6A6B591C" w:rsidR="00A04653" w:rsidRPr="00D47E77" w:rsidRDefault="00A04653" w:rsidP="00D47E77">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noProof/>
                <w:snapToGrid w:val="0"/>
                <w:color w:val="auto"/>
                <w:sz w:val="18"/>
                <w:szCs w:val="18"/>
              </w:rPr>
            </w:pPr>
            <w:r w:rsidRPr="00D47E77">
              <w:rPr>
                <w:rFonts w:ascii="Arial" w:hAnsi="Arial"/>
                <w:sz w:val="18"/>
                <w:szCs w:val="18"/>
              </w:rPr>
              <w:t>9</w:t>
            </w:r>
          </w:p>
        </w:tc>
        <w:tc>
          <w:tcPr>
            <w:tcW w:w="1321" w:type="dxa"/>
          </w:tcPr>
          <w:p w14:paraId="6CBB6D43" w14:textId="33466DD3" w:rsidR="00A04653" w:rsidRPr="00D47E77" w:rsidRDefault="00A04653" w:rsidP="00D47E77">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noProof/>
                <w:snapToGrid w:val="0"/>
                <w:color w:val="auto"/>
                <w:sz w:val="18"/>
                <w:szCs w:val="18"/>
              </w:rPr>
            </w:pPr>
            <w:r w:rsidRPr="00D47E77">
              <w:rPr>
                <w:rFonts w:ascii="Arial" w:hAnsi="Arial"/>
                <w:sz w:val="18"/>
                <w:szCs w:val="18"/>
              </w:rPr>
              <w:t>4</w:t>
            </w:r>
          </w:p>
        </w:tc>
        <w:tc>
          <w:tcPr>
            <w:tcW w:w="1301" w:type="dxa"/>
          </w:tcPr>
          <w:p w14:paraId="6D5B8711" w14:textId="2FF00BA6" w:rsidR="00A04653" w:rsidRPr="00D47E77" w:rsidRDefault="00A04653" w:rsidP="00D47E77">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noProof/>
                <w:snapToGrid w:val="0"/>
                <w:color w:val="auto"/>
                <w:sz w:val="18"/>
                <w:szCs w:val="18"/>
              </w:rPr>
            </w:pPr>
            <w:r w:rsidRPr="00D47E77">
              <w:rPr>
                <w:rFonts w:ascii="Arial" w:hAnsi="Arial"/>
                <w:sz w:val="18"/>
                <w:szCs w:val="18"/>
              </w:rPr>
              <w:t>11</w:t>
            </w:r>
          </w:p>
        </w:tc>
        <w:tc>
          <w:tcPr>
            <w:tcW w:w="1201" w:type="dxa"/>
          </w:tcPr>
          <w:p w14:paraId="6B598E62" w14:textId="26FBAA89" w:rsidR="00A04653" w:rsidRPr="00D47E77" w:rsidRDefault="00A04653" w:rsidP="00D47E77">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noProof/>
                <w:snapToGrid w:val="0"/>
                <w:color w:val="auto"/>
                <w:sz w:val="18"/>
                <w:szCs w:val="18"/>
              </w:rPr>
            </w:pPr>
            <w:r w:rsidRPr="00D47E77">
              <w:rPr>
                <w:rFonts w:ascii="Arial" w:hAnsi="Arial"/>
                <w:sz w:val="18"/>
                <w:szCs w:val="18"/>
              </w:rPr>
              <w:t>51</w:t>
            </w:r>
          </w:p>
        </w:tc>
      </w:tr>
      <w:tr w:rsidR="00A04653" w14:paraId="4843BD57" w14:textId="77777777" w:rsidTr="00A128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8" w:type="dxa"/>
          </w:tcPr>
          <w:p w14:paraId="1BA27BA7" w14:textId="1FCA0B56" w:rsidR="00A04653" w:rsidRPr="00D47E77" w:rsidRDefault="00A04653" w:rsidP="00D47E77">
            <w:pPr>
              <w:pStyle w:val="PwCNormal"/>
              <w:numPr>
                <w:ilvl w:val="0"/>
                <w:numId w:val="0"/>
              </w:numPr>
              <w:spacing w:before="40" w:after="40"/>
              <w:jc w:val="center"/>
              <w:rPr>
                <w:rFonts w:ascii="Arial" w:hAnsi="Arial"/>
                <w:noProof/>
                <w:snapToGrid w:val="0"/>
                <w:color w:val="auto"/>
                <w:sz w:val="18"/>
                <w:szCs w:val="18"/>
              </w:rPr>
            </w:pPr>
            <w:r w:rsidRPr="00D47E77">
              <w:rPr>
                <w:rFonts w:ascii="Arial" w:hAnsi="Arial"/>
                <w:sz w:val="18"/>
                <w:szCs w:val="18"/>
              </w:rPr>
              <w:lastRenderedPageBreak/>
              <w:t>9 Non-IS Other</w:t>
            </w:r>
          </w:p>
        </w:tc>
        <w:tc>
          <w:tcPr>
            <w:tcW w:w="1477" w:type="dxa"/>
          </w:tcPr>
          <w:p w14:paraId="020E9C37" w14:textId="2521933F" w:rsidR="00A04653" w:rsidRPr="00D47E77" w:rsidRDefault="00A04653" w:rsidP="00D47E77">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noProof/>
                <w:snapToGrid w:val="0"/>
                <w:color w:val="auto"/>
                <w:sz w:val="18"/>
                <w:szCs w:val="18"/>
              </w:rPr>
            </w:pPr>
            <w:r w:rsidRPr="00D47E77">
              <w:rPr>
                <w:rFonts w:ascii="Arial" w:hAnsi="Arial"/>
                <w:sz w:val="18"/>
                <w:szCs w:val="18"/>
              </w:rPr>
              <w:t>56</w:t>
            </w:r>
          </w:p>
        </w:tc>
        <w:tc>
          <w:tcPr>
            <w:tcW w:w="1244" w:type="dxa"/>
          </w:tcPr>
          <w:p w14:paraId="058BAA46" w14:textId="141AA9C9" w:rsidR="00A04653" w:rsidRPr="00D47E77" w:rsidRDefault="00A04653" w:rsidP="00D47E77">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noProof/>
                <w:snapToGrid w:val="0"/>
                <w:color w:val="auto"/>
                <w:sz w:val="18"/>
                <w:szCs w:val="18"/>
              </w:rPr>
            </w:pPr>
            <w:r w:rsidRPr="00D47E77">
              <w:rPr>
                <w:rFonts w:ascii="Arial" w:hAnsi="Arial"/>
                <w:sz w:val="18"/>
                <w:szCs w:val="18"/>
              </w:rPr>
              <w:t>19</w:t>
            </w:r>
          </w:p>
        </w:tc>
        <w:tc>
          <w:tcPr>
            <w:tcW w:w="1321" w:type="dxa"/>
          </w:tcPr>
          <w:p w14:paraId="5A0FED10" w14:textId="5DF04BF3" w:rsidR="00A04653" w:rsidRPr="00D47E77" w:rsidRDefault="00A04653" w:rsidP="00D47E77">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noProof/>
                <w:snapToGrid w:val="0"/>
                <w:color w:val="auto"/>
                <w:sz w:val="18"/>
                <w:szCs w:val="18"/>
              </w:rPr>
            </w:pPr>
            <w:r w:rsidRPr="00D47E77">
              <w:rPr>
                <w:rFonts w:ascii="Arial" w:hAnsi="Arial"/>
                <w:sz w:val="18"/>
                <w:szCs w:val="18"/>
              </w:rPr>
              <w:t>18</w:t>
            </w:r>
          </w:p>
        </w:tc>
        <w:tc>
          <w:tcPr>
            <w:tcW w:w="1301" w:type="dxa"/>
          </w:tcPr>
          <w:p w14:paraId="30066109" w14:textId="669E9180" w:rsidR="00A04653" w:rsidRPr="00D47E77" w:rsidRDefault="00A04653" w:rsidP="00D47E77">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noProof/>
                <w:snapToGrid w:val="0"/>
                <w:color w:val="auto"/>
                <w:sz w:val="18"/>
                <w:szCs w:val="18"/>
              </w:rPr>
            </w:pPr>
            <w:r w:rsidRPr="00D47E77">
              <w:rPr>
                <w:rFonts w:ascii="Arial" w:hAnsi="Arial"/>
                <w:sz w:val="18"/>
                <w:szCs w:val="18"/>
              </w:rPr>
              <w:t>8</w:t>
            </w:r>
          </w:p>
        </w:tc>
        <w:tc>
          <w:tcPr>
            <w:tcW w:w="1201" w:type="dxa"/>
          </w:tcPr>
          <w:p w14:paraId="7FC565D7" w14:textId="6C40CEBD" w:rsidR="00A04653" w:rsidRPr="00D47E77" w:rsidRDefault="00A04653" w:rsidP="00D47E77">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noProof/>
                <w:snapToGrid w:val="0"/>
                <w:color w:val="auto"/>
                <w:sz w:val="18"/>
                <w:szCs w:val="18"/>
              </w:rPr>
            </w:pPr>
            <w:r w:rsidRPr="00D47E77">
              <w:rPr>
                <w:rFonts w:ascii="Arial" w:hAnsi="Arial"/>
                <w:sz w:val="18"/>
                <w:szCs w:val="18"/>
              </w:rPr>
              <w:t>101</w:t>
            </w:r>
          </w:p>
        </w:tc>
      </w:tr>
      <w:tr w:rsidR="00A04653" w14:paraId="079C324C" w14:textId="77777777" w:rsidTr="00A128CA">
        <w:tc>
          <w:tcPr>
            <w:cnfStyle w:val="001000000000" w:firstRow="0" w:lastRow="0" w:firstColumn="1" w:lastColumn="0" w:oddVBand="0" w:evenVBand="0" w:oddHBand="0" w:evenHBand="0" w:firstRowFirstColumn="0" w:firstRowLastColumn="0" w:lastRowFirstColumn="0" w:lastRowLastColumn="0"/>
            <w:tcW w:w="1248" w:type="dxa"/>
          </w:tcPr>
          <w:p w14:paraId="2CE96CAD" w14:textId="0D481070" w:rsidR="00A04653" w:rsidRPr="00D47E77" w:rsidRDefault="00A04653" w:rsidP="00D47E77">
            <w:pPr>
              <w:pStyle w:val="PwCNormal"/>
              <w:numPr>
                <w:ilvl w:val="0"/>
                <w:numId w:val="0"/>
              </w:numPr>
              <w:spacing w:before="40" w:after="40"/>
              <w:jc w:val="center"/>
              <w:rPr>
                <w:rFonts w:ascii="Arial" w:hAnsi="Arial"/>
                <w:noProof/>
                <w:snapToGrid w:val="0"/>
                <w:color w:val="auto"/>
                <w:sz w:val="18"/>
                <w:szCs w:val="18"/>
              </w:rPr>
            </w:pPr>
            <w:r w:rsidRPr="00D47E77">
              <w:rPr>
                <w:rFonts w:ascii="Arial" w:hAnsi="Arial"/>
                <w:sz w:val="18"/>
                <w:szCs w:val="18"/>
              </w:rPr>
              <w:t>10 Previous welfare recipient</w:t>
            </w:r>
          </w:p>
        </w:tc>
        <w:tc>
          <w:tcPr>
            <w:tcW w:w="1477" w:type="dxa"/>
          </w:tcPr>
          <w:p w14:paraId="11FAF8CD" w14:textId="20AB6232" w:rsidR="00A04653" w:rsidRPr="00D47E77" w:rsidRDefault="00A04653" w:rsidP="00D47E77">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noProof/>
                <w:snapToGrid w:val="0"/>
                <w:color w:val="auto"/>
                <w:sz w:val="18"/>
                <w:szCs w:val="18"/>
              </w:rPr>
            </w:pPr>
            <w:r w:rsidRPr="00D47E77">
              <w:rPr>
                <w:rFonts w:ascii="Arial" w:hAnsi="Arial"/>
                <w:sz w:val="18"/>
                <w:szCs w:val="18"/>
              </w:rPr>
              <w:t>679</w:t>
            </w:r>
          </w:p>
        </w:tc>
        <w:tc>
          <w:tcPr>
            <w:tcW w:w="1244" w:type="dxa"/>
          </w:tcPr>
          <w:p w14:paraId="64277CAE" w14:textId="69E2D2E8" w:rsidR="00A04653" w:rsidRPr="00D47E77" w:rsidRDefault="00A04653" w:rsidP="00D47E77">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noProof/>
                <w:snapToGrid w:val="0"/>
                <w:color w:val="auto"/>
                <w:sz w:val="18"/>
                <w:szCs w:val="18"/>
              </w:rPr>
            </w:pPr>
            <w:r w:rsidRPr="00D47E77">
              <w:rPr>
                <w:rFonts w:ascii="Arial" w:hAnsi="Arial"/>
                <w:sz w:val="18"/>
                <w:szCs w:val="18"/>
              </w:rPr>
              <w:t>123</w:t>
            </w:r>
          </w:p>
        </w:tc>
        <w:tc>
          <w:tcPr>
            <w:tcW w:w="1321" w:type="dxa"/>
          </w:tcPr>
          <w:p w14:paraId="59E6FF7E" w14:textId="3DC1F7B5" w:rsidR="00A04653" w:rsidRPr="00D47E77" w:rsidRDefault="00A04653" w:rsidP="00D47E77">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noProof/>
                <w:snapToGrid w:val="0"/>
                <w:color w:val="auto"/>
                <w:sz w:val="18"/>
                <w:szCs w:val="18"/>
              </w:rPr>
            </w:pPr>
            <w:r w:rsidRPr="00D47E77">
              <w:rPr>
                <w:rFonts w:ascii="Arial" w:hAnsi="Arial"/>
                <w:sz w:val="18"/>
                <w:szCs w:val="18"/>
              </w:rPr>
              <w:t>54</w:t>
            </w:r>
          </w:p>
        </w:tc>
        <w:tc>
          <w:tcPr>
            <w:tcW w:w="1301" w:type="dxa"/>
          </w:tcPr>
          <w:p w14:paraId="0DE46E47" w14:textId="5548A408" w:rsidR="00A04653" w:rsidRPr="00D47E77" w:rsidRDefault="00A04653" w:rsidP="00D47E77">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noProof/>
                <w:snapToGrid w:val="0"/>
                <w:color w:val="auto"/>
                <w:sz w:val="18"/>
                <w:szCs w:val="18"/>
              </w:rPr>
            </w:pPr>
            <w:r w:rsidRPr="00D47E77">
              <w:rPr>
                <w:rFonts w:ascii="Arial" w:hAnsi="Arial"/>
                <w:sz w:val="18"/>
                <w:szCs w:val="18"/>
              </w:rPr>
              <w:t>75</w:t>
            </w:r>
          </w:p>
        </w:tc>
        <w:tc>
          <w:tcPr>
            <w:tcW w:w="1201" w:type="dxa"/>
          </w:tcPr>
          <w:p w14:paraId="0F6743AE" w14:textId="5EC9B978" w:rsidR="00A04653" w:rsidRPr="00D47E77" w:rsidRDefault="00A04653" w:rsidP="00D47E77">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noProof/>
                <w:snapToGrid w:val="0"/>
                <w:color w:val="auto"/>
                <w:sz w:val="18"/>
                <w:szCs w:val="18"/>
              </w:rPr>
            </w:pPr>
            <w:r w:rsidRPr="00D47E77">
              <w:rPr>
                <w:rFonts w:ascii="Arial" w:hAnsi="Arial"/>
                <w:sz w:val="18"/>
                <w:szCs w:val="18"/>
              </w:rPr>
              <w:t>932</w:t>
            </w:r>
          </w:p>
        </w:tc>
      </w:tr>
      <w:tr w:rsidR="00A04653" w14:paraId="37D3BAF5" w14:textId="77777777" w:rsidTr="00A128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8" w:type="dxa"/>
          </w:tcPr>
          <w:p w14:paraId="038F9406" w14:textId="7BDD2661" w:rsidR="00A04653" w:rsidRPr="00D47E77" w:rsidRDefault="00A04653" w:rsidP="00D47E77">
            <w:pPr>
              <w:pStyle w:val="PwCNormal"/>
              <w:numPr>
                <w:ilvl w:val="0"/>
                <w:numId w:val="0"/>
              </w:numPr>
              <w:spacing w:before="40" w:after="40"/>
              <w:jc w:val="center"/>
              <w:rPr>
                <w:rFonts w:ascii="Arial" w:hAnsi="Arial"/>
                <w:noProof/>
                <w:snapToGrid w:val="0"/>
                <w:color w:val="auto"/>
                <w:sz w:val="18"/>
                <w:szCs w:val="18"/>
              </w:rPr>
            </w:pPr>
            <w:r w:rsidRPr="00D47E77">
              <w:rPr>
                <w:rFonts w:ascii="Arial" w:hAnsi="Arial"/>
                <w:sz w:val="18"/>
                <w:szCs w:val="18"/>
              </w:rPr>
              <w:t>12 Rest of Aust. population</w:t>
            </w:r>
          </w:p>
        </w:tc>
        <w:tc>
          <w:tcPr>
            <w:tcW w:w="1477" w:type="dxa"/>
          </w:tcPr>
          <w:p w14:paraId="0E8C5B75" w14:textId="6E1645C1" w:rsidR="00A04653" w:rsidRPr="00D47E77" w:rsidRDefault="00A04653" w:rsidP="00D47E77">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noProof/>
                <w:snapToGrid w:val="0"/>
                <w:color w:val="auto"/>
                <w:sz w:val="18"/>
                <w:szCs w:val="18"/>
              </w:rPr>
            </w:pPr>
            <w:r w:rsidRPr="00D47E77">
              <w:rPr>
                <w:rFonts w:ascii="Arial" w:hAnsi="Arial"/>
                <w:sz w:val="18"/>
                <w:szCs w:val="18"/>
              </w:rPr>
              <w:t>1,311</w:t>
            </w:r>
          </w:p>
        </w:tc>
        <w:tc>
          <w:tcPr>
            <w:tcW w:w="1244" w:type="dxa"/>
          </w:tcPr>
          <w:p w14:paraId="399D407E" w14:textId="677EFA51" w:rsidR="00A04653" w:rsidRPr="00D47E77" w:rsidRDefault="00A04653" w:rsidP="00D47E77">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noProof/>
                <w:snapToGrid w:val="0"/>
                <w:color w:val="auto"/>
                <w:sz w:val="18"/>
                <w:szCs w:val="18"/>
              </w:rPr>
            </w:pPr>
            <w:r w:rsidRPr="00D47E77">
              <w:rPr>
                <w:rFonts w:ascii="Arial" w:hAnsi="Arial"/>
                <w:sz w:val="18"/>
                <w:szCs w:val="18"/>
              </w:rPr>
              <w:t>433</w:t>
            </w:r>
          </w:p>
        </w:tc>
        <w:tc>
          <w:tcPr>
            <w:tcW w:w="1321" w:type="dxa"/>
          </w:tcPr>
          <w:p w14:paraId="60BFE2F6" w14:textId="0D55E359" w:rsidR="00A04653" w:rsidRPr="00D47E77" w:rsidRDefault="00A04653" w:rsidP="00D47E77">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noProof/>
                <w:snapToGrid w:val="0"/>
                <w:color w:val="auto"/>
                <w:sz w:val="18"/>
                <w:szCs w:val="18"/>
              </w:rPr>
            </w:pPr>
            <w:r w:rsidRPr="00D47E77">
              <w:rPr>
                <w:rFonts w:ascii="Arial" w:hAnsi="Arial"/>
                <w:sz w:val="18"/>
                <w:szCs w:val="18"/>
              </w:rPr>
              <w:t>285</w:t>
            </w:r>
          </w:p>
        </w:tc>
        <w:tc>
          <w:tcPr>
            <w:tcW w:w="1301" w:type="dxa"/>
          </w:tcPr>
          <w:p w14:paraId="3C72D241" w14:textId="32FF92B7" w:rsidR="00A04653" w:rsidRPr="00D47E77" w:rsidRDefault="00A04653" w:rsidP="00D47E77">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noProof/>
                <w:snapToGrid w:val="0"/>
                <w:color w:val="auto"/>
                <w:sz w:val="18"/>
                <w:szCs w:val="18"/>
              </w:rPr>
            </w:pPr>
            <w:r w:rsidRPr="00D47E77">
              <w:rPr>
                <w:rFonts w:ascii="Arial" w:hAnsi="Arial"/>
                <w:sz w:val="18"/>
                <w:szCs w:val="18"/>
              </w:rPr>
              <w:t>153</w:t>
            </w:r>
          </w:p>
        </w:tc>
        <w:tc>
          <w:tcPr>
            <w:tcW w:w="1201" w:type="dxa"/>
          </w:tcPr>
          <w:p w14:paraId="1BF8EE1E" w14:textId="11AC57F7" w:rsidR="00A04653" w:rsidRPr="00D47E77" w:rsidRDefault="00A04653" w:rsidP="00D47E77">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noProof/>
                <w:snapToGrid w:val="0"/>
                <w:color w:val="auto"/>
                <w:sz w:val="18"/>
                <w:szCs w:val="18"/>
              </w:rPr>
            </w:pPr>
            <w:r w:rsidRPr="00D47E77">
              <w:rPr>
                <w:rFonts w:ascii="Arial" w:hAnsi="Arial"/>
                <w:sz w:val="18"/>
                <w:szCs w:val="18"/>
              </w:rPr>
              <w:t>2,182</w:t>
            </w:r>
          </w:p>
        </w:tc>
      </w:tr>
      <w:tr w:rsidR="00A04653" w14:paraId="2BC50B58" w14:textId="77777777" w:rsidTr="00A128CA">
        <w:tc>
          <w:tcPr>
            <w:cnfStyle w:val="001000000000" w:firstRow="0" w:lastRow="0" w:firstColumn="1" w:lastColumn="0" w:oddVBand="0" w:evenVBand="0" w:oddHBand="0" w:evenHBand="0" w:firstRowFirstColumn="0" w:firstRowLastColumn="0" w:lastRowFirstColumn="0" w:lastRowLastColumn="0"/>
            <w:tcW w:w="1248" w:type="dxa"/>
          </w:tcPr>
          <w:p w14:paraId="50B81C79" w14:textId="1BB75E46" w:rsidR="00A04653" w:rsidRPr="002C6157" w:rsidRDefault="00A04653" w:rsidP="00D47E77">
            <w:pPr>
              <w:pStyle w:val="PwCNormal"/>
              <w:numPr>
                <w:ilvl w:val="0"/>
                <w:numId w:val="0"/>
              </w:numPr>
              <w:spacing w:before="40" w:after="40"/>
              <w:jc w:val="center"/>
              <w:rPr>
                <w:rFonts w:ascii="Arial" w:hAnsi="Arial"/>
                <w:noProof/>
                <w:snapToGrid w:val="0"/>
                <w:color w:val="auto"/>
                <w:sz w:val="18"/>
                <w:szCs w:val="18"/>
              </w:rPr>
            </w:pPr>
            <w:r w:rsidRPr="002C6157">
              <w:rPr>
                <w:rFonts w:ascii="Arial" w:hAnsi="Arial"/>
                <w:sz w:val="18"/>
                <w:szCs w:val="18"/>
              </w:rPr>
              <w:t>Total</w:t>
            </w:r>
          </w:p>
        </w:tc>
        <w:tc>
          <w:tcPr>
            <w:tcW w:w="1477" w:type="dxa"/>
          </w:tcPr>
          <w:p w14:paraId="04B00896" w14:textId="64A8581A" w:rsidR="00A04653" w:rsidRPr="00D47E77" w:rsidRDefault="00A04653" w:rsidP="00D47E77">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b/>
                <w:sz w:val="18"/>
                <w:szCs w:val="18"/>
              </w:rPr>
            </w:pPr>
            <w:r w:rsidRPr="00D47E77">
              <w:rPr>
                <w:rFonts w:ascii="Arial" w:hAnsi="Arial"/>
                <w:b/>
                <w:sz w:val="18"/>
                <w:szCs w:val="18"/>
              </w:rPr>
              <w:t>3,202</w:t>
            </w:r>
          </w:p>
        </w:tc>
        <w:tc>
          <w:tcPr>
            <w:tcW w:w="1244" w:type="dxa"/>
          </w:tcPr>
          <w:p w14:paraId="704626AD" w14:textId="2948D1E3" w:rsidR="00A04653" w:rsidRPr="00D47E77" w:rsidRDefault="00A04653" w:rsidP="00D47E77">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b/>
                <w:sz w:val="18"/>
                <w:szCs w:val="18"/>
              </w:rPr>
            </w:pPr>
            <w:r w:rsidRPr="00D47E77">
              <w:rPr>
                <w:rFonts w:ascii="Arial" w:hAnsi="Arial"/>
                <w:b/>
                <w:sz w:val="18"/>
                <w:szCs w:val="18"/>
              </w:rPr>
              <w:t>1,272</w:t>
            </w:r>
          </w:p>
        </w:tc>
        <w:tc>
          <w:tcPr>
            <w:tcW w:w="1321" w:type="dxa"/>
          </w:tcPr>
          <w:p w14:paraId="4E469FED" w14:textId="69A8AF47" w:rsidR="00A04653" w:rsidRPr="00D47E77" w:rsidRDefault="00A04653" w:rsidP="00D47E77">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b/>
                <w:sz w:val="18"/>
                <w:szCs w:val="18"/>
              </w:rPr>
            </w:pPr>
            <w:r w:rsidRPr="00D47E77">
              <w:rPr>
                <w:rFonts w:ascii="Arial" w:hAnsi="Arial"/>
                <w:b/>
                <w:sz w:val="18"/>
                <w:szCs w:val="18"/>
              </w:rPr>
              <w:t>557</w:t>
            </w:r>
          </w:p>
        </w:tc>
        <w:tc>
          <w:tcPr>
            <w:tcW w:w="1301" w:type="dxa"/>
          </w:tcPr>
          <w:p w14:paraId="0672224A" w14:textId="07593161" w:rsidR="00A04653" w:rsidRPr="00D47E77" w:rsidRDefault="00A04653" w:rsidP="00D47E77">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b/>
                <w:sz w:val="18"/>
                <w:szCs w:val="18"/>
              </w:rPr>
            </w:pPr>
            <w:r w:rsidRPr="00D47E77">
              <w:rPr>
                <w:rFonts w:ascii="Arial" w:hAnsi="Arial"/>
                <w:b/>
                <w:sz w:val="18"/>
                <w:szCs w:val="18"/>
              </w:rPr>
              <w:t>474</w:t>
            </w:r>
          </w:p>
        </w:tc>
        <w:tc>
          <w:tcPr>
            <w:tcW w:w="1201" w:type="dxa"/>
          </w:tcPr>
          <w:p w14:paraId="639A2688" w14:textId="03C81003" w:rsidR="00A04653" w:rsidRPr="00D47E77" w:rsidRDefault="00A04653" w:rsidP="00D47E77">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b/>
                <w:sz w:val="18"/>
                <w:szCs w:val="18"/>
              </w:rPr>
            </w:pPr>
            <w:r w:rsidRPr="00D47E77">
              <w:rPr>
                <w:rFonts w:ascii="Arial" w:hAnsi="Arial"/>
                <w:b/>
                <w:sz w:val="18"/>
                <w:szCs w:val="18"/>
              </w:rPr>
              <w:t>5,506</w:t>
            </w:r>
          </w:p>
        </w:tc>
      </w:tr>
    </w:tbl>
    <w:p w14:paraId="130999A7" w14:textId="77777777" w:rsidR="00786CED" w:rsidRDefault="00786CED" w:rsidP="000B1493">
      <w:pPr>
        <w:pStyle w:val="Caption"/>
      </w:pPr>
    </w:p>
    <w:p w14:paraId="06DE4D70" w14:textId="03C8E28E" w:rsidR="00D711FE" w:rsidRDefault="00D711FE" w:rsidP="000B1493">
      <w:pPr>
        <w:pStyle w:val="Caption"/>
        <w:rPr>
          <w:color w:val="FF0000"/>
        </w:rPr>
      </w:pPr>
      <w:r>
        <w:t xml:space="preserve">Table </w:t>
      </w:r>
      <w:r w:rsidR="00215A2C">
        <w:fldChar w:fldCharType="begin"/>
      </w:r>
      <w:r w:rsidR="00215A2C">
        <w:instrText xml:space="preserve"> SEQ Table \* ARABIC </w:instrText>
      </w:r>
      <w:r w:rsidR="00215A2C">
        <w:fldChar w:fldCharType="separate"/>
      </w:r>
      <w:r w:rsidR="00751625">
        <w:rPr>
          <w:noProof/>
        </w:rPr>
        <w:t>8</w:t>
      </w:r>
      <w:r w:rsidR="00215A2C">
        <w:rPr>
          <w:noProof/>
        </w:rPr>
        <w:fldChar w:fldCharType="end"/>
      </w:r>
      <w:r w:rsidRPr="00187EC8">
        <w:t xml:space="preserve">: </w:t>
      </w:r>
      <w:r>
        <w:t>Average Lifetime Cost</w:t>
      </w:r>
      <w:r w:rsidRPr="00187EC8">
        <w:t xml:space="preserve"> ($) by </w:t>
      </w:r>
      <w:r w:rsidR="001C1141">
        <w:t>P</w:t>
      </w:r>
      <w:r w:rsidRPr="00187EC8">
        <w:t xml:space="preserve">ayment </w:t>
      </w:r>
      <w:r w:rsidR="001C1141">
        <w:t>C</w:t>
      </w:r>
      <w:r>
        <w:t xml:space="preserve">lass and </w:t>
      </w:r>
      <w:r w:rsidR="001C1141">
        <w:t>C</w:t>
      </w:r>
      <w:r>
        <w:t>ategory</w:t>
      </w:r>
    </w:p>
    <w:tbl>
      <w:tblPr>
        <w:tblStyle w:val="ListTable3-Accent1"/>
        <w:tblW w:w="5000" w:type="pct"/>
        <w:tblLayout w:type="fixed"/>
        <w:tblLook w:val="04A0" w:firstRow="1" w:lastRow="0" w:firstColumn="1" w:lastColumn="0" w:noHBand="0" w:noVBand="1"/>
      </w:tblPr>
      <w:tblGrid>
        <w:gridCol w:w="1270"/>
        <w:gridCol w:w="1277"/>
        <w:gridCol w:w="992"/>
        <w:gridCol w:w="1009"/>
        <w:gridCol w:w="1096"/>
        <w:gridCol w:w="1016"/>
        <w:gridCol w:w="1040"/>
      </w:tblGrid>
      <w:tr w:rsidR="004603BA" w:rsidRPr="00854022" w14:paraId="4279F35D" w14:textId="77777777" w:rsidTr="00200DA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25" w:type="pct"/>
            <w:vMerge w:val="restart"/>
          </w:tcPr>
          <w:p w14:paraId="44CAC990" w14:textId="21643FC4" w:rsidR="00F034A6" w:rsidRPr="00D47E77" w:rsidRDefault="00F034A6" w:rsidP="00854022">
            <w:pPr>
              <w:pStyle w:val="PwCNormal"/>
              <w:numPr>
                <w:ilvl w:val="0"/>
                <w:numId w:val="0"/>
              </w:numPr>
              <w:spacing w:before="40" w:after="40"/>
              <w:jc w:val="center"/>
              <w:rPr>
                <w:rFonts w:ascii="Arial" w:hAnsi="Arial"/>
                <w:noProof/>
                <w:snapToGrid w:val="0"/>
                <w:color w:val="auto"/>
                <w:sz w:val="18"/>
                <w:szCs w:val="18"/>
              </w:rPr>
            </w:pPr>
            <w:r w:rsidRPr="00D47E77">
              <w:rPr>
                <w:rFonts w:ascii="Arial" w:hAnsi="Arial"/>
                <w:noProof/>
                <w:snapToGrid w:val="0"/>
                <w:color w:val="auto"/>
                <w:sz w:val="18"/>
                <w:szCs w:val="18"/>
              </w:rPr>
              <w:t>Welfare class</w:t>
            </w:r>
          </w:p>
        </w:tc>
        <w:tc>
          <w:tcPr>
            <w:tcW w:w="829" w:type="pct"/>
            <w:vMerge w:val="restart"/>
          </w:tcPr>
          <w:p w14:paraId="15BFC31B" w14:textId="3D7AD658" w:rsidR="00F034A6" w:rsidRPr="00D47E77" w:rsidRDefault="00F034A6" w:rsidP="00854022">
            <w:pPr>
              <w:pStyle w:val="PwCNormal"/>
              <w:spacing w:before="40" w:after="40"/>
              <w:jc w:val="center"/>
              <w:cnfStyle w:val="100000000000" w:firstRow="1" w:lastRow="0" w:firstColumn="0" w:lastColumn="0" w:oddVBand="0" w:evenVBand="0" w:oddHBand="0" w:evenHBand="0" w:firstRowFirstColumn="0" w:firstRowLastColumn="0" w:lastRowFirstColumn="0" w:lastRowLastColumn="0"/>
              <w:rPr>
                <w:rFonts w:ascii="Arial" w:hAnsi="Arial"/>
                <w:noProof/>
                <w:snapToGrid w:val="0"/>
                <w:color w:val="auto"/>
                <w:sz w:val="18"/>
                <w:szCs w:val="18"/>
              </w:rPr>
            </w:pPr>
            <w:r w:rsidRPr="00D47E77">
              <w:rPr>
                <w:rFonts w:ascii="Arial" w:hAnsi="Arial"/>
                <w:noProof/>
                <w:snapToGrid w:val="0"/>
                <w:color w:val="auto"/>
                <w:sz w:val="18"/>
                <w:szCs w:val="18"/>
              </w:rPr>
              <w:t>Number in starting population</w:t>
            </w:r>
          </w:p>
        </w:tc>
        <w:tc>
          <w:tcPr>
            <w:tcW w:w="2670" w:type="pct"/>
            <w:gridSpan w:val="4"/>
          </w:tcPr>
          <w:p w14:paraId="32A37327" w14:textId="62F2D2DE" w:rsidR="00F034A6" w:rsidRPr="00D47E77" w:rsidRDefault="00F034A6" w:rsidP="00854022">
            <w:pPr>
              <w:pStyle w:val="PwCNormal"/>
              <w:numPr>
                <w:ilvl w:val="0"/>
                <w:numId w:val="0"/>
              </w:numPr>
              <w:spacing w:before="40" w:after="40"/>
              <w:jc w:val="center"/>
              <w:cnfStyle w:val="100000000000" w:firstRow="1" w:lastRow="0" w:firstColumn="0" w:lastColumn="0" w:oddVBand="0" w:evenVBand="0" w:oddHBand="0" w:evenHBand="0" w:firstRowFirstColumn="0" w:firstRowLastColumn="0" w:lastRowFirstColumn="0" w:lastRowLastColumn="0"/>
              <w:rPr>
                <w:rFonts w:ascii="Arial" w:hAnsi="Arial"/>
                <w:noProof/>
                <w:snapToGrid w:val="0"/>
                <w:color w:val="auto"/>
                <w:sz w:val="18"/>
                <w:szCs w:val="18"/>
              </w:rPr>
            </w:pPr>
            <w:r w:rsidRPr="00D47E77">
              <w:rPr>
                <w:rFonts w:ascii="Arial" w:hAnsi="Arial"/>
                <w:noProof/>
                <w:snapToGrid w:val="0"/>
                <w:color w:val="auto"/>
                <w:sz w:val="18"/>
                <w:szCs w:val="18"/>
              </w:rPr>
              <w:t>Average Lifetime Cost ($) per person arising from categories:</w:t>
            </w:r>
          </w:p>
        </w:tc>
        <w:tc>
          <w:tcPr>
            <w:tcW w:w="675" w:type="pct"/>
            <w:vMerge w:val="restart"/>
          </w:tcPr>
          <w:p w14:paraId="438570D7" w14:textId="77777777" w:rsidR="00F034A6" w:rsidRPr="00D47E77" w:rsidRDefault="00F034A6" w:rsidP="00854022">
            <w:pPr>
              <w:pStyle w:val="PwCNormal"/>
              <w:numPr>
                <w:ilvl w:val="0"/>
                <w:numId w:val="0"/>
              </w:numPr>
              <w:spacing w:before="40" w:after="40"/>
              <w:jc w:val="center"/>
              <w:cnfStyle w:val="100000000000" w:firstRow="1" w:lastRow="0" w:firstColumn="0" w:lastColumn="0" w:oddVBand="0" w:evenVBand="0" w:oddHBand="0" w:evenHBand="0" w:firstRowFirstColumn="0" w:firstRowLastColumn="0" w:lastRowFirstColumn="0" w:lastRowLastColumn="0"/>
              <w:rPr>
                <w:rFonts w:ascii="Arial" w:hAnsi="Arial"/>
                <w:noProof/>
                <w:snapToGrid w:val="0"/>
                <w:color w:val="auto"/>
                <w:sz w:val="18"/>
                <w:szCs w:val="18"/>
              </w:rPr>
            </w:pPr>
          </w:p>
          <w:p w14:paraId="7146C17E" w14:textId="7458F2FD" w:rsidR="00F034A6" w:rsidRPr="00D47E77" w:rsidRDefault="00F034A6" w:rsidP="00854022">
            <w:pPr>
              <w:pStyle w:val="PwCNormal"/>
              <w:spacing w:before="40" w:after="40"/>
              <w:jc w:val="center"/>
              <w:cnfStyle w:val="100000000000" w:firstRow="1" w:lastRow="0" w:firstColumn="0" w:lastColumn="0" w:oddVBand="0" w:evenVBand="0" w:oddHBand="0" w:evenHBand="0" w:firstRowFirstColumn="0" w:firstRowLastColumn="0" w:lastRowFirstColumn="0" w:lastRowLastColumn="0"/>
              <w:rPr>
                <w:rFonts w:ascii="Arial" w:hAnsi="Arial"/>
                <w:noProof/>
                <w:snapToGrid w:val="0"/>
                <w:color w:val="auto"/>
                <w:sz w:val="18"/>
                <w:szCs w:val="18"/>
              </w:rPr>
            </w:pPr>
            <w:r w:rsidRPr="00D47E77">
              <w:rPr>
                <w:rFonts w:ascii="Arial" w:hAnsi="Arial"/>
                <w:noProof/>
                <w:snapToGrid w:val="0"/>
                <w:color w:val="auto"/>
                <w:sz w:val="18"/>
                <w:szCs w:val="18"/>
              </w:rPr>
              <w:t>Average Lifetime Cost</w:t>
            </w:r>
          </w:p>
        </w:tc>
      </w:tr>
      <w:tr w:rsidR="004603BA" w:rsidRPr="00854022" w14:paraId="7190F7D2" w14:textId="77777777" w:rsidTr="00200D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5" w:type="pct"/>
            <w:vMerge/>
          </w:tcPr>
          <w:p w14:paraId="5B7A0289" w14:textId="77777777" w:rsidR="00F034A6" w:rsidRPr="00D47E77" w:rsidRDefault="00F034A6" w:rsidP="00854022">
            <w:pPr>
              <w:pStyle w:val="PwCNormal"/>
              <w:numPr>
                <w:ilvl w:val="0"/>
                <w:numId w:val="0"/>
              </w:numPr>
              <w:spacing w:before="40" w:after="40"/>
              <w:jc w:val="center"/>
              <w:rPr>
                <w:rFonts w:ascii="Arial" w:hAnsi="Arial"/>
                <w:noProof/>
                <w:snapToGrid w:val="0"/>
                <w:color w:val="auto"/>
                <w:sz w:val="18"/>
                <w:szCs w:val="18"/>
              </w:rPr>
            </w:pPr>
          </w:p>
        </w:tc>
        <w:tc>
          <w:tcPr>
            <w:tcW w:w="829" w:type="pct"/>
            <w:vMerge/>
          </w:tcPr>
          <w:p w14:paraId="10EE761B" w14:textId="499A3F4A" w:rsidR="00F034A6" w:rsidRPr="00D47E77" w:rsidRDefault="00F034A6" w:rsidP="00854022">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noProof/>
                <w:snapToGrid w:val="0"/>
                <w:color w:val="auto"/>
                <w:sz w:val="18"/>
                <w:szCs w:val="18"/>
              </w:rPr>
            </w:pPr>
          </w:p>
        </w:tc>
        <w:tc>
          <w:tcPr>
            <w:tcW w:w="1299" w:type="pct"/>
            <w:gridSpan w:val="2"/>
            <w:shd w:val="clear" w:color="auto" w:fill="74000E" w:themeFill="accent1"/>
          </w:tcPr>
          <w:p w14:paraId="72C0341B" w14:textId="78AC9C20" w:rsidR="00F034A6" w:rsidRPr="00D47E77" w:rsidRDefault="00F034A6" w:rsidP="00854022">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b/>
                <w:noProof/>
                <w:snapToGrid w:val="0"/>
                <w:color w:val="auto"/>
                <w:sz w:val="18"/>
                <w:szCs w:val="18"/>
              </w:rPr>
            </w:pPr>
            <w:r w:rsidRPr="00D47E77">
              <w:rPr>
                <w:rFonts w:ascii="Arial" w:hAnsi="Arial"/>
                <w:b/>
                <w:noProof/>
                <w:snapToGrid w:val="0"/>
                <w:color w:val="auto"/>
                <w:sz w:val="18"/>
                <w:szCs w:val="18"/>
              </w:rPr>
              <w:t>Income support</w:t>
            </w:r>
          </w:p>
        </w:tc>
        <w:tc>
          <w:tcPr>
            <w:tcW w:w="1371" w:type="pct"/>
            <w:gridSpan w:val="2"/>
            <w:shd w:val="clear" w:color="auto" w:fill="74000E" w:themeFill="accent1"/>
          </w:tcPr>
          <w:p w14:paraId="529BF70E" w14:textId="77777777" w:rsidR="00F034A6" w:rsidRPr="00D47E77" w:rsidRDefault="00F034A6" w:rsidP="00854022">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b/>
                <w:noProof/>
                <w:snapToGrid w:val="0"/>
                <w:color w:val="auto"/>
                <w:sz w:val="18"/>
                <w:szCs w:val="18"/>
              </w:rPr>
            </w:pPr>
            <w:r w:rsidRPr="00D47E77">
              <w:rPr>
                <w:rFonts w:ascii="Arial" w:hAnsi="Arial"/>
                <w:b/>
                <w:noProof/>
                <w:snapToGrid w:val="0"/>
                <w:color w:val="auto"/>
                <w:sz w:val="18"/>
                <w:szCs w:val="18"/>
              </w:rPr>
              <w:t>Non-income support</w:t>
            </w:r>
          </w:p>
        </w:tc>
        <w:tc>
          <w:tcPr>
            <w:tcW w:w="675" w:type="pct"/>
            <w:vMerge/>
          </w:tcPr>
          <w:p w14:paraId="4461A8AE" w14:textId="77777777" w:rsidR="00F034A6" w:rsidRPr="00D47E77" w:rsidRDefault="00F034A6" w:rsidP="00854022">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noProof/>
                <w:snapToGrid w:val="0"/>
                <w:color w:val="auto"/>
                <w:sz w:val="18"/>
                <w:szCs w:val="18"/>
              </w:rPr>
            </w:pPr>
          </w:p>
        </w:tc>
      </w:tr>
      <w:tr w:rsidR="004603BA" w:rsidRPr="00854022" w14:paraId="239D8B89" w14:textId="77777777" w:rsidTr="00200DAF">
        <w:tc>
          <w:tcPr>
            <w:cnfStyle w:val="001000000000" w:firstRow="0" w:lastRow="0" w:firstColumn="1" w:lastColumn="0" w:oddVBand="0" w:evenVBand="0" w:oddHBand="0" w:evenHBand="0" w:firstRowFirstColumn="0" w:firstRowLastColumn="0" w:lastRowFirstColumn="0" w:lastRowLastColumn="0"/>
            <w:tcW w:w="825" w:type="pct"/>
            <w:vMerge/>
          </w:tcPr>
          <w:p w14:paraId="6180209C" w14:textId="77777777" w:rsidR="00F034A6" w:rsidRPr="00D47E77" w:rsidRDefault="00F034A6" w:rsidP="00854022">
            <w:pPr>
              <w:pStyle w:val="PwCNormal"/>
              <w:numPr>
                <w:ilvl w:val="0"/>
                <w:numId w:val="0"/>
              </w:numPr>
              <w:spacing w:before="40" w:after="40"/>
              <w:jc w:val="center"/>
              <w:rPr>
                <w:rFonts w:ascii="Arial" w:hAnsi="Arial"/>
                <w:noProof/>
                <w:snapToGrid w:val="0"/>
                <w:color w:val="auto"/>
                <w:sz w:val="18"/>
                <w:szCs w:val="18"/>
              </w:rPr>
            </w:pPr>
          </w:p>
        </w:tc>
        <w:tc>
          <w:tcPr>
            <w:tcW w:w="829" w:type="pct"/>
            <w:vMerge/>
          </w:tcPr>
          <w:p w14:paraId="5260A2D7" w14:textId="2EB740CA" w:rsidR="00F034A6" w:rsidRPr="00D47E77" w:rsidRDefault="00F034A6" w:rsidP="00854022">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noProof/>
                <w:snapToGrid w:val="0"/>
                <w:color w:val="auto"/>
                <w:sz w:val="18"/>
                <w:szCs w:val="18"/>
              </w:rPr>
            </w:pPr>
          </w:p>
        </w:tc>
        <w:tc>
          <w:tcPr>
            <w:tcW w:w="644" w:type="pct"/>
            <w:shd w:val="clear" w:color="auto" w:fill="74000E" w:themeFill="accent1"/>
          </w:tcPr>
          <w:p w14:paraId="0B6FDB1D" w14:textId="2735B4AA" w:rsidR="00F034A6" w:rsidRPr="00D47E77" w:rsidRDefault="00F034A6" w:rsidP="00854022">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b/>
                <w:noProof/>
                <w:snapToGrid w:val="0"/>
                <w:color w:val="auto"/>
                <w:sz w:val="18"/>
                <w:szCs w:val="18"/>
              </w:rPr>
            </w:pPr>
            <w:r w:rsidRPr="00D47E77">
              <w:rPr>
                <w:rFonts w:ascii="Arial" w:hAnsi="Arial"/>
                <w:b/>
                <w:noProof/>
                <w:snapToGrid w:val="0"/>
                <w:color w:val="auto"/>
                <w:sz w:val="18"/>
                <w:szCs w:val="18"/>
              </w:rPr>
              <w:t>F: Age Pension</w:t>
            </w:r>
          </w:p>
        </w:tc>
        <w:tc>
          <w:tcPr>
            <w:tcW w:w="655" w:type="pct"/>
            <w:shd w:val="clear" w:color="auto" w:fill="74000E" w:themeFill="accent1"/>
          </w:tcPr>
          <w:p w14:paraId="5D35A43A" w14:textId="77777777" w:rsidR="00F034A6" w:rsidRPr="00D47E77" w:rsidRDefault="00F034A6" w:rsidP="00854022">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b/>
                <w:noProof/>
                <w:snapToGrid w:val="0"/>
                <w:color w:val="auto"/>
                <w:sz w:val="18"/>
                <w:szCs w:val="18"/>
              </w:rPr>
            </w:pPr>
            <w:r w:rsidRPr="00D47E77">
              <w:rPr>
                <w:rFonts w:ascii="Arial" w:hAnsi="Arial"/>
                <w:b/>
                <w:noProof/>
                <w:snapToGrid w:val="0"/>
                <w:color w:val="auto"/>
                <w:sz w:val="18"/>
                <w:szCs w:val="18"/>
              </w:rPr>
              <w:t>A-E,G: Other</w:t>
            </w:r>
          </w:p>
        </w:tc>
        <w:tc>
          <w:tcPr>
            <w:tcW w:w="712" w:type="pct"/>
            <w:shd w:val="clear" w:color="auto" w:fill="74000E" w:themeFill="accent1"/>
          </w:tcPr>
          <w:p w14:paraId="6DEA23DA" w14:textId="01F8C688" w:rsidR="00F034A6" w:rsidRPr="00D47E77" w:rsidRDefault="00F034A6" w:rsidP="00854022">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b/>
                <w:noProof/>
                <w:snapToGrid w:val="0"/>
                <w:color w:val="auto"/>
                <w:sz w:val="18"/>
                <w:szCs w:val="18"/>
              </w:rPr>
            </w:pPr>
            <w:r w:rsidRPr="00D47E77">
              <w:rPr>
                <w:rFonts w:ascii="Arial" w:hAnsi="Arial"/>
                <w:b/>
                <w:noProof/>
                <w:snapToGrid w:val="0"/>
                <w:color w:val="auto"/>
                <w:sz w:val="18"/>
                <w:szCs w:val="18"/>
              </w:rPr>
              <w:t>H-J: Famil</w:t>
            </w:r>
            <w:r w:rsidR="00B70689" w:rsidRPr="00D47E77">
              <w:rPr>
                <w:rFonts w:ascii="Arial" w:hAnsi="Arial"/>
                <w:b/>
                <w:noProof/>
                <w:snapToGrid w:val="0"/>
                <w:color w:val="auto"/>
                <w:sz w:val="18"/>
                <w:szCs w:val="18"/>
              </w:rPr>
              <w:t>ies</w:t>
            </w:r>
          </w:p>
        </w:tc>
        <w:tc>
          <w:tcPr>
            <w:tcW w:w="660" w:type="pct"/>
            <w:shd w:val="clear" w:color="auto" w:fill="74000E" w:themeFill="accent1"/>
          </w:tcPr>
          <w:p w14:paraId="4A6E59C8" w14:textId="77777777" w:rsidR="00F034A6" w:rsidRPr="00D47E77" w:rsidRDefault="00F034A6" w:rsidP="00854022">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b/>
                <w:noProof/>
                <w:snapToGrid w:val="0"/>
                <w:color w:val="auto"/>
                <w:sz w:val="18"/>
                <w:szCs w:val="18"/>
              </w:rPr>
            </w:pPr>
            <w:r w:rsidRPr="00D47E77">
              <w:rPr>
                <w:rFonts w:ascii="Arial" w:hAnsi="Arial"/>
                <w:b/>
                <w:noProof/>
                <w:snapToGrid w:val="0"/>
                <w:color w:val="auto"/>
                <w:sz w:val="18"/>
                <w:szCs w:val="18"/>
              </w:rPr>
              <w:t>L-R: Other</w:t>
            </w:r>
          </w:p>
        </w:tc>
        <w:tc>
          <w:tcPr>
            <w:tcW w:w="675" w:type="pct"/>
            <w:vMerge/>
          </w:tcPr>
          <w:p w14:paraId="0677239A" w14:textId="77777777" w:rsidR="00F034A6" w:rsidRPr="00D47E77" w:rsidRDefault="00F034A6" w:rsidP="00854022">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noProof/>
                <w:snapToGrid w:val="0"/>
                <w:color w:val="auto"/>
                <w:sz w:val="18"/>
                <w:szCs w:val="18"/>
              </w:rPr>
            </w:pPr>
          </w:p>
        </w:tc>
      </w:tr>
      <w:tr w:rsidR="004603BA" w:rsidRPr="00854022" w14:paraId="319615CF" w14:textId="77777777" w:rsidTr="00200D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5" w:type="pct"/>
          </w:tcPr>
          <w:p w14:paraId="6DFED046" w14:textId="2D1AF84A" w:rsidR="004603BA" w:rsidRPr="00D47E77" w:rsidRDefault="004603BA" w:rsidP="00854022">
            <w:pPr>
              <w:pStyle w:val="PwCNormal"/>
              <w:numPr>
                <w:ilvl w:val="0"/>
                <w:numId w:val="0"/>
              </w:numPr>
              <w:spacing w:before="40" w:after="40"/>
              <w:jc w:val="center"/>
              <w:rPr>
                <w:rFonts w:ascii="Arial" w:hAnsi="Arial"/>
                <w:noProof/>
                <w:snapToGrid w:val="0"/>
                <w:color w:val="auto"/>
                <w:sz w:val="18"/>
                <w:szCs w:val="18"/>
              </w:rPr>
            </w:pPr>
            <w:r w:rsidRPr="00D47E77">
              <w:rPr>
                <w:rFonts w:ascii="Arial" w:hAnsi="Arial"/>
                <w:noProof/>
                <w:snapToGrid w:val="0"/>
                <w:color w:val="auto"/>
                <w:sz w:val="18"/>
                <w:szCs w:val="18"/>
              </w:rPr>
              <w:t>1 Studying</w:t>
            </w:r>
          </w:p>
        </w:tc>
        <w:tc>
          <w:tcPr>
            <w:tcW w:w="829" w:type="pct"/>
          </w:tcPr>
          <w:p w14:paraId="1147154B" w14:textId="7EB4075F" w:rsidR="004603BA" w:rsidRPr="00D47E77" w:rsidRDefault="004603BA" w:rsidP="00854022">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noProof/>
                <w:snapToGrid w:val="0"/>
                <w:color w:val="auto"/>
                <w:sz w:val="18"/>
                <w:szCs w:val="18"/>
              </w:rPr>
            </w:pPr>
            <w:r w:rsidRPr="00D47E77">
              <w:rPr>
                <w:rFonts w:ascii="Arial" w:hAnsi="Arial"/>
                <w:noProof/>
                <w:snapToGrid w:val="0"/>
                <w:color w:val="auto"/>
                <w:sz w:val="18"/>
                <w:szCs w:val="18"/>
              </w:rPr>
              <w:t>340,063</w:t>
            </w:r>
          </w:p>
        </w:tc>
        <w:tc>
          <w:tcPr>
            <w:tcW w:w="644" w:type="pct"/>
          </w:tcPr>
          <w:p w14:paraId="6388EE89" w14:textId="5B8BB535" w:rsidR="004603BA" w:rsidRPr="00D47E77" w:rsidRDefault="004603BA" w:rsidP="00854022">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noProof/>
                <w:snapToGrid w:val="0"/>
                <w:color w:val="auto"/>
                <w:sz w:val="18"/>
                <w:szCs w:val="18"/>
              </w:rPr>
            </w:pPr>
            <w:r w:rsidRPr="00D47E77">
              <w:rPr>
                <w:rFonts w:ascii="Arial" w:hAnsi="Arial"/>
                <w:noProof/>
                <w:snapToGrid w:val="0"/>
                <w:color w:val="auto"/>
                <w:sz w:val="18"/>
                <w:szCs w:val="18"/>
              </w:rPr>
              <w:t>129,073</w:t>
            </w:r>
          </w:p>
        </w:tc>
        <w:tc>
          <w:tcPr>
            <w:tcW w:w="655" w:type="pct"/>
          </w:tcPr>
          <w:p w14:paraId="1733E732" w14:textId="19B38919" w:rsidR="004603BA" w:rsidRPr="00D47E77" w:rsidRDefault="004603BA" w:rsidP="00854022">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noProof/>
                <w:snapToGrid w:val="0"/>
                <w:color w:val="auto"/>
                <w:sz w:val="18"/>
                <w:szCs w:val="18"/>
              </w:rPr>
            </w:pPr>
            <w:r w:rsidRPr="00D47E77">
              <w:rPr>
                <w:rFonts w:ascii="Arial" w:hAnsi="Arial"/>
                <w:noProof/>
                <w:snapToGrid w:val="0"/>
                <w:color w:val="auto"/>
                <w:sz w:val="18"/>
                <w:szCs w:val="18"/>
              </w:rPr>
              <w:t>74,040</w:t>
            </w:r>
          </w:p>
        </w:tc>
        <w:tc>
          <w:tcPr>
            <w:tcW w:w="712" w:type="pct"/>
          </w:tcPr>
          <w:p w14:paraId="3D393272" w14:textId="179F4B91" w:rsidR="004603BA" w:rsidRPr="00D47E77" w:rsidRDefault="004603BA" w:rsidP="00854022">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noProof/>
                <w:snapToGrid w:val="0"/>
                <w:color w:val="auto"/>
                <w:sz w:val="18"/>
                <w:szCs w:val="18"/>
              </w:rPr>
            </w:pPr>
            <w:r w:rsidRPr="00D47E77">
              <w:rPr>
                <w:rFonts w:ascii="Arial" w:hAnsi="Arial"/>
                <w:noProof/>
                <w:snapToGrid w:val="0"/>
                <w:color w:val="auto"/>
                <w:sz w:val="18"/>
                <w:szCs w:val="18"/>
              </w:rPr>
              <w:t>46,152</w:t>
            </w:r>
          </w:p>
        </w:tc>
        <w:tc>
          <w:tcPr>
            <w:tcW w:w="660" w:type="pct"/>
          </w:tcPr>
          <w:p w14:paraId="56510B9D" w14:textId="5522B817" w:rsidR="004603BA" w:rsidRPr="00D47E77" w:rsidRDefault="004603BA" w:rsidP="00854022">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noProof/>
                <w:snapToGrid w:val="0"/>
                <w:color w:val="auto"/>
                <w:sz w:val="18"/>
                <w:szCs w:val="18"/>
              </w:rPr>
            </w:pPr>
            <w:r w:rsidRPr="00D47E77">
              <w:rPr>
                <w:rFonts w:ascii="Arial" w:hAnsi="Arial"/>
                <w:noProof/>
                <w:snapToGrid w:val="0"/>
                <w:color w:val="auto"/>
                <w:sz w:val="18"/>
                <w:szCs w:val="18"/>
              </w:rPr>
              <w:t>19,738</w:t>
            </w:r>
          </w:p>
        </w:tc>
        <w:tc>
          <w:tcPr>
            <w:tcW w:w="675" w:type="pct"/>
          </w:tcPr>
          <w:p w14:paraId="7E377BD2" w14:textId="2FFD2FF6" w:rsidR="004603BA" w:rsidRPr="00D47E77" w:rsidRDefault="004603BA" w:rsidP="00854022">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noProof/>
                <w:snapToGrid w:val="0"/>
                <w:color w:val="auto"/>
                <w:sz w:val="18"/>
                <w:szCs w:val="18"/>
              </w:rPr>
            </w:pPr>
            <w:r w:rsidRPr="00D47E77">
              <w:rPr>
                <w:rFonts w:ascii="Arial" w:hAnsi="Arial"/>
                <w:noProof/>
                <w:snapToGrid w:val="0"/>
                <w:color w:val="auto"/>
                <w:sz w:val="18"/>
                <w:szCs w:val="18"/>
              </w:rPr>
              <w:t>267,597</w:t>
            </w:r>
          </w:p>
        </w:tc>
      </w:tr>
      <w:tr w:rsidR="004603BA" w:rsidRPr="00854022" w14:paraId="771582E9" w14:textId="77777777" w:rsidTr="00200DAF">
        <w:tc>
          <w:tcPr>
            <w:cnfStyle w:val="001000000000" w:firstRow="0" w:lastRow="0" w:firstColumn="1" w:lastColumn="0" w:oddVBand="0" w:evenVBand="0" w:oddHBand="0" w:evenHBand="0" w:firstRowFirstColumn="0" w:firstRowLastColumn="0" w:lastRowFirstColumn="0" w:lastRowLastColumn="0"/>
            <w:tcW w:w="825" w:type="pct"/>
          </w:tcPr>
          <w:p w14:paraId="65CF7D0A" w14:textId="1F25AF89" w:rsidR="004603BA" w:rsidRPr="00D47E77" w:rsidRDefault="004603BA" w:rsidP="00854022">
            <w:pPr>
              <w:pStyle w:val="PwCNormal"/>
              <w:numPr>
                <w:ilvl w:val="0"/>
                <w:numId w:val="0"/>
              </w:numPr>
              <w:spacing w:before="40" w:after="40"/>
              <w:jc w:val="center"/>
              <w:rPr>
                <w:rFonts w:ascii="Arial" w:hAnsi="Arial"/>
                <w:noProof/>
                <w:snapToGrid w:val="0"/>
                <w:color w:val="auto"/>
                <w:sz w:val="18"/>
                <w:szCs w:val="18"/>
              </w:rPr>
            </w:pPr>
            <w:r w:rsidRPr="00D47E77">
              <w:rPr>
                <w:rFonts w:ascii="Arial" w:hAnsi="Arial"/>
                <w:noProof/>
                <w:snapToGrid w:val="0"/>
                <w:color w:val="auto"/>
                <w:sz w:val="18"/>
                <w:szCs w:val="18"/>
              </w:rPr>
              <w:t>2 Working Age</w:t>
            </w:r>
          </w:p>
        </w:tc>
        <w:tc>
          <w:tcPr>
            <w:tcW w:w="829" w:type="pct"/>
          </w:tcPr>
          <w:p w14:paraId="36BFB866" w14:textId="03CBD2F8" w:rsidR="004603BA" w:rsidRPr="00D47E77" w:rsidRDefault="004603BA" w:rsidP="00854022">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noProof/>
                <w:snapToGrid w:val="0"/>
                <w:color w:val="auto"/>
                <w:sz w:val="18"/>
                <w:szCs w:val="18"/>
              </w:rPr>
            </w:pPr>
            <w:r w:rsidRPr="00D47E77">
              <w:rPr>
                <w:rFonts w:ascii="Arial" w:hAnsi="Arial"/>
                <w:noProof/>
                <w:snapToGrid w:val="0"/>
                <w:color w:val="auto"/>
                <w:sz w:val="18"/>
                <w:szCs w:val="18"/>
              </w:rPr>
              <w:t>1,164,490</w:t>
            </w:r>
          </w:p>
        </w:tc>
        <w:tc>
          <w:tcPr>
            <w:tcW w:w="644" w:type="pct"/>
          </w:tcPr>
          <w:p w14:paraId="63FCD67A" w14:textId="3D693069" w:rsidR="004603BA" w:rsidRPr="00D47E77" w:rsidRDefault="004603BA" w:rsidP="00854022">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noProof/>
                <w:snapToGrid w:val="0"/>
                <w:color w:val="auto"/>
                <w:sz w:val="18"/>
                <w:szCs w:val="18"/>
              </w:rPr>
            </w:pPr>
            <w:r w:rsidRPr="00D47E77">
              <w:rPr>
                <w:rFonts w:ascii="Arial" w:hAnsi="Arial"/>
                <w:noProof/>
                <w:snapToGrid w:val="0"/>
                <w:color w:val="auto"/>
                <w:sz w:val="18"/>
                <w:szCs w:val="18"/>
              </w:rPr>
              <w:t>175,884</w:t>
            </w:r>
          </w:p>
        </w:tc>
        <w:tc>
          <w:tcPr>
            <w:tcW w:w="655" w:type="pct"/>
          </w:tcPr>
          <w:p w14:paraId="75BCEB19" w14:textId="07730E74" w:rsidR="004603BA" w:rsidRPr="00D47E77" w:rsidRDefault="004603BA" w:rsidP="00854022">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noProof/>
                <w:snapToGrid w:val="0"/>
                <w:color w:val="auto"/>
                <w:sz w:val="18"/>
                <w:szCs w:val="18"/>
              </w:rPr>
            </w:pPr>
            <w:r w:rsidRPr="00D47E77">
              <w:rPr>
                <w:rFonts w:ascii="Arial" w:hAnsi="Arial"/>
                <w:noProof/>
                <w:snapToGrid w:val="0"/>
                <w:color w:val="auto"/>
                <w:sz w:val="18"/>
                <w:szCs w:val="18"/>
              </w:rPr>
              <w:t>143,890</w:t>
            </w:r>
          </w:p>
        </w:tc>
        <w:tc>
          <w:tcPr>
            <w:tcW w:w="712" w:type="pct"/>
          </w:tcPr>
          <w:p w14:paraId="6B9403AF" w14:textId="63FE379A" w:rsidR="004603BA" w:rsidRPr="00D47E77" w:rsidRDefault="004603BA" w:rsidP="00854022">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noProof/>
                <w:snapToGrid w:val="0"/>
                <w:color w:val="auto"/>
                <w:sz w:val="18"/>
                <w:szCs w:val="18"/>
              </w:rPr>
            </w:pPr>
            <w:r w:rsidRPr="00D47E77">
              <w:rPr>
                <w:rFonts w:ascii="Arial" w:hAnsi="Arial"/>
                <w:noProof/>
                <w:snapToGrid w:val="0"/>
                <w:color w:val="auto"/>
                <w:sz w:val="18"/>
                <w:szCs w:val="18"/>
              </w:rPr>
              <w:t>26,948</w:t>
            </w:r>
          </w:p>
        </w:tc>
        <w:tc>
          <w:tcPr>
            <w:tcW w:w="660" w:type="pct"/>
          </w:tcPr>
          <w:p w14:paraId="285E361B" w14:textId="2AA80961" w:rsidR="004603BA" w:rsidRPr="00D47E77" w:rsidRDefault="004603BA" w:rsidP="00854022">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noProof/>
                <w:snapToGrid w:val="0"/>
                <w:color w:val="auto"/>
                <w:sz w:val="18"/>
                <w:szCs w:val="18"/>
              </w:rPr>
            </w:pPr>
            <w:r w:rsidRPr="00D47E77">
              <w:rPr>
                <w:rFonts w:ascii="Arial" w:hAnsi="Arial"/>
                <w:noProof/>
                <w:snapToGrid w:val="0"/>
                <w:color w:val="auto"/>
                <w:sz w:val="18"/>
                <w:szCs w:val="18"/>
              </w:rPr>
              <w:t>37,546</w:t>
            </w:r>
          </w:p>
        </w:tc>
        <w:tc>
          <w:tcPr>
            <w:tcW w:w="675" w:type="pct"/>
          </w:tcPr>
          <w:p w14:paraId="414E6214" w14:textId="0B7CA070" w:rsidR="004603BA" w:rsidRPr="00D47E77" w:rsidRDefault="004603BA" w:rsidP="00854022">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noProof/>
                <w:snapToGrid w:val="0"/>
                <w:color w:val="auto"/>
                <w:sz w:val="18"/>
                <w:szCs w:val="18"/>
              </w:rPr>
            </w:pPr>
            <w:r w:rsidRPr="00D47E77">
              <w:rPr>
                <w:rFonts w:ascii="Arial" w:hAnsi="Arial"/>
                <w:noProof/>
                <w:snapToGrid w:val="0"/>
                <w:color w:val="auto"/>
                <w:sz w:val="18"/>
                <w:szCs w:val="18"/>
              </w:rPr>
              <w:t>383,859</w:t>
            </w:r>
          </w:p>
        </w:tc>
      </w:tr>
      <w:tr w:rsidR="004603BA" w:rsidRPr="00854022" w14:paraId="4409BD4D" w14:textId="77777777" w:rsidTr="00200D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5" w:type="pct"/>
          </w:tcPr>
          <w:p w14:paraId="0F4C2932" w14:textId="4723A621" w:rsidR="004603BA" w:rsidRPr="00D47E77" w:rsidRDefault="004603BA" w:rsidP="00854022">
            <w:pPr>
              <w:pStyle w:val="PwCNormal"/>
              <w:numPr>
                <w:ilvl w:val="0"/>
                <w:numId w:val="0"/>
              </w:numPr>
              <w:spacing w:before="40" w:after="40"/>
              <w:jc w:val="center"/>
              <w:rPr>
                <w:rFonts w:ascii="Arial" w:hAnsi="Arial"/>
                <w:noProof/>
                <w:snapToGrid w:val="0"/>
                <w:color w:val="auto"/>
                <w:sz w:val="18"/>
                <w:szCs w:val="18"/>
              </w:rPr>
            </w:pPr>
            <w:r w:rsidRPr="00D47E77">
              <w:rPr>
                <w:rFonts w:ascii="Arial" w:hAnsi="Arial"/>
                <w:noProof/>
                <w:snapToGrid w:val="0"/>
                <w:color w:val="auto"/>
                <w:sz w:val="18"/>
                <w:szCs w:val="18"/>
              </w:rPr>
              <w:t>3 Parents</w:t>
            </w:r>
          </w:p>
        </w:tc>
        <w:tc>
          <w:tcPr>
            <w:tcW w:w="829" w:type="pct"/>
          </w:tcPr>
          <w:p w14:paraId="6D801B24" w14:textId="3DA917BB" w:rsidR="004603BA" w:rsidRPr="00D47E77" w:rsidRDefault="004603BA" w:rsidP="00854022">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noProof/>
                <w:snapToGrid w:val="0"/>
                <w:color w:val="auto"/>
                <w:sz w:val="18"/>
                <w:szCs w:val="18"/>
              </w:rPr>
            </w:pPr>
            <w:r w:rsidRPr="00D47E77">
              <w:rPr>
                <w:rFonts w:ascii="Arial" w:hAnsi="Arial"/>
                <w:noProof/>
                <w:snapToGrid w:val="0"/>
                <w:color w:val="auto"/>
                <w:sz w:val="18"/>
                <w:szCs w:val="18"/>
              </w:rPr>
              <w:t>359,472</w:t>
            </w:r>
          </w:p>
        </w:tc>
        <w:tc>
          <w:tcPr>
            <w:tcW w:w="644" w:type="pct"/>
          </w:tcPr>
          <w:p w14:paraId="77D52313" w14:textId="1B002F50" w:rsidR="004603BA" w:rsidRPr="00D47E77" w:rsidRDefault="004603BA" w:rsidP="00854022">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noProof/>
                <w:snapToGrid w:val="0"/>
                <w:color w:val="auto"/>
                <w:sz w:val="18"/>
                <w:szCs w:val="18"/>
              </w:rPr>
            </w:pPr>
            <w:r w:rsidRPr="00D47E77">
              <w:rPr>
                <w:rFonts w:ascii="Arial" w:hAnsi="Arial"/>
                <w:noProof/>
                <w:snapToGrid w:val="0"/>
                <w:color w:val="auto"/>
                <w:sz w:val="18"/>
                <w:szCs w:val="18"/>
              </w:rPr>
              <w:t>163,343</w:t>
            </w:r>
          </w:p>
        </w:tc>
        <w:tc>
          <w:tcPr>
            <w:tcW w:w="655" w:type="pct"/>
          </w:tcPr>
          <w:p w14:paraId="46AF8DC8" w14:textId="7123C363" w:rsidR="004603BA" w:rsidRPr="00D47E77" w:rsidRDefault="004603BA" w:rsidP="00854022">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noProof/>
                <w:snapToGrid w:val="0"/>
                <w:color w:val="auto"/>
                <w:sz w:val="18"/>
                <w:szCs w:val="18"/>
              </w:rPr>
            </w:pPr>
            <w:r w:rsidRPr="00D47E77">
              <w:rPr>
                <w:rFonts w:ascii="Arial" w:hAnsi="Arial"/>
                <w:noProof/>
                <w:snapToGrid w:val="0"/>
                <w:color w:val="auto"/>
                <w:sz w:val="18"/>
                <w:szCs w:val="18"/>
              </w:rPr>
              <w:t>238,896</w:t>
            </w:r>
          </w:p>
        </w:tc>
        <w:tc>
          <w:tcPr>
            <w:tcW w:w="712" w:type="pct"/>
          </w:tcPr>
          <w:p w14:paraId="57DF117D" w14:textId="040B9711" w:rsidR="004603BA" w:rsidRPr="00D47E77" w:rsidRDefault="004603BA" w:rsidP="00854022">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noProof/>
                <w:snapToGrid w:val="0"/>
                <w:color w:val="auto"/>
                <w:sz w:val="18"/>
                <w:szCs w:val="18"/>
              </w:rPr>
            </w:pPr>
            <w:r w:rsidRPr="00D47E77">
              <w:rPr>
                <w:rFonts w:ascii="Arial" w:hAnsi="Arial"/>
                <w:noProof/>
                <w:snapToGrid w:val="0"/>
                <w:color w:val="auto"/>
                <w:sz w:val="18"/>
                <w:szCs w:val="18"/>
              </w:rPr>
              <w:t>165,599</w:t>
            </w:r>
          </w:p>
        </w:tc>
        <w:tc>
          <w:tcPr>
            <w:tcW w:w="660" w:type="pct"/>
          </w:tcPr>
          <w:p w14:paraId="23AECE77" w14:textId="4BAF2272" w:rsidR="004603BA" w:rsidRPr="00D47E77" w:rsidRDefault="004603BA" w:rsidP="00854022">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noProof/>
                <w:snapToGrid w:val="0"/>
                <w:color w:val="auto"/>
                <w:sz w:val="18"/>
                <w:szCs w:val="18"/>
              </w:rPr>
            </w:pPr>
            <w:r w:rsidRPr="00D47E77">
              <w:rPr>
                <w:rFonts w:ascii="Arial" w:hAnsi="Arial"/>
                <w:noProof/>
                <w:snapToGrid w:val="0"/>
                <w:color w:val="auto"/>
                <w:sz w:val="18"/>
                <w:szCs w:val="18"/>
              </w:rPr>
              <w:t>62,726</w:t>
            </w:r>
          </w:p>
        </w:tc>
        <w:tc>
          <w:tcPr>
            <w:tcW w:w="675" w:type="pct"/>
          </w:tcPr>
          <w:p w14:paraId="04336DD8" w14:textId="18C93CE5" w:rsidR="004603BA" w:rsidRPr="00D47E77" w:rsidRDefault="004603BA" w:rsidP="00854022">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noProof/>
                <w:snapToGrid w:val="0"/>
                <w:color w:val="auto"/>
                <w:sz w:val="18"/>
                <w:szCs w:val="18"/>
              </w:rPr>
            </w:pPr>
            <w:r w:rsidRPr="00D47E77">
              <w:rPr>
                <w:rFonts w:ascii="Arial" w:hAnsi="Arial"/>
                <w:noProof/>
                <w:snapToGrid w:val="0"/>
                <w:color w:val="auto"/>
                <w:sz w:val="18"/>
                <w:szCs w:val="18"/>
              </w:rPr>
              <w:t>631,482</w:t>
            </w:r>
          </w:p>
        </w:tc>
      </w:tr>
      <w:tr w:rsidR="004603BA" w:rsidRPr="00854022" w14:paraId="7B7F3F49" w14:textId="77777777" w:rsidTr="00200DAF">
        <w:tc>
          <w:tcPr>
            <w:cnfStyle w:val="001000000000" w:firstRow="0" w:lastRow="0" w:firstColumn="1" w:lastColumn="0" w:oddVBand="0" w:evenVBand="0" w:oddHBand="0" w:evenHBand="0" w:firstRowFirstColumn="0" w:firstRowLastColumn="0" w:lastRowFirstColumn="0" w:lastRowLastColumn="0"/>
            <w:tcW w:w="825" w:type="pct"/>
          </w:tcPr>
          <w:p w14:paraId="44B017E7" w14:textId="7B31C99F" w:rsidR="004603BA" w:rsidRPr="00D47E77" w:rsidRDefault="004603BA" w:rsidP="00854022">
            <w:pPr>
              <w:pStyle w:val="PwCNormal"/>
              <w:numPr>
                <w:ilvl w:val="0"/>
                <w:numId w:val="0"/>
              </w:numPr>
              <w:spacing w:before="40" w:after="40"/>
              <w:jc w:val="center"/>
              <w:rPr>
                <w:rFonts w:ascii="Arial" w:hAnsi="Arial"/>
                <w:noProof/>
                <w:snapToGrid w:val="0"/>
                <w:color w:val="auto"/>
                <w:sz w:val="18"/>
                <w:szCs w:val="18"/>
              </w:rPr>
            </w:pPr>
            <w:r w:rsidRPr="00D47E77">
              <w:rPr>
                <w:rFonts w:ascii="Arial" w:hAnsi="Arial"/>
                <w:noProof/>
                <w:snapToGrid w:val="0"/>
                <w:color w:val="auto"/>
                <w:sz w:val="18"/>
                <w:szCs w:val="18"/>
              </w:rPr>
              <w:t>4 Carers</w:t>
            </w:r>
          </w:p>
        </w:tc>
        <w:tc>
          <w:tcPr>
            <w:tcW w:w="829" w:type="pct"/>
          </w:tcPr>
          <w:p w14:paraId="5D120DDE" w14:textId="4010CDF3" w:rsidR="004603BA" w:rsidRPr="00D47E77" w:rsidRDefault="004603BA" w:rsidP="00854022">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noProof/>
                <w:snapToGrid w:val="0"/>
                <w:color w:val="auto"/>
                <w:sz w:val="18"/>
                <w:szCs w:val="18"/>
              </w:rPr>
            </w:pPr>
            <w:r w:rsidRPr="00D47E77">
              <w:rPr>
                <w:rFonts w:ascii="Arial" w:hAnsi="Arial"/>
                <w:noProof/>
                <w:snapToGrid w:val="0"/>
                <w:color w:val="auto"/>
                <w:sz w:val="18"/>
                <w:szCs w:val="18"/>
              </w:rPr>
              <w:t>299,225</w:t>
            </w:r>
          </w:p>
        </w:tc>
        <w:tc>
          <w:tcPr>
            <w:tcW w:w="644" w:type="pct"/>
          </w:tcPr>
          <w:p w14:paraId="3291C618" w14:textId="5FB9C069" w:rsidR="004603BA" w:rsidRPr="00D47E77" w:rsidRDefault="004603BA" w:rsidP="00854022">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noProof/>
                <w:snapToGrid w:val="0"/>
                <w:color w:val="auto"/>
                <w:sz w:val="18"/>
                <w:szCs w:val="18"/>
              </w:rPr>
            </w:pPr>
            <w:r w:rsidRPr="00D47E77">
              <w:rPr>
                <w:rFonts w:ascii="Arial" w:hAnsi="Arial"/>
                <w:noProof/>
                <w:snapToGrid w:val="0"/>
                <w:color w:val="auto"/>
                <w:sz w:val="18"/>
                <w:szCs w:val="18"/>
              </w:rPr>
              <w:t>196,052</w:t>
            </w:r>
          </w:p>
        </w:tc>
        <w:tc>
          <w:tcPr>
            <w:tcW w:w="655" w:type="pct"/>
          </w:tcPr>
          <w:p w14:paraId="1D696402" w14:textId="741773E1" w:rsidR="004603BA" w:rsidRPr="00D47E77" w:rsidRDefault="004603BA" w:rsidP="00854022">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noProof/>
                <w:snapToGrid w:val="0"/>
                <w:color w:val="auto"/>
                <w:sz w:val="18"/>
                <w:szCs w:val="18"/>
              </w:rPr>
            </w:pPr>
            <w:r w:rsidRPr="00D47E77">
              <w:rPr>
                <w:rFonts w:ascii="Arial" w:hAnsi="Arial"/>
                <w:noProof/>
                <w:snapToGrid w:val="0"/>
                <w:color w:val="auto"/>
                <w:sz w:val="18"/>
                <w:szCs w:val="18"/>
              </w:rPr>
              <w:t>212,856</w:t>
            </w:r>
          </w:p>
        </w:tc>
        <w:tc>
          <w:tcPr>
            <w:tcW w:w="712" w:type="pct"/>
          </w:tcPr>
          <w:p w14:paraId="6F2E59AB" w14:textId="42C5629E" w:rsidR="004603BA" w:rsidRPr="00D47E77" w:rsidRDefault="004603BA" w:rsidP="00854022">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noProof/>
                <w:snapToGrid w:val="0"/>
                <w:color w:val="auto"/>
                <w:sz w:val="18"/>
                <w:szCs w:val="18"/>
              </w:rPr>
            </w:pPr>
            <w:r w:rsidRPr="00D47E77">
              <w:rPr>
                <w:rFonts w:ascii="Arial" w:hAnsi="Arial"/>
                <w:noProof/>
                <w:snapToGrid w:val="0"/>
                <w:color w:val="auto"/>
                <w:sz w:val="18"/>
                <w:szCs w:val="18"/>
              </w:rPr>
              <w:t>31,844</w:t>
            </w:r>
          </w:p>
        </w:tc>
        <w:tc>
          <w:tcPr>
            <w:tcW w:w="660" w:type="pct"/>
          </w:tcPr>
          <w:p w14:paraId="6032F71F" w14:textId="2965262F" w:rsidR="004603BA" w:rsidRPr="00D47E77" w:rsidRDefault="004603BA" w:rsidP="00854022">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noProof/>
                <w:snapToGrid w:val="0"/>
                <w:color w:val="auto"/>
                <w:sz w:val="18"/>
                <w:szCs w:val="18"/>
              </w:rPr>
            </w:pPr>
            <w:r w:rsidRPr="00D47E77">
              <w:rPr>
                <w:rFonts w:ascii="Arial" w:hAnsi="Arial"/>
                <w:noProof/>
                <w:snapToGrid w:val="0"/>
                <w:color w:val="auto"/>
                <w:sz w:val="18"/>
                <w:szCs w:val="18"/>
              </w:rPr>
              <w:t>83,527</w:t>
            </w:r>
          </w:p>
        </w:tc>
        <w:tc>
          <w:tcPr>
            <w:tcW w:w="675" w:type="pct"/>
          </w:tcPr>
          <w:p w14:paraId="1E3F3FCC" w14:textId="2876AA4C" w:rsidR="004603BA" w:rsidRPr="00D47E77" w:rsidRDefault="004603BA" w:rsidP="00854022">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noProof/>
                <w:snapToGrid w:val="0"/>
                <w:color w:val="auto"/>
                <w:sz w:val="18"/>
                <w:szCs w:val="18"/>
              </w:rPr>
            </w:pPr>
            <w:r w:rsidRPr="00D47E77">
              <w:rPr>
                <w:rFonts w:ascii="Arial" w:hAnsi="Arial"/>
                <w:noProof/>
                <w:snapToGrid w:val="0"/>
                <w:color w:val="auto"/>
                <w:sz w:val="18"/>
                <w:szCs w:val="18"/>
              </w:rPr>
              <w:t>524,689</w:t>
            </w:r>
          </w:p>
        </w:tc>
      </w:tr>
      <w:tr w:rsidR="004603BA" w:rsidRPr="00854022" w14:paraId="181F245C" w14:textId="77777777" w:rsidTr="00200D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5" w:type="pct"/>
          </w:tcPr>
          <w:p w14:paraId="5BABCCFA" w14:textId="6B6FFB8D" w:rsidR="004603BA" w:rsidRPr="00D47E77" w:rsidRDefault="004603BA" w:rsidP="00854022">
            <w:pPr>
              <w:pStyle w:val="PwCNormal"/>
              <w:numPr>
                <w:ilvl w:val="0"/>
                <w:numId w:val="0"/>
              </w:numPr>
              <w:spacing w:before="40" w:after="40"/>
              <w:jc w:val="center"/>
              <w:rPr>
                <w:rFonts w:ascii="Arial" w:hAnsi="Arial"/>
                <w:noProof/>
                <w:snapToGrid w:val="0"/>
                <w:color w:val="auto"/>
                <w:sz w:val="18"/>
                <w:szCs w:val="18"/>
              </w:rPr>
            </w:pPr>
            <w:r w:rsidRPr="00D47E77">
              <w:rPr>
                <w:rFonts w:ascii="Arial" w:hAnsi="Arial"/>
                <w:noProof/>
                <w:snapToGrid w:val="0"/>
                <w:color w:val="auto"/>
                <w:sz w:val="18"/>
                <w:szCs w:val="18"/>
              </w:rPr>
              <w:t>5 Disability Support</w:t>
            </w:r>
          </w:p>
        </w:tc>
        <w:tc>
          <w:tcPr>
            <w:tcW w:w="829" w:type="pct"/>
          </w:tcPr>
          <w:p w14:paraId="718914FF" w14:textId="4212372D" w:rsidR="004603BA" w:rsidRPr="00D47E77" w:rsidRDefault="004603BA" w:rsidP="00854022">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noProof/>
                <w:snapToGrid w:val="0"/>
                <w:color w:val="auto"/>
                <w:sz w:val="18"/>
                <w:szCs w:val="18"/>
              </w:rPr>
            </w:pPr>
            <w:r w:rsidRPr="00D47E77">
              <w:rPr>
                <w:rFonts w:ascii="Arial" w:hAnsi="Arial"/>
                <w:noProof/>
                <w:snapToGrid w:val="0"/>
                <w:color w:val="auto"/>
                <w:sz w:val="18"/>
                <w:szCs w:val="18"/>
              </w:rPr>
              <w:t>750,958</w:t>
            </w:r>
          </w:p>
        </w:tc>
        <w:tc>
          <w:tcPr>
            <w:tcW w:w="644" w:type="pct"/>
          </w:tcPr>
          <w:p w14:paraId="68E37D97" w14:textId="4FDB8300" w:rsidR="004603BA" w:rsidRPr="00D47E77" w:rsidRDefault="004603BA" w:rsidP="00854022">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noProof/>
                <w:snapToGrid w:val="0"/>
                <w:color w:val="auto"/>
                <w:sz w:val="18"/>
                <w:szCs w:val="18"/>
              </w:rPr>
            </w:pPr>
            <w:r w:rsidRPr="00D47E77">
              <w:rPr>
                <w:rFonts w:ascii="Arial" w:hAnsi="Arial"/>
                <w:noProof/>
                <w:snapToGrid w:val="0"/>
                <w:color w:val="auto"/>
                <w:sz w:val="18"/>
                <w:szCs w:val="18"/>
              </w:rPr>
              <w:t>72,332</w:t>
            </w:r>
          </w:p>
        </w:tc>
        <w:tc>
          <w:tcPr>
            <w:tcW w:w="655" w:type="pct"/>
          </w:tcPr>
          <w:p w14:paraId="7A5603D6" w14:textId="333D860B" w:rsidR="004603BA" w:rsidRPr="00D47E77" w:rsidRDefault="004603BA" w:rsidP="00854022">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noProof/>
                <w:snapToGrid w:val="0"/>
                <w:color w:val="auto"/>
                <w:sz w:val="18"/>
                <w:szCs w:val="18"/>
              </w:rPr>
            </w:pPr>
            <w:r w:rsidRPr="00D47E77">
              <w:rPr>
                <w:rFonts w:ascii="Arial" w:hAnsi="Arial"/>
                <w:noProof/>
                <w:snapToGrid w:val="0"/>
                <w:color w:val="auto"/>
                <w:sz w:val="18"/>
                <w:szCs w:val="18"/>
              </w:rPr>
              <w:t>380,609</w:t>
            </w:r>
          </w:p>
        </w:tc>
        <w:tc>
          <w:tcPr>
            <w:tcW w:w="712" w:type="pct"/>
          </w:tcPr>
          <w:p w14:paraId="50DE1DDB" w14:textId="5A4C352D" w:rsidR="004603BA" w:rsidRPr="00D47E77" w:rsidRDefault="004603BA" w:rsidP="00854022">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noProof/>
                <w:snapToGrid w:val="0"/>
                <w:color w:val="auto"/>
                <w:sz w:val="18"/>
                <w:szCs w:val="18"/>
              </w:rPr>
            </w:pPr>
            <w:r w:rsidRPr="00D47E77">
              <w:rPr>
                <w:rFonts w:ascii="Arial" w:hAnsi="Arial"/>
                <w:noProof/>
                <w:snapToGrid w:val="0"/>
                <w:color w:val="auto"/>
                <w:sz w:val="18"/>
                <w:szCs w:val="18"/>
              </w:rPr>
              <w:t>6,966</w:t>
            </w:r>
          </w:p>
        </w:tc>
        <w:tc>
          <w:tcPr>
            <w:tcW w:w="660" w:type="pct"/>
          </w:tcPr>
          <w:p w14:paraId="742C30CC" w14:textId="38A0EFBE" w:rsidR="004603BA" w:rsidRPr="00D47E77" w:rsidRDefault="004603BA" w:rsidP="00854022">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noProof/>
                <w:snapToGrid w:val="0"/>
                <w:color w:val="auto"/>
                <w:sz w:val="18"/>
                <w:szCs w:val="18"/>
              </w:rPr>
            </w:pPr>
            <w:r w:rsidRPr="00D47E77">
              <w:rPr>
                <w:rFonts w:ascii="Arial" w:hAnsi="Arial"/>
                <w:noProof/>
                <w:snapToGrid w:val="0"/>
                <w:color w:val="auto"/>
                <w:sz w:val="18"/>
                <w:szCs w:val="18"/>
              </w:rPr>
              <w:t>54,455</w:t>
            </w:r>
          </w:p>
        </w:tc>
        <w:tc>
          <w:tcPr>
            <w:tcW w:w="675" w:type="pct"/>
          </w:tcPr>
          <w:p w14:paraId="5E5904EF" w14:textId="111A112F" w:rsidR="004603BA" w:rsidRPr="00D47E77" w:rsidRDefault="004603BA" w:rsidP="00854022">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noProof/>
                <w:snapToGrid w:val="0"/>
                <w:color w:val="auto"/>
                <w:sz w:val="18"/>
                <w:szCs w:val="18"/>
              </w:rPr>
            </w:pPr>
            <w:r w:rsidRPr="00D47E77">
              <w:rPr>
                <w:rFonts w:ascii="Arial" w:hAnsi="Arial"/>
                <w:noProof/>
                <w:snapToGrid w:val="0"/>
                <w:color w:val="auto"/>
                <w:sz w:val="18"/>
                <w:szCs w:val="18"/>
              </w:rPr>
              <w:t>514,010</w:t>
            </w:r>
          </w:p>
        </w:tc>
      </w:tr>
      <w:tr w:rsidR="004603BA" w:rsidRPr="00854022" w14:paraId="4D3C5506" w14:textId="77777777" w:rsidTr="00200DAF">
        <w:tc>
          <w:tcPr>
            <w:cnfStyle w:val="001000000000" w:firstRow="0" w:lastRow="0" w:firstColumn="1" w:lastColumn="0" w:oddVBand="0" w:evenVBand="0" w:oddHBand="0" w:evenHBand="0" w:firstRowFirstColumn="0" w:firstRowLastColumn="0" w:lastRowFirstColumn="0" w:lastRowLastColumn="0"/>
            <w:tcW w:w="825" w:type="pct"/>
          </w:tcPr>
          <w:p w14:paraId="7DC2A799" w14:textId="301204A7" w:rsidR="004603BA" w:rsidRPr="00D47E77" w:rsidRDefault="004603BA" w:rsidP="00854022">
            <w:pPr>
              <w:pStyle w:val="PwCNormal"/>
              <w:numPr>
                <w:ilvl w:val="0"/>
                <w:numId w:val="0"/>
              </w:numPr>
              <w:spacing w:before="40" w:after="40"/>
              <w:jc w:val="center"/>
              <w:rPr>
                <w:rFonts w:ascii="Arial" w:hAnsi="Arial"/>
                <w:noProof/>
                <w:snapToGrid w:val="0"/>
                <w:color w:val="auto"/>
                <w:sz w:val="18"/>
                <w:szCs w:val="18"/>
              </w:rPr>
            </w:pPr>
            <w:r w:rsidRPr="00D47E77">
              <w:rPr>
                <w:rFonts w:ascii="Arial" w:hAnsi="Arial"/>
                <w:noProof/>
                <w:snapToGrid w:val="0"/>
                <w:color w:val="auto"/>
                <w:sz w:val="18"/>
                <w:szCs w:val="18"/>
              </w:rPr>
              <w:t>6 Pension Age</w:t>
            </w:r>
          </w:p>
        </w:tc>
        <w:tc>
          <w:tcPr>
            <w:tcW w:w="829" w:type="pct"/>
          </w:tcPr>
          <w:p w14:paraId="58A3D922" w14:textId="3E494692" w:rsidR="004603BA" w:rsidRPr="00D47E77" w:rsidRDefault="004603BA" w:rsidP="00854022">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noProof/>
                <w:snapToGrid w:val="0"/>
                <w:color w:val="auto"/>
                <w:sz w:val="18"/>
                <w:szCs w:val="18"/>
              </w:rPr>
            </w:pPr>
            <w:r w:rsidRPr="00D47E77">
              <w:rPr>
                <w:rFonts w:ascii="Arial" w:hAnsi="Arial"/>
                <w:noProof/>
                <w:snapToGrid w:val="0"/>
                <w:color w:val="auto"/>
                <w:sz w:val="18"/>
                <w:szCs w:val="18"/>
              </w:rPr>
              <w:t>2,554,459</w:t>
            </w:r>
          </w:p>
        </w:tc>
        <w:tc>
          <w:tcPr>
            <w:tcW w:w="644" w:type="pct"/>
          </w:tcPr>
          <w:p w14:paraId="2FA4920B" w14:textId="1C2528F5" w:rsidR="004603BA" w:rsidRPr="00D47E77" w:rsidRDefault="004603BA" w:rsidP="00854022">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noProof/>
                <w:snapToGrid w:val="0"/>
                <w:color w:val="auto"/>
                <w:sz w:val="18"/>
                <w:szCs w:val="18"/>
              </w:rPr>
            </w:pPr>
            <w:r w:rsidRPr="00D47E77">
              <w:rPr>
                <w:rFonts w:ascii="Arial" w:hAnsi="Arial"/>
                <w:noProof/>
                <w:snapToGrid w:val="0"/>
                <w:color w:val="auto"/>
                <w:sz w:val="18"/>
                <w:szCs w:val="18"/>
              </w:rPr>
              <w:t>190,494</w:t>
            </w:r>
          </w:p>
        </w:tc>
        <w:tc>
          <w:tcPr>
            <w:tcW w:w="655" w:type="pct"/>
          </w:tcPr>
          <w:p w14:paraId="57837468" w14:textId="58A0F148" w:rsidR="004603BA" w:rsidRPr="00D47E77" w:rsidRDefault="004603BA" w:rsidP="00854022">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noProof/>
                <w:snapToGrid w:val="0"/>
                <w:color w:val="auto"/>
                <w:sz w:val="18"/>
                <w:szCs w:val="18"/>
              </w:rPr>
            </w:pPr>
            <w:r w:rsidRPr="00D47E77">
              <w:rPr>
                <w:rFonts w:ascii="Arial" w:hAnsi="Arial"/>
                <w:noProof/>
                <w:snapToGrid w:val="0"/>
                <w:color w:val="auto"/>
                <w:sz w:val="18"/>
                <w:szCs w:val="18"/>
              </w:rPr>
              <w:t>330</w:t>
            </w:r>
          </w:p>
        </w:tc>
        <w:tc>
          <w:tcPr>
            <w:tcW w:w="712" w:type="pct"/>
          </w:tcPr>
          <w:p w14:paraId="69158D66" w14:textId="31552C6D" w:rsidR="004603BA" w:rsidRPr="00D47E77" w:rsidRDefault="004603BA" w:rsidP="00854022">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noProof/>
                <w:snapToGrid w:val="0"/>
                <w:color w:val="auto"/>
                <w:sz w:val="18"/>
                <w:szCs w:val="18"/>
              </w:rPr>
            </w:pPr>
            <w:r w:rsidRPr="00D47E77">
              <w:rPr>
                <w:rFonts w:ascii="Arial" w:hAnsi="Arial"/>
                <w:noProof/>
                <w:snapToGrid w:val="0"/>
                <w:color w:val="auto"/>
                <w:sz w:val="18"/>
                <w:szCs w:val="18"/>
              </w:rPr>
              <w:t>277</w:t>
            </w:r>
          </w:p>
        </w:tc>
        <w:tc>
          <w:tcPr>
            <w:tcW w:w="660" w:type="pct"/>
          </w:tcPr>
          <w:p w14:paraId="7ADE772A" w14:textId="2B962033" w:rsidR="004603BA" w:rsidRPr="00D47E77" w:rsidRDefault="004603BA" w:rsidP="00854022">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noProof/>
                <w:snapToGrid w:val="0"/>
                <w:color w:val="auto"/>
                <w:sz w:val="18"/>
                <w:szCs w:val="18"/>
              </w:rPr>
            </w:pPr>
            <w:r w:rsidRPr="00D47E77">
              <w:rPr>
                <w:rFonts w:ascii="Arial" w:hAnsi="Arial"/>
                <w:noProof/>
                <w:snapToGrid w:val="0"/>
                <w:color w:val="auto"/>
                <w:sz w:val="18"/>
                <w:szCs w:val="18"/>
              </w:rPr>
              <w:t>22,451</w:t>
            </w:r>
          </w:p>
        </w:tc>
        <w:tc>
          <w:tcPr>
            <w:tcW w:w="675" w:type="pct"/>
          </w:tcPr>
          <w:p w14:paraId="438E82CA" w14:textId="395E0CC2" w:rsidR="004603BA" w:rsidRPr="00D47E77" w:rsidRDefault="004603BA" w:rsidP="00854022">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noProof/>
                <w:snapToGrid w:val="0"/>
                <w:color w:val="auto"/>
                <w:sz w:val="18"/>
                <w:szCs w:val="18"/>
              </w:rPr>
            </w:pPr>
            <w:r w:rsidRPr="00D47E77">
              <w:rPr>
                <w:rFonts w:ascii="Arial" w:hAnsi="Arial"/>
                <w:noProof/>
                <w:snapToGrid w:val="0"/>
                <w:color w:val="auto"/>
                <w:sz w:val="18"/>
                <w:szCs w:val="18"/>
              </w:rPr>
              <w:t>213,744</w:t>
            </w:r>
          </w:p>
        </w:tc>
      </w:tr>
      <w:tr w:rsidR="004603BA" w:rsidRPr="00854022" w14:paraId="0FC4AC6E" w14:textId="77777777" w:rsidTr="00200D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5" w:type="pct"/>
          </w:tcPr>
          <w:p w14:paraId="1E96B8A0" w14:textId="681C4C36" w:rsidR="004603BA" w:rsidRPr="00D47E77" w:rsidRDefault="004603BA" w:rsidP="00854022">
            <w:pPr>
              <w:pStyle w:val="PwCNormal"/>
              <w:numPr>
                <w:ilvl w:val="0"/>
                <w:numId w:val="0"/>
              </w:numPr>
              <w:spacing w:before="40" w:after="40"/>
              <w:jc w:val="center"/>
              <w:rPr>
                <w:rFonts w:ascii="Arial" w:hAnsi="Arial"/>
                <w:noProof/>
                <w:snapToGrid w:val="0"/>
                <w:color w:val="auto"/>
                <w:sz w:val="18"/>
                <w:szCs w:val="18"/>
              </w:rPr>
            </w:pPr>
            <w:r w:rsidRPr="00D47E77">
              <w:rPr>
                <w:rFonts w:ascii="Arial" w:hAnsi="Arial"/>
                <w:noProof/>
                <w:snapToGrid w:val="0"/>
                <w:color w:val="auto"/>
                <w:sz w:val="18"/>
                <w:szCs w:val="18"/>
              </w:rPr>
              <w:t>7 Non-IS Family</w:t>
            </w:r>
          </w:p>
        </w:tc>
        <w:tc>
          <w:tcPr>
            <w:tcW w:w="829" w:type="pct"/>
          </w:tcPr>
          <w:p w14:paraId="13847BC6" w14:textId="20A49660" w:rsidR="004603BA" w:rsidRPr="00D47E77" w:rsidRDefault="004603BA" w:rsidP="00854022">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noProof/>
                <w:snapToGrid w:val="0"/>
                <w:color w:val="auto"/>
                <w:sz w:val="18"/>
                <w:szCs w:val="18"/>
              </w:rPr>
            </w:pPr>
            <w:r w:rsidRPr="00D47E77">
              <w:rPr>
                <w:rFonts w:ascii="Arial" w:hAnsi="Arial"/>
                <w:noProof/>
                <w:snapToGrid w:val="0"/>
                <w:color w:val="auto"/>
                <w:sz w:val="18"/>
                <w:szCs w:val="18"/>
              </w:rPr>
              <w:t>1,546,824</w:t>
            </w:r>
          </w:p>
        </w:tc>
        <w:tc>
          <w:tcPr>
            <w:tcW w:w="644" w:type="pct"/>
          </w:tcPr>
          <w:p w14:paraId="173585C1" w14:textId="6529A3C9" w:rsidR="004603BA" w:rsidRPr="00D47E77" w:rsidRDefault="004603BA" w:rsidP="00854022">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noProof/>
                <w:snapToGrid w:val="0"/>
                <w:color w:val="auto"/>
                <w:sz w:val="18"/>
                <w:szCs w:val="18"/>
              </w:rPr>
            </w:pPr>
            <w:r w:rsidRPr="00D47E77">
              <w:rPr>
                <w:rFonts w:ascii="Arial" w:hAnsi="Arial"/>
                <w:noProof/>
                <w:snapToGrid w:val="0"/>
                <w:color w:val="auto"/>
                <w:sz w:val="18"/>
                <w:szCs w:val="18"/>
              </w:rPr>
              <w:t>143,932</w:t>
            </w:r>
          </w:p>
        </w:tc>
        <w:tc>
          <w:tcPr>
            <w:tcW w:w="655" w:type="pct"/>
          </w:tcPr>
          <w:p w14:paraId="7B58F65B" w14:textId="097D37BB" w:rsidR="004603BA" w:rsidRPr="00D47E77" w:rsidRDefault="004603BA" w:rsidP="00854022">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noProof/>
                <w:snapToGrid w:val="0"/>
                <w:color w:val="auto"/>
                <w:sz w:val="18"/>
                <w:szCs w:val="18"/>
              </w:rPr>
            </w:pPr>
            <w:r w:rsidRPr="00D47E77">
              <w:rPr>
                <w:rFonts w:ascii="Arial" w:hAnsi="Arial"/>
                <w:noProof/>
                <w:snapToGrid w:val="0"/>
                <w:color w:val="auto"/>
                <w:sz w:val="18"/>
                <w:szCs w:val="18"/>
              </w:rPr>
              <w:t>38,046</w:t>
            </w:r>
          </w:p>
        </w:tc>
        <w:tc>
          <w:tcPr>
            <w:tcW w:w="712" w:type="pct"/>
          </w:tcPr>
          <w:p w14:paraId="1EEFF892" w14:textId="23CFAF04" w:rsidR="004603BA" w:rsidRPr="00D47E77" w:rsidRDefault="004603BA" w:rsidP="00854022">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noProof/>
                <w:snapToGrid w:val="0"/>
                <w:color w:val="auto"/>
                <w:sz w:val="18"/>
                <w:szCs w:val="18"/>
              </w:rPr>
            </w:pPr>
            <w:r w:rsidRPr="00D47E77">
              <w:rPr>
                <w:rFonts w:ascii="Arial" w:hAnsi="Arial"/>
                <w:noProof/>
                <w:snapToGrid w:val="0"/>
                <w:color w:val="auto"/>
                <w:sz w:val="18"/>
                <w:szCs w:val="18"/>
              </w:rPr>
              <w:t>47,800</w:t>
            </w:r>
          </w:p>
        </w:tc>
        <w:tc>
          <w:tcPr>
            <w:tcW w:w="660" w:type="pct"/>
          </w:tcPr>
          <w:p w14:paraId="771FC816" w14:textId="7179FB20" w:rsidR="004603BA" w:rsidRPr="00D47E77" w:rsidRDefault="004603BA" w:rsidP="00854022">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noProof/>
                <w:snapToGrid w:val="0"/>
                <w:color w:val="auto"/>
                <w:sz w:val="18"/>
                <w:szCs w:val="18"/>
              </w:rPr>
            </w:pPr>
            <w:r w:rsidRPr="00D47E77">
              <w:rPr>
                <w:rFonts w:ascii="Arial" w:hAnsi="Arial"/>
                <w:noProof/>
                <w:snapToGrid w:val="0"/>
                <w:color w:val="auto"/>
                <w:sz w:val="18"/>
                <w:szCs w:val="18"/>
              </w:rPr>
              <w:t>19,195</w:t>
            </w:r>
          </w:p>
        </w:tc>
        <w:tc>
          <w:tcPr>
            <w:tcW w:w="675" w:type="pct"/>
          </w:tcPr>
          <w:p w14:paraId="194BE609" w14:textId="6FA3F02F" w:rsidR="004603BA" w:rsidRPr="00D47E77" w:rsidRDefault="004603BA" w:rsidP="00854022">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noProof/>
                <w:snapToGrid w:val="0"/>
                <w:color w:val="auto"/>
                <w:sz w:val="18"/>
                <w:szCs w:val="18"/>
              </w:rPr>
            </w:pPr>
            <w:r w:rsidRPr="00D47E77">
              <w:rPr>
                <w:rFonts w:ascii="Arial" w:hAnsi="Arial"/>
                <w:noProof/>
                <w:snapToGrid w:val="0"/>
                <w:color w:val="auto"/>
                <w:sz w:val="18"/>
                <w:szCs w:val="18"/>
              </w:rPr>
              <w:t>248,897</w:t>
            </w:r>
          </w:p>
        </w:tc>
      </w:tr>
      <w:tr w:rsidR="004603BA" w:rsidRPr="00854022" w14:paraId="79C539EC" w14:textId="77777777" w:rsidTr="00200DAF">
        <w:tc>
          <w:tcPr>
            <w:cnfStyle w:val="001000000000" w:firstRow="0" w:lastRow="0" w:firstColumn="1" w:lastColumn="0" w:oddVBand="0" w:evenVBand="0" w:oddHBand="0" w:evenHBand="0" w:firstRowFirstColumn="0" w:firstRowLastColumn="0" w:lastRowFirstColumn="0" w:lastRowLastColumn="0"/>
            <w:tcW w:w="825" w:type="pct"/>
          </w:tcPr>
          <w:p w14:paraId="0717C48B" w14:textId="7F423B20" w:rsidR="004603BA" w:rsidRPr="00D47E77" w:rsidRDefault="004603BA" w:rsidP="00854022">
            <w:pPr>
              <w:pStyle w:val="PwCNormal"/>
              <w:numPr>
                <w:ilvl w:val="0"/>
                <w:numId w:val="0"/>
              </w:numPr>
              <w:spacing w:before="40" w:after="40"/>
              <w:jc w:val="center"/>
              <w:rPr>
                <w:rFonts w:ascii="Arial" w:hAnsi="Arial"/>
                <w:noProof/>
                <w:snapToGrid w:val="0"/>
                <w:color w:val="auto"/>
                <w:sz w:val="18"/>
                <w:szCs w:val="18"/>
              </w:rPr>
            </w:pPr>
            <w:r w:rsidRPr="00D47E77">
              <w:rPr>
                <w:rFonts w:ascii="Arial" w:hAnsi="Arial"/>
                <w:noProof/>
                <w:snapToGrid w:val="0"/>
                <w:color w:val="auto"/>
                <w:sz w:val="18"/>
                <w:szCs w:val="18"/>
              </w:rPr>
              <w:t>8 Non-IS Carer</w:t>
            </w:r>
          </w:p>
        </w:tc>
        <w:tc>
          <w:tcPr>
            <w:tcW w:w="829" w:type="pct"/>
          </w:tcPr>
          <w:p w14:paraId="2D233E49" w14:textId="2AE324CD" w:rsidR="004603BA" w:rsidRPr="00D47E77" w:rsidRDefault="004603BA" w:rsidP="00854022">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noProof/>
                <w:snapToGrid w:val="0"/>
                <w:color w:val="auto"/>
                <w:sz w:val="18"/>
                <w:szCs w:val="18"/>
              </w:rPr>
            </w:pPr>
            <w:r w:rsidRPr="00D47E77">
              <w:rPr>
                <w:rFonts w:ascii="Arial" w:hAnsi="Arial"/>
                <w:noProof/>
                <w:snapToGrid w:val="0"/>
                <w:color w:val="auto"/>
                <w:sz w:val="18"/>
                <w:szCs w:val="18"/>
              </w:rPr>
              <w:t>219,193</w:t>
            </w:r>
          </w:p>
        </w:tc>
        <w:tc>
          <w:tcPr>
            <w:tcW w:w="644" w:type="pct"/>
          </w:tcPr>
          <w:p w14:paraId="35DBAE09" w14:textId="67078EC8" w:rsidR="004603BA" w:rsidRPr="00D47E77" w:rsidRDefault="004603BA" w:rsidP="00854022">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noProof/>
                <w:snapToGrid w:val="0"/>
                <w:color w:val="auto"/>
                <w:sz w:val="18"/>
                <w:szCs w:val="18"/>
              </w:rPr>
            </w:pPr>
            <w:r w:rsidRPr="00D47E77">
              <w:rPr>
                <w:rFonts w:ascii="Arial" w:hAnsi="Arial"/>
                <w:noProof/>
                <w:snapToGrid w:val="0"/>
                <w:color w:val="auto"/>
                <w:sz w:val="18"/>
                <w:szCs w:val="18"/>
              </w:rPr>
              <w:t>123,028</w:t>
            </w:r>
          </w:p>
        </w:tc>
        <w:tc>
          <w:tcPr>
            <w:tcW w:w="655" w:type="pct"/>
          </w:tcPr>
          <w:p w14:paraId="47B0692F" w14:textId="27FD8558" w:rsidR="004603BA" w:rsidRPr="00D47E77" w:rsidRDefault="004603BA" w:rsidP="00854022">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noProof/>
                <w:snapToGrid w:val="0"/>
                <w:color w:val="auto"/>
                <w:sz w:val="18"/>
                <w:szCs w:val="18"/>
              </w:rPr>
            </w:pPr>
            <w:r w:rsidRPr="00D47E77">
              <w:rPr>
                <w:rFonts w:ascii="Arial" w:hAnsi="Arial"/>
                <w:noProof/>
                <w:snapToGrid w:val="0"/>
                <w:color w:val="auto"/>
                <w:sz w:val="18"/>
                <w:szCs w:val="18"/>
              </w:rPr>
              <w:t>41,284</w:t>
            </w:r>
          </w:p>
        </w:tc>
        <w:tc>
          <w:tcPr>
            <w:tcW w:w="712" w:type="pct"/>
          </w:tcPr>
          <w:p w14:paraId="55C008B7" w14:textId="43F15005" w:rsidR="004603BA" w:rsidRPr="00D47E77" w:rsidRDefault="004603BA" w:rsidP="00854022">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noProof/>
                <w:snapToGrid w:val="0"/>
                <w:color w:val="auto"/>
                <w:sz w:val="18"/>
                <w:szCs w:val="18"/>
              </w:rPr>
            </w:pPr>
            <w:r w:rsidRPr="00D47E77">
              <w:rPr>
                <w:rFonts w:ascii="Arial" w:hAnsi="Arial"/>
                <w:noProof/>
                <w:snapToGrid w:val="0"/>
                <w:color w:val="auto"/>
                <w:sz w:val="18"/>
                <w:szCs w:val="18"/>
              </w:rPr>
              <w:t>18,649</w:t>
            </w:r>
          </w:p>
        </w:tc>
        <w:tc>
          <w:tcPr>
            <w:tcW w:w="660" w:type="pct"/>
          </w:tcPr>
          <w:p w14:paraId="431B29C0" w14:textId="1B979B7F" w:rsidR="004603BA" w:rsidRPr="00D47E77" w:rsidRDefault="004603BA" w:rsidP="00854022">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noProof/>
                <w:snapToGrid w:val="0"/>
                <w:color w:val="auto"/>
                <w:sz w:val="18"/>
                <w:szCs w:val="18"/>
              </w:rPr>
            </w:pPr>
            <w:r w:rsidRPr="00D47E77">
              <w:rPr>
                <w:rFonts w:ascii="Arial" w:hAnsi="Arial"/>
                <w:noProof/>
                <w:snapToGrid w:val="0"/>
                <w:color w:val="auto"/>
                <w:sz w:val="18"/>
                <w:szCs w:val="18"/>
              </w:rPr>
              <w:t>49,378</w:t>
            </w:r>
          </w:p>
        </w:tc>
        <w:tc>
          <w:tcPr>
            <w:tcW w:w="675" w:type="pct"/>
          </w:tcPr>
          <w:p w14:paraId="041D795B" w14:textId="22351C26" w:rsidR="004603BA" w:rsidRPr="00D47E77" w:rsidRDefault="004603BA" w:rsidP="00854022">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noProof/>
                <w:snapToGrid w:val="0"/>
                <w:color w:val="auto"/>
                <w:sz w:val="18"/>
                <w:szCs w:val="18"/>
              </w:rPr>
            </w:pPr>
            <w:r w:rsidRPr="00D47E77">
              <w:rPr>
                <w:rFonts w:ascii="Arial" w:hAnsi="Arial"/>
                <w:noProof/>
                <w:snapToGrid w:val="0"/>
                <w:color w:val="auto"/>
                <w:sz w:val="18"/>
                <w:szCs w:val="18"/>
              </w:rPr>
              <w:t>232,672</w:t>
            </w:r>
          </w:p>
        </w:tc>
      </w:tr>
      <w:tr w:rsidR="004603BA" w:rsidRPr="00854022" w14:paraId="51A8F8D5" w14:textId="77777777" w:rsidTr="00200D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5" w:type="pct"/>
          </w:tcPr>
          <w:p w14:paraId="1E4C16D6" w14:textId="6A859C71" w:rsidR="004603BA" w:rsidRPr="00D47E77" w:rsidRDefault="004603BA" w:rsidP="00854022">
            <w:pPr>
              <w:pStyle w:val="PwCNormal"/>
              <w:numPr>
                <w:ilvl w:val="0"/>
                <w:numId w:val="0"/>
              </w:numPr>
              <w:spacing w:before="40" w:after="40"/>
              <w:jc w:val="center"/>
              <w:rPr>
                <w:rFonts w:ascii="Arial" w:hAnsi="Arial"/>
                <w:noProof/>
                <w:snapToGrid w:val="0"/>
                <w:color w:val="auto"/>
                <w:sz w:val="18"/>
                <w:szCs w:val="18"/>
              </w:rPr>
            </w:pPr>
            <w:r w:rsidRPr="00D47E77">
              <w:rPr>
                <w:rFonts w:ascii="Arial" w:hAnsi="Arial"/>
                <w:noProof/>
                <w:snapToGrid w:val="0"/>
                <w:color w:val="auto"/>
                <w:sz w:val="18"/>
                <w:szCs w:val="18"/>
              </w:rPr>
              <w:t>9 Non-IS Other</w:t>
            </w:r>
          </w:p>
        </w:tc>
        <w:tc>
          <w:tcPr>
            <w:tcW w:w="829" w:type="pct"/>
          </w:tcPr>
          <w:p w14:paraId="32BF4480" w14:textId="22CF9590" w:rsidR="004603BA" w:rsidRPr="00D47E77" w:rsidRDefault="004603BA" w:rsidP="00854022">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noProof/>
                <w:snapToGrid w:val="0"/>
                <w:color w:val="auto"/>
                <w:sz w:val="18"/>
                <w:szCs w:val="18"/>
              </w:rPr>
            </w:pPr>
            <w:r w:rsidRPr="00D47E77">
              <w:rPr>
                <w:rFonts w:ascii="Arial" w:hAnsi="Arial"/>
                <w:noProof/>
                <w:snapToGrid w:val="0"/>
                <w:color w:val="auto"/>
                <w:sz w:val="18"/>
                <w:szCs w:val="18"/>
              </w:rPr>
              <w:t>649,362</w:t>
            </w:r>
          </w:p>
        </w:tc>
        <w:tc>
          <w:tcPr>
            <w:tcW w:w="644" w:type="pct"/>
          </w:tcPr>
          <w:p w14:paraId="6814CC35" w14:textId="10A9681E" w:rsidR="004603BA" w:rsidRPr="00D47E77" w:rsidRDefault="004603BA" w:rsidP="00854022">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noProof/>
                <w:snapToGrid w:val="0"/>
                <w:color w:val="auto"/>
                <w:sz w:val="18"/>
                <w:szCs w:val="18"/>
              </w:rPr>
            </w:pPr>
            <w:r w:rsidRPr="00D47E77">
              <w:rPr>
                <w:rFonts w:ascii="Arial" w:hAnsi="Arial"/>
                <w:noProof/>
                <w:snapToGrid w:val="0"/>
                <w:color w:val="auto"/>
                <w:sz w:val="18"/>
                <w:szCs w:val="18"/>
              </w:rPr>
              <w:t>85,911</w:t>
            </w:r>
          </w:p>
        </w:tc>
        <w:tc>
          <w:tcPr>
            <w:tcW w:w="655" w:type="pct"/>
          </w:tcPr>
          <w:p w14:paraId="00EAFD80" w14:textId="4E0C0038" w:rsidR="004603BA" w:rsidRPr="00D47E77" w:rsidRDefault="004603BA" w:rsidP="00854022">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noProof/>
                <w:snapToGrid w:val="0"/>
                <w:color w:val="auto"/>
                <w:sz w:val="18"/>
                <w:szCs w:val="18"/>
              </w:rPr>
            </w:pPr>
            <w:r w:rsidRPr="00D47E77">
              <w:rPr>
                <w:rFonts w:ascii="Arial" w:hAnsi="Arial"/>
                <w:noProof/>
                <w:snapToGrid w:val="0"/>
                <w:color w:val="auto"/>
                <w:sz w:val="18"/>
                <w:szCs w:val="18"/>
              </w:rPr>
              <w:t>29,235</w:t>
            </w:r>
          </w:p>
        </w:tc>
        <w:tc>
          <w:tcPr>
            <w:tcW w:w="712" w:type="pct"/>
          </w:tcPr>
          <w:p w14:paraId="520BCEB9" w14:textId="3D713C76" w:rsidR="004603BA" w:rsidRPr="00D47E77" w:rsidRDefault="004603BA" w:rsidP="00854022">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noProof/>
                <w:snapToGrid w:val="0"/>
                <w:color w:val="auto"/>
                <w:sz w:val="18"/>
                <w:szCs w:val="18"/>
              </w:rPr>
            </w:pPr>
            <w:r w:rsidRPr="00D47E77">
              <w:rPr>
                <w:rFonts w:ascii="Arial" w:hAnsi="Arial"/>
                <w:noProof/>
                <w:snapToGrid w:val="0"/>
                <w:color w:val="auto"/>
                <w:sz w:val="18"/>
                <w:szCs w:val="18"/>
              </w:rPr>
              <w:t>27,789</w:t>
            </w:r>
          </w:p>
        </w:tc>
        <w:tc>
          <w:tcPr>
            <w:tcW w:w="660" w:type="pct"/>
          </w:tcPr>
          <w:p w14:paraId="2A066407" w14:textId="3C2945B9" w:rsidR="004603BA" w:rsidRPr="00D47E77" w:rsidRDefault="004603BA" w:rsidP="00854022">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noProof/>
                <w:snapToGrid w:val="0"/>
                <w:color w:val="auto"/>
                <w:sz w:val="18"/>
                <w:szCs w:val="18"/>
              </w:rPr>
            </w:pPr>
            <w:r w:rsidRPr="00D47E77">
              <w:rPr>
                <w:rFonts w:ascii="Arial" w:hAnsi="Arial"/>
                <w:noProof/>
                <w:snapToGrid w:val="0"/>
                <w:color w:val="auto"/>
                <w:sz w:val="18"/>
                <w:szCs w:val="18"/>
              </w:rPr>
              <w:t>13,079</w:t>
            </w:r>
          </w:p>
        </w:tc>
        <w:tc>
          <w:tcPr>
            <w:tcW w:w="675" w:type="pct"/>
          </w:tcPr>
          <w:p w14:paraId="52383729" w14:textId="16648F4B" w:rsidR="004603BA" w:rsidRPr="00D47E77" w:rsidRDefault="004603BA" w:rsidP="00854022">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noProof/>
                <w:snapToGrid w:val="0"/>
                <w:color w:val="auto"/>
                <w:sz w:val="18"/>
                <w:szCs w:val="18"/>
              </w:rPr>
            </w:pPr>
            <w:r w:rsidRPr="00D47E77">
              <w:rPr>
                <w:rFonts w:ascii="Arial" w:hAnsi="Arial"/>
                <w:noProof/>
                <w:snapToGrid w:val="0"/>
                <w:color w:val="auto"/>
                <w:sz w:val="18"/>
                <w:szCs w:val="18"/>
              </w:rPr>
              <w:t>155,537</w:t>
            </w:r>
          </w:p>
        </w:tc>
      </w:tr>
      <w:tr w:rsidR="004603BA" w:rsidRPr="00854022" w14:paraId="1567FCA5" w14:textId="77777777" w:rsidTr="00200DAF">
        <w:tc>
          <w:tcPr>
            <w:cnfStyle w:val="001000000000" w:firstRow="0" w:lastRow="0" w:firstColumn="1" w:lastColumn="0" w:oddVBand="0" w:evenVBand="0" w:oddHBand="0" w:evenHBand="0" w:firstRowFirstColumn="0" w:firstRowLastColumn="0" w:lastRowFirstColumn="0" w:lastRowLastColumn="0"/>
            <w:tcW w:w="825" w:type="pct"/>
          </w:tcPr>
          <w:p w14:paraId="5A5EF485" w14:textId="2AD9F5DB" w:rsidR="004603BA" w:rsidRPr="00D47E77" w:rsidRDefault="004603BA" w:rsidP="00854022">
            <w:pPr>
              <w:pStyle w:val="PwCNormal"/>
              <w:numPr>
                <w:ilvl w:val="0"/>
                <w:numId w:val="0"/>
              </w:numPr>
              <w:spacing w:before="40" w:after="40"/>
              <w:jc w:val="center"/>
              <w:rPr>
                <w:rFonts w:ascii="Arial" w:hAnsi="Arial"/>
                <w:noProof/>
                <w:snapToGrid w:val="0"/>
                <w:color w:val="auto"/>
                <w:sz w:val="18"/>
                <w:szCs w:val="18"/>
              </w:rPr>
            </w:pPr>
            <w:r w:rsidRPr="00D47E77">
              <w:rPr>
                <w:rFonts w:ascii="Arial" w:hAnsi="Arial"/>
                <w:noProof/>
                <w:snapToGrid w:val="0"/>
                <w:color w:val="auto"/>
                <w:sz w:val="18"/>
                <w:szCs w:val="18"/>
              </w:rPr>
              <w:t>10 Previous welfare recipient</w:t>
            </w:r>
          </w:p>
        </w:tc>
        <w:tc>
          <w:tcPr>
            <w:tcW w:w="829" w:type="pct"/>
          </w:tcPr>
          <w:p w14:paraId="7D7BA7BC" w14:textId="06B9A296" w:rsidR="004603BA" w:rsidRPr="00D47E77" w:rsidRDefault="004603BA" w:rsidP="00854022">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noProof/>
                <w:snapToGrid w:val="0"/>
                <w:color w:val="auto"/>
                <w:sz w:val="18"/>
                <w:szCs w:val="18"/>
              </w:rPr>
            </w:pPr>
            <w:r w:rsidRPr="00D47E77">
              <w:rPr>
                <w:rFonts w:ascii="Arial" w:hAnsi="Arial"/>
                <w:noProof/>
                <w:snapToGrid w:val="0"/>
                <w:color w:val="auto"/>
                <w:sz w:val="18"/>
                <w:szCs w:val="18"/>
              </w:rPr>
              <w:t>5,106,718</w:t>
            </w:r>
          </w:p>
        </w:tc>
        <w:tc>
          <w:tcPr>
            <w:tcW w:w="644" w:type="pct"/>
          </w:tcPr>
          <w:p w14:paraId="07D776CD" w14:textId="1A9F07AC" w:rsidR="004603BA" w:rsidRPr="00D47E77" w:rsidRDefault="004603BA" w:rsidP="00854022">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noProof/>
                <w:snapToGrid w:val="0"/>
                <w:color w:val="auto"/>
                <w:sz w:val="18"/>
                <w:szCs w:val="18"/>
              </w:rPr>
            </w:pPr>
            <w:r w:rsidRPr="00D47E77">
              <w:rPr>
                <w:rFonts w:ascii="Arial" w:hAnsi="Arial"/>
                <w:noProof/>
                <w:snapToGrid w:val="0"/>
                <w:color w:val="auto"/>
                <w:sz w:val="18"/>
                <w:szCs w:val="18"/>
              </w:rPr>
              <w:t>132,932</w:t>
            </w:r>
          </w:p>
        </w:tc>
        <w:tc>
          <w:tcPr>
            <w:tcW w:w="655" w:type="pct"/>
          </w:tcPr>
          <w:p w14:paraId="6FF539D6" w14:textId="61F60748" w:rsidR="004603BA" w:rsidRPr="00D47E77" w:rsidRDefault="004603BA" w:rsidP="00854022">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noProof/>
                <w:snapToGrid w:val="0"/>
                <w:color w:val="auto"/>
                <w:sz w:val="18"/>
                <w:szCs w:val="18"/>
              </w:rPr>
            </w:pPr>
            <w:r w:rsidRPr="00D47E77">
              <w:rPr>
                <w:rFonts w:ascii="Arial" w:hAnsi="Arial"/>
                <w:noProof/>
                <w:snapToGrid w:val="0"/>
                <w:color w:val="auto"/>
                <w:sz w:val="18"/>
                <w:szCs w:val="18"/>
              </w:rPr>
              <w:t>24,155</w:t>
            </w:r>
          </w:p>
        </w:tc>
        <w:tc>
          <w:tcPr>
            <w:tcW w:w="712" w:type="pct"/>
          </w:tcPr>
          <w:p w14:paraId="2DB8BCC1" w14:textId="36823F08" w:rsidR="004603BA" w:rsidRPr="00D47E77" w:rsidRDefault="004603BA" w:rsidP="00854022">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noProof/>
                <w:snapToGrid w:val="0"/>
                <w:color w:val="auto"/>
                <w:sz w:val="18"/>
                <w:szCs w:val="18"/>
              </w:rPr>
            </w:pPr>
            <w:r w:rsidRPr="00D47E77">
              <w:rPr>
                <w:rFonts w:ascii="Arial" w:hAnsi="Arial"/>
                <w:noProof/>
                <w:snapToGrid w:val="0"/>
                <w:color w:val="auto"/>
                <w:sz w:val="18"/>
                <w:szCs w:val="18"/>
              </w:rPr>
              <w:t>10,602</w:t>
            </w:r>
          </w:p>
        </w:tc>
        <w:tc>
          <w:tcPr>
            <w:tcW w:w="660" w:type="pct"/>
          </w:tcPr>
          <w:p w14:paraId="232E1540" w14:textId="3DB8E2A2" w:rsidR="004603BA" w:rsidRPr="00D47E77" w:rsidRDefault="004603BA" w:rsidP="00854022">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noProof/>
                <w:snapToGrid w:val="0"/>
                <w:color w:val="auto"/>
                <w:sz w:val="18"/>
                <w:szCs w:val="18"/>
              </w:rPr>
            </w:pPr>
            <w:r w:rsidRPr="00D47E77">
              <w:rPr>
                <w:rFonts w:ascii="Arial" w:hAnsi="Arial"/>
                <w:noProof/>
                <w:snapToGrid w:val="0"/>
                <w:color w:val="auto"/>
                <w:sz w:val="18"/>
                <w:szCs w:val="18"/>
              </w:rPr>
              <w:t>14,764</w:t>
            </w:r>
          </w:p>
        </w:tc>
        <w:tc>
          <w:tcPr>
            <w:tcW w:w="675" w:type="pct"/>
          </w:tcPr>
          <w:p w14:paraId="39F2099F" w14:textId="78DB3AB0" w:rsidR="004603BA" w:rsidRPr="00D47E77" w:rsidRDefault="004603BA" w:rsidP="00854022">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noProof/>
                <w:snapToGrid w:val="0"/>
                <w:color w:val="auto"/>
                <w:sz w:val="18"/>
                <w:szCs w:val="18"/>
              </w:rPr>
            </w:pPr>
            <w:r w:rsidRPr="00D47E77">
              <w:rPr>
                <w:rFonts w:ascii="Arial" w:hAnsi="Arial"/>
                <w:noProof/>
                <w:snapToGrid w:val="0"/>
                <w:color w:val="auto"/>
                <w:sz w:val="18"/>
                <w:szCs w:val="18"/>
              </w:rPr>
              <w:t>182,505</w:t>
            </w:r>
          </w:p>
        </w:tc>
      </w:tr>
      <w:tr w:rsidR="004603BA" w:rsidRPr="00854022" w14:paraId="70891DBB" w14:textId="77777777" w:rsidTr="00200D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5" w:type="pct"/>
          </w:tcPr>
          <w:p w14:paraId="5153FE49" w14:textId="0D6769FA" w:rsidR="004603BA" w:rsidRPr="00D47E77" w:rsidRDefault="004603BA" w:rsidP="00854022">
            <w:pPr>
              <w:pStyle w:val="PwCNormal"/>
              <w:numPr>
                <w:ilvl w:val="0"/>
                <w:numId w:val="0"/>
              </w:numPr>
              <w:spacing w:before="40"/>
              <w:jc w:val="center"/>
              <w:rPr>
                <w:rFonts w:ascii="Arial" w:hAnsi="Arial"/>
                <w:noProof/>
                <w:snapToGrid w:val="0"/>
                <w:color w:val="auto"/>
                <w:sz w:val="18"/>
                <w:szCs w:val="18"/>
              </w:rPr>
            </w:pPr>
            <w:r w:rsidRPr="00D47E77">
              <w:rPr>
                <w:rFonts w:ascii="Arial" w:hAnsi="Arial"/>
                <w:sz w:val="18"/>
                <w:szCs w:val="18"/>
              </w:rPr>
              <w:t>12 Rest of Aust. population</w:t>
            </w:r>
          </w:p>
        </w:tc>
        <w:tc>
          <w:tcPr>
            <w:tcW w:w="829" w:type="pct"/>
          </w:tcPr>
          <w:p w14:paraId="7EB91E59" w14:textId="53594EFF" w:rsidR="004603BA" w:rsidRPr="00D47E77" w:rsidRDefault="004603BA" w:rsidP="00854022">
            <w:pPr>
              <w:pStyle w:val="PwCNormal"/>
              <w:numPr>
                <w:ilvl w:val="0"/>
                <w:numId w:val="0"/>
              </w:numPr>
              <w:spacing w:before="40"/>
              <w:jc w:val="center"/>
              <w:cnfStyle w:val="000000100000" w:firstRow="0" w:lastRow="0" w:firstColumn="0" w:lastColumn="0" w:oddVBand="0" w:evenVBand="0" w:oddHBand="1" w:evenHBand="0" w:firstRowFirstColumn="0" w:firstRowLastColumn="0" w:lastRowFirstColumn="0" w:lastRowLastColumn="0"/>
              <w:rPr>
                <w:rFonts w:ascii="Arial" w:hAnsi="Arial"/>
                <w:color w:val="auto"/>
                <w:sz w:val="18"/>
                <w:szCs w:val="18"/>
              </w:rPr>
            </w:pPr>
            <w:r w:rsidRPr="00D47E77">
              <w:rPr>
                <w:rFonts w:ascii="Arial" w:hAnsi="Arial"/>
                <w:sz w:val="18"/>
                <w:szCs w:val="18"/>
              </w:rPr>
              <w:t>12,491,173</w:t>
            </w:r>
          </w:p>
        </w:tc>
        <w:tc>
          <w:tcPr>
            <w:tcW w:w="644" w:type="pct"/>
          </w:tcPr>
          <w:p w14:paraId="1E4F2724" w14:textId="243868CD" w:rsidR="004603BA" w:rsidRPr="00D47E77" w:rsidRDefault="004603BA" w:rsidP="00854022">
            <w:pPr>
              <w:pStyle w:val="PwCNormal"/>
              <w:numPr>
                <w:ilvl w:val="0"/>
                <w:numId w:val="0"/>
              </w:numPr>
              <w:spacing w:before="40"/>
              <w:jc w:val="center"/>
              <w:cnfStyle w:val="000000100000" w:firstRow="0" w:lastRow="0" w:firstColumn="0" w:lastColumn="0" w:oddVBand="0" w:evenVBand="0" w:oddHBand="1" w:evenHBand="0" w:firstRowFirstColumn="0" w:firstRowLastColumn="0" w:lastRowFirstColumn="0" w:lastRowLastColumn="0"/>
              <w:rPr>
                <w:rFonts w:ascii="Arial" w:hAnsi="Arial"/>
                <w:noProof/>
                <w:snapToGrid w:val="0"/>
                <w:color w:val="auto"/>
                <w:sz w:val="18"/>
                <w:szCs w:val="18"/>
              </w:rPr>
            </w:pPr>
            <w:r w:rsidRPr="00D47E77">
              <w:rPr>
                <w:rFonts w:ascii="Arial" w:hAnsi="Arial"/>
                <w:sz w:val="18"/>
                <w:szCs w:val="18"/>
              </w:rPr>
              <w:t>104,941</w:t>
            </w:r>
          </w:p>
        </w:tc>
        <w:tc>
          <w:tcPr>
            <w:tcW w:w="655" w:type="pct"/>
          </w:tcPr>
          <w:p w14:paraId="5D9D43C7" w14:textId="231943FC" w:rsidR="004603BA" w:rsidRPr="00D47E77" w:rsidRDefault="004603BA" w:rsidP="00854022">
            <w:pPr>
              <w:pStyle w:val="PwCNormal"/>
              <w:numPr>
                <w:ilvl w:val="0"/>
                <w:numId w:val="0"/>
              </w:numPr>
              <w:spacing w:before="40"/>
              <w:jc w:val="center"/>
              <w:cnfStyle w:val="000000100000" w:firstRow="0" w:lastRow="0" w:firstColumn="0" w:lastColumn="0" w:oddVBand="0" w:evenVBand="0" w:oddHBand="1" w:evenHBand="0" w:firstRowFirstColumn="0" w:firstRowLastColumn="0" w:lastRowFirstColumn="0" w:lastRowLastColumn="0"/>
              <w:rPr>
                <w:rFonts w:ascii="Arial" w:hAnsi="Arial"/>
                <w:noProof/>
                <w:snapToGrid w:val="0"/>
                <w:color w:val="auto"/>
                <w:sz w:val="18"/>
                <w:szCs w:val="18"/>
              </w:rPr>
            </w:pPr>
            <w:r w:rsidRPr="00D47E77">
              <w:rPr>
                <w:rFonts w:ascii="Arial" w:hAnsi="Arial"/>
                <w:sz w:val="18"/>
                <w:szCs w:val="18"/>
              </w:rPr>
              <w:t>34,658</w:t>
            </w:r>
          </w:p>
        </w:tc>
        <w:tc>
          <w:tcPr>
            <w:tcW w:w="712" w:type="pct"/>
          </w:tcPr>
          <w:p w14:paraId="753E0FDE" w14:textId="1B51E747" w:rsidR="004603BA" w:rsidRPr="00D47E77" w:rsidRDefault="004603BA" w:rsidP="00854022">
            <w:pPr>
              <w:pStyle w:val="PwCNormal"/>
              <w:numPr>
                <w:ilvl w:val="0"/>
                <w:numId w:val="0"/>
              </w:numPr>
              <w:spacing w:before="40"/>
              <w:jc w:val="center"/>
              <w:cnfStyle w:val="000000100000" w:firstRow="0" w:lastRow="0" w:firstColumn="0" w:lastColumn="0" w:oddVBand="0" w:evenVBand="0" w:oddHBand="1" w:evenHBand="0" w:firstRowFirstColumn="0" w:firstRowLastColumn="0" w:lastRowFirstColumn="0" w:lastRowLastColumn="0"/>
              <w:rPr>
                <w:rFonts w:ascii="Arial" w:hAnsi="Arial"/>
                <w:noProof/>
                <w:snapToGrid w:val="0"/>
                <w:color w:val="auto"/>
                <w:sz w:val="18"/>
                <w:szCs w:val="18"/>
              </w:rPr>
            </w:pPr>
            <w:r w:rsidRPr="00D47E77">
              <w:rPr>
                <w:rFonts w:ascii="Arial" w:hAnsi="Arial"/>
                <w:sz w:val="18"/>
                <w:szCs w:val="18"/>
              </w:rPr>
              <w:t>22,833</w:t>
            </w:r>
          </w:p>
        </w:tc>
        <w:tc>
          <w:tcPr>
            <w:tcW w:w="660" w:type="pct"/>
          </w:tcPr>
          <w:p w14:paraId="68F3AB09" w14:textId="30224245" w:rsidR="004603BA" w:rsidRPr="00D47E77" w:rsidRDefault="004603BA" w:rsidP="00854022">
            <w:pPr>
              <w:pStyle w:val="PwCNormal"/>
              <w:numPr>
                <w:ilvl w:val="0"/>
                <w:numId w:val="0"/>
              </w:numPr>
              <w:spacing w:before="40"/>
              <w:jc w:val="center"/>
              <w:cnfStyle w:val="000000100000" w:firstRow="0" w:lastRow="0" w:firstColumn="0" w:lastColumn="0" w:oddVBand="0" w:evenVBand="0" w:oddHBand="1" w:evenHBand="0" w:firstRowFirstColumn="0" w:firstRowLastColumn="0" w:lastRowFirstColumn="0" w:lastRowLastColumn="0"/>
              <w:rPr>
                <w:rFonts w:ascii="Arial" w:hAnsi="Arial"/>
                <w:noProof/>
                <w:snapToGrid w:val="0"/>
                <w:color w:val="auto"/>
                <w:sz w:val="18"/>
                <w:szCs w:val="18"/>
              </w:rPr>
            </w:pPr>
            <w:r w:rsidRPr="00D47E77">
              <w:rPr>
                <w:rFonts w:ascii="Arial" w:hAnsi="Arial"/>
                <w:sz w:val="18"/>
                <w:szCs w:val="18"/>
              </w:rPr>
              <w:t>12,274</w:t>
            </w:r>
          </w:p>
        </w:tc>
        <w:tc>
          <w:tcPr>
            <w:tcW w:w="675" w:type="pct"/>
          </w:tcPr>
          <w:p w14:paraId="66F56DFB" w14:textId="2D5522BD" w:rsidR="004603BA" w:rsidRPr="00D47E77" w:rsidRDefault="004603BA" w:rsidP="00854022">
            <w:pPr>
              <w:pStyle w:val="PwCNormal"/>
              <w:numPr>
                <w:ilvl w:val="0"/>
                <w:numId w:val="0"/>
              </w:numPr>
              <w:spacing w:before="40"/>
              <w:jc w:val="center"/>
              <w:cnfStyle w:val="000000100000" w:firstRow="0" w:lastRow="0" w:firstColumn="0" w:lastColumn="0" w:oddVBand="0" w:evenVBand="0" w:oddHBand="1" w:evenHBand="0" w:firstRowFirstColumn="0" w:firstRowLastColumn="0" w:lastRowFirstColumn="0" w:lastRowLastColumn="0"/>
              <w:rPr>
                <w:rFonts w:ascii="Arial" w:hAnsi="Arial"/>
                <w:noProof/>
                <w:snapToGrid w:val="0"/>
                <w:color w:val="auto"/>
                <w:sz w:val="18"/>
                <w:szCs w:val="18"/>
              </w:rPr>
            </w:pPr>
            <w:r w:rsidRPr="00D47E77">
              <w:rPr>
                <w:rFonts w:ascii="Arial" w:hAnsi="Arial"/>
                <w:sz w:val="18"/>
                <w:szCs w:val="18"/>
              </w:rPr>
              <w:t>174,683</w:t>
            </w:r>
          </w:p>
        </w:tc>
      </w:tr>
      <w:tr w:rsidR="004603BA" w:rsidRPr="00854022" w14:paraId="3901A1A0" w14:textId="3538E9D0" w:rsidTr="00200DAF">
        <w:tc>
          <w:tcPr>
            <w:cnfStyle w:val="001000000000" w:firstRow="0" w:lastRow="0" w:firstColumn="1" w:lastColumn="0" w:oddVBand="0" w:evenVBand="0" w:oddHBand="0" w:evenHBand="0" w:firstRowFirstColumn="0" w:firstRowLastColumn="0" w:lastRowFirstColumn="0" w:lastRowLastColumn="0"/>
            <w:tcW w:w="825" w:type="pct"/>
          </w:tcPr>
          <w:p w14:paraId="5746902F" w14:textId="3622860D" w:rsidR="004603BA" w:rsidRPr="002C6157" w:rsidRDefault="004603BA" w:rsidP="00854022">
            <w:pPr>
              <w:pStyle w:val="PwCNormal"/>
              <w:numPr>
                <w:ilvl w:val="0"/>
                <w:numId w:val="0"/>
              </w:numPr>
              <w:spacing w:before="40"/>
              <w:jc w:val="center"/>
              <w:rPr>
                <w:rFonts w:ascii="Arial" w:hAnsi="Arial"/>
                <w:noProof/>
                <w:snapToGrid w:val="0"/>
                <w:color w:val="auto"/>
                <w:sz w:val="18"/>
                <w:szCs w:val="18"/>
              </w:rPr>
            </w:pPr>
            <w:r w:rsidRPr="002C6157">
              <w:rPr>
                <w:rFonts w:ascii="Arial" w:hAnsi="Arial"/>
                <w:sz w:val="18"/>
                <w:szCs w:val="18"/>
              </w:rPr>
              <w:t>Total</w:t>
            </w:r>
          </w:p>
        </w:tc>
        <w:tc>
          <w:tcPr>
            <w:tcW w:w="829" w:type="pct"/>
          </w:tcPr>
          <w:p w14:paraId="67825646" w14:textId="657D6EF2" w:rsidR="004603BA" w:rsidRPr="00D47E77" w:rsidRDefault="004603BA" w:rsidP="00854022">
            <w:pPr>
              <w:pStyle w:val="PwCNormal"/>
              <w:numPr>
                <w:ilvl w:val="0"/>
                <w:numId w:val="0"/>
              </w:numPr>
              <w:spacing w:before="40"/>
              <w:jc w:val="center"/>
              <w:cnfStyle w:val="000000000000" w:firstRow="0" w:lastRow="0" w:firstColumn="0" w:lastColumn="0" w:oddVBand="0" w:evenVBand="0" w:oddHBand="0" w:evenHBand="0" w:firstRowFirstColumn="0" w:firstRowLastColumn="0" w:lastRowFirstColumn="0" w:lastRowLastColumn="0"/>
              <w:rPr>
                <w:b/>
                <w:sz w:val="18"/>
                <w:szCs w:val="18"/>
              </w:rPr>
            </w:pPr>
            <w:r w:rsidRPr="00D47E77">
              <w:rPr>
                <w:rFonts w:ascii="Arial" w:hAnsi="Arial"/>
                <w:b/>
                <w:sz w:val="18"/>
                <w:szCs w:val="18"/>
              </w:rPr>
              <w:t>25,481,937</w:t>
            </w:r>
          </w:p>
        </w:tc>
        <w:tc>
          <w:tcPr>
            <w:tcW w:w="644" w:type="pct"/>
          </w:tcPr>
          <w:p w14:paraId="636EAFB8" w14:textId="18162C08" w:rsidR="004603BA" w:rsidRPr="00D47E77" w:rsidRDefault="004603BA" w:rsidP="00854022">
            <w:pPr>
              <w:pStyle w:val="PwCNormal"/>
              <w:numPr>
                <w:ilvl w:val="0"/>
                <w:numId w:val="0"/>
              </w:numPr>
              <w:spacing w:before="40"/>
              <w:jc w:val="center"/>
              <w:cnfStyle w:val="000000000000" w:firstRow="0" w:lastRow="0" w:firstColumn="0" w:lastColumn="0" w:oddVBand="0" w:evenVBand="0" w:oddHBand="0" w:evenHBand="0" w:firstRowFirstColumn="0" w:firstRowLastColumn="0" w:lastRowFirstColumn="0" w:lastRowLastColumn="0"/>
              <w:rPr>
                <w:rFonts w:ascii="Arial" w:hAnsi="Arial"/>
                <w:b/>
                <w:sz w:val="18"/>
                <w:szCs w:val="18"/>
              </w:rPr>
            </w:pPr>
            <w:r w:rsidRPr="00D47E77">
              <w:rPr>
                <w:rFonts w:ascii="Arial" w:hAnsi="Arial"/>
                <w:b/>
                <w:sz w:val="18"/>
                <w:szCs w:val="18"/>
              </w:rPr>
              <w:t>125,661</w:t>
            </w:r>
          </w:p>
        </w:tc>
        <w:tc>
          <w:tcPr>
            <w:tcW w:w="655" w:type="pct"/>
          </w:tcPr>
          <w:p w14:paraId="285819E9" w14:textId="25A3FAE3" w:rsidR="004603BA" w:rsidRPr="00D47E77" w:rsidRDefault="004603BA" w:rsidP="00854022">
            <w:pPr>
              <w:pStyle w:val="PwCNormal"/>
              <w:numPr>
                <w:ilvl w:val="0"/>
                <w:numId w:val="0"/>
              </w:numPr>
              <w:spacing w:before="40"/>
              <w:jc w:val="center"/>
              <w:cnfStyle w:val="000000000000" w:firstRow="0" w:lastRow="0" w:firstColumn="0" w:lastColumn="0" w:oddVBand="0" w:evenVBand="0" w:oddHBand="0" w:evenHBand="0" w:firstRowFirstColumn="0" w:firstRowLastColumn="0" w:lastRowFirstColumn="0" w:lastRowLastColumn="0"/>
              <w:rPr>
                <w:rFonts w:ascii="Arial" w:hAnsi="Arial"/>
                <w:b/>
                <w:sz w:val="18"/>
                <w:szCs w:val="18"/>
              </w:rPr>
            </w:pPr>
            <w:r w:rsidRPr="00D47E77">
              <w:rPr>
                <w:rFonts w:ascii="Arial" w:hAnsi="Arial"/>
                <w:b/>
                <w:sz w:val="18"/>
                <w:szCs w:val="18"/>
              </w:rPr>
              <w:t>49,923</w:t>
            </w:r>
          </w:p>
        </w:tc>
        <w:tc>
          <w:tcPr>
            <w:tcW w:w="712" w:type="pct"/>
          </w:tcPr>
          <w:p w14:paraId="56E6C0FB" w14:textId="1EDC90FC" w:rsidR="004603BA" w:rsidRPr="00D47E77" w:rsidRDefault="004603BA" w:rsidP="00854022">
            <w:pPr>
              <w:pStyle w:val="PwCNormal"/>
              <w:numPr>
                <w:ilvl w:val="0"/>
                <w:numId w:val="0"/>
              </w:numPr>
              <w:spacing w:before="40"/>
              <w:jc w:val="center"/>
              <w:cnfStyle w:val="000000000000" w:firstRow="0" w:lastRow="0" w:firstColumn="0" w:lastColumn="0" w:oddVBand="0" w:evenVBand="0" w:oddHBand="0" w:evenHBand="0" w:firstRowFirstColumn="0" w:firstRowLastColumn="0" w:lastRowFirstColumn="0" w:lastRowLastColumn="0"/>
              <w:rPr>
                <w:rFonts w:ascii="Arial" w:hAnsi="Arial"/>
                <w:b/>
                <w:sz w:val="18"/>
                <w:szCs w:val="18"/>
              </w:rPr>
            </w:pPr>
            <w:r w:rsidRPr="00D47E77">
              <w:rPr>
                <w:rFonts w:ascii="Arial" w:hAnsi="Arial"/>
                <w:b/>
                <w:sz w:val="18"/>
                <w:szCs w:val="18"/>
              </w:rPr>
              <w:t>21,878</w:t>
            </w:r>
          </w:p>
        </w:tc>
        <w:tc>
          <w:tcPr>
            <w:tcW w:w="660" w:type="pct"/>
          </w:tcPr>
          <w:p w14:paraId="6D864601" w14:textId="0EB2E812" w:rsidR="004603BA" w:rsidRPr="00D47E77" w:rsidRDefault="004603BA" w:rsidP="00854022">
            <w:pPr>
              <w:pStyle w:val="PwCNormal"/>
              <w:numPr>
                <w:ilvl w:val="0"/>
                <w:numId w:val="0"/>
              </w:numPr>
              <w:spacing w:before="40"/>
              <w:jc w:val="center"/>
              <w:cnfStyle w:val="000000000000" w:firstRow="0" w:lastRow="0" w:firstColumn="0" w:lastColumn="0" w:oddVBand="0" w:evenVBand="0" w:oddHBand="0" w:evenHBand="0" w:firstRowFirstColumn="0" w:firstRowLastColumn="0" w:lastRowFirstColumn="0" w:lastRowLastColumn="0"/>
              <w:rPr>
                <w:rFonts w:ascii="Arial" w:hAnsi="Arial"/>
                <w:b/>
                <w:sz w:val="18"/>
                <w:szCs w:val="18"/>
              </w:rPr>
            </w:pPr>
            <w:r w:rsidRPr="00D47E77">
              <w:rPr>
                <w:rFonts w:ascii="Arial" w:hAnsi="Arial"/>
                <w:b/>
                <w:sz w:val="18"/>
                <w:szCs w:val="18"/>
              </w:rPr>
              <w:t>18,599</w:t>
            </w:r>
          </w:p>
        </w:tc>
        <w:tc>
          <w:tcPr>
            <w:tcW w:w="675" w:type="pct"/>
          </w:tcPr>
          <w:p w14:paraId="533898FC" w14:textId="007DA9D3" w:rsidR="004603BA" w:rsidRPr="00D47E77" w:rsidRDefault="004603BA" w:rsidP="00854022">
            <w:pPr>
              <w:pStyle w:val="PwCNormal"/>
              <w:numPr>
                <w:ilvl w:val="0"/>
                <w:numId w:val="0"/>
              </w:numPr>
              <w:spacing w:before="40"/>
              <w:jc w:val="center"/>
              <w:cnfStyle w:val="000000000000" w:firstRow="0" w:lastRow="0" w:firstColumn="0" w:lastColumn="0" w:oddVBand="0" w:evenVBand="0" w:oddHBand="0" w:evenHBand="0" w:firstRowFirstColumn="0" w:firstRowLastColumn="0" w:lastRowFirstColumn="0" w:lastRowLastColumn="0"/>
              <w:rPr>
                <w:rFonts w:ascii="Arial" w:hAnsi="Arial"/>
                <w:b/>
                <w:sz w:val="18"/>
                <w:szCs w:val="18"/>
              </w:rPr>
            </w:pPr>
            <w:r w:rsidRPr="00D47E77">
              <w:rPr>
                <w:rFonts w:ascii="Arial" w:hAnsi="Arial"/>
                <w:b/>
                <w:sz w:val="18"/>
                <w:szCs w:val="18"/>
              </w:rPr>
              <w:t>216,075</w:t>
            </w:r>
          </w:p>
        </w:tc>
      </w:tr>
    </w:tbl>
    <w:p w14:paraId="1A2D2BB0" w14:textId="77777777" w:rsidR="004069C4" w:rsidRPr="004069C4" w:rsidRDefault="004069C4" w:rsidP="004069C4">
      <w:pPr>
        <w:pStyle w:val="OutlineNumbered1"/>
        <w:numPr>
          <w:ilvl w:val="0"/>
          <w:numId w:val="0"/>
        </w:numPr>
        <w:ind w:left="709" w:hanging="709"/>
        <w:rPr>
          <w:rFonts w:cs="Arial"/>
          <w:color w:val="auto"/>
        </w:rPr>
      </w:pPr>
    </w:p>
    <w:p w14:paraId="73D6D9B3" w14:textId="3C155A12" w:rsidR="00BD5A7A" w:rsidRDefault="00D060CC" w:rsidP="00BF1A16">
      <w:pPr>
        <w:pStyle w:val="OutlineNumbered1"/>
        <w:rPr>
          <w:rFonts w:cs="Arial"/>
          <w:color w:val="auto"/>
        </w:rPr>
      </w:pPr>
      <w:r>
        <w:lastRenderedPageBreak/>
        <w:t>It is important to note that t</w:t>
      </w:r>
      <w:r w:rsidR="00BD5A7A" w:rsidRPr="0056173A">
        <w:t xml:space="preserve">he average age of each </w:t>
      </w:r>
      <w:r w:rsidR="00BD5A7A">
        <w:t>class</w:t>
      </w:r>
      <w:r w:rsidR="00BD5A7A" w:rsidRPr="0056173A">
        <w:t xml:space="preserve"> will have an impact on the</w:t>
      </w:r>
      <w:r w:rsidR="00BD5A7A">
        <w:t xml:space="preserve"> size and composition of the</w:t>
      </w:r>
      <w:r>
        <w:t xml:space="preserve"> associated Li</w:t>
      </w:r>
      <w:r w:rsidR="00BD5A7A" w:rsidRPr="0056173A">
        <w:t>fetime cost. For example, Class 6 has the oldest average age</w:t>
      </w:r>
      <w:r w:rsidR="00B8168E">
        <w:t>;</w:t>
      </w:r>
      <w:r w:rsidR="00BD5A7A" w:rsidRPr="0056173A">
        <w:t xml:space="preserve"> hence</w:t>
      </w:r>
      <w:r w:rsidR="00B8168E">
        <w:t>,</w:t>
      </w:r>
      <w:r w:rsidR="00BD5A7A" w:rsidRPr="0056173A">
        <w:t xml:space="preserve"> </w:t>
      </w:r>
      <w:r w:rsidR="00BD5A7A">
        <w:t xml:space="preserve">its average lifetime cost is the lowest of the income support classes. Furthermore, people in Class 6 will receive very little other income support or </w:t>
      </w:r>
      <w:r w:rsidR="00B70689">
        <w:rPr>
          <w:rFonts w:cs="Arial"/>
          <w:color w:val="auto"/>
        </w:rPr>
        <w:t xml:space="preserve">families </w:t>
      </w:r>
      <w:r w:rsidR="00DE74A5">
        <w:t>payments.</w:t>
      </w:r>
    </w:p>
    <w:p w14:paraId="71C6BC68" w14:textId="2F07B823" w:rsidR="0032212F" w:rsidRPr="00F671FE" w:rsidRDefault="0032212F" w:rsidP="00BF1A16">
      <w:pPr>
        <w:pStyle w:val="OutlineNumbered1"/>
        <w:rPr>
          <w:rFonts w:cs="Arial"/>
          <w:color w:val="auto"/>
        </w:rPr>
      </w:pPr>
      <w:r w:rsidRPr="00F671FE">
        <w:rPr>
          <w:rFonts w:cs="Arial"/>
          <w:color w:val="auto"/>
        </w:rPr>
        <w:t xml:space="preserve">The major </w:t>
      </w:r>
      <w:r w:rsidR="00B514DA">
        <w:rPr>
          <w:rFonts w:cs="Arial"/>
          <w:color w:val="auto"/>
        </w:rPr>
        <w:t>features of</w:t>
      </w:r>
      <w:r w:rsidRPr="00F671FE">
        <w:rPr>
          <w:rFonts w:cs="Arial"/>
          <w:color w:val="auto"/>
        </w:rPr>
        <w:t xml:space="preserve"> the total </w:t>
      </w:r>
      <w:r w:rsidR="002A2F33">
        <w:rPr>
          <w:rFonts w:cs="Arial"/>
          <w:color w:val="auto"/>
        </w:rPr>
        <w:t>Lifetime Cost</w:t>
      </w:r>
      <w:r w:rsidRPr="00F671FE">
        <w:rPr>
          <w:rFonts w:cs="Arial"/>
          <w:color w:val="auto"/>
        </w:rPr>
        <w:t xml:space="preserve">, </w:t>
      </w:r>
      <w:r w:rsidR="00F671FE">
        <w:rPr>
          <w:rFonts w:cs="Arial"/>
          <w:color w:val="auto"/>
        </w:rPr>
        <w:t xml:space="preserve">as </w:t>
      </w:r>
      <w:r w:rsidRPr="00F671FE">
        <w:rPr>
          <w:rFonts w:cs="Arial"/>
          <w:color w:val="auto"/>
        </w:rPr>
        <w:t>allocate</w:t>
      </w:r>
      <w:r w:rsidR="00354D42" w:rsidRPr="00F671FE">
        <w:rPr>
          <w:rFonts w:cs="Arial"/>
          <w:color w:val="auto"/>
        </w:rPr>
        <w:t>d</w:t>
      </w:r>
      <w:r w:rsidRPr="00F671FE">
        <w:rPr>
          <w:rFonts w:cs="Arial"/>
          <w:color w:val="auto"/>
        </w:rPr>
        <w:t xml:space="preserve"> </w:t>
      </w:r>
      <w:r w:rsidR="00F671FE">
        <w:rPr>
          <w:rFonts w:cs="Arial"/>
          <w:color w:val="auto"/>
        </w:rPr>
        <w:t>according to the currently modelled</w:t>
      </w:r>
      <w:r w:rsidRPr="00F671FE">
        <w:rPr>
          <w:rFonts w:cs="Arial"/>
          <w:color w:val="auto"/>
        </w:rPr>
        <w:t xml:space="preserve"> welfare </w:t>
      </w:r>
      <w:r w:rsidRPr="00D711FE">
        <w:rPr>
          <w:rFonts w:cs="Arial"/>
          <w:color w:val="auto"/>
        </w:rPr>
        <w:t>class</w:t>
      </w:r>
      <w:r w:rsidR="00D711FE">
        <w:rPr>
          <w:rFonts w:cs="Arial"/>
          <w:color w:val="auto"/>
        </w:rPr>
        <w:t>es</w:t>
      </w:r>
      <w:r w:rsidRPr="00F671FE">
        <w:rPr>
          <w:rFonts w:cs="Arial"/>
          <w:color w:val="auto"/>
        </w:rPr>
        <w:t>, are</w:t>
      </w:r>
      <w:r w:rsidR="00B514DA">
        <w:rPr>
          <w:rFonts w:cs="Arial"/>
          <w:color w:val="auto"/>
        </w:rPr>
        <w:t xml:space="preserve"> as follows</w:t>
      </w:r>
      <w:r w:rsidRPr="00F671FE">
        <w:rPr>
          <w:rFonts w:cs="Arial"/>
          <w:color w:val="auto"/>
        </w:rPr>
        <w:t>:</w:t>
      </w:r>
    </w:p>
    <w:p w14:paraId="6B3CDCFB" w14:textId="432853A5" w:rsidR="00F935BD" w:rsidRPr="0056173A" w:rsidRDefault="00354D42" w:rsidP="00BF1A16">
      <w:pPr>
        <w:pStyle w:val="Bullet1"/>
      </w:pPr>
      <w:r w:rsidRPr="0056173A">
        <w:t xml:space="preserve">The </w:t>
      </w:r>
      <w:r w:rsidR="001F0FCC" w:rsidRPr="0056173A">
        <w:t>Age Pension</w:t>
      </w:r>
      <w:r w:rsidRPr="0056173A">
        <w:t xml:space="preserve"> dominates</w:t>
      </w:r>
      <w:r w:rsidR="00F73CF8" w:rsidRPr="0056173A">
        <w:t xml:space="preserve"> the total Lifetime Cost</w:t>
      </w:r>
      <w:r w:rsidRPr="0056173A">
        <w:t xml:space="preserve">, </w:t>
      </w:r>
      <w:r w:rsidR="00F73CF8" w:rsidRPr="0056173A">
        <w:t xml:space="preserve">with </w:t>
      </w:r>
      <w:r w:rsidR="00B514DA">
        <w:t xml:space="preserve">its </w:t>
      </w:r>
      <w:r w:rsidR="009F5656">
        <w:t xml:space="preserve">contribution to </w:t>
      </w:r>
      <w:r w:rsidR="00B514DA">
        <w:t xml:space="preserve">the total </w:t>
      </w:r>
      <w:r w:rsidR="00B514DA" w:rsidRPr="0056173A">
        <w:t xml:space="preserve">Lifetime Cost </w:t>
      </w:r>
      <w:r w:rsidR="00B514DA">
        <w:t xml:space="preserve">equal to 58%. </w:t>
      </w:r>
      <w:r w:rsidR="009F5656">
        <w:t>Of that contribution, 15% a</w:t>
      </w:r>
      <w:r w:rsidR="00B514DA">
        <w:t>rises</w:t>
      </w:r>
      <w:r w:rsidR="00F73CF8" w:rsidRPr="0056173A">
        <w:t xml:space="preserve"> from </w:t>
      </w:r>
      <w:r w:rsidR="00B514DA">
        <w:t xml:space="preserve">those </w:t>
      </w:r>
      <w:r w:rsidR="009F5656">
        <w:t>currently receiving the Age Pension, 23% from those</w:t>
      </w:r>
      <w:r w:rsidR="00F73CF8" w:rsidRPr="0056173A">
        <w:t xml:space="preserve"> who are </w:t>
      </w:r>
      <w:r w:rsidR="00230876">
        <w:t>in the welfare system but</w:t>
      </w:r>
      <w:r w:rsidR="00F73CF8" w:rsidRPr="0056173A">
        <w:t xml:space="preserve"> are not currently in Class 6</w:t>
      </w:r>
      <w:r w:rsidR="009F5656">
        <w:t xml:space="preserve">, and 62% from those not currently in the </w:t>
      </w:r>
      <w:r w:rsidR="00B8168E">
        <w:t>w</w:t>
      </w:r>
      <w:r w:rsidR="009F5656">
        <w:t>elfare system</w:t>
      </w:r>
      <w:r w:rsidR="00F73CF8" w:rsidRPr="0056173A">
        <w:t xml:space="preserve">. </w:t>
      </w:r>
      <w:r w:rsidR="009F5656">
        <w:t xml:space="preserve">This means 85% of future Age Pension costs (corresponding to 49% </w:t>
      </w:r>
      <w:r w:rsidR="00D77482">
        <w:t>of the total Lifetime Cost), arises from the p</w:t>
      </w:r>
      <w:r w:rsidR="00F73CF8" w:rsidRPr="0056173A">
        <w:t xml:space="preserve">rojected </w:t>
      </w:r>
      <w:r w:rsidR="00D77482">
        <w:t xml:space="preserve">future utilisation of the Age Pension, from those not currently in </w:t>
      </w:r>
      <w:r w:rsidR="00185E7B">
        <w:t>C</w:t>
      </w:r>
      <w:r w:rsidR="00D77482">
        <w:t>lass</w:t>
      </w:r>
      <w:r w:rsidR="008224C9">
        <w:t> </w:t>
      </w:r>
      <w:r w:rsidR="00D77482">
        <w:t>6.</w:t>
      </w:r>
      <w:r w:rsidR="00F73CF8" w:rsidRPr="0056173A">
        <w:t xml:space="preserve"> </w:t>
      </w:r>
    </w:p>
    <w:p w14:paraId="7AFC4C4E" w14:textId="4B7D732B" w:rsidR="00026517" w:rsidRDefault="00026517" w:rsidP="00BF1A16">
      <w:pPr>
        <w:pStyle w:val="Bullet1"/>
      </w:pPr>
      <w:r w:rsidRPr="0056173A">
        <w:t xml:space="preserve">The </w:t>
      </w:r>
      <w:r w:rsidR="0056173A">
        <w:t xml:space="preserve">next largest </w:t>
      </w:r>
      <w:r w:rsidR="001F5AB3">
        <w:t>contributor</w:t>
      </w:r>
      <w:r w:rsidR="00230876" w:rsidRPr="0056173A">
        <w:t xml:space="preserve"> </w:t>
      </w:r>
      <w:r w:rsidR="00230876">
        <w:t xml:space="preserve">to the total Lifetime Cost are the </w:t>
      </w:r>
      <w:r w:rsidRPr="0056173A">
        <w:t xml:space="preserve">other income support </w:t>
      </w:r>
      <w:r w:rsidR="00230876">
        <w:t>payment categories which make up 23% of the total Lifetime Cost</w:t>
      </w:r>
      <w:r w:rsidR="0056173A">
        <w:t xml:space="preserve">. </w:t>
      </w:r>
      <w:r w:rsidR="001F5AB3">
        <w:t xml:space="preserve">Disability payments are the major component of this group, </w:t>
      </w:r>
      <w:r w:rsidR="00230876">
        <w:t>with 750,</w:t>
      </w:r>
      <w:r w:rsidR="0094588A">
        <w:t>958</w:t>
      </w:r>
      <w:r w:rsidR="00230876">
        <w:t xml:space="preserve"> people currently in </w:t>
      </w:r>
      <w:r w:rsidR="00185E7B">
        <w:t>C</w:t>
      </w:r>
      <w:r w:rsidR="00230876">
        <w:t>lass 5</w:t>
      </w:r>
      <w:r w:rsidR="004740E3">
        <w:t xml:space="preserve"> and a high average Lifetime Cost of </w:t>
      </w:r>
      <w:r w:rsidR="00DB15CD">
        <w:t>$</w:t>
      </w:r>
      <w:r w:rsidR="00F61C52">
        <w:t>514,</w:t>
      </w:r>
      <w:r w:rsidR="0094588A">
        <w:t>01</w:t>
      </w:r>
      <w:r w:rsidR="00F61C52">
        <w:t>0</w:t>
      </w:r>
      <w:r w:rsidR="00DB15CD">
        <w:t xml:space="preserve"> per person currently in that class</w:t>
      </w:r>
      <w:r w:rsidR="001F5AB3">
        <w:t xml:space="preserve">. </w:t>
      </w:r>
    </w:p>
    <w:p w14:paraId="07349022" w14:textId="7CF41E31" w:rsidR="001F5AB3" w:rsidRPr="0056173A" w:rsidRDefault="00DB15CD" w:rsidP="00BF1A16">
      <w:pPr>
        <w:pStyle w:val="Bullet1"/>
      </w:pPr>
      <w:r w:rsidRPr="0094588A">
        <w:t>Slightly more than half (54%) of the total n</w:t>
      </w:r>
      <w:r w:rsidR="00D16F9F" w:rsidRPr="0094588A">
        <w:t xml:space="preserve">on-income support </w:t>
      </w:r>
      <w:r w:rsidRPr="0094588A">
        <w:t>L</w:t>
      </w:r>
      <w:r w:rsidR="00D16F9F" w:rsidRPr="0094588A">
        <w:t xml:space="preserve">ifetime </w:t>
      </w:r>
      <w:r w:rsidRPr="0094588A">
        <w:t>C</w:t>
      </w:r>
      <w:r w:rsidR="00D16F9F" w:rsidRPr="0094588A">
        <w:t>ost</w:t>
      </w:r>
      <w:r w:rsidRPr="0094588A">
        <w:t xml:space="preserve"> arises from </w:t>
      </w:r>
      <w:r w:rsidR="00B70689" w:rsidRPr="002B1B4A">
        <w:t xml:space="preserve">families </w:t>
      </w:r>
      <w:r w:rsidRPr="0094588A">
        <w:t>payments</w:t>
      </w:r>
      <w:r w:rsidR="00D16F9F" w:rsidRPr="0094588A">
        <w:t xml:space="preserve">. </w:t>
      </w:r>
      <w:r w:rsidR="00D410B1" w:rsidRPr="0094588A">
        <w:t xml:space="preserve">Those who are </w:t>
      </w:r>
      <w:r w:rsidR="00D16F9F" w:rsidRPr="0094588A">
        <w:t xml:space="preserve">in </w:t>
      </w:r>
      <w:r w:rsidR="00D410B1" w:rsidRPr="0094588A">
        <w:t>c</w:t>
      </w:r>
      <w:r w:rsidR="00D16F9F" w:rsidRPr="0094588A">
        <w:t>lass</w:t>
      </w:r>
      <w:r w:rsidR="00D410B1" w:rsidRPr="0094588A">
        <w:t>es</w:t>
      </w:r>
      <w:r w:rsidR="00D16F9F" w:rsidRPr="0094588A">
        <w:t xml:space="preserve"> 3 </w:t>
      </w:r>
      <w:r w:rsidR="00D410B1" w:rsidRPr="0094588A">
        <w:t>and</w:t>
      </w:r>
      <w:r w:rsidR="00D16F9F" w:rsidRPr="0094588A">
        <w:t xml:space="preserve"> 7 are </w:t>
      </w:r>
      <w:r w:rsidR="00D410B1" w:rsidRPr="0094588A">
        <w:t xml:space="preserve">the </w:t>
      </w:r>
      <w:r w:rsidR="00D16F9F" w:rsidRPr="0094588A">
        <w:t xml:space="preserve">main contributors </w:t>
      </w:r>
      <w:r w:rsidR="00D410B1" w:rsidRPr="0094588A">
        <w:t>from those currently in the welfare system,</w:t>
      </w:r>
      <w:r w:rsidR="00D16F9F" w:rsidRPr="0094588A">
        <w:t xml:space="preserve"> as they are either currently receiving the payments, or will likely transition onto them. </w:t>
      </w:r>
      <w:r w:rsidR="00D410B1" w:rsidRPr="0094588A">
        <w:t xml:space="preserve">Those in </w:t>
      </w:r>
      <w:r w:rsidR="00185E7B" w:rsidRPr="0094588A">
        <w:t>C</w:t>
      </w:r>
      <w:r w:rsidR="00D410B1" w:rsidRPr="0094588A">
        <w:t>lass</w:t>
      </w:r>
      <w:r w:rsidR="00D16F9F" w:rsidRPr="0094588A">
        <w:t xml:space="preserve"> 1 are generally </w:t>
      </w:r>
      <w:r w:rsidR="00D410B1" w:rsidRPr="0094588A">
        <w:t>several years away from the age of parenthood but will likely access</w:t>
      </w:r>
      <w:r w:rsidR="004F236E" w:rsidRPr="0094588A">
        <w:t xml:space="preserve"> </w:t>
      </w:r>
      <w:r w:rsidR="00B70689" w:rsidRPr="002B1B4A">
        <w:t xml:space="preserve">families </w:t>
      </w:r>
      <w:r w:rsidR="004F236E" w:rsidRPr="0094588A">
        <w:t>payments</w:t>
      </w:r>
      <w:r w:rsidR="00D16F9F" w:rsidRPr="0094588A">
        <w:t xml:space="preserve"> in </w:t>
      </w:r>
      <w:r w:rsidR="004F236E" w:rsidRPr="0094588A">
        <w:t>the future</w:t>
      </w:r>
      <w:r w:rsidR="00D410B1" w:rsidRPr="0094588A">
        <w:t xml:space="preserve">, more so </w:t>
      </w:r>
      <w:r w:rsidR="00E1744C" w:rsidRPr="0094588A">
        <w:t>than</w:t>
      </w:r>
      <w:r w:rsidR="00D410B1" w:rsidRPr="0094588A">
        <w:t xml:space="preserve"> other non-income support payment categories</w:t>
      </w:r>
      <w:r w:rsidR="004F236E">
        <w:t>.</w:t>
      </w:r>
      <w:r w:rsidR="00D16F9F">
        <w:t xml:space="preserve"> </w:t>
      </w:r>
    </w:p>
    <w:p w14:paraId="2A83E43A" w14:textId="7A200A7A" w:rsidR="00DE74A5" w:rsidRPr="00DE74A5" w:rsidRDefault="005E161E" w:rsidP="00BF1A16">
      <w:pPr>
        <w:pStyle w:val="Bullet1"/>
      </w:pPr>
      <w:r>
        <w:t xml:space="preserve">Other non-income support payments are primarily supplementary payments received alongside an income support payment, </w:t>
      </w:r>
      <w:r w:rsidR="00B8168E">
        <w:t>such as</w:t>
      </w:r>
      <w:r>
        <w:t xml:space="preserve"> Commonwealth Rent Assistance.</w:t>
      </w:r>
      <w:r w:rsidR="00D410B1">
        <w:t xml:space="preserve"> </w:t>
      </w:r>
      <w:r w:rsidR="00BD5A7A">
        <w:t xml:space="preserve">Amongst current welfare recipients, </w:t>
      </w:r>
      <w:r w:rsidR="00185E7B">
        <w:t>C</w:t>
      </w:r>
      <w:r w:rsidR="00D410B1">
        <w:t>lass</w:t>
      </w:r>
      <w:r w:rsidR="008224C9">
        <w:t> </w:t>
      </w:r>
      <w:r w:rsidR="00D410B1">
        <w:t>6 is the highest contributor to the Lifetime Cost here, as</w:t>
      </w:r>
      <w:r w:rsidR="00BD5A7A">
        <w:t xml:space="preserve"> </w:t>
      </w:r>
      <w:r w:rsidR="0066573F">
        <w:t xml:space="preserve">everyone receiving the </w:t>
      </w:r>
      <w:r w:rsidR="00B8168E">
        <w:t>A</w:t>
      </w:r>
      <w:r w:rsidR="0066573F">
        <w:t xml:space="preserve">ge </w:t>
      </w:r>
      <w:r w:rsidR="00B8168E">
        <w:t>P</w:t>
      </w:r>
      <w:r w:rsidR="0066573F">
        <w:t xml:space="preserve">ension </w:t>
      </w:r>
      <w:r w:rsidR="00BD5A7A">
        <w:t xml:space="preserve">in the projection </w:t>
      </w:r>
      <w:r w:rsidR="0066573F">
        <w:t xml:space="preserve">receives a supplementary payment. </w:t>
      </w:r>
    </w:p>
    <w:p w14:paraId="62FEAE77" w14:textId="38633B24" w:rsidR="0066573F" w:rsidRDefault="00F522F3" w:rsidP="00523333">
      <w:pPr>
        <w:pStyle w:val="OutlineNumbered1"/>
      </w:pPr>
      <w:r>
        <w:rPr>
          <w:rFonts w:cs="Arial"/>
        </w:rPr>
        <w:t>Those</w:t>
      </w:r>
      <w:r w:rsidR="0081047D">
        <w:rPr>
          <w:rFonts w:cs="Arial"/>
        </w:rPr>
        <w:t xml:space="preserve"> </w:t>
      </w:r>
      <w:r w:rsidR="0081047D">
        <w:t>not currently in welfare (</w:t>
      </w:r>
      <w:r>
        <w:t>c</w:t>
      </w:r>
      <w:r w:rsidR="0066573F" w:rsidRPr="00DE74A5">
        <w:t>lass</w:t>
      </w:r>
      <w:r>
        <w:t>es</w:t>
      </w:r>
      <w:r w:rsidR="0066573F" w:rsidRPr="00DE74A5">
        <w:t xml:space="preserve"> </w:t>
      </w:r>
      <w:r w:rsidR="0081047D">
        <w:t xml:space="preserve">10 </w:t>
      </w:r>
      <w:r>
        <w:t>and</w:t>
      </w:r>
      <w:r w:rsidR="0081047D" w:rsidRPr="00DE74A5">
        <w:t xml:space="preserve"> </w:t>
      </w:r>
      <w:r w:rsidR="0066573F" w:rsidRPr="00DE74A5">
        <w:t>12</w:t>
      </w:r>
      <w:r w:rsidR="0081047D" w:rsidRPr="00DE74A5">
        <w:t xml:space="preserve">) </w:t>
      </w:r>
      <w:r w:rsidR="0066573F" w:rsidRPr="00DE74A5">
        <w:t xml:space="preserve">account for </w:t>
      </w:r>
      <w:r w:rsidR="0081047D" w:rsidRPr="00DE74A5">
        <w:t xml:space="preserve">a </w:t>
      </w:r>
      <w:r w:rsidR="0066573F" w:rsidRPr="00DE74A5">
        <w:t xml:space="preserve">large </w:t>
      </w:r>
      <w:r w:rsidR="0081047D" w:rsidRPr="00DE74A5">
        <w:t>proportion</w:t>
      </w:r>
      <w:r w:rsidR="0081047D">
        <w:t xml:space="preserve"> </w:t>
      </w:r>
      <w:r w:rsidR="0066573F" w:rsidRPr="00DE74A5">
        <w:t>of</w:t>
      </w:r>
      <w:r w:rsidR="0081047D" w:rsidRPr="00DE74A5">
        <w:t xml:space="preserve"> the</w:t>
      </w:r>
      <w:r w:rsidR="0066573F" w:rsidRPr="00DE74A5">
        <w:t xml:space="preserve"> </w:t>
      </w:r>
      <w:r w:rsidR="0066573F" w:rsidRPr="00F522F3">
        <w:t>total Lifetime Cost</w:t>
      </w:r>
      <w:r w:rsidR="0066573F" w:rsidRPr="00DE74A5">
        <w:t xml:space="preserve"> </w:t>
      </w:r>
      <w:r w:rsidR="0081047D" w:rsidRPr="00DE74A5">
        <w:t xml:space="preserve">as these </w:t>
      </w:r>
      <w:r w:rsidR="0066573F" w:rsidRPr="00DE74A5">
        <w:t>class</w:t>
      </w:r>
      <w:r w:rsidR="0081047D" w:rsidRPr="00DE74A5">
        <w:t>es</w:t>
      </w:r>
      <w:r w:rsidR="0066573F" w:rsidRPr="00DE74A5">
        <w:t xml:space="preserve"> make up </w:t>
      </w:r>
      <w:r>
        <w:t>69%</w:t>
      </w:r>
      <w:r w:rsidR="0066573F" w:rsidRPr="00DE74A5">
        <w:t xml:space="preserve"> of the model population and reflect the expectation that many Australians who are currently not relying on welfare will need to do so at some point in the future</w:t>
      </w:r>
      <w:r>
        <w:t xml:space="preserve">. This is </w:t>
      </w:r>
      <w:r w:rsidR="0066573F">
        <w:t xml:space="preserve">especially the </w:t>
      </w:r>
      <w:r>
        <w:t xml:space="preserve">case in respect of the </w:t>
      </w:r>
      <w:r w:rsidR="0066573F" w:rsidRPr="00DE74A5">
        <w:t>Age Pension</w:t>
      </w:r>
      <w:r>
        <w:t>. A</w:t>
      </w:r>
      <w:r w:rsidR="0081047D" w:rsidRPr="00DE74A5">
        <w:t xml:space="preserve"> major difference between </w:t>
      </w:r>
      <w:r>
        <w:t>c</w:t>
      </w:r>
      <w:r w:rsidR="0081047D" w:rsidRPr="00DE74A5">
        <w:t>lass</w:t>
      </w:r>
      <w:r>
        <w:t>es</w:t>
      </w:r>
      <w:r w:rsidR="0081047D" w:rsidRPr="00DE74A5">
        <w:t xml:space="preserve"> 10 </w:t>
      </w:r>
      <w:r>
        <w:t>and</w:t>
      </w:r>
      <w:r w:rsidR="0081047D" w:rsidRPr="00DE74A5">
        <w:t xml:space="preserve"> 12 </w:t>
      </w:r>
      <w:r>
        <w:t>concern</w:t>
      </w:r>
      <w:r w:rsidR="0081047D" w:rsidRPr="00DE74A5">
        <w:t xml:space="preserve"> the age distribution</w:t>
      </w:r>
      <w:r>
        <w:t xml:space="preserve"> of each</w:t>
      </w:r>
      <w:r w:rsidR="0081047D" w:rsidRPr="00DE74A5">
        <w:t xml:space="preserve">. </w:t>
      </w:r>
      <w:r>
        <w:t>Those</w:t>
      </w:r>
      <w:r w:rsidR="0081047D">
        <w:t xml:space="preserve"> under 18 </w:t>
      </w:r>
      <w:r>
        <w:t xml:space="preserve">years of age are generally in </w:t>
      </w:r>
      <w:r w:rsidR="00185E7B">
        <w:t>C</w:t>
      </w:r>
      <w:r w:rsidR="0081047D" w:rsidRPr="00DE74A5">
        <w:t>lass</w:t>
      </w:r>
      <w:r w:rsidR="008224C9">
        <w:t> </w:t>
      </w:r>
      <w:r w:rsidR="0081047D" w:rsidRPr="00DE74A5">
        <w:t>12 as they have not accessed welfare yet</w:t>
      </w:r>
      <w:r>
        <w:t xml:space="preserve">, whereas </w:t>
      </w:r>
      <w:r w:rsidR="00185E7B">
        <w:t>C</w:t>
      </w:r>
      <w:r w:rsidR="006F152A" w:rsidRPr="00DE74A5">
        <w:t>lass</w:t>
      </w:r>
      <w:r w:rsidR="008224C9">
        <w:t> </w:t>
      </w:r>
      <w:r w:rsidR="006F152A" w:rsidRPr="00DE74A5">
        <w:t xml:space="preserve">10 </w:t>
      </w:r>
      <w:r w:rsidR="006F152A" w:rsidRPr="00DE74A5">
        <w:lastRenderedPageBreak/>
        <w:t>has an</w:t>
      </w:r>
      <w:r w:rsidR="0081047D" w:rsidRPr="00DE74A5">
        <w:t xml:space="preserve"> older </w:t>
      </w:r>
      <w:r w:rsidR="006F152A" w:rsidRPr="00DE74A5">
        <w:t>demographic profile</w:t>
      </w:r>
      <w:r>
        <w:t>,</w:t>
      </w:r>
      <w:r w:rsidR="0081047D">
        <w:t xml:space="preserve"> as people need to be old enough to have accessed and then exited welfare. </w:t>
      </w:r>
    </w:p>
    <w:p w14:paraId="0184B8EF" w14:textId="2068CF4F" w:rsidR="0096347C" w:rsidRDefault="0096347C" w:rsidP="002C30FE">
      <w:pPr>
        <w:pStyle w:val="Heading2"/>
      </w:pPr>
      <w:bookmarkStart w:id="239" w:name="_Toc36555804"/>
      <w:bookmarkStart w:id="240" w:name="_Toc36563903"/>
      <w:bookmarkStart w:id="241" w:name="_Toc36655874"/>
      <w:bookmarkStart w:id="242" w:name="_Toc37931084"/>
      <w:bookmarkStart w:id="243" w:name="_Toc38007028"/>
      <w:bookmarkStart w:id="244" w:name="_Toc38458553"/>
      <w:bookmarkStart w:id="245" w:name="_Toc39071811"/>
      <w:bookmarkStart w:id="246" w:name="_Toc39243441"/>
      <w:bookmarkStart w:id="247" w:name="_Toc100131566"/>
      <w:r>
        <w:t>Key drivers of cost</w:t>
      </w:r>
      <w:bookmarkEnd w:id="239"/>
      <w:bookmarkEnd w:id="240"/>
      <w:bookmarkEnd w:id="241"/>
      <w:bookmarkEnd w:id="242"/>
      <w:bookmarkEnd w:id="243"/>
      <w:bookmarkEnd w:id="244"/>
      <w:bookmarkEnd w:id="245"/>
      <w:bookmarkEnd w:id="246"/>
      <w:bookmarkEnd w:id="247"/>
    </w:p>
    <w:p w14:paraId="769F57C1" w14:textId="45D42AC7" w:rsidR="001C1ECF" w:rsidRPr="001421D6" w:rsidRDefault="00EF17FB" w:rsidP="00523333">
      <w:pPr>
        <w:pStyle w:val="OutlineNumbered1"/>
      </w:pPr>
      <w:r w:rsidRPr="001421D6">
        <w:t>There</w:t>
      </w:r>
      <w:r w:rsidR="001C1ECF" w:rsidRPr="001421D6">
        <w:t xml:space="preserve"> are various factors th</w:t>
      </w:r>
      <w:r w:rsidRPr="001421D6">
        <w:t xml:space="preserve">at can be considered </w:t>
      </w:r>
      <w:r w:rsidR="00E554DD">
        <w:t>to be</w:t>
      </w:r>
      <w:r w:rsidR="00E554DD" w:rsidRPr="001421D6">
        <w:t xml:space="preserve"> </w:t>
      </w:r>
      <w:r w:rsidRPr="001421D6">
        <w:t xml:space="preserve">key </w:t>
      </w:r>
      <w:r w:rsidR="00EC7DBC" w:rsidRPr="001421D6">
        <w:t>drive</w:t>
      </w:r>
      <w:r w:rsidR="001C1ECF" w:rsidRPr="001421D6">
        <w:t>rs of</w:t>
      </w:r>
      <w:r w:rsidR="00E554DD">
        <w:t xml:space="preserve"> </w:t>
      </w:r>
      <w:r w:rsidRPr="001421D6">
        <w:t>overall Lifetime Cost</w:t>
      </w:r>
      <w:r w:rsidR="00EC7DBC" w:rsidRPr="001421D6">
        <w:t xml:space="preserve">. These </w:t>
      </w:r>
      <w:r w:rsidR="001C1ECF" w:rsidRPr="001421D6">
        <w:t>arise from:</w:t>
      </w:r>
    </w:p>
    <w:p w14:paraId="4EA05EEB" w14:textId="77777777" w:rsidR="001C1ECF" w:rsidRPr="001421D6" w:rsidRDefault="00EC7DBC" w:rsidP="00523333">
      <w:pPr>
        <w:pStyle w:val="Bullet1"/>
      </w:pPr>
      <w:r w:rsidRPr="001421D6">
        <w:t xml:space="preserve">the modelling </w:t>
      </w:r>
      <w:r w:rsidR="00F90C0A" w:rsidRPr="001421D6">
        <w:t>process itself</w:t>
      </w:r>
      <w:r w:rsidR="001C1ECF" w:rsidRPr="001421D6">
        <w:t>;</w:t>
      </w:r>
    </w:p>
    <w:p w14:paraId="092FF870" w14:textId="77777777" w:rsidR="001C1ECF" w:rsidRPr="001421D6" w:rsidRDefault="001C1ECF" w:rsidP="00523333">
      <w:pPr>
        <w:pStyle w:val="Bullet1"/>
      </w:pPr>
      <w:r w:rsidRPr="001421D6">
        <w:t>the features of each benefit available, in terms of eligibility and payment criteria;</w:t>
      </w:r>
    </w:p>
    <w:p w14:paraId="0327BDE6" w14:textId="648484AB" w:rsidR="001421D6" w:rsidRPr="001421D6" w:rsidRDefault="001C1ECF" w:rsidP="00523333">
      <w:pPr>
        <w:pStyle w:val="Bullet1"/>
      </w:pPr>
      <w:r w:rsidRPr="001421D6">
        <w:t>the (demographic) chara</w:t>
      </w:r>
      <w:r w:rsidR="001421D6" w:rsidRPr="001421D6">
        <w:t>cteristics that are correlated with or indicative of higher welfare utilisation over time;</w:t>
      </w:r>
      <w:r w:rsidR="00E554DD">
        <w:t xml:space="preserve"> and</w:t>
      </w:r>
    </w:p>
    <w:p w14:paraId="36049374" w14:textId="164EFB2E" w:rsidR="001C1ECF" w:rsidRPr="001421D6" w:rsidRDefault="001421D6" w:rsidP="00523333">
      <w:pPr>
        <w:pStyle w:val="Bullet1"/>
      </w:pPr>
      <w:r w:rsidRPr="001421D6">
        <w:t xml:space="preserve">those characteristics (namely, age and </w:t>
      </w:r>
      <w:r w:rsidR="00EF7C1E">
        <w:t>future life expectancy</w:t>
      </w:r>
      <w:r w:rsidRPr="001421D6">
        <w:t>) which drive costs in terms of calculating a present value.</w:t>
      </w:r>
    </w:p>
    <w:p w14:paraId="5C153938" w14:textId="7779DC12" w:rsidR="001421D6" w:rsidRPr="003E4DCD" w:rsidRDefault="001421D6" w:rsidP="00523333">
      <w:pPr>
        <w:pStyle w:val="OutlineNumbered1"/>
      </w:pPr>
      <w:r w:rsidRPr="003E4DCD">
        <w:t xml:space="preserve">In terms of the modelling process, </w:t>
      </w:r>
      <w:r w:rsidR="003E4DCD" w:rsidRPr="003E4DCD">
        <w:t>this requires the fitting of</w:t>
      </w:r>
      <w:r w:rsidRPr="003E4DCD">
        <w:t xml:space="preserve"> selected parameters to the data at each valuation. </w:t>
      </w:r>
      <w:r w:rsidR="003E4DCD" w:rsidRPr="003E4DCD">
        <w:t xml:space="preserve">As a result, </w:t>
      </w:r>
      <w:r w:rsidRPr="003E4DCD">
        <w:t xml:space="preserve">the relative influence of each parameter may change over time, and this </w:t>
      </w:r>
      <w:r w:rsidR="003E4DCD" w:rsidRPr="003E4DCD">
        <w:t>is</w:t>
      </w:r>
      <w:r w:rsidRPr="003E4DCD">
        <w:t xml:space="preserve"> also impacted when new variables are added to the model</w:t>
      </w:r>
      <w:r w:rsidR="003E4DCD" w:rsidRPr="003E4DCD">
        <w:t>.</w:t>
      </w:r>
    </w:p>
    <w:p w14:paraId="277FD6FB" w14:textId="18FC9F32" w:rsidR="004B7139" w:rsidRPr="001421D6" w:rsidRDefault="003E4DCD" w:rsidP="00523333">
      <w:pPr>
        <w:pStyle w:val="OutlineNumbered1"/>
      </w:pPr>
      <w:r>
        <w:t>A</w:t>
      </w:r>
      <w:r w:rsidR="0033585F" w:rsidRPr="001421D6">
        <w:t>n</w:t>
      </w:r>
      <w:r w:rsidR="0033585F">
        <w:t xml:space="preserve"> important driver of Lifetime Cost stems from the s</w:t>
      </w:r>
      <w:r w:rsidR="00B173D4">
        <w:t xml:space="preserve">pecific rules around each payment category. </w:t>
      </w:r>
      <w:r w:rsidR="0033585F">
        <w:t>These</w:t>
      </w:r>
      <w:r w:rsidR="00B173D4">
        <w:t xml:space="preserve"> rules</w:t>
      </w:r>
      <w:r w:rsidR="0033585F">
        <w:t>,</w:t>
      </w:r>
      <w:r w:rsidR="00B173D4">
        <w:t xml:space="preserve"> </w:t>
      </w:r>
      <w:r w:rsidR="0033585F">
        <w:t>relating to</w:t>
      </w:r>
      <w:r w:rsidR="00B173D4">
        <w:t xml:space="preserve"> eligibility and entitlemen</w:t>
      </w:r>
      <w:r w:rsidR="00DC0151">
        <w:t xml:space="preserve">t amounts, </w:t>
      </w:r>
      <w:r w:rsidR="0033585F">
        <w:t>clearly have a direct influence on future welfare utilisation</w:t>
      </w:r>
      <w:r w:rsidR="00C71785">
        <w:t>.</w:t>
      </w:r>
      <w:r>
        <w:t xml:space="preserve"> </w:t>
      </w:r>
      <w:r w:rsidR="0033585F">
        <w:t xml:space="preserve">For example, age is an important driver of future costs of the Age Pension, as </w:t>
      </w:r>
      <w:r w:rsidR="00E554DD">
        <w:t>people</w:t>
      </w:r>
      <w:r w:rsidR="0033585F">
        <w:t xml:space="preserve"> younger than the age of eligibility can</w:t>
      </w:r>
      <w:r w:rsidR="00E554DD">
        <w:t>not</w:t>
      </w:r>
      <w:r w:rsidR="0033585F">
        <w:t xml:space="preserve"> receive an Age Pension. </w:t>
      </w:r>
      <w:r w:rsidR="00C71785" w:rsidRPr="003E4DCD">
        <w:t xml:space="preserve">For various study benefits, </w:t>
      </w:r>
      <w:r w:rsidRPr="003E4DCD">
        <w:t xml:space="preserve">relevant eligibility </w:t>
      </w:r>
      <w:r>
        <w:t>and</w:t>
      </w:r>
      <w:r w:rsidR="00E554DD">
        <w:t>,</w:t>
      </w:r>
      <w:r>
        <w:t xml:space="preserve"> therefore</w:t>
      </w:r>
      <w:r w:rsidR="00E554DD">
        <w:t>,</w:t>
      </w:r>
      <w:r>
        <w:t xml:space="preserve"> </w:t>
      </w:r>
      <w:r w:rsidRPr="003E4DCD">
        <w:t xml:space="preserve">drivers of cost </w:t>
      </w:r>
      <w:r>
        <w:t xml:space="preserve">includes </w:t>
      </w:r>
      <w:r w:rsidR="00C71785" w:rsidRPr="003E4DCD">
        <w:t xml:space="preserve">Indigenous status, age and SEIFA status.  For working age benefits, SEIFA is again relevant, as is one’s capacity to work. For parenting benefits, both the presence of children and the age of the youngest child are important drivers of cost, in terms of eligibility and expected duration of payments respectively. Furthermore, someone’s partnering status and history are also key for parenting benefits, as those who are single receive a higher rate of payment. </w:t>
      </w:r>
      <w:r w:rsidR="00C53E8A" w:rsidRPr="003E4DCD">
        <w:t xml:space="preserve">For Disability benefits, clearly the presence of certain medical conditions and/or disability status are part of eligibility criteria, and </w:t>
      </w:r>
      <w:r>
        <w:t>are therefore important drivers of cost as well. The SEIFA status, acting as a proxy variable for underlying levels of financial means (assets and/or income)</w:t>
      </w:r>
      <w:r w:rsidR="00B40E06">
        <w:t>, underlies the eligibility across many welfare categories.</w:t>
      </w:r>
    </w:p>
    <w:p w14:paraId="6749136D" w14:textId="2E73EFFF" w:rsidR="00EC7DBC" w:rsidRDefault="00C71785" w:rsidP="00523333">
      <w:pPr>
        <w:pStyle w:val="OutlineNumbered1"/>
      </w:pPr>
      <w:r w:rsidRPr="00B40E06">
        <w:t>A</w:t>
      </w:r>
      <w:r w:rsidR="00B40E06" w:rsidRPr="00B40E06">
        <w:t xml:space="preserve"> further key</w:t>
      </w:r>
      <w:r w:rsidRPr="00C71785">
        <w:t xml:space="preserve"> driver of Lifetime Cost</w:t>
      </w:r>
      <w:r>
        <w:t xml:space="preserve"> relates to those characteristics associated with higher future welfare utilisation, or entitlement amounts, or both.</w:t>
      </w:r>
      <w:r w:rsidR="00495E40">
        <w:t xml:space="preserve"> These drivers are influential </w:t>
      </w:r>
      <w:r w:rsidR="00B40E06">
        <w:t xml:space="preserve">not </w:t>
      </w:r>
      <w:r w:rsidR="00495E40">
        <w:t>because of eligibility criteria</w:t>
      </w:r>
      <w:r w:rsidR="00B40E06">
        <w:t xml:space="preserve"> </w:t>
      </w:r>
      <w:r w:rsidR="00B40E06" w:rsidRPr="00B40E06">
        <w:rPr>
          <w:i/>
        </w:rPr>
        <w:t>per se</w:t>
      </w:r>
      <w:r w:rsidR="00495E40">
        <w:t>, but because of individual characteristics that are shown to be correlated with higher overall payments.</w:t>
      </w:r>
    </w:p>
    <w:p w14:paraId="2D1DD00E" w14:textId="69176C5F" w:rsidR="002F76DC" w:rsidRPr="002F76DC" w:rsidRDefault="00C71785" w:rsidP="00523333">
      <w:pPr>
        <w:pStyle w:val="OutlineNumbered1"/>
      </w:pPr>
      <w:r w:rsidRPr="001421D6">
        <w:lastRenderedPageBreak/>
        <w:t xml:space="preserve">For various </w:t>
      </w:r>
      <w:r w:rsidR="00602614" w:rsidRPr="001421D6">
        <w:t>working age</w:t>
      </w:r>
      <w:r w:rsidRPr="001421D6">
        <w:t xml:space="preserve"> benefits, </w:t>
      </w:r>
      <w:r w:rsidR="00602614" w:rsidRPr="001421D6">
        <w:t xml:space="preserve">gender </w:t>
      </w:r>
      <w:r w:rsidR="005E09BC" w:rsidRPr="001421D6">
        <w:t xml:space="preserve">and age are important, </w:t>
      </w:r>
      <w:r w:rsidR="00B40E06">
        <w:t>with</w:t>
      </w:r>
      <w:r w:rsidR="005E09BC" w:rsidRPr="001421D6">
        <w:t xml:space="preserve"> gender in particular a </w:t>
      </w:r>
      <w:r w:rsidR="00602614" w:rsidRPr="001421D6">
        <w:t xml:space="preserve">significant </w:t>
      </w:r>
      <w:r w:rsidR="00A93A25" w:rsidRPr="001421D6">
        <w:t>factor for future</w:t>
      </w:r>
      <w:r w:rsidR="00A93A25" w:rsidRPr="00495E40">
        <w:t xml:space="preserve"> </w:t>
      </w:r>
      <w:r w:rsidR="00B70689">
        <w:t xml:space="preserve">families </w:t>
      </w:r>
      <w:r w:rsidR="00A93A25" w:rsidRPr="00495E40">
        <w:t xml:space="preserve">/ parenting payments </w:t>
      </w:r>
      <w:r w:rsidR="00B40E06">
        <w:t>as</w:t>
      </w:r>
      <w:r w:rsidR="00A93A25" w:rsidRPr="00495E40">
        <w:t xml:space="preserve"> females</w:t>
      </w:r>
      <w:r w:rsidR="00602614" w:rsidRPr="00495E40">
        <w:t xml:space="preserve"> </w:t>
      </w:r>
      <w:r w:rsidR="00B40E06">
        <w:t xml:space="preserve">are </w:t>
      </w:r>
      <w:r w:rsidR="00602614" w:rsidRPr="00495E40">
        <w:t xml:space="preserve">generally expected to </w:t>
      </w:r>
      <w:r w:rsidR="00A93A25" w:rsidRPr="00495E40">
        <w:t>have a higher Lifetime Cost</w:t>
      </w:r>
      <w:r w:rsidR="005E09BC" w:rsidRPr="00495E40">
        <w:t>.</w:t>
      </w:r>
      <w:r w:rsidR="00495E40" w:rsidRPr="00495E40">
        <w:t xml:space="preserve"> Age is influential for future costs of </w:t>
      </w:r>
      <w:r w:rsidR="004648F9">
        <w:t>c</w:t>
      </w:r>
      <w:r w:rsidR="00495E40" w:rsidRPr="00495E40">
        <w:t xml:space="preserve">arer payments, for two main reasons – [1] once younger carers start caring, </w:t>
      </w:r>
      <w:r w:rsidR="009F7CA5">
        <w:t xml:space="preserve">they </w:t>
      </w:r>
      <w:r w:rsidR="00495E40" w:rsidRPr="00495E40">
        <w:t>may be doing so for a while and have a longer expected future lifetime during which they can receive payment, and [2] carers who are parents looking after a child al</w:t>
      </w:r>
      <w:r w:rsidR="00C53E8A">
        <w:t>so face long durations of care</w:t>
      </w:r>
      <w:r w:rsidR="00DD011E">
        <w:t xml:space="preserve">. For </w:t>
      </w:r>
      <w:r w:rsidR="00E554DD">
        <w:t>d</w:t>
      </w:r>
      <w:r w:rsidR="00DD011E">
        <w:t>isability benefits, age turns out to be influential in association with the type of condition involved. For example, those with</w:t>
      </w:r>
      <w:r w:rsidR="00DD011E" w:rsidRPr="000531B4">
        <w:t xml:space="preserve"> congenital conditions typically </w:t>
      </w:r>
      <w:r w:rsidR="00DD011E">
        <w:t xml:space="preserve">receive welfare support from </w:t>
      </w:r>
      <w:r w:rsidR="00E554DD">
        <w:t xml:space="preserve">a </w:t>
      </w:r>
      <w:r w:rsidR="00DD011E" w:rsidRPr="000531B4">
        <w:t xml:space="preserve">young age and </w:t>
      </w:r>
      <w:r w:rsidR="00DD011E">
        <w:t>can have long durations of such support,</w:t>
      </w:r>
      <w:r w:rsidR="00DD011E" w:rsidRPr="000531B4">
        <w:t xml:space="preserve"> whereas </w:t>
      </w:r>
      <w:r w:rsidR="00DD011E">
        <w:t xml:space="preserve">those incurring a disability at </w:t>
      </w:r>
      <w:r w:rsidR="00E554DD">
        <w:t xml:space="preserve">an </w:t>
      </w:r>
      <w:r w:rsidR="00DD011E">
        <w:t>older age may have a far shorter duration of welfare support</w:t>
      </w:r>
      <w:r w:rsidR="002F76DC">
        <w:t xml:space="preserve">. Parental </w:t>
      </w:r>
      <w:r w:rsidR="002F76DC" w:rsidRPr="001D4B5F">
        <w:t>welfare dependence</w:t>
      </w:r>
      <w:r w:rsidR="002F76DC">
        <w:t xml:space="preserve"> is also a likely driver of Lifetime Cost for an individual, though the assessment of this factor is currently limited </w:t>
      </w:r>
      <w:r w:rsidR="00E554DD">
        <w:t>as</w:t>
      </w:r>
      <w:r w:rsidR="002F76DC">
        <w:t xml:space="preserve"> parental welfare information </w:t>
      </w:r>
      <w:r w:rsidR="00E554DD">
        <w:t xml:space="preserve">is </w:t>
      </w:r>
      <w:r w:rsidR="002F76DC">
        <w:t>only available for a subset of the population.</w:t>
      </w:r>
    </w:p>
    <w:p w14:paraId="6A4B2522" w14:textId="42A57677" w:rsidR="002E0685" w:rsidRPr="002E0685" w:rsidRDefault="00DD011E" w:rsidP="00523333">
      <w:pPr>
        <w:pStyle w:val="OutlineNumbered1"/>
      </w:pPr>
      <w:r w:rsidRPr="00104847">
        <w:t xml:space="preserve">A further driver of Lifetime Cost relates to factors </w:t>
      </w:r>
      <w:r w:rsidR="00104847" w:rsidRPr="00104847">
        <w:t>such as a</w:t>
      </w:r>
      <w:r w:rsidR="001213F0" w:rsidRPr="00104847">
        <w:t>ge</w:t>
      </w:r>
      <w:r w:rsidR="00104847" w:rsidRPr="00104847">
        <w:t>,</w:t>
      </w:r>
      <w:r w:rsidR="001213F0" w:rsidRPr="00104847">
        <w:t xml:space="preserve"> </w:t>
      </w:r>
      <w:r w:rsidR="00104847" w:rsidRPr="00104847">
        <w:t>which significantly impact the present value calculation. For example, t</w:t>
      </w:r>
      <w:r w:rsidR="002E0685" w:rsidRPr="00104847">
        <w:t>h</w:t>
      </w:r>
      <w:r w:rsidR="00B662A6" w:rsidRPr="00104847">
        <w:t>ose</w:t>
      </w:r>
      <w:r w:rsidR="00B662A6">
        <w:t xml:space="preserve"> who are close to retirement </w:t>
      </w:r>
      <w:r w:rsidR="002E0685">
        <w:t xml:space="preserve">age </w:t>
      </w:r>
      <w:r w:rsidR="00B662A6">
        <w:t xml:space="preserve">will (on average) have a </w:t>
      </w:r>
      <w:r w:rsidR="001D4B5F" w:rsidRPr="001D4B5F">
        <w:t>higher Lifetime Cost</w:t>
      </w:r>
      <w:r w:rsidR="00B662A6">
        <w:t xml:space="preserve"> </w:t>
      </w:r>
      <w:r w:rsidR="00104847" w:rsidRPr="00104847">
        <w:t xml:space="preserve">from the Age Pension (in present value terms) </w:t>
      </w:r>
      <w:r w:rsidR="00B662A6">
        <w:t>than someone who is not</w:t>
      </w:r>
      <w:r w:rsidR="001D4B5F" w:rsidRPr="00104847">
        <w:t>.</w:t>
      </w:r>
      <w:r w:rsidR="00104847" w:rsidRPr="00104847">
        <w:t xml:space="preserve"> </w:t>
      </w:r>
      <w:r w:rsidR="002E0685" w:rsidRPr="00104847">
        <w:t>Gender also</w:t>
      </w:r>
      <w:r w:rsidR="00104847">
        <w:t xml:space="preserve"> has </w:t>
      </w:r>
      <w:r w:rsidR="002E0685" w:rsidRPr="00104847">
        <w:t xml:space="preserve">specific significance for the Age Pension. </w:t>
      </w:r>
      <w:r w:rsidR="002E0685">
        <w:t>T</w:t>
      </w:r>
      <w:r w:rsidR="00B662A6">
        <w:t xml:space="preserve">he lower superannuation and financial assets of females, and their greater longevity, means their average Lifetime Cost from </w:t>
      </w:r>
      <w:r w:rsidR="001621BB">
        <w:t xml:space="preserve">accessing </w:t>
      </w:r>
      <w:r w:rsidR="00B662A6">
        <w:t>the Age Pension will be greater than that for males.</w:t>
      </w:r>
    </w:p>
    <w:p w14:paraId="5B94CA8B" w14:textId="60BE9A08" w:rsidR="001213F0" w:rsidRPr="001213F0" w:rsidRDefault="001213F0" w:rsidP="00523333">
      <w:pPr>
        <w:pStyle w:val="OutlineNumbered1"/>
      </w:pPr>
      <w:r>
        <w:t>Because of the</w:t>
      </w:r>
      <w:r w:rsidR="00B662A6">
        <w:t xml:space="preserve"> overall influence </w:t>
      </w:r>
      <w:r w:rsidR="009057A0">
        <w:t xml:space="preserve">of </w:t>
      </w:r>
      <w:r w:rsidR="00B662A6">
        <w:t>age and gender,</w:t>
      </w:r>
      <w:r>
        <w:t xml:space="preserve"> a</w:t>
      </w:r>
      <w:r w:rsidR="00B662A6">
        <w:t xml:space="preserve"> specific additional age/gender</w:t>
      </w:r>
      <w:r>
        <w:t xml:space="preserve"> analysis is </w:t>
      </w:r>
      <w:r w:rsidR="001621BB">
        <w:t xml:space="preserve">provided </w:t>
      </w:r>
      <w:r>
        <w:t>in the next section.</w:t>
      </w:r>
    </w:p>
    <w:p w14:paraId="5A0083AB" w14:textId="48CC14C0" w:rsidR="00AB1385" w:rsidRDefault="00AB1385" w:rsidP="002C30FE">
      <w:pPr>
        <w:pStyle w:val="Heading2"/>
      </w:pPr>
      <w:bookmarkStart w:id="248" w:name="_Toc36555805"/>
      <w:bookmarkStart w:id="249" w:name="_Toc36563904"/>
      <w:bookmarkStart w:id="250" w:name="_Toc36655875"/>
      <w:bookmarkStart w:id="251" w:name="_Toc37931085"/>
      <w:bookmarkStart w:id="252" w:name="_Toc38007029"/>
      <w:bookmarkStart w:id="253" w:name="_Toc38458554"/>
      <w:bookmarkStart w:id="254" w:name="_Toc39071812"/>
      <w:bookmarkStart w:id="255" w:name="_Toc39243442"/>
      <w:bookmarkStart w:id="256" w:name="_Toc100131567"/>
      <w:r w:rsidRPr="007C0BB0">
        <w:t>Analysis</w:t>
      </w:r>
      <w:r>
        <w:t xml:space="preserve"> by age and gender</w:t>
      </w:r>
      <w:bookmarkEnd w:id="248"/>
      <w:bookmarkEnd w:id="249"/>
      <w:bookmarkEnd w:id="250"/>
      <w:bookmarkEnd w:id="251"/>
      <w:bookmarkEnd w:id="252"/>
      <w:bookmarkEnd w:id="253"/>
      <w:bookmarkEnd w:id="254"/>
      <w:bookmarkEnd w:id="255"/>
      <w:bookmarkEnd w:id="256"/>
    </w:p>
    <w:p w14:paraId="60C8203E" w14:textId="308E2CDB" w:rsidR="00AB1385" w:rsidRPr="00786CED" w:rsidRDefault="001F127A" w:rsidP="00523333">
      <w:pPr>
        <w:pStyle w:val="OutlineNumbered1"/>
        <w:rPr>
          <w:rFonts w:cs="Arial"/>
        </w:rPr>
      </w:pPr>
      <w:r>
        <w:fldChar w:fldCharType="begin"/>
      </w:r>
      <w:r>
        <w:instrText xml:space="preserve"> REF  Figure28 \h </w:instrText>
      </w:r>
      <w:r>
        <w:fldChar w:fldCharType="separate"/>
      </w:r>
      <w:r w:rsidR="00751625">
        <w:t xml:space="preserve">Figure </w:t>
      </w:r>
      <w:r w:rsidR="00751625">
        <w:rPr>
          <w:noProof/>
        </w:rPr>
        <w:t>28</w:t>
      </w:r>
      <w:r>
        <w:fldChar w:fldCharType="end"/>
      </w:r>
      <w:r>
        <w:t xml:space="preserve"> </w:t>
      </w:r>
      <w:r w:rsidR="001621BB">
        <w:t xml:space="preserve">and </w:t>
      </w:r>
      <w:r w:rsidR="00863048">
        <w:fldChar w:fldCharType="begin"/>
      </w:r>
      <w:r w:rsidR="00863048">
        <w:instrText xml:space="preserve"> REF  Figure29 \h </w:instrText>
      </w:r>
      <w:r w:rsidR="00863048">
        <w:fldChar w:fldCharType="separate"/>
      </w:r>
      <w:r w:rsidR="00751625">
        <w:t xml:space="preserve">Figure </w:t>
      </w:r>
      <w:r w:rsidR="00751625">
        <w:rPr>
          <w:noProof/>
        </w:rPr>
        <w:t>29</w:t>
      </w:r>
      <w:r w:rsidR="00863048">
        <w:fldChar w:fldCharType="end"/>
      </w:r>
      <w:r w:rsidR="00AB1385" w:rsidRPr="00A3425E">
        <w:t xml:space="preserve"> show a breakdown of </w:t>
      </w:r>
      <w:r w:rsidR="002A2F33" w:rsidRPr="00A3425E">
        <w:t>the Lifetime Cost</w:t>
      </w:r>
      <w:r w:rsidR="00AB1385" w:rsidRPr="00A3425E">
        <w:t xml:space="preserve"> by age </w:t>
      </w:r>
      <w:r w:rsidR="001F0FCC" w:rsidRPr="00A3425E">
        <w:t>(as at 30</w:t>
      </w:r>
      <w:r w:rsidR="008C791B">
        <w:t> </w:t>
      </w:r>
      <w:r w:rsidR="001F0FCC" w:rsidRPr="00A3425E">
        <w:t>June</w:t>
      </w:r>
      <w:r w:rsidR="008C791B">
        <w:t> </w:t>
      </w:r>
      <w:r w:rsidR="001F0FCC" w:rsidRPr="00A3425E">
        <w:t xml:space="preserve">2019) </w:t>
      </w:r>
      <w:r w:rsidR="00AB1385" w:rsidRPr="00A3425E">
        <w:t>and gender.</w:t>
      </w:r>
    </w:p>
    <w:p w14:paraId="5AF90D94" w14:textId="07318083" w:rsidR="00786CED" w:rsidRDefault="00786CED" w:rsidP="000B1493">
      <w:pPr>
        <w:pStyle w:val="Caption"/>
      </w:pPr>
      <w:bookmarkStart w:id="257" w:name="Figure28"/>
      <w:bookmarkStart w:id="258" w:name="_Toc100131538"/>
      <w:r>
        <w:lastRenderedPageBreak/>
        <w:t xml:space="preserve">Figure </w:t>
      </w:r>
      <w:r>
        <w:rPr>
          <w:noProof/>
        </w:rPr>
        <w:fldChar w:fldCharType="begin"/>
      </w:r>
      <w:r>
        <w:rPr>
          <w:noProof/>
        </w:rPr>
        <w:instrText xml:space="preserve"> SEQ Figure \* ARABIC </w:instrText>
      </w:r>
      <w:r>
        <w:rPr>
          <w:noProof/>
        </w:rPr>
        <w:fldChar w:fldCharType="separate"/>
      </w:r>
      <w:r w:rsidR="00751625">
        <w:rPr>
          <w:noProof/>
        </w:rPr>
        <w:t>28</w:t>
      </w:r>
      <w:r>
        <w:rPr>
          <w:noProof/>
        </w:rPr>
        <w:fldChar w:fldCharType="end"/>
      </w:r>
      <w:bookmarkEnd w:id="257"/>
      <w:r>
        <w:t>: Total Lifetime Cost by Age and Gender</w:t>
      </w:r>
      <w:bookmarkEnd w:id="258"/>
    </w:p>
    <w:p w14:paraId="1F8ACCBF" w14:textId="77777777" w:rsidR="00786CED" w:rsidRDefault="00786CED" w:rsidP="000B1493">
      <w:pPr>
        <w:pStyle w:val="Caption"/>
        <w:rPr>
          <w:noProof/>
        </w:rPr>
      </w:pPr>
      <w:r w:rsidRPr="00AA26EE">
        <w:rPr>
          <w:noProof/>
        </w:rPr>
        <w:drawing>
          <wp:inline distT="0" distB="0" distL="0" distR="0" wp14:anchorId="4EC23404" wp14:editId="6C2B7890">
            <wp:extent cx="4895850" cy="3189006"/>
            <wp:effectExtent l="0" t="0" r="0" b="0"/>
            <wp:docPr id="6" name="Picture 6" descr="This pyramid chart shows the payment category decomposition of the total Lifetime Cost, as split by age and gender. Payment F (IS Pension Age) is the consistently prominent component across age and gender, swelling outwards at around age 30 before eventually tapering off as age increases to 100. Other noticeable components are family-related payments (Payments H, I, and J) on the female side up until around age 40, and Payment E (IS Disability) up until around 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is pyramid chart shows the payment category decomposition of the total Lifetime Cost, as split by age and gender. Payment F (IS Pension Age) is the consistently prominent component across age and gender, swelling outwards at around age 30 before eventually tapering off as age increases to 100. Other noticeable components are family-related payments (Payments H, I, and J) on the female side up until around age 40, and Payment E (IS Disability) up until around age 6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895850" cy="3189006"/>
                    </a:xfrm>
                    <a:prstGeom prst="rect">
                      <a:avLst/>
                    </a:prstGeom>
                    <a:noFill/>
                    <a:ln>
                      <a:noFill/>
                    </a:ln>
                  </pic:spPr>
                </pic:pic>
              </a:graphicData>
            </a:graphic>
          </wp:inline>
        </w:drawing>
      </w:r>
    </w:p>
    <w:p w14:paraId="2ADD7708" w14:textId="603120C7" w:rsidR="00786CED" w:rsidRDefault="00786CED" w:rsidP="000B1493">
      <w:pPr>
        <w:pStyle w:val="Caption"/>
      </w:pPr>
      <w:bookmarkStart w:id="259" w:name="Figure29"/>
      <w:bookmarkStart w:id="260" w:name="_Toc100131539"/>
      <w:r>
        <w:t xml:space="preserve">Figure </w:t>
      </w:r>
      <w:r w:rsidR="00D405E4">
        <w:rPr>
          <w:noProof/>
        </w:rPr>
        <w:fldChar w:fldCharType="begin"/>
      </w:r>
      <w:r w:rsidR="00D405E4">
        <w:rPr>
          <w:noProof/>
        </w:rPr>
        <w:instrText xml:space="preserve"> SEQ Figure \* ARABIC </w:instrText>
      </w:r>
      <w:r w:rsidR="00D405E4">
        <w:rPr>
          <w:noProof/>
        </w:rPr>
        <w:fldChar w:fldCharType="separate"/>
      </w:r>
      <w:r w:rsidR="00751625">
        <w:rPr>
          <w:noProof/>
        </w:rPr>
        <w:t>29</w:t>
      </w:r>
      <w:r w:rsidR="00D405E4">
        <w:rPr>
          <w:noProof/>
        </w:rPr>
        <w:fldChar w:fldCharType="end"/>
      </w:r>
      <w:bookmarkEnd w:id="259"/>
      <w:r>
        <w:t>: Average Lifetime Cost by Gender and selected ages</w:t>
      </w:r>
      <w:bookmarkEnd w:id="260"/>
    </w:p>
    <w:p w14:paraId="0D2C37DD" w14:textId="77777777" w:rsidR="00786CED" w:rsidRDefault="00786CED" w:rsidP="000B1493">
      <w:pPr>
        <w:pStyle w:val="Caption"/>
      </w:pPr>
      <w:r w:rsidRPr="00AA26EE">
        <w:rPr>
          <w:noProof/>
        </w:rPr>
        <w:drawing>
          <wp:inline distT="0" distB="0" distL="0" distR="0" wp14:anchorId="74894046" wp14:editId="61C1340E">
            <wp:extent cx="4895850" cy="2975909"/>
            <wp:effectExtent l="0" t="0" r="0" b="0"/>
            <wp:docPr id="16" name="Picture 16" descr="This clustered column chart shows a grouped decomposition of average Lifetime Cost by gender and select ages (ranging from 0 to 65). The female average costs are consistently higher, due to higher Age Pension costs and carrying the bulk of family payments. The Age Pension component increases in size and proportion as age increases towards retirement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his clustered column chart shows a grouped decomposition of average Lifetime Cost by gender and select ages (ranging from 0 to 65). The female average costs are consistently higher, due to higher Age Pension costs and carrying the bulk of family payments. The Age Pension component increases in size and proportion as age increases towards retirement ag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895850" cy="2975909"/>
                    </a:xfrm>
                    <a:prstGeom prst="rect">
                      <a:avLst/>
                    </a:prstGeom>
                    <a:noFill/>
                    <a:ln>
                      <a:noFill/>
                    </a:ln>
                  </pic:spPr>
                </pic:pic>
              </a:graphicData>
            </a:graphic>
          </wp:inline>
        </w:drawing>
      </w:r>
    </w:p>
    <w:p w14:paraId="7467D779" w14:textId="77777777" w:rsidR="00786CED" w:rsidRDefault="00786CED" w:rsidP="00C24333">
      <w:pPr>
        <w:pStyle w:val="OutlineNumbered1"/>
        <w:rPr>
          <w:color w:val="auto"/>
        </w:rPr>
      </w:pPr>
      <w:r>
        <w:t xml:space="preserve">The total Lifetime Cost for females is higher than that for males, primarily owing to a higher usage of parenting payments, and non-income support </w:t>
      </w:r>
      <w:r>
        <w:rPr>
          <w:rFonts w:cs="Arial"/>
          <w:color w:val="auto"/>
        </w:rPr>
        <w:t xml:space="preserve">families </w:t>
      </w:r>
      <w:r>
        <w:t xml:space="preserve">and FTB payments. It is also due to the higher expected longevity of females </w:t>
      </w:r>
      <w:r>
        <w:lastRenderedPageBreak/>
        <w:t>compared to males, which gives a larger present value of Age Pension payments.</w:t>
      </w:r>
    </w:p>
    <w:p w14:paraId="41E1A59F" w14:textId="6CAF750C" w:rsidR="00233193" w:rsidRPr="00005896" w:rsidRDefault="00695070" w:rsidP="00D405E4">
      <w:pPr>
        <w:pStyle w:val="OutlineNumbered1"/>
        <w:rPr>
          <w:color w:val="auto"/>
        </w:rPr>
      </w:pPr>
      <w:r>
        <w:t xml:space="preserve">The Lifetime Cost in respect of the Age Pension is </w:t>
      </w:r>
      <w:r w:rsidR="00E7076A">
        <w:t>lower</w:t>
      </w:r>
      <w:r>
        <w:t xml:space="preserve"> for younger people than for those who are older, mainly because their receipt of payments is further into the future, thereby discounting those payments more heavily to the valuation date of 30</w:t>
      </w:r>
      <w:r w:rsidR="008C791B">
        <w:t> </w:t>
      </w:r>
      <w:r>
        <w:t>June</w:t>
      </w:r>
      <w:r w:rsidR="008C791B">
        <w:t> </w:t>
      </w:r>
      <w:r>
        <w:t>2019. However,</w:t>
      </w:r>
      <w:r w:rsidR="00E7076A">
        <w:t xml:space="preserve"> across all ages and both genders</w:t>
      </w:r>
      <w:r>
        <w:t xml:space="preserve"> t</w:t>
      </w:r>
      <w:r w:rsidR="00C87D74">
        <w:t xml:space="preserve">he dominant contribution of the Age Pension to the </w:t>
      </w:r>
      <w:r w:rsidR="00317907">
        <w:t xml:space="preserve">Lifetime Cost is again evident. This is due to: [1] </w:t>
      </w:r>
      <w:r w:rsidR="00C87D74">
        <w:t xml:space="preserve">the </w:t>
      </w:r>
      <w:r w:rsidR="00317907">
        <w:t xml:space="preserve">large </w:t>
      </w:r>
      <w:r w:rsidR="00C87D74">
        <w:t xml:space="preserve">number of people </w:t>
      </w:r>
      <w:r w:rsidR="00317907">
        <w:t xml:space="preserve">currently receiving the Age Pension; [2] the large number of people that will receive the Age Pension in the future; </w:t>
      </w:r>
      <w:r w:rsidR="00B47B7A">
        <w:t xml:space="preserve">[3] the average annual payment being received under the Age Pension being higher than </w:t>
      </w:r>
      <w:r w:rsidR="001934F5">
        <w:t>most other classes</w:t>
      </w:r>
      <w:r w:rsidR="00B47B7A">
        <w:t xml:space="preserve">; </w:t>
      </w:r>
      <w:r w:rsidR="00317907">
        <w:t>and [</w:t>
      </w:r>
      <w:r w:rsidR="00B47B7A">
        <w:t>4</w:t>
      </w:r>
      <w:r w:rsidR="00317907">
        <w:t>] once an individual starts receiving the Age Pension, they are likely to continue to receive the Age Pension for the reminder of their life. In other words, there is a long duration of receiving payments under the Age Pension payment category.</w:t>
      </w:r>
    </w:p>
    <w:p w14:paraId="06DD9CE6" w14:textId="19A4611B" w:rsidR="001C3BB8" w:rsidRPr="00695070" w:rsidRDefault="001C3BB8" w:rsidP="002C30FE">
      <w:pPr>
        <w:pStyle w:val="Heading2"/>
      </w:pPr>
      <w:bookmarkStart w:id="261" w:name="_Toc36555806"/>
      <w:bookmarkStart w:id="262" w:name="_Toc36563905"/>
      <w:bookmarkStart w:id="263" w:name="_Toc36655876"/>
      <w:bookmarkStart w:id="264" w:name="_Toc37931086"/>
      <w:bookmarkStart w:id="265" w:name="_Toc38007030"/>
      <w:bookmarkStart w:id="266" w:name="_Toc38458555"/>
      <w:bookmarkStart w:id="267" w:name="_Toc39071813"/>
      <w:bookmarkStart w:id="268" w:name="_Toc39243443"/>
      <w:bookmarkStart w:id="269" w:name="_Toc100131568"/>
      <w:r>
        <w:t xml:space="preserve">Differences in </w:t>
      </w:r>
      <w:r w:rsidR="00890CAA">
        <w:t>d</w:t>
      </w:r>
      <w:r>
        <w:t xml:space="preserve">uration of </w:t>
      </w:r>
      <w:r w:rsidR="00890CAA">
        <w:t>p</w:t>
      </w:r>
      <w:r>
        <w:t>ayments</w:t>
      </w:r>
      <w:bookmarkEnd w:id="261"/>
      <w:bookmarkEnd w:id="262"/>
      <w:bookmarkEnd w:id="263"/>
      <w:bookmarkEnd w:id="264"/>
      <w:bookmarkEnd w:id="265"/>
      <w:bookmarkEnd w:id="266"/>
      <w:bookmarkEnd w:id="267"/>
      <w:bookmarkEnd w:id="268"/>
      <w:bookmarkEnd w:id="269"/>
    </w:p>
    <w:p w14:paraId="2465DD54" w14:textId="283A5D85" w:rsidR="0046684B" w:rsidRDefault="00B47B7A" w:rsidP="00D405E4">
      <w:pPr>
        <w:pStyle w:val="OutlineNumbered1"/>
      </w:pPr>
      <w:r>
        <w:t>The influence of duration</w:t>
      </w:r>
      <w:r w:rsidR="00A23CD9">
        <w:t xml:space="preserve"> of payments</w:t>
      </w:r>
      <w:r>
        <w:t xml:space="preserve"> also applies to other payment categories. For </w:t>
      </w:r>
      <w:r w:rsidR="00A23CD9">
        <w:t xml:space="preserve">example, </w:t>
      </w:r>
      <w:r w:rsidR="00A23CD9" w:rsidRPr="00A16F15">
        <w:t xml:space="preserve">those currently on income support are expected to spend a greater proportion of their future lifetimes receiving income support </w:t>
      </w:r>
      <w:r w:rsidR="00A16F15">
        <w:t xml:space="preserve">than those not currently on income support. This is </w:t>
      </w:r>
      <w:r w:rsidR="00A23CD9" w:rsidRPr="00A16F15">
        <w:t xml:space="preserve">particularly </w:t>
      </w:r>
      <w:r w:rsidR="00A16F15">
        <w:t xml:space="preserve">the case </w:t>
      </w:r>
      <w:r w:rsidR="00A23CD9" w:rsidRPr="00A16F15">
        <w:t xml:space="preserve">for recipients of </w:t>
      </w:r>
      <w:r w:rsidR="004648F9">
        <w:t>c</w:t>
      </w:r>
      <w:r w:rsidR="00A23CD9" w:rsidRPr="00A16F15">
        <w:t xml:space="preserve">arer payments and </w:t>
      </w:r>
      <w:r w:rsidR="00A16F15">
        <w:t xml:space="preserve">the </w:t>
      </w:r>
      <w:r w:rsidR="00A23CD9" w:rsidRPr="00A16F15">
        <w:t xml:space="preserve">Disability Support Pension. A further example is those on </w:t>
      </w:r>
      <w:r w:rsidR="00556EE5">
        <w:t>Job</w:t>
      </w:r>
      <w:r w:rsidR="0005731E">
        <w:t>S</w:t>
      </w:r>
      <w:r w:rsidR="00556EE5">
        <w:t>eeker</w:t>
      </w:r>
      <w:r w:rsidR="00A23CD9">
        <w:t xml:space="preserve"> </w:t>
      </w:r>
      <w:r w:rsidR="0005731E">
        <w:t>Payment</w:t>
      </w:r>
      <w:r w:rsidR="00A23CD9" w:rsidRPr="00A16F15">
        <w:t xml:space="preserve">, where there is a </w:t>
      </w:r>
      <w:r w:rsidR="002A3C1F" w:rsidRPr="00A16F15">
        <w:t xml:space="preserve">correlation </w:t>
      </w:r>
      <w:r w:rsidR="00A23CD9" w:rsidRPr="00A16F15">
        <w:t xml:space="preserve">between past duration and future duration of receiving this assistance – that is, those remaining on </w:t>
      </w:r>
      <w:r w:rsidR="00556EE5">
        <w:t>Job</w:t>
      </w:r>
      <w:r w:rsidR="006A0BD0">
        <w:t>S</w:t>
      </w:r>
      <w:r w:rsidR="00556EE5">
        <w:t>eeker</w:t>
      </w:r>
      <w:r w:rsidR="00A23CD9" w:rsidRPr="00A16F15">
        <w:t xml:space="preserve"> for some time </w:t>
      </w:r>
      <w:r w:rsidR="002A3C1F" w:rsidRPr="00A16F15">
        <w:t>are</w:t>
      </w:r>
      <w:r w:rsidR="00A23CD9" w:rsidRPr="00A16F15">
        <w:t xml:space="preserve"> more likely than others to be re</w:t>
      </w:r>
      <w:r w:rsidR="0096347C" w:rsidRPr="00A16F15">
        <w:t xml:space="preserve">ceiving </w:t>
      </w:r>
      <w:r w:rsidR="00556EE5">
        <w:t>Job</w:t>
      </w:r>
      <w:r w:rsidR="006A0BD0">
        <w:t>S</w:t>
      </w:r>
      <w:r w:rsidR="00556EE5">
        <w:t>eeker</w:t>
      </w:r>
      <w:r w:rsidR="0096347C" w:rsidRPr="00A16F15">
        <w:t xml:space="preserve"> in the future.</w:t>
      </w:r>
    </w:p>
    <w:p w14:paraId="2BABDD67" w14:textId="2CF14959" w:rsidR="00CF6D4D" w:rsidRPr="00CF6D4D" w:rsidRDefault="00482678" w:rsidP="00D405E4">
      <w:pPr>
        <w:pStyle w:val="OutlineNumbered1"/>
      </w:pPr>
      <w:r>
        <w:fldChar w:fldCharType="begin"/>
      </w:r>
      <w:r>
        <w:instrText xml:space="preserve"> REF  Table9 \h </w:instrText>
      </w:r>
      <w:r>
        <w:fldChar w:fldCharType="separate"/>
      </w:r>
      <w:r w:rsidR="00751625" w:rsidRPr="00507A38">
        <w:t xml:space="preserve">Table </w:t>
      </w:r>
      <w:r w:rsidR="00751625">
        <w:rPr>
          <w:noProof/>
        </w:rPr>
        <w:t>9</w:t>
      </w:r>
      <w:r>
        <w:fldChar w:fldCharType="end"/>
      </w:r>
      <w:r w:rsidR="00B160FC" w:rsidRPr="00CF6D4D">
        <w:t xml:space="preserve"> below provides a summary of average duration of payments, by payment category, </w:t>
      </w:r>
      <w:r w:rsidR="00676C1D" w:rsidRPr="00CF6D4D">
        <w:t xml:space="preserve">using two measures, </w:t>
      </w:r>
      <w:bookmarkStart w:id="270" w:name="tempbookmark"/>
      <w:bookmarkEnd w:id="270"/>
      <w:r w:rsidR="00676C1D" w:rsidRPr="00CF6D4D">
        <w:t>[1]</w:t>
      </w:r>
      <w:r w:rsidR="0046684B" w:rsidRPr="00CF6D4D">
        <w:t xml:space="preserve"> </w:t>
      </w:r>
      <w:r w:rsidR="00676C1D" w:rsidRPr="00CF6D4D">
        <w:t xml:space="preserve">continuous use for </w:t>
      </w:r>
      <w:r w:rsidR="00B160FC" w:rsidRPr="00CF6D4D">
        <w:t>someone who has just entered that payment category</w:t>
      </w:r>
      <w:r w:rsidR="0046684B" w:rsidRPr="00CF6D4D">
        <w:t xml:space="preserve">, and [2] overall future use of that payment category per recipient. For example, consider someone who enters payment category D and stays for 3 years, then exits, and re-enters payment category D later on and stays for 2 years. Under [1], there are two separate periods of welfare utilisation with an average duration of 2.5 years. Under [2], there is a total </w:t>
      </w:r>
      <w:r w:rsidR="00F92B3E" w:rsidRPr="00CF6D4D">
        <w:t xml:space="preserve">future </w:t>
      </w:r>
      <w:r w:rsidR="0046684B" w:rsidRPr="00CF6D4D">
        <w:t>utilisation of 5 years for that person who has entered payment category D.</w:t>
      </w:r>
      <w:r w:rsidR="00EA2768">
        <w:t xml:space="preserve"> </w:t>
      </w:r>
      <w:r w:rsidR="0034669B">
        <w:t>Only individuals aged under 15 years are included in the calculations for this table, as th</w:t>
      </w:r>
      <w:r w:rsidR="0010262F">
        <w:t xml:space="preserve">is cohort is a relatively homogenous age group and are </w:t>
      </w:r>
      <w:r w:rsidR="0034669B">
        <w:t>unlikely to have used welfare. Using only people who have not received welfare</w:t>
      </w:r>
      <w:r w:rsidR="0010262F">
        <w:t xml:space="preserve">, and who are of a similar age, </w:t>
      </w:r>
      <w:r w:rsidR="0034669B">
        <w:t xml:space="preserve">removes the impact and potential bias of </w:t>
      </w:r>
      <w:r w:rsidR="0010262F">
        <w:t xml:space="preserve">age and </w:t>
      </w:r>
      <w:r w:rsidR="0034669B">
        <w:t>previous/current welfare utilisation on future utilisation</w:t>
      </w:r>
      <w:r w:rsidR="0010262F">
        <w:t xml:space="preserve"> </w:t>
      </w:r>
    </w:p>
    <w:p w14:paraId="7EF612BB" w14:textId="6AD8C818" w:rsidR="00F26706" w:rsidRPr="00507A38" w:rsidRDefault="00F26706" w:rsidP="000B1493">
      <w:pPr>
        <w:pStyle w:val="Caption"/>
      </w:pPr>
      <w:bookmarkStart w:id="271" w:name="Table9"/>
      <w:r w:rsidRPr="00507A38">
        <w:lastRenderedPageBreak/>
        <w:t xml:space="preserve">Table </w:t>
      </w:r>
      <w:r w:rsidR="00F1115D" w:rsidRPr="00507A38">
        <w:fldChar w:fldCharType="begin"/>
      </w:r>
      <w:r w:rsidR="00F1115D">
        <w:instrText xml:space="preserve"> SEQ Table \* ARABIC </w:instrText>
      </w:r>
      <w:r w:rsidR="00F1115D" w:rsidRPr="00507A38">
        <w:fldChar w:fldCharType="separate"/>
      </w:r>
      <w:r w:rsidR="00751625">
        <w:rPr>
          <w:noProof/>
        </w:rPr>
        <w:t>9</w:t>
      </w:r>
      <w:r w:rsidR="00F1115D" w:rsidRPr="00507A38">
        <w:fldChar w:fldCharType="end"/>
      </w:r>
      <w:bookmarkEnd w:id="271"/>
      <w:r w:rsidRPr="00507A38">
        <w:t xml:space="preserve">: Duration of </w:t>
      </w:r>
      <w:r w:rsidR="001C1141">
        <w:t>P</w:t>
      </w:r>
      <w:r w:rsidR="00582EF6" w:rsidRPr="00507A38">
        <w:t xml:space="preserve">ayments </w:t>
      </w:r>
      <w:r w:rsidR="00507A38" w:rsidRPr="00507A38">
        <w:t>for</w:t>
      </w:r>
      <w:r w:rsidR="00582EF6" w:rsidRPr="00507A38">
        <w:t xml:space="preserve"> </w:t>
      </w:r>
      <w:r w:rsidR="001C1141">
        <w:t>E</w:t>
      </w:r>
      <w:r w:rsidR="00582EF6" w:rsidRPr="00507A38">
        <w:t xml:space="preserve">ach </w:t>
      </w:r>
      <w:r w:rsidR="001C1141">
        <w:t>W</w:t>
      </w:r>
      <w:r w:rsidR="00582EF6" w:rsidRPr="00507A38">
        <w:t xml:space="preserve">elfare </w:t>
      </w:r>
      <w:r w:rsidR="001C1141">
        <w:t>P</w:t>
      </w:r>
      <w:r w:rsidR="00507A38" w:rsidRPr="00507A38">
        <w:t xml:space="preserve">ayment </w:t>
      </w:r>
      <w:r w:rsidR="001C1141">
        <w:t>C</w:t>
      </w:r>
      <w:r w:rsidR="00582EF6" w:rsidRPr="00896D66">
        <w:t>ategory</w:t>
      </w:r>
      <w:r w:rsidRPr="00507A38">
        <w:t xml:space="preserve"> </w:t>
      </w:r>
    </w:p>
    <w:tbl>
      <w:tblPr>
        <w:tblStyle w:val="ListTable3-Accent1"/>
        <w:tblW w:w="0" w:type="auto"/>
        <w:tblLook w:val="04A0" w:firstRow="1" w:lastRow="0" w:firstColumn="1" w:lastColumn="0" w:noHBand="0" w:noVBand="1"/>
      </w:tblPr>
      <w:tblGrid>
        <w:gridCol w:w="1718"/>
        <w:gridCol w:w="1779"/>
        <w:gridCol w:w="1766"/>
        <w:gridCol w:w="2437"/>
      </w:tblGrid>
      <w:tr w:rsidR="00837757" w:rsidRPr="00AB79BD" w14:paraId="0E15DADA" w14:textId="6CD9CB76" w:rsidTr="00A128CA">
        <w:trPr>
          <w:cnfStyle w:val="100000000000" w:firstRow="1" w:lastRow="0" w:firstColumn="0" w:lastColumn="0" w:oddVBand="0" w:evenVBand="0" w:oddHBand="0" w:evenHBand="0" w:firstRowFirstColumn="0" w:firstRowLastColumn="0" w:lastRowFirstColumn="0" w:lastRowLastColumn="0"/>
          <w:trHeight w:val="57"/>
        </w:trPr>
        <w:tc>
          <w:tcPr>
            <w:cnfStyle w:val="001000000100" w:firstRow="0" w:lastRow="0" w:firstColumn="1" w:lastColumn="0" w:oddVBand="0" w:evenVBand="0" w:oddHBand="0" w:evenHBand="0" w:firstRowFirstColumn="1" w:firstRowLastColumn="0" w:lastRowFirstColumn="0" w:lastRowLastColumn="0"/>
            <w:tcW w:w="0" w:type="auto"/>
          </w:tcPr>
          <w:p w14:paraId="5EEC6471" w14:textId="663F83A1" w:rsidR="00837757" w:rsidRPr="00AB79BD" w:rsidRDefault="00837757" w:rsidP="00AB79BD">
            <w:pPr>
              <w:pStyle w:val="PwCNormal"/>
              <w:numPr>
                <w:ilvl w:val="0"/>
                <w:numId w:val="0"/>
              </w:numPr>
              <w:spacing w:before="40" w:after="40"/>
              <w:jc w:val="center"/>
              <w:rPr>
                <w:rFonts w:ascii="Arial" w:hAnsi="Arial"/>
                <w:snapToGrid w:val="0"/>
                <w:color w:val="auto"/>
                <w:sz w:val="18"/>
                <w:szCs w:val="18"/>
              </w:rPr>
            </w:pPr>
            <w:r w:rsidRPr="00AB79BD">
              <w:rPr>
                <w:rFonts w:ascii="Arial" w:hAnsi="Arial"/>
                <w:snapToGrid w:val="0"/>
                <w:color w:val="auto"/>
                <w:sz w:val="18"/>
                <w:szCs w:val="18"/>
              </w:rPr>
              <w:t xml:space="preserve">Payment </w:t>
            </w:r>
            <w:r w:rsidR="002C0D56" w:rsidRPr="00AB79BD">
              <w:rPr>
                <w:rFonts w:ascii="Arial" w:hAnsi="Arial"/>
                <w:snapToGrid w:val="0"/>
                <w:color w:val="auto"/>
                <w:sz w:val="18"/>
                <w:szCs w:val="18"/>
              </w:rPr>
              <w:t>C</w:t>
            </w:r>
            <w:r w:rsidRPr="00AB79BD">
              <w:rPr>
                <w:rFonts w:ascii="Arial" w:hAnsi="Arial"/>
                <w:snapToGrid w:val="0"/>
                <w:color w:val="auto"/>
                <w:sz w:val="18"/>
                <w:szCs w:val="18"/>
              </w:rPr>
              <w:t>ategory</w:t>
            </w:r>
          </w:p>
        </w:tc>
        <w:tc>
          <w:tcPr>
            <w:tcW w:w="0" w:type="auto"/>
          </w:tcPr>
          <w:p w14:paraId="25DD3529" w14:textId="6CDBBE1F" w:rsidR="00837757" w:rsidRPr="00AB79BD" w:rsidRDefault="00837757" w:rsidP="00AB79BD">
            <w:pPr>
              <w:pStyle w:val="PwCNormal"/>
              <w:numPr>
                <w:ilvl w:val="0"/>
                <w:numId w:val="0"/>
              </w:numPr>
              <w:spacing w:before="40" w:after="40"/>
              <w:jc w:val="center"/>
              <w:cnfStyle w:val="100000000000" w:firstRow="1" w:lastRow="0" w:firstColumn="0" w:lastColumn="0" w:oddVBand="0" w:evenVBand="0" w:oddHBand="0" w:evenHBand="0" w:firstRowFirstColumn="0" w:firstRowLastColumn="0" w:lastRowFirstColumn="0" w:lastRowLastColumn="0"/>
              <w:rPr>
                <w:rFonts w:ascii="Arial" w:hAnsi="Arial"/>
                <w:snapToGrid w:val="0"/>
                <w:color w:val="auto"/>
                <w:sz w:val="18"/>
                <w:szCs w:val="18"/>
              </w:rPr>
            </w:pPr>
            <w:r w:rsidRPr="00AB79BD">
              <w:rPr>
                <w:rFonts w:ascii="Arial" w:hAnsi="Arial"/>
                <w:snapToGrid w:val="0"/>
                <w:color w:val="auto"/>
                <w:sz w:val="18"/>
                <w:szCs w:val="18"/>
              </w:rPr>
              <w:t xml:space="preserve">Average </w:t>
            </w:r>
            <w:r w:rsidR="002C0D56" w:rsidRPr="00AB79BD">
              <w:rPr>
                <w:rFonts w:ascii="Arial" w:hAnsi="Arial"/>
                <w:snapToGrid w:val="0"/>
                <w:color w:val="auto"/>
                <w:sz w:val="18"/>
                <w:szCs w:val="18"/>
              </w:rPr>
              <w:t>Y</w:t>
            </w:r>
            <w:r w:rsidRPr="00AB79BD">
              <w:rPr>
                <w:rFonts w:ascii="Arial" w:hAnsi="Arial"/>
                <w:snapToGrid w:val="0"/>
                <w:color w:val="auto"/>
                <w:sz w:val="18"/>
                <w:szCs w:val="18"/>
              </w:rPr>
              <w:t xml:space="preserve">ears of use per </w:t>
            </w:r>
            <w:r w:rsidR="002C0D56" w:rsidRPr="00AB79BD">
              <w:rPr>
                <w:rFonts w:ascii="Arial" w:hAnsi="Arial"/>
                <w:noProof/>
                <w:snapToGrid w:val="0"/>
                <w:color w:val="auto"/>
                <w:sz w:val="18"/>
                <w:szCs w:val="18"/>
              </w:rPr>
              <w:t>N</w:t>
            </w:r>
            <w:r w:rsidR="00507A38" w:rsidRPr="00AB79BD">
              <w:rPr>
                <w:rFonts w:ascii="Arial" w:hAnsi="Arial"/>
                <w:noProof/>
                <w:snapToGrid w:val="0"/>
                <w:color w:val="auto"/>
                <w:sz w:val="18"/>
                <w:szCs w:val="18"/>
              </w:rPr>
              <w:t xml:space="preserve">ew </w:t>
            </w:r>
            <w:r w:rsidR="002C0D56" w:rsidRPr="00AB79BD">
              <w:rPr>
                <w:rFonts w:ascii="Arial" w:hAnsi="Arial"/>
                <w:noProof/>
                <w:snapToGrid w:val="0"/>
                <w:color w:val="auto"/>
                <w:sz w:val="18"/>
                <w:szCs w:val="18"/>
              </w:rPr>
              <w:t>E</w:t>
            </w:r>
            <w:r w:rsidR="00507A38" w:rsidRPr="00AB79BD">
              <w:rPr>
                <w:rFonts w:ascii="Arial" w:hAnsi="Arial"/>
                <w:noProof/>
                <w:snapToGrid w:val="0"/>
                <w:color w:val="auto"/>
                <w:sz w:val="18"/>
                <w:szCs w:val="18"/>
              </w:rPr>
              <w:t>ntrant</w:t>
            </w:r>
          </w:p>
        </w:tc>
        <w:tc>
          <w:tcPr>
            <w:tcW w:w="0" w:type="auto"/>
          </w:tcPr>
          <w:p w14:paraId="2DD63757" w14:textId="7C6F7370" w:rsidR="00837757" w:rsidRPr="00AB79BD" w:rsidRDefault="00837757" w:rsidP="00AB79BD">
            <w:pPr>
              <w:pStyle w:val="PwCNormal"/>
              <w:numPr>
                <w:ilvl w:val="0"/>
                <w:numId w:val="0"/>
              </w:numPr>
              <w:spacing w:before="40" w:after="40"/>
              <w:jc w:val="center"/>
              <w:cnfStyle w:val="100000000000" w:firstRow="1" w:lastRow="0" w:firstColumn="0" w:lastColumn="0" w:oddVBand="0" w:evenVBand="0" w:oddHBand="0" w:evenHBand="0" w:firstRowFirstColumn="0" w:firstRowLastColumn="0" w:lastRowFirstColumn="0" w:lastRowLastColumn="0"/>
              <w:rPr>
                <w:rFonts w:ascii="Arial" w:hAnsi="Arial"/>
                <w:snapToGrid w:val="0"/>
                <w:color w:val="auto"/>
                <w:sz w:val="18"/>
                <w:szCs w:val="18"/>
              </w:rPr>
            </w:pPr>
            <w:r w:rsidRPr="00AB79BD">
              <w:rPr>
                <w:rFonts w:ascii="Arial" w:hAnsi="Arial"/>
                <w:snapToGrid w:val="0"/>
                <w:color w:val="auto"/>
                <w:sz w:val="18"/>
                <w:szCs w:val="18"/>
              </w:rPr>
              <w:t xml:space="preserve">Average </w:t>
            </w:r>
            <w:r w:rsidR="002C0D56" w:rsidRPr="00AB79BD">
              <w:rPr>
                <w:rFonts w:ascii="Arial" w:hAnsi="Arial"/>
                <w:snapToGrid w:val="0"/>
                <w:color w:val="auto"/>
                <w:sz w:val="18"/>
                <w:szCs w:val="18"/>
              </w:rPr>
              <w:t>Y</w:t>
            </w:r>
            <w:r w:rsidRPr="00AB79BD">
              <w:rPr>
                <w:rFonts w:ascii="Arial" w:hAnsi="Arial"/>
                <w:snapToGrid w:val="0"/>
                <w:color w:val="auto"/>
                <w:sz w:val="18"/>
                <w:szCs w:val="18"/>
              </w:rPr>
              <w:t xml:space="preserve">ears of use per </w:t>
            </w:r>
            <w:r w:rsidR="002C0D56" w:rsidRPr="00AB79BD">
              <w:rPr>
                <w:rFonts w:ascii="Arial" w:hAnsi="Arial"/>
                <w:snapToGrid w:val="0"/>
                <w:color w:val="auto"/>
                <w:sz w:val="18"/>
                <w:szCs w:val="18"/>
              </w:rPr>
              <w:t>R</w:t>
            </w:r>
            <w:r w:rsidRPr="00AB79BD">
              <w:rPr>
                <w:rFonts w:ascii="Arial" w:hAnsi="Arial"/>
                <w:snapToGrid w:val="0"/>
                <w:color w:val="auto"/>
                <w:sz w:val="18"/>
                <w:szCs w:val="18"/>
              </w:rPr>
              <w:t>ecipient</w:t>
            </w:r>
          </w:p>
        </w:tc>
        <w:tc>
          <w:tcPr>
            <w:tcW w:w="0" w:type="auto"/>
          </w:tcPr>
          <w:p w14:paraId="7A5F5291" w14:textId="0B6EC245" w:rsidR="00837757" w:rsidRPr="00AB79BD" w:rsidRDefault="00507A38" w:rsidP="00AB79BD">
            <w:pPr>
              <w:pStyle w:val="PwCNormal"/>
              <w:numPr>
                <w:ilvl w:val="0"/>
                <w:numId w:val="0"/>
              </w:numPr>
              <w:spacing w:before="40" w:after="40"/>
              <w:jc w:val="center"/>
              <w:cnfStyle w:val="100000000000" w:firstRow="1" w:lastRow="0" w:firstColumn="0" w:lastColumn="0" w:oddVBand="0" w:evenVBand="0" w:oddHBand="0" w:evenHBand="0" w:firstRowFirstColumn="0" w:firstRowLastColumn="0" w:lastRowFirstColumn="0" w:lastRowLastColumn="0"/>
              <w:rPr>
                <w:rFonts w:ascii="Arial" w:hAnsi="Arial"/>
                <w:snapToGrid w:val="0"/>
                <w:color w:val="auto"/>
                <w:sz w:val="18"/>
                <w:szCs w:val="18"/>
              </w:rPr>
            </w:pPr>
            <w:r w:rsidRPr="00AB79BD">
              <w:rPr>
                <w:rFonts w:ascii="Arial" w:hAnsi="Arial"/>
                <w:noProof/>
                <w:snapToGrid w:val="0"/>
                <w:color w:val="auto"/>
                <w:sz w:val="18"/>
                <w:szCs w:val="18"/>
              </w:rPr>
              <w:t xml:space="preserve">Percentage of </w:t>
            </w:r>
            <w:r w:rsidR="002C0D56" w:rsidRPr="00AB79BD">
              <w:rPr>
                <w:rFonts w:ascii="Arial" w:hAnsi="Arial"/>
                <w:noProof/>
                <w:snapToGrid w:val="0"/>
                <w:color w:val="auto"/>
                <w:sz w:val="18"/>
                <w:szCs w:val="18"/>
              </w:rPr>
              <w:t>P</w:t>
            </w:r>
            <w:r w:rsidRPr="00AB79BD">
              <w:rPr>
                <w:rFonts w:ascii="Arial" w:hAnsi="Arial"/>
                <w:noProof/>
                <w:snapToGrid w:val="0"/>
                <w:color w:val="auto"/>
                <w:sz w:val="18"/>
                <w:szCs w:val="18"/>
              </w:rPr>
              <w:t xml:space="preserve">opulation who will </w:t>
            </w:r>
            <w:r w:rsidR="002C0D56" w:rsidRPr="00AB79BD">
              <w:rPr>
                <w:rFonts w:ascii="Arial" w:hAnsi="Arial"/>
                <w:noProof/>
                <w:snapToGrid w:val="0"/>
                <w:color w:val="auto"/>
                <w:sz w:val="18"/>
                <w:szCs w:val="18"/>
              </w:rPr>
              <w:t>U</w:t>
            </w:r>
            <w:r w:rsidRPr="00AB79BD">
              <w:rPr>
                <w:rFonts w:ascii="Arial" w:hAnsi="Arial"/>
                <w:noProof/>
                <w:snapToGrid w:val="0"/>
                <w:color w:val="auto"/>
                <w:sz w:val="18"/>
                <w:szCs w:val="18"/>
              </w:rPr>
              <w:t xml:space="preserve">tilise this </w:t>
            </w:r>
            <w:r w:rsidR="002C0D56" w:rsidRPr="00AB79BD">
              <w:rPr>
                <w:rFonts w:ascii="Arial" w:hAnsi="Arial"/>
                <w:noProof/>
                <w:snapToGrid w:val="0"/>
                <w:color w:val="auto"/>
                <w:sz w:val="18"/>
                <w:szCs w:val="18"/>
              </w:rPr>
              <w:t>C</w:t>
            </w:r>
            <w:r w:rsidRPr="00AB79BD">
              <w:rPr>
                <w:rFonts w:ascii="Arial" w:hAnsi="Arial"/>
                <w:noProof/>
                <w:snapToGrid w:val="0"/>
                <w:color w:val="auto"/>
                <w:sz w:val="18"/>
                <w:szCs w:val="18"/>
              </w:rPr>
              <w:t>ategory</w:t>
            </w:r>
          </w:p>
        </w:tc>
      </w:tr>
      <w:tr w:rsidR="00240AA3" w:rsidRPr="00AB79BD" w14:paraId="181EC679" w14:textId="35EF89AD" w:rsidTr="00A128CA">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0" w:type="auto"/>
          </w:tcPr>
          <w:p w14:paraId="758C7AEC" w14:textId="7983159C" w:rsidR="00240AA3" w:rsidRPr="00AB79BD" w:rsidRDefault="00240AA3" w:rsidP="00AB79BD">
            <w:pPr>
              <w:pStyle w:val="PwCNormal"/>
              <w:numPr>
                <w:ilvl w:val="0"/>
                <w:numId w:val="0"/>
              </w:numPr>
              <w:spacing w:before="40" w:after="40"/>
              <w:jc w:val="center"/>
              <w:rPr>
                <w:rFonts w:ascii="Arial" w:hAnsi="Arial"/>
                <w:snapToGrid w:val="0"/>
                <w:color w:val="auto"/>
                <w:sz w:val="18"/>
                <w:szCs w:val="18"/>
              </w:rPr>
            </w:pPr>
            <w:r w:rsidRPr="00AB79BD">
              <w:rPr>
                <w:rFonts w:ascii="Arial" w:hAnsi="Arial"/>
                <w:sz w:val="18"/>
                <w:szCs w:val="18"/>
              </w:rPr>
              <w:t>A - IS Studying</w:t>
            </w:r>
          </w:p>
        </w:tc>
        <w:tc>
          <w:tcPr>
            <w:tcW w:w="0" w:type="auto"/>
          </w:tcPr>
          <w:p w14:paraId="2954AA2B" w14:textId="41B3DA20" w:rsidR="00240AA3" w:rsidRPr="00AB79BD" w:rsidRDefault="00240AA3" w:rsidP="00AB79BD">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snapToGrid w:val="0"/>
                <w:color w:val="auto"/>
                <w:sz w:val="18"/>
                <w:szCs w:val="18"/>
              </w:rPr>
            </w:pPr>
            <w:r w:rsidRPr="00AB79BD">
              <w:rPr>
                <w:rFonts w:ascii="Arial" w:hAnsi="Arial"/>
                <w:color w:val="auto"/>
                <w:sz w:val="18"/>
                <w:szCs w:val="18"/>
              </w:rPr>
              <w:t>2.7</w:t>
            </w:r>
          </w:p>
        </w:tc>
        <w:tc>
          <w:tcPr>
            <w:tcW w:w="0" w:type="auto"/>
          </w:tcPr>
          <w:p w14:paraId="301105F8" w14:textId="14D16F06" w:rsidR="00240AA3" w:rsidRPr="00AB79BD" w:rsidRDefault="00240AA3" w:rsidP="00AB79BD">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snapToGrid w:val="0"/>
                <w:color w:val="auto"/>
                <w:sz w:val="18"/>
                <w:szCs w:val="18"/>
              </w:rPr>
            </w:pPr>
            <w:r w:rsidRPr="00AB79BD">
              <w:rPr>
                <w:rFonts w:ascii="Arial" w:hAnsi="Arial"/>
                <w:color w:val="auto"/>
                <w:sz w:val="18"/>
                <w:szCs w:val="18"/>
              </w:rPr>
              <w:t>3.2</w:t>
            </w:r>
          </w:p>
        </w:tc>
        <w:tc>
          <w:tcPr>
            <w:tcW w:w="0" w:type="auto"/>
          </w:tcPr>
          <w:p w14:paraId="41817535" w14:textId="0265A827" w:rsidR="00240AA3" w:rsidRPr="00AB79BD" w:rsidRDefault="00240AA3" w:rsidP="00AB79BD">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olor w:val="auto"/>
                <w:sz w:val="18"/>
                <w:szCs w:val="18"/>
              </w:rPr>
            </w:pPr>
            <w:r w:rsidRPr="00AB79BD">
              <w:rPr>
                <w:rFonts w:ascii="Arial" w:hAnsi="Arial"/>
                <w:color w:val="auto"/>
                <w:sz w:val="18"/>
                <w:szCs w:val="18"/>
              </w:rPr>
              <w:t>36%</w:t>
            </w:r>
          </w:p>
        </w:tc>
      </w:tr>
      <w:tr w:rsidR="00240AA3" w:rsidRPr="00AB79BD" w14:paraId="3749F0AE" w14:textId="1E7A5769" w:rsidTr="00A128CA">
        <w:trPr>
          <w:trHeight w:val="57"/>
        </w:trPr>
        <w:tc>
          <w:tcPr>
            <w:cnfStyle w:val="001000000000" w:firstRow="0" w:lastRow="0" w:firstColumn="1" w:lastColumn="0" w:oddVBand="0" w:evenVBand="0" w:oddHBand="0" w:evenHBand="0" w:firstRowFirstColumn="0" w:firstRowLastColumn="0" w:lastRowFirstColumn="0" w:lastRowLastColumn="0"/>
            <w:tcW w:w="0" w:type="auto"/>
          </w:tcPr>
          <w:p w14:paraId="6FB0DF74" w14:textId="34E0FE5B" w:rsidR="00240AA3" w:rsidRPr="00AB79BD" w:rsidRDefault="00240AA3" w:rsidP="00AB79BD">
            <w:pPr>
              <w:pStyle w:val="PwCNormal"/>
              <w:numPr>
                <w:ilvl w:val="0"/>
                <w:numId w:val="0"/>
              </w:numPr>
              <w:spacing w:before="40" w:after="40"/>
              <w:jc w:val="center"/>
              <w:rPr>
                <w:rFonts w:ascii="Arial" w:hAnsi="Arial"/>
                <w:snapToGrid w:val="0"/>
                <w:color w:val="auto"/>
                <w:sz w:val="18"/>
                <w:szCs w:val="18"/>
              </w:rPr>
            </w:pPr>
            <w:r w:rsidRPr="00AB79BD">
              <w:rPr>
                <w:rFonts w:ascii="Arial" w:hAnsi="Arial"/>
                <w:sz w:val="18"/>
                <w:szCs w:val="18"/>
              </w:rPr>
              <w:t>B - IS Working Age</w:t>
            </w:r>
          </w:p>
        </w:tc>
        <w:tc>
          <w:tcPr>
            <w:tcW w:w="0" w:type="auto"/>
          </w:tcPr>
          <w:p w14:paraId="6F795AA0" w14:textId="2819FA84" w:rsidR="00240AA3" w:rsidRPr="00AB79BD" w:rsidRDefault="00240AA3" w:rsidP="00AB79BD">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snapToGrid w:val="0"/>
                <w:color w:val="auto"/>
                <w:sz w:val="18"/>
                <w:szCs w:val="18"/>
              </w:rPr>
            </w:pPr>
            <w:r w:rsidRPr="00AB79BD">
              <w:rPr>
                <w:rFonts w:ascii="Arial" w:hAnsi="Arial"/>
                <w:color w:val="auto"/>
                <w:sz w:val="18"/>
                <w:szCs w:val="18"/>
              </w:rPr>
              <w:t>3.6</w:t>
            </w:r>
          </w:p>
        </w:tc>
        <w:tc>
          <w:tcPr>
            <w:tcW w:w="0" w:type="auto"/>
          </w:tcPr>
          <w:p w14:paraId="1D96A523" w14:textId="79EF31F0" w:rsidR="00240AA3" w:rsidRPr="00AB79BD" w:rsidRDefault="00240AA3" w:rsidP="00AB79BD">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snapToGrid w:val="0"/>
                <w:color w:val="auto"/>
                <w:sz w:val="18"/>
                <w:szCs w:val="18"/>
              </w:rPr>
            </w:pPr>
            <w:r w:rsidRPr="00AB79BD">
              <w:rPr>
                <w:rFonts w:ascii="Arial" w:hAnsi="Arial"/>
                <w:color w:val="auto"/>
                <w:sz w:val="18"/>
                <w:szCs w:val="18"/>
              </w:rPr>
              <w:t>6.8</w:t>
            </w:r>
          </w:p>
        </w:tc>
        <w:tc>
          <w:tcPr>
            <w:tcW w:w="0" w:type="auto"/>
          </w:tcPr>
          <w:p w14:paraId="567812DD" w14:textId="10F0A22F" w:rsidR="00240AA3" w:rsidRPr="00AB79BD" w:rsidRDefault="00240AA3" w:rsidP="00AB79BD">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olor w:val="auto"/>
                <w:sz w:val="18"/>
                <w:szCs w:val="18"/>
              </w:rPr>
            </w:pPr>
            <w:r w:rsidRPr="00AB79BD">
              <w:rPr>
                <w:rFonts w:ascii="Arial" w:hAnsi="Arial"/>
                <w:color w:val="auto"/>
                <w:sz w:val="18"/>
                <w:szCs w:val="18"/>
              </w:rPr>
              <w:t>53%</w:t>
            </w:r>
          </w:p>
        </w:tc>
      </w:tr>
      <w:tr w:rsidR="00240AA3" w:rsidRPr="00AB79BD" w14:paraId="3DC6EF1F" w14:textId="57787935" w:rsidTr="00A128CA">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0" w:type="auto"/>
          </w:tcPr>
          <w:p w14:paraId="2AA30932" w14:textId="368AA620" w:rsidR="00240AA3" w:rsidRPr="00AB79BD" w:rsidRDefault="00240AA3" w:rsidP="00AB79BD">
            <w:pPr>
              <w:pStyle w:val="PwCNormal"/>
              <w:numPr>
                <w:ilvl w:val="0"/>
                <w:numId w:val="0"/>
              </w:numPr>
              <w:spacing w:before="40" w:after="40"/>
              <w:jc w:val="center"/>
              <w:rPr>
                <w:rFonts w:ascii="Arial" w:hAnsi="Arial"/>
                <w:snapToGrid w:val="0"/>
                <w:color w:val="auto"/>
                <w:sz w:val="18"/>
                <w:szCs w:val="18"/>
              </w:rPr>
            </w:pPr>
            <w:r w:rsidRPr="00AB79BD">
              <w:rPr>
                <w:rFonts w:ascii="Arial" w:hAnsi="Arial"/>
                <w:sz w:val="18"/>
                <w:szCs w:val="18"/>
              </w:rPr>
              <w:t>C - IS Parents</w:t>
            </w:r>
          </w:p>
        </w:tc>
        <w:tc>
          <w:tcPr>
            <w:tcW w:w="0" w:type="auto"/>
          </w:tcPr>
          <w:p w14:paraId="4BA48FAA" w14:textId="3DB0A6C3" w:rsidR="00240AA3" w:rsidRPr="00AB79BD" w:rsidRDefault="00240AA3" w:rsidP="00AB79BD">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snapToGrid w:val="0"/>
                <w:color w:val="auto"/>
                <w:sz w:val="18"/>
                <w:szCs w:val="18"/>
              </w:rPr>
            </w:pPr>
            <w:r w:rsidRPr="00AB79BD">
              <w:rPr>
                <w:rFonts w:ascii="Arial" w:hAnsi="Arial"/>
                <w:color w:val="auto"/>
                <w:sz w:val="18"/>
                <w:szCs w:val="18"/>
              </w:rPr>
              <w:t>5.4</w:t>
            </w:r>
          </w:p>
        </w:tc>
        <w:tc>
          <w:tcPr>
            <w:tcW w:w="0" w:type="auto"/>
          </w:tcPr>
          <w:p w14:paraId="0328580F" w14:textId="6C64647E" w:rsidR="00240AA3" w:rsidRPr="00AB79BD" w:rsidRDefault="00240AA3" w:rsidP="00AB79BD">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snapToGrid w:val="0"/>
                <w:color w:val="auto"/>
                <w:sz w:val="18"/>
                <w:szCs w:val="18"/>
              </w:rPr>
            </w:pPr>
            <w:r w:rsidRPr="00AB79BD">
              <w:rPr>
                <w:rFonts w:ascii="Arial" w:hAnsi="Arial"/>
                <w:color w:val="auto"/>
                <w:sz w:val="18"/>
                <w:szCs w:val="18"/>
              </w:rPr>
              <w:t>7.2</w:t>
            </w:r>
          </w:p>
        </w:tc>
        <w:tc>
          <w:tcPr>
            <w:tcW w:w="0" w:type="auto"/>
          </w:tcPr>
          <w:p w14:paraId="43CEC6B0" w14:textId="7A8A9986" w:rsidR="00240AA3" w:rsidRPr="00AB79BD" w:rsidRDefault="00240AA3" w:rsidP="00AB79BD">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olor w:val="auto"/>
                <w:sz w:val="18"/>
                <w:szCs w:val="18"/>
              </w:rPr>
            </w:pPr>
            <w:r w:rsidRPr="00AB79BD">
              <w:rPr>
                <w:rFonts w:ascii="Arial" w:hAnsi="Arial"/>
                <w:color w:val="auto"/>
                <w:sz w:val="18"/>
                <w:szCs w:val="18"/>
              </w:rPr>
              <w:t>15%</w:t>
            </w:r>
          </w:p>
        </w:tc>
      </w:tr>
      <w:tr w:rsidR="00240AA3" w:rsidRPr="00AB79BD" w14:paraId="55FF8E48" w14:textId="6EA91F02" w:rsidTr="00A128CA">
        <w:trPr>
          <w:trHeight w:val="57"/>
        </w:trPr>
        <w:tc>
          <w:tcPr>
            <w:cnfStyle w:val="001000000000" w:firstRow="0" w:lastRow="0" w:firstColumn="1" w:lastColumn="0" w:oddVBand="0" w:evenVBand="0" w:oddHBand="0" w:evenHBand="0" w:firstRowFirstColumn="0" w:firstRowLastColumn="0" w:lastRowFirstColumn="0" w:lastRowLastColumn="0"/>
            <w:tcW w:w="0" w:type="auto"/>
          </w:tcPr>
          <w:p w14:paraId="13D05088" w14:textId="0013F4E4" w:rsidR="00240AA3" w:rsidRPr="00AB79BD" w:rsidRDefault="00240AA3" w:rsidP="00AB79BD">
            <w:pPr>
              <w:pStyle w:val="PwCNormal"/>
              <w:numPr>
                <w:ilvl w:val="0"/>
                <w:numId w:val="0"/>
              </w:numPr>
              <w:spacing w:before="40" w:after="40"/>
              <w:jc w:val="center"/>
              <w:rPr>
                <w:rFonts w:ascii="Arial" w:hAnsi="Arial"/>
                <w:snapToGrid w:val="0"/>
                <w:color w:val="auto"/>
                <w:sz w:val="18"/>
                <w:szCs w:val="18"/>
              </w:rPr>
            </w:pPr>
            <w:r w:rsidRPr="00AB79BD">
              <w:rPr>
                <w:rFonts w:ascii="Arial" w:hAnsi="Arial"/>
                <w:sz w:val="18"/>
                <w:szCs w:val="18"/>
              </w:rPr>
              <w:t>D - IS Carers</w:t>
            </w:r>
          </w:p>
        </w:tc>
        <w:tc>
          <w:tcPr>
            <w:tcW w:w="0" w:type="auto"/>
          </w:tcPr>
          <w:p w14:paraId="39AE3AD6" w14:textId="6D9E06CF" w:rsidR="00240AA3" w:rsidRPr="00AB79BD" w:rsidRDefault="00240AA3" w:rsidP="00AB79BD">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snapToGrid w:val="0"/>
                <w:color w:val="auto"/>
                <w:sz w:val="18"/>
                <w:szCs w:val="18"/>
              </w:rPr>
            </w:pPr>
            <w:r w:rsidRPr="00AB79BD">
              <w:rPr>
                <w:rFonts w:ascii="Arial" w:hAnsi="Arial"/>
                <w:color w:val="auto"/>
                <w:sz w:val="18"/>
                <w:szCs w:val="18"/>
              </w:rPr>
              <w:t>7.2</w:t>
            </w:r>
          </w:p>
        </w:tc>
        <w:tc>
          <w:tcPr>
            <w:tcW w:w="0" w:type="auto"/>
          </w:tcPr>
          <w:p w14:paraId="6C13FDE1" w14:textId="3481B465" w:rsidR="00240AA3" w:rsidRPr="00AB79BD" w:rsidRDefault="00240AA3" w:rsidP="00AB79BD">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snapToGrid w:val="0"/>
                <w:color w:val="auto"/>
                <w:sz w:val="18"/>
                <w:szCs w:val="18"/>
              </w:rPr>
            </w:pPr>
            <w:r w:rsidRPr="00AB79BD">
              <w:rPr>
                <w:rFonts w:ascii="Arial" w:hAnsi="Arial"/>
                <w:color w:val="auto"/>
                <w:sz w:val="18"/>
                <w:szCs w:val="18"/>
              </w:rPr>
              <w:t>8.6</w:t>
            </w:r>
          </w:p>
        </w:tc>
        <w:tc>
          <w:tcPr>
            <w:tcW w:w="0" w:type="auto"/>
          </w:tcPr>
          <w:p w14:paraId="69177E18" w14:textId="3230A038" w:rsidR="00240AA3" w:rsidRPr="00AB79BD" w:rsidRDefault="00240AA3" w:rsidP="00AB79BD">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olor w:val="auto"/>
                <w:sz w:val="18"/>
                <w:szCs w:val="18"/>
              </w:rPr>
            </w:pPr>
            <w:r w:rsidRPr="00AB79BD">
              <w:rPr>
                <w:rFonts w:ascii="Arial" w:hAnsi="Arial"/>
                <w:color w:val="auto"/>
                <w:sz w:val="18"/>
                <w:szCs w:val="18"/>
              </w:rPr>
              <w:t>11%</w:t>
            </w:r>
          </w:p>
        </w:tc>
      </w:tr>
      <w:tr w:rsidR="00240AA3" w:rsidRPr="00AB79BD" w14:paraId="728ECFF9" w14:textId="454D4DFD" w:rsidTr="00A128CA">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0" w:type="auto"/>
          </w:tcPr>
          <w:p w14:paraId="48024F93" w14:textId="18A68B73" w:rsidR="00240AA3" w:rsidRPr="00AB79BD" w:rsidRDefault="00240AA3" w:rsidP="00AB79BD">
            <w:pPr>
              <w:pStyle w:val="PwCNormal"/>
              <w:numPr>
                <w:ilvl w:val="0"/>
                <w:numId w:val="0"/>
              </w:numPr>
              <w:spacing w:before="40" w:after="40"/>
              <w:jc w:val="center"/>
              <w:rPr>
                <w:rFonts w:ascii="Arial" w:hAnsi="Arial"/>
                <w:snapToGrid w:val="0"/>
                <w:color w:val="auto"/>
                <w:sz w:val="18"/>
                <w:szCs w:val="18"/>
              </w:rPr>
            </w:pPr>
            <w:r w:rsidRPr="00AB79BD">
              <w:rPr>
                <w:rFonts w:ascii="Arial" w:hAnsi="Arial"/>
                <w:sz w:val="18"/>
                <w:szCs w:val="18"/>
              </w:rPr>
              <w:t>E - IS Disability</w:t>
            </w:r>
          </w:p>
        </w:tc>
        <w:tc>
          <w:tcPr>
            <w:tcW w:w="0" w:type="auto"/>
          </w:tcPr>
          <w:p w14:paraId="1BB39811" w14:textId="316B8499" w:rsidR="00240AA3" w:rsidRPr="00AB79BD" w:rsidRDefault="00240AA3" w:rsidP="00AB79BD">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snapToGrid w:val="0"/>
                <w:color w:val="auto"/>
                <w:sz w:val="18"/>
                <w:szCs w:val="18"/>
              </w:rPr>
            </w:pPr>
            <w:r w:rsidRPr="00AB79BD">
              <w:rPr>
                <w:rFonts w:ascii="Arial" w:hAnsi="Arial"/>
                <w:color w:val="auto"/>
                <w:sz w:val="18"/>
                <w:szCs w:val="18"/>
              </w:rPr>
              <w:t>19.8</w:t>
            </w:r>
          </w:p>
        </w:tc>
        <w:tc>
          <w:tcPr>
            <w:tcW w:w="0" w:type="auto"/>
          </w:tcPr>
          <w:p w14:paraId="53DD7999" w14:textId="6F993A82" w:rsidR="00240AA3" w:rsidRPr="00AB79BD" w:rsidRDefault="00240AA3" w:rsidP="00AB79BD">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snapToGrid w:val="0"/>
                <w:color w:val="auto"/>
                <w:sz w:val="18"/>
                <w:szCs w:val="18"/>
              </w:rPr>
            </w:pPr>
            <w:r w:rsidRPr="00AB79BD">
              <w:rPr>
                <w:rFonts w:ascii="Arial" w:hAnsi="Arial"/>
                <w:color w:val="auto"/>
                <w:sz w:val="18"/>
                <w:szCs w:val="18"/>
              </w:rPr>
              <w:t>20.8</w:t>
            </w:r>
          </w:p>
        </w:tc>
        <w:tc>
          <w:tcPr>
            <w:tcW w:w="0" w:type="auto"/>
          </w:tcPr>
          <w:p w14:paraId="41B5B2A2" w14:textId="0E7F459C" w:rsidR="00240AA3" w:rsidRPr="00AB79BD" w:rsidRDefault="00240AA3" w:rsidP="00AB79BD">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olor w:val="auto"/>
                <w:sz w:val="18"/>
                <w:szCs w:val="18"/>
              </w:rPr>
            </w:pPr>
            <w:r w:rsidRPr="00AB79BD">
              <w:rPr>
                <w:rFonts w:ascii="Arial" w:hAnsi="Arial"/>
                <w:color w:val="auto"/>
                <w:sz w:val="18"/>
                <w:szCs w:val="18"/>
              </w:rPr>
              <w:t>11%</w:t>
            </w:r>
          </w:p>
        </w:tc>
      </w:tr>
      <w:tr w:rsidR="00240AA3" w:rsidRPr="00AB79BD" w14:paraId="287073F1" w14:textId="7292D4E1" w:rsidTr="00A128CA">
        <w:trPr>
          <w:trHeight w:val="57"/>
        </w:trPr>
        <w:tc>
          <w:tcPr>
            <w:cnfStyle w:val="001000000000" w:firstRow="0" w:lastRow="0" w:firstColumn="1" w:lastColumn="0" w:oddVBand="0" w:evenVBand="0" w:oddHBand="0" w:evenHBand="0" w:firstRowFirstColumn="0" w:firstRowLastColumn="0" w:lastRowFirstColumn="0" w:lastRowLastColumn="0"/>
            <w:tcW w:w="0" w:type="auto"/>
          </w:tcPr>
          <w:p w14:paraId="6BCD8B26" w14:textId="48406C3B" w:rsidR="00240AA3" w:rsidRPr="00AB79BD" w:rsidRDefault="00240AA3" w:rsidP="00AB79BD">
            <w:pPr>
              <w:pStyle w:val="PwCNormal"/>
              <w:numPr>
                <w:ilvl w:val="0"/>
                <w:numId w:val="0"/>
              </w:numPr>
              <w:spacing w:before="40" w:after="40"/>
              <w:jc w:val="center"/>
              <w:rPr>
                <w:rFonts w:ascii="Arial" w:hAnsi="Arial"/>
                <w:snapToGrid w:val="0"/>
                <w:color w:val="auto"/>
                <w:sz w:val="18"/>
                <w:szCs w:val="18"/>
              </w:rPr>
            </w:pPr>
            <w:r w:rsidRPr="00AB79BD">
              <w:rPr>
                <w:rFonts w:ascii="Arial" w:hAnsi="Arial"/>
                <w:sz w:val="18"/>
                <w:szCs w:val="18"/>
              </w:rPr>
              <w:t>F - IS Aged</w:t>
            </w:r>
          </w:p>
        </w:tc>
        <w:tc>
          <w:tcPr>
            <w:tcW w:w="0" w:type="auto"/>
          </w:tcPr>
          <w:p w14:paraId="47602F35" w14:textId="3B9BC38D" w:rsidR="00240AA3" w:rsidRPr="00AB79BD" w:rsidRDefault="00240AA3" w:rsidP="00AB79BD">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snapToGrid w:val="0"/>
                <w:color w:val="auto"/>
                <w:sz w:val="18"/>
                <w:szCs w:val="18"/>
              </w:rPr>
            </w:pPr>
            <w:r w:rsidRPr="00AB79BD">
              <w:rPr>
                <w:rFonts w:ascii="Arial" w:hAnsi="Arial"/>
                <w:color w:val="auto"/>
                <w:sz w:val="18"/>
                <w:szCs w:val="18"/>
              </w:rPr>
              <w:t>18.4</w:t>
            </w:r>
          </w:p>
        </w:tc>
        <w:tc>
          <w:tcPr>
            <w:tcW w:w="0" w:type="auto"/>
          </w:tcPr>
          <w:p w14:paraId="4FFFEE94" w14:textId="4C0354F0" w:rsidR="00240AA3" w:rsidRPr="00AB79BD" w:rsidRDefault="00240AA3" w:rsidP="00AB79BD">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snapToGrid w:val="0"/>
                <w:color w:val="auto"/>
                <w:sz w:val="18"/>
                <w:szCs w:val="18"/>
              </w:rPr>
            </w:pPr>
            <w:r w:rsidRPr="00AB79BD">
              <w:rPr>
                <w:rFonts w:ascii="Arial" w:hAnsi="Arial"/>
                <w:color w:val="auto"/>
                <w:sz w:val="18"/>
                <w:szCs w:val="18"/>
              </w:rPr>
              <w:t>19.0</w:t>
            </w:r>
          </w:p>
        </w:tc>
        <w:tc>
          <w:tcPr>
            <w:tcW w:w="0" w:type="auto"/>
          </w:tcPr>
          <w:p w14:paraId="05FDA863" w14:textId="439E2D2A" w:rsidR="00240AA3" w:rsidRPr="00AB79BD" w:rsidRDefault="00240AA3" w:rsidP="00AB79BD">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olor w:val="auto"/>
                <w:sz w:val="18"/>
                <w:szCs w:val="18"/>
              </w:rPr>
            </w:pPr>
            <w:r w:rsidRPr="00AB79BD">
              <w:rPr>
                <w:rFonts w:ascii="Arial" w:hAnsi="Arial"/>
                <w:color w:val="auto"/>
                <w:sz w:val="18"/>
                <w:szCs w:val="18"/>
              </w:rPr>
              <w:t>67%</w:t>
            </w:r>
          </w:p>
        </w:tc>
      </w:tr>
      <w:tr w:rsidR="00240AA3" w:rsidRPr="00AB79BD" w14:paraId="1887B0A5" w14:textId="6F31A020" w:rsidTr="00A128CA">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0" w:type="auto"/>
          </w:tcPr>
          <w:p w14:paraId="7D1CA5A9" w14:textId="6A84F66E" w:rsidR="00240AA3" w:rsidRPr="00AB79BD" w:rsidRDefault="00240AA3" w:rsidP="00AB79BD">
            <w:pPr>
              <w:pStyle w:val="PwCNormal"/>
              <w:numPr>
                <w:ilvl w:val="0"/>
                <w:numId w:val="0"/>
              </w:numPr>
              <w:spacing w:before="40" w:after="40"/>
              <w:jc w:val="center"/>
              <w:rPr>
                <w:rFonts w:ascii="Arial" w:hAnsi="Arial"/>
                <w:snapToGrid w:val="0"/>
                <w:color w:val="auto"/>
                <w:sz w:val="18"/>
                <w:szCs w:val="18"/>
              </w:rPr>
            </w:pPr>
            <w:r w:rsidRPr="00AB79BD">
              <w:rPr>
                <w:rFonts w:ascii="Arial" w:hAnsi="Arial"/>
                <w:sz w:val="18"/>
                <w:szCs w:val="18"/>
              </w:rPr>
              <w:t>G - IS Dependent</w:t>
            </w:r>
          </w:p>
        </w:tc>
        <w:tc>
          <w:tcPr>
            <w:tcW w:w="0" w:type="auto"/>
            <w:gridSpan w:val="3"/>
          </w:tcPr>
          <w:p w14:paraId="67B4BC60" w14:textId="066409A3" w:rsidR="00240AA3" w:rsidRPr="00AB79BD" w:rsidRDefault="00240AA3" w:rsidP="00AB79BD">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noProof/>
                <w:snapToGrid w:val="0"/>
                <w:color w:val="auto"/>
                <w:sz w:val="18"/>
                <w:szCs w:val="18"/>
              </w:rPr>
            </w:pPr>
            <w:r w:rsidRPr="00AB79BD">
              <w:rPr>
                <w:rFonts w:ascii="Arial" w:hAnsi="Arial"/>
                <w:noProof/>
                <w:snapToGrid w:val="0"/>
                <w:color w:val="auto"/>
                <w:sz w:val="18"/>
                <w:szCs w:val="18"/>
              </w:rPr>
              <w:t>Payment closed to new entrants</w:t>
            </w:r>
          </w:p>
        </w:tc>
      </w:tr>
      <w:tr w:rsidR="00240AA3" w:rsidRPr="00AB79BD" w14:paraId="6FD7BEFB" w14:textId="62583E51" w:rsidTr="00A128CA">
        <w:trPr>
          <w:trHeight w:val="57"/>
        </w:trPr>
        <w:tc>
          <w:tcPr>
            <w:cnfStyle w:val="001000000000" w:firstRow="0" w:lastRow="0" w:firstColumn="1" w:lastColumn="0" w:oddVBand="0" w:evenVBand="0" w:oddHBand="0" w:evenHBand="0" w:firstRowFirstColumn="0" w:firstRowLastColumn="0" w:lastRowFirstColumn="0" w:lastRowLastColumn="0"/>
            <w:tcW w:w="0" w:type="auto"/>
          </w:tcPr>
          <w:p w14:paraId="28905A92" w14:textId="09EED047" w:rsidR="00240AA3" w:rsidRPr="00AB79BD" w:rsidRDefault="00240AA3" w:rsidP="00AB79BD">
            <w:pPr>
              <w:pStyle w:val="PwCNormal"/>
              <w:numPr>
                <w:ilvl w:val="0"/>
                <w:numId w:val="0"/>
              </w:numPr>
              <w:spacing w:before="40" w:after="40"/>
              <w:jc w:val="center"/>
              <w:rPr>
                <w:rFonts w:ascii="Arial" w:hAnsi="Arial"/>
                <w:snapToGrid w:val="0"/>
                <w:color w:val="auto"/>
                <w:sz w:val="18"/>
                <w:szCs w:val="18"/>
              </w:rPr>
            </w:pPr>
            <w:r w:rsidRPr="00AB79BD">
              <w:rPr>
                <w:rFonts w:ascii="Arial" w:hAnsi="Arial"/>
                <w:sz w:val="18"/>
                <w:szCs w:val="18"/>
              </w:rPr>
              <w:t>H - Other - FTB</w:t>
            </w:r>
          </w:p>
        </w:tc>
        <w:tc>
          <w:tcPr>
            <w:tcW w:w="0" w:type="auto"/>
          </w:tcPr>
          <w:p w14:paraId="44EF6875" w14:textId="0F82B88B" w:rsidR="00240AA3" w:rsidRPr="00AB79BD" w:rsidRDefault="00240AA3" w:rsidP="00AB79BD">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snapToGrid w:val="0"/>
                <w:color w:val="auto"/>
                <w:sz w:val="18"/>
                <w:szCs w:val="18"/>
              </w:rPr>
            </w:pPr>
            <w:r w:rsidRPr="00AB79BD">
              <w:rPr>
                <w:rFonts w:ascii="Arial" w:hAnsi="Arial"/>
                <w:color w:val="auto"/>
                <w:sz w:val="18"/>
                <w:szCs w:val="18"/>
              </w:rPr>
              <w:t>2.9</w:t>
            </w:r>
          </w:p>
        </w:tc>
        <w:tc>
          <w:tcPr>
            <w:tcW w:w="0" w:type="auto"/>
          </w:tcPr>
          <w:p w14:paraId="2F872D0B" w14:textId="66ED7040" w:rsidR="00240AA3" w:rsidRPr="00AB79BD" w:rsidRDefault="00240AA3" w:rsidP="00AB79BD">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snapToGrid w:val="0"/>
                <w:color w:val="auto"/>
                <w:sz w:val="18"/>
                <w:szCs w:val="18"/>
              </w:rPr>
            </w:pPr>
            <w:r w:rsidRPr="00AB79BD">
              <w:rPr>
                <w:rFonts w:ascii="Arial" w:hAnsi="Arial"/>
                <w:color w:val="auto"/>
                <w:sz w:val="18"/>
                <w:szCs w:val="18"/>
              </w:rPr>
              <w:t>8.7</w:t>
            </w:r>
          </w:p>
        </w:tc>
        <w:tc>
          <w:tcPr>
            <w:tcW w:w="0" w:type="auto"/>
          </w:tcPr>
          <w:p w14:paraId="6E5B824A" w14:textId="3CB8D0D8" w:rsidR="00240AA3" w:rsidRPr="00AB79BD" w:rsidRDefault="00240AA3" w:rsidP="00AB79BD">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olor w:val="auto"/>
                <w:sz w:val="18"/>
                <w:szCs w:val="18"/>
              </w:rPr>
            </w:pPr>
            <w:r w:rsidRPr="00AB79BD">
              <w:rPr>
                <w:rFonts w:ascii="Arial" w:hAnsi="Arial"/>
                <w:color w:val="auto"/>
                <w:sz w:val="18"/>
                <w:szCs w:val="18"/>
              </w:rPr>
              <w:t>49%</w:t>
            </w:r>
          </w:p>
        </w:tc>
      </w:tr>
      <w:tr w:rsidR="00240AA3" w:rsidRPr="00AB79BD" w14:paraId="5D0E9AFF" w14:textId="47A23B0E" w:rsidTr="00A128CA">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0" w:type="auto"/>
          </w:tcPr>
          <w:p w14:paraId="42C6A808" w14:textId="29B8E001" w:rsidR="00240AA3" w:rsidRPr="00AB79BD" w:rsidRDefault="00240AA3" w:rsidP="00AB79BD">
            <w:pPr>
              <w:pStyle w:val="PwCNormal"/>
              <w:numPr>
                <w:ilvl w:val="0"/>
                <w:numId w:val="0"/>
              </w:numPr>
              <w:spacing w:before="40" w:after="40"/>
              <w:jc w:val="center"/>
              <w:rPr>
                <w:rFonts w:ascii="Arial" w:hAnsi="Arial"/>
                <w:snapToGrid w:val="0"/>
                <w:color w:val="auto"/>
                <w:sz w:val="18"/>
                <w:szCs w:val="18"/>
              </w:rPr>
            </w:pPr>
            <w:r w:rsidRPr="00AB79BD">
              <w:rPr>
                <w:rFonts w:ascii="Arial" w:hAnsi="Arial"/>
                <w:sz w:val="18"/>
                <w:szCs w:val="18"/>
              </w:rPr>
              <w:t>I - Other - Family</w:t>
            </w:r>
          </w:p>
        </w:tc>
        <w:tc>
          <w:tcPr>
            <w:tcW w:w="0" w:type="auto"/>
          </w:tcPr>
          <w:p w14:paraId="5A2916B1" w14:textId="3E6930A5" w:rsidR="00240AA3" w:rsidRPr="00AB79BD" w:rsidRDefault="00240AA3" w:rsidP="00AB79BD">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snapToGrid w:val="0"/>
                <w:color w:val="auto"/>
                <w:sz w:val="18"/>
                <w:szCs w:val="18"/>
              </w:rPr>
            </w:pPr>
            <w:r w:rsidRPr="00AB79BD">
              <w:rPr>
                <w:rFonts w:ascii="Arial" w:hAnsi="Arial"/>
                <w:color w:val="auto"/>
                <w:sz w:val="18"/>
                <w:szCs w:val="18"/>
              </w:rPr>
              <w:t>2.5</w:t>
            </w:r>
          </w:p>
        </w:tc>
        <w:tc>
          <w:tcPr>
            <w:tcW w:w="0" w:type="auto"/>
          </w:tcPr>
          <w:p w14:paraId="755871B1" w14:textId="059E3657" w:rsidR="00240AA3" w:rsidRPr="00AB79BD" w:rsidRDefault="00240AA3" w:rsidP="00AB79BD">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snapToGrid w:val="0"/>
                <w:color w:val="auto"/>
                <w:sz w:val="18"/>
                <w:szCs w:val="18"/>
              </w:rPr>
            </w:pPr>
            <w:r w:rsidRPr="00AB79BD">
              <w:rPr>
                <w:rFonts w:ascii="Arial" w:hAnsi="Arial"/>
                <w:color w:val="auto"/>
                <w:sz w:val="18"/>
                <w:szCs w:val="18"/>
              </w:rPr>
              <w:t>6.9</w:t>
            </w:r>
          </w:p>
        </w:tc>
        <w:tc>
          <w:tcPr>
            <w:tcW w:w="0" w:type="auto"/>
          </w:tcPr>
          <w:p w14:paraId="35C070C3" w14:textId="1930BD72" w:rsidR="00240AA3" w:rsidRPr="00AB79BD" w:rsidRDefault="00240AA3" w:rsidP="00AB79BD">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olor w:val="auto"/>
                <w:sz w:val="18"/>
                <w:szCs w:val="18"/>
              </w:rPr>
            </w:pPr>
            <w:r w:rsidRPr="00AB79BD">
              <w:rPr>
                <w:rFonts w:ascii="Arial" w:hAnsi="Arial"/>
                <w:color w:val="auto"/>
                <w:sz w:val="18"/>
                <w:szCs w:val="18"/>
              </w:rPr>
              <w:t>44%</w:t>
            </w:r>
          </w:p>
        </w:tc>
      </w:tr>
      <w:tr w:rsidR="00240AA3" w:rsidRPr="00AB79BD" w14:paraId="5954131E" w14:textId="32B2B92A" w:rsidTr="00A128CA">
        <w:trPr>
          <w:trHeight w:val="57"/>
        </w:trPr>
        <w:tc>
          <w:tcPr>
            <w:cnfStyle w:val="001000000000" w:firstRow="0" w:lastRow="0" w:firstColumn="1" w:lastColumn="0" w:oddVBand="0" w:evenVBand="0" w:oddHBand="0" w:evenHBand="0" w:firstRowFirstColumn="0" w:firstRowLastColumn="0" w:lastRowFirstColumn="0" w:lastRowLastColumn="0"/>
            <w:tcW w:w="0" w:type="auto"/>
          </w:tcPr>
          <w:p w14:paraId="145D00AE" w14:textId="34764049" w:rsidR="00240AA3" w:rsidRPr="00AB79BD" w:rsidRDefault="00240AA3" w:rsidP="00AB79BD">
            <w:pPr>
              <w:pStyle w:val="PwCNormal"/>
              <w:numPr>
                <w:ilvl w:val="0"/>
                <w:numId w:val="0"/>
              </w:numPr>
              <w:spacing w:before="40" w:after="40"/>
              <w:jc w:val="center"/>
              <w:rPr>
                <w:rFonts w:ascii="Arial" w:hAnsi="Arial"/>
                <w:snapToGrid w:val="0"/>
                <w:color w:val="auto"/>
                <w:sz w:val="18"/>
                <w:szCs w:val="18"/>
              </w:rPr>
            </w:pPr>
            <w:r w:rsidRPr="00AB79BD">
              <w:rPr>
                <w:rFonts w:ascii="Arial" w:hAnsi="Arial"/>
                <w:sz w:val="18"/>
                <w:szCs w:val="18"/>
              </w:rPr>
              <w:t>J - Other - New Parents</w:t>
            </w:r>
          </w:p>
        </w:tc>
        <w:tc>
          <w:tcPr>
            <w:tcW w:w="0" w:type="auto"/>
          </w:tcPr>
          <w:p w14:paraId="4EEFD718" w14:textId="5AD68C35" w:rsidR="00240AA3" w:rsidRPr="00AB79BD" w:rsidRDefault="00240AA3" w:rsidP="00AB79BD">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snapToGrid w:val="0"/>
                <w:color w:val="auto"/>
                <w:sz w:val="18"/>
                <w:szCs w:val="18"/>
              </w:rPr>
            </w:pPr>
            <w:r w:rsidRPr="00AB79BD">
              <w:rPr>
                <w:rFonts w:ascii="Arial" w:hAnsi="Arial"/>
                <w:color w:val="auto"/>
                <w:sz w:val="18"/>
                <w:szCs w:val="18"/>
              </w:rPr>
              <w:t>1.4</w:t>
            </w:r>
          </w:p>
        </w:tc>
        <w:tc>
          <w:tcPr>
            <w:tcW w:w="0" w:type="auto"/>
          </w:tcPr>
          <w:p w14:paraId="621BA349" w14:textId="357B9F47" w:rsidR="00240AA3" w:rsidRPr="00AB79BD" w:rsidRDefault="00240AA3" w:rsidP="00AB79BD">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snapToGrid w:val="0"/>
                <w:color w:val="auto"/>
                <w:sz w:val="18"/>
                <w:szCs w:val="18"/>
              </w:rPr>
            </w:pPr>
            <w:r w:rsidRPr="00AB79BD">
              <w:rPr>
                <w:rFonts w:ascii="Arial" w:hAnsi="Arial"/>
                <w:color w:val="auto"/>
                <w:sz w:val="18"/>
                <w:szCs w:val="18"/>
              </w:rPr>
              <w:t>2.6</w:t>
            </w:r>
          </w:p>
        </w:tc>
        <w:tc>
          <w:tcPr>
            <w:tcW w:w="0" w:type="auto"/>
          </w:tcPr>
          <w:p w14:paraId="0D764F50" w14:textId="7DE0831F" w:rsidR="00240AA3" w:rsidRPr="00AB79BD" w:rsidRDefault="00240AA3" w:rsidP="00AB79BD">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olor w:val="auto"/>
                <w:sz w:val="18"/>
                <w:szCs w:val="18"/>
              </w:rPr>
            </w:pPr>
            <w:r w:rsidRPr="00AB79BD">
              <w:rPr>
                <w:rFonts w:ascii="Arial" w:hAnsi="Arial"/>
                <w:color w:val="auto"/>
                <w:sz w:val="18"/>
                <w:szCs w:val="18"/>
              </w:rPr>
              <w:t>46%</w:t>
            </w:r>
          </w:p>
        </w:tc>
      </w:tr>
      <w:tr w:rsidR="00240AA3" w:rsidRPr="00AB79BD" w14:paraId="76DCD142" w14:textId="0ECD5561" w:rsidTr="00A128CA">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0" w:type="auto"/>
          </w:tcPr>
          <w:p w14:paraId="096E3972" w14:textId="378CF3A8" w:rsidR="00240AA3" w:rsidRPr="00AB79BD" w:rsidRDefault="00240AA3" w:rsidP="00AB79BD">
            <w:pPr>
              <w:pStyle w:val="PwCNormal"/>
              <w:numPr>
                <w:ilvl w:val="0"/>
                <w:numId w:val="0"/>
              </w:numPr>
              <w:spacing w:before="40" w:after="40"/>
              <w:jc w:val="center"/>
              <w:rPr>
                <w:rFonts w:ascii="Arial" w:hAnsi="Arial"/>
                <w:snapToGrid w:val="0"/>
                <w:color w:val="auto"/>
                <w:sz w:val="18"/>
                <w:szCs w:val="18"/>
              </w:rPr>
            </w:pPr>
            <w:r w:rsidRPr="00AB79BD">
              <w:rPr>
                <w:rFonts w:ascii="Arial" w:hAnsi="Arial"/>
                <w:sz w:val="18"/>
                <w:szCs w:val="18"/>
              </w:rPr>
              <w:t>L - Other - Health &amp; Disability</w:t>
            </w:r>
          </w:p>
        </w:tc>
        <w:tc>
          <w:tcPr>
            <w:tcW w:w="0" w:type="auto"/>
          </w:tcPr>
          <w:p w14:paraId="649E9232" w14:textId="2360476E" w:rsidR="00240AA3" w:rsidRPr="00AB79BD" w:rsidRDefault="00240AA3" w:rsidP="00AB79BD">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snapToGrid w:val="0"/>
                <w:color w:val="auto"/>
                <w:sz w:val="18"/>
                <w:szCs w:val="18"/>
              </w:rPr>
            </w:pPr>
            <w:r w:rsidRPr="00AB79BD">
              <w:rPr>
                <w:rFonts w:ascii="Arial" w:hAnsi="Arial"/>
                <w:color w:val="auto"/>
                <w:sz w:val="18"/>
                <w:szCs w:val="18"/>
              </w:rPr>
              <w:t>3.0</w:t>
            </w:r>
          </w:p>
        </w:tc>
        <w:tc>
          <w:tcPr>
            <w:tcW w:w="0" w:type="auto"/>
          </w:tcPr>
          <w:p w14:paraId="325B6274" w14:textId="2043CEE0" w:rsidR="00240AA3" w:rsidRPr="00AB79BD" w:rsidRDefault="00240AA3" w:rsidP="00AB79BD">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snapToGrid w:val="0"/>
                <w:color w:val="auto"/>
                <w:sz w:val="18"/>
                <w:szCs w:val="18"/>
              </w:rPr>
            </w:pPr>
            <w:r w:rsidRPr="00AB79BD">
              <w:rPr>
                <w:rFonts w:ascii="Arial" w:hAnsi="Arial"/>
                <w:color w:val="auto"/>
                <w:sz w:val="18"/>
                <w:szCs w:val="18"/>
              </w:rPr>
              <w:t>3.3</w:t>
            </w:r>
          </w:p>
        </w:tc>
        <w:tc>
          <w:tcPr>
            <w:tcW w:w="0" w:type="auto"/>
          </w:tcPr>
          <w:p w14:paraId="76512F3F" w14:textId="29132BC2" w:rsidR="00240AA3" w:rsidRPr="00AB79BD" w:rsidRDefault="00240AA3" w:rsidP="00AB79BD">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olor w:val="auto"/>
                <w:sz w:val="18"/>
                <w:szCs w:val="18"/>
              </w:rPr>
            </w:pPr>
            <w:r w:rsidRPr="00AB79BD">
              <w:rPr>
                <w:rFonts w:ascii="Arial" w:hAnsi="Arial"/>
                <w:color w:val="auto"/>
                <w:sz w:val="18"/>
                <w:szCs w:val="18"/>
              </w:rPr>
              <w:t>7%</w:t>
            </w:r>
          </w:p>
        </w:tc>
      </w:tr>
      <w:tr w:rsidR="00240AA3" w:rsidRPr="00AB79BD" w14:paraId="16486743" w14:textId="238E68E4" w:rsidTr="00A128CA">
        <w:trPr>
          <w:trHeight w:val="57"/>
        </w:trPr>
        <w:tc>
          <w:tcPr>
            <w:cnfStyle w:val="001000000000" w:firstRow="0" w:lastRow="0" w:firstColumn="1" w:lastColumn="0" w:oddVBand="0" w:evenVBand="0" w:oddHBand="0" w:evenHBand="0" w:firstRowFirstColumn="0" w:firstRowLastColumn="0" w:lastRowFirstColumn="0" w:lastRowLastColumn="0"/>
            <w:tcW w:w="0" w:type="auto"/>
          </w:tcPr>
          <w:p w14:paraId="1054B802" w14:textId="356C4448" w:rsidR="00240AA3" w:rsidRPr="00AB79BD" w:rsidRDefault="00240AA3" w:rsidP="00AB79BD">
            <w:pPr>
              <w:pStyle w:val="PwCNormal"/>
              <w:numPr>
                <w:ilvl w:val="0"/>
                <w:numId w:val="0"/>
              </w:numPr>
              <w:spacing w:before="40" w:after="40"/>
              <w:jc w:val="center"/>
              <w:rPr>
                <w:rFonts w:ascii="Arial" w:hAnsi="Arial"/>
                <w:snapToGrid w:val="0"/>
                <w:color w:val="auto"/>
                <w:sz w:val="18"/>
                <w:szCs w:val="18"/>
              </w:rPr>
            </w:pPr>
            <w:r w:rsidRPr="00AB79BD">
              <w:rPr>
                <w:rFonts w:ascii="Arial" w:hAnsi="Arial"/>
                <w:sz w:val="18"/>
                <w:szCs w:val="18"/>
              </w:rPr>
              <w:t>M - Other - Carer</w:t>
            </w:r>
          </w:p>
        </w:tc>
        <w:tc>
          <w:tcPr>
            <w:tcW w:w="0" w:type="auto"/>
          </w:tcPr>
          <w:p w14:paraId="1D23CEEA" w14:textId="2081A570" w:rsidR="00240AA3" w:rsidRPr="00AB79BD" w:rsidRDefault="00240AA3" w:rsidP="00AB79BD">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snapToGrid w:val="0"/>
                <w:color w:val="auto"/>
                <w:sz w:val="18"/>
                <w:szCs w:val="18"/>
              </w:rPr>
            </w:pPr>
            <w:r w:rsidRPr="00AB79BD">
              <w:rPr>
                <w:rFonts w:ascii="Arial" w:hAnsi="Arial"/>
                <w:color w:val="auto"/>
                <w:sz w:val="18"/>
                <w:szCs w:val="18"/>
              </w:rPr>
              <w:t>6.0</w:t>
            </w:r>
          </w:p>
        </w:tc>
        <w:tc>
          <w:tcPr>
            <w:tcW w:w="0" w:type="auto"/>
          </w:tcPr>
          <w:p w14:paraId="01C5A49A" w14:textId="2FA9B4F4" w:rsidR="00240AA3" w:rsidRPr="00AB79BD" w:rsidRDefault="00240AA3" w:rsidP="00AB79BD">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snapToGrid w:val="0"/>
                <w:color w:val="auto"/>
                <w:sz w:val="18"/>
                <w:szCs w:val="18"/>
              </w:rPr>
            </w:pPr>
            <w:r w:rsidRPr="00AB79BD">
              <w:rPr>
                <w:rFonts w:ascii="Arial" w:hAnsi="Arial"/>
                <w:color w:val="auto"/>
                <w:sz w:val="18"/>
                <w:szCs w:val="18"/>
              </w:rPr>
              <w:t>7.5</w:t>
            </w:r>
          </w:p>
        </w:tc>
        <w:tc>
          <w:tcPr>
            <w:tcW w:w="0" w:type="auto"/>
          </w:tcPr>
          <w:p w14:paraId="295AC6F9" w14:textId="5F826FBE" w:rsidR="00240AA3" w:rsidRPr="00AB79BD" w:rsidRDefault="00240AA3" w:rsidP="00AB79BD">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olor w:val="auto"/>
                <w:sz w:val="18"/>
                <w:szCs w:val="18"/>
              </w:rPr>
            </w:pPr>
            <w:r w:rsidRPr="00AB79BD">
              <w:rPr>
                <w:rFonts w:ascii="Arial" w:hAnsi="Arial"/>
                <w:color w:val="auto"/>
                <w:sz w:val="18"/>
                <w:szCs w:val="18"/>
              </w:rPr>
              <w:t>27%</w:t>
            </w:r>
          </w:p>
        </w:tc>
      </w:tr>
      <w:tr w:rsidR="00240AA3" w:rsidRPr="00AB79BD" w14:paraId="076B0E5A" w14:textId="1A9017A0" w:rsidTr="00A128CA">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0" w:type="auto"/>
          </w:tcPr>
          <w:p w14:paraId="72AE3B79" w14:textId="1584463D" w:rsidR="00240AA3" w:rsidRPr="00AB79BD" w:rsidRDefault="00240AA3" w:rsidP="00AB79BD">
            <w:pPr>
              <w:pStyle w:val="PwCNormal"/>
              <w:numPr>
                <w:ilvl w:val="0"/>
                <w:numId w:val="0"/>
              </w:numPr>
              <w:spacing w:before="40" w:after="40"/>
              <w:jc w:val="center"/>
              <w:rPr>
                <w:rFonts w:ascii="Arial" w:hAnsi="Arial"/>
                <w:snapToGrid w:val="0"/>
                <w:color w:val="auto"/>
                <w:sz w:val="18"/>
                <w:szCs w:val="18"/>
              </w:rPr>
            </w:pPr>
            <w:r w:rsidRPr="00AB79BD">
              <w:rPr>
                <w:rFonts w:ascii="Arial" w:hAnsi="Arial"/>
                <w:sz w:val="18"/>
                <w:szCs w:val="18"/>
              </w:rPr>
              <w:t>N - Other - Study &amp; Skills</w:t>
            </w:r>
          </w:p>
        </w:tc>
        <w:tc>
          <w:tcPr>
            <w:tcW w:w="0" w:type="auto"/>
          </w:tcPr>
          <w:p w14:paraId="212C8267" w14:textId="06F88209" w:rsidR="00240AA3" w:rsidRPr="00AB79BD" w:rsidRDefault="00240AA3" w:rsidP="00AB79BD">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snapToGrid w:val="0"/>
                <w:color w:val="auto"/>
                <w:sz w:val="18"/>
                <w:szCs w:val="18"/>
              </w:rPr>
            </w:pPr>
            <w:r w:rsidRPr="00AB79BD">
              <w:rPr>
                <w:rFonts w:ascii="Arial" w:hAnsi="Arial"/>
                <w:color w:val="auto"/>
                <w:sz w:val="18"/>
                <w:szCs w:val="18"/>
              </w:rPr>
              <w:t>2.2</w:t>
            </w:r>
          </w:p>
        </w:tc>
        <w:tc>
          <w:tcPr>
            <w:tcW w:w="0" w:type="auto"/>
          </w:tcPr>
          <w:p w14:paraId="43935D32" w14:textId="720A573D" w:rsidR="00240AA3" w:rsidRPr="00AB79BD" w:rsidRDefault="00240AA3" w:rsidP="00AB79BD">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snapToGrid w:val="0"/>
                <w:color w:val="auto"/>
                <w:sz w:val="18"/>
                <w:szCs w:val="18"/>
              </w:rPr>
            </w:pPr>
            <w:r w:rsidRPr="00AB79BD">
              <w:rPr>
                <w:rFonts w:ascii="Arial" w:hAnsi="Arial"/>
                <w:color w:val="auto"/>
                <w:sz w:val="18"/>
                <w:szCs w:val="18"/>
              </w:rPr>
              <w:t>3.3</w:t>
            </w:r>
          </w:p>
        </w:tc>
        <w:tc>
          <w:tcPr>
            <w:tcW w:w="0" w:type="auto"/>
          </w:tcPr>
          <w:p w14:paraId="24E70E72" w14:textId="2A05A3B1" w:rsidR="00240AA3" w:rsidRPr="00AB79BD" w:rsidRDefault="00240AA3" w:rsidP="00AB79BD">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olor w:val="auto"/>
                <w:sz w:val="18"/>
                <w:szCs w:val="18"/>
              </w:rPr>
            </w:pPr>
            <w:r w:rsidRPr="00AB79BD">
              <w:rPr>
                <w:rFonts w:ascii="Arial" w:hAnsi="Arial"/>
                <w:color w:val="auto"/>
                <w:sz w:val="18"/>
                <w:szCs w:val="18"/>
              </w:rPr>
              <w:t>29%</w:t>
            </w:r>
          </w:p>
        </w:tc>
      </w:tr>
      <w:tr w:rsidR="00240AA3" w:rsidRPr="00AB79BD" w14:paraId="0F402CA3" w14:textId="4F220387" w:rsidTr="00A128CA">
        <w:trPr>
          <w:trHeight w:val="57"/>
        </w:trPr>
        <w:tc>
          <w:tcPr>
            <w:cnfStyle w:val="001000000000" w:firstRow="0" w:lastRow="0" w:firstColumn="1" w:lastColumn="0" w:oddVBand="0" w:evenVBand="0" w:oddHBand="0" w:evenHBand="0" w:firstRowFirstColumn="0" w:firstRowLastColumn="0" w:lastRowFirstColumn="0" w:lastRowLastColumn="0"/>
            <w:tcW w:w="0" w:type="auto"/>
          </w:tcPr>
          <w:p w14:paraId="3112353D" w14:textId="0E8761F6" w:rsidR="00240AA3" w:rsidRPr="00AB79BD" w:rsidRDefault="00240AA3" w:rsidP="00AB79BD">
            <w:pPr>
              <w:pStyle w:val="PwCNormal"/>
              <w:numPr>
                <w:ilvl w:val="0"/>
                <w:numId w:val="0"/>
              </w:numPr>
              <w:spacing w:before="40" w:after="40"/>
              <w:jc w:val="center"/>
              <w:rPr>
                <w:rFonts w:ascii="Arial" w:hAnsi="Arial"/>
                <w:snapToGrid w:val="0"/>
                <w:color w:val="auto"/>
                <w:sz w:val="18"/>
                <w:szCs w:val="18"/>
              </w:rPr>
            </w:pPr>
            <w:r w:rsidRPr="00AB79BD">
              <w:rPr>
                <w:rFonts w:ascii="Arial" w:hAnsi="Arial"/>
                <w:sz w:val="18"/>
                <w:szCs w:val="18"/>
              </w:rPr>
              <w:t>O - Other Remote &amp; Regional</w:t>
            </w:r>
          </w:p>
        </w:tc>
        <w:tc>
          <w:tcPr>
            <w:tcW w:w="0" w:type="auto"/>
          </w:tcPr>
          <w:p w14:paraId="229134E3" w14:textId="7F4AAC1A" w:rsidR="00240AA3" w:rsidRPr="00AB79BD" w:rsidRDefault="00240AA3" w:rsidP="00AB79BD">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snapToGrid w:val="0"/>
                <w:color w:val="auto"/>
                <w:sz w:val="18"/>
                <w:szCs w:val="18"/>
              </w:rPr>
            </w:pPr>
            <w:r w:rsidRPr="00AB79BD">
              <w:rPr>
                <w:rFonts w:ascii="Arial" w:hAnsi="Arial"/>
                <w:color w:val="auto"/>
                <w:sz w:val="18"/>
                <w:szCs w:val="18"/>
              </w:rPr>
              <w:t>6.1</w:t>
            </w:r>
          </w:p>
        </w:tc>
        <w:tc>
          <w:tcPr>
            <w:tcW w:w="0" w:type="auto"/>
          </w:tcPr>
          <w:p w14:paraId="37A6A622" w14:textId="594E4A31" w:rsidR="00240AA3" w:rsidRPr="00AB79BD" w:rsidRDefault="00240AA3" w:rsidP="00AB79BD">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snapToGrid w:val="0"/>
                <w:color w:val="auto"/>
                <w:sz w:val="18"/>
                <w:szCs w:val="18"/>
              </w:rPr>
            </w:pPr>
            <w:r w:rsidRPr="00AB79BD">
              <w:rPr>
                <w:rFonts w:ascii="Arial" w:hAnsi="Arial"/>
                <w:color w:val="auto"/>
                <w:sz w:val="18"/>
                <w:szCs w:val="18"/>
              </w:rPr>
              <w:t>7.9</w:t>
            </w:r>
          </w:p>
        </w:tc>
        <w:tc>
          <w:tcPr>
            <w:tcW w:w="0" w:type="auto"/>
          </w:tcPr>
          <w:p w14:paraId="66EE4342" w14:textId="356584B5" w:rsidR="00240AA3" w:rsidRPr="00AB79BD" w:rsidRDefault="00240AA3" w:rsidP="00AB79BD">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olor w:val="auto"/>
                <w:sz w:val="18"/>
                <w:szCs w:val="18"/>
              </w:rPr>
            </w:pPr>
            <w:r w:rsidRPr="00AB79BD">
              <w:rPr>
                <w:rFonts w:ascii="Arial" w:hAnsi="Arial"/>
                <w:color w:val="auto"/>
                <w:sz w:val="18"/>
                <w:szCs w:val="18"/>
              </w:rPr>
              <w:t>10%</w:t>
            </w:r>
          </w:p>
        </w:tc>
      </w:tr>
      <w:tr w:rsidR="00240AA3" w:rsidRPr="00AB79BD" w14:paraId="6240DA64" w14:textId="5D97266C" w:rsidTr="00A128CA">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0" w:type="auto"/>
          </w:tcPr>
          <w:p w14:paraId="2BFD2B3A" w14:textId="7AC5DF00" w:rsidR="00240AA3" w:rsidRPr="00AB79BD" w:rsidRDefault="00240AA3" w:rsidP="00AB79BD">
            <w:pPr>
              <w:pStyle w:val="PwCNormal"/>
              <w:numPr>
                <w:ilvl w:val="0"/>
                <w:numId w:val="0"/>
              </w:numPr>
              <w:spacing w:before="40" w:after="40"/>
              <w:jc w:val="center"/>
              <w:rPr>
                <w:rFonts w:ascii="Arial" w:hAnsi="Arial"/>
                <w:snapToGrid w:val="0"/>
                <w:color w:val="auto"/>
                <w:sz w:val="18"/>
                <w:szCs w:val="18"/>
              </w:rPr>
            </w:pPr>
            <w:r w:rsidRPr="00AB79BD">
              <w:rPr>
                <w:rFonts w:ascii="Arial" w:hAnsi="Arial"/>
                <w:sz w:val="18"/>
                <w:szCs w:val="18"/>
              </w:rPr>
              <w:t>P - Other General Allowances</w:t>
            </w:r>
          </w:p>
        </w:tc>
        <w:tc>
          <w:tcPr>
            <w:tcW w:w="0" w:type="auto"/>
          </w:tcPr>
          <w:p w14:paraId="2A702AE3" w14:textId="01993F6E" w:rsidR="00240AA3" w:rsidRPr="00AB79BD" w:rsidRDefault="00240AA3" w:rsidP="00AB79BD">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snapToGrid w:val="0"/>
                <w:color w:val="auto"/>
                <w:sz w:val="18"/>
                <w:szCs w:val="18"/>
              </w:rPr>
            </w:pPr>
            <w:r w:rsidRPr="00AB79BD">
              <w:rPr>
                <w:rFonts w:ascii="Arial" w:hAnsi="Arial"/>
                <w:color w:val="auto"/>
                <w:sz w:val="18"/>
                <w:szCs w:val="18"/>
              </w:rPr>
              <w:t>10.2</w:t>
            </w:r>
          </w:p>
        </w:tc>
        <w:tc>
          <w:tcPr>
            <w:tcW w:w="0" w:type="auto"/>
          </w:tcPr>
          <w:p w14:paraId="2C29FFA3" w14:textId="2EF1AB16" w:rsidR="00240AA3" w:rsidRPr="00AB79BD" w:rsidRDefault="00240AA3" w:rsidP="00AB79BD">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snapToGrid w:val="0"/>
                <w:color w:val="auto"/>
                <w:sz w:val="18"/>
                <w:szCs w:val="18"/>
              </w:rPr>
            </w:pPr>
            <w:r w:rsidRPr="00AB79BD">
              <w:rPr>
                <w:rFonts w:ascii="Arial" w:hAnsi="Arial"/>
                <w:color w:val="auto"/>
                <w:sz w:val="18"/>
                <w:szCs w:val="18"/>
              </w:rPr>
              <w:t>25.1</w:t>
            </w:r>
          </w:p>
        </w:tc>
        <w:tc>
          <w:tcPr>
            <w:tcW w:w="0" w:type="auto"/>
          </w:tcPr>
          <w:p w14:paraId="0AA9E936" w14:textId="12A0F191" w:rsidR="00240AA3" w:rsidRPr="00AB79BD" w:rsidRDefault="00240AA3" w:rsidP="00AB79BD">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olor w:val="auto"/>
                <w:sz w:val="18"/>
                <w:szCs w:val="18"/>
              </w:rPr>
            </w:pPr>
            <w:r w:rsidRPr="00AB79BD">
              <w:rPr>
                <w:rFonts w:ascii="Arial" w:hAnsi="Arial"/>
                <w:color w:val="auto"/>
                <w:sz w:val="18"/>
                <w:szCs w:val="18"/>
              </w:rPr>
              <w:t>89%</w:t>
            </w:r>
          </w:p>
        </w:tc>
      </w:tr>
      <w:tr w:rsidR="00240AA3" w:rsidRPr="00AB79BD" w14:paraId="24EF3202" w14:textId="33646647" w:rsidTr="00A128CA">
        <w:trPr>
          <w:trHeight w:val="57"/>
        </w:trPr>
        <w:tc>
          <w:tcPr>
            <w:cnfStyle w:val="001000000000" w:firstRow="0" w:lastRow="0" w:firstColumn="1" w:lastColumn="0" w:oddVBand="0" w:evenVBand="0" w:oddHBand="0" w:evenHBand="0" w:firstRowFirstColumn="0" w:firstRowLastColumn="0" w:lastRowFirstColumn="0" w:lastRowLastColumn="0"/>
            <w:tcW w:w="0" w:type="auto"/>
          </w:tcPr>
          <w:p w14:paraId="6D0727C9" w14:textId="1408EB87" w:rsidR="00240AA3" w:rsidRPr="00AB79BD" w:rsidRDefault="00240AA3" w:rsidP="00AB79BD">
            <w:pPr>
              <w:pStyle w:val="PwCNormal"/>
              <w:numPr>
                <w:ilvl w:val="0"/>
                <w:numId w:val="0"/>
              </w:numPr>
              <w:spacing w:before="40" w:after="40"/>
              <w:jc w:val="center"/>
              <w:rPr>
                <w:rFonts w:ascii="Arial" w:hAnsi="Arial"/>
                <w:snapToGrid w:val="0"/>
                <w:color w:val="auto"/>
                <w:sz w:val="18"/>
                <w:szCs w:val="18"/>
              </w:rPr>
            </w:pPr>
            <w:r w:rsidRPr="00AB79BD">
              <w:rPr>
                <w:rFonts w:ascii="Arial" w:hAnsi="Arial"/>
                <w:sz w:val="18"/>
                <w:szCs w:val="18"/>
              </w:rPr>
              <w:t>Q - All Other</w:t>
            </w:r>
          </w:p>
        </w:tc>
        <w:tc>
          <w:tcPr>
            <w:tcW w:w="0" w:type="auto"/>
          </w:tcPr>
          <w:p w14:paraId="468E34B8" w14:textId="41A0EEC9" w:rsidR="00240AA3" w:rsidRPr="00AB79BD" w:rsidRDefault="00240AA3" w:rsidP="00AB79BD">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snapToGrid w:val="0"/>
                <w:color w:val="auto"/>
                <w:sz w:val="18"/>
                <w:szCs w:val="18"/>
              </w:rPr>
            </w:pPr>
            <w:r w:rsidRPr="00AB79BD">
              <w:rPr>
                <w:rFonts w:ascii="Arial" w:hAnsi="Arial"/>
                <w:color w:val="auto"/>
                <w:sz w:val="18"/>
                <w:szCs w:val="18"/>
              </w:rPr>
              <w:t>1.2</w:t>
            </w:r>
          </w:p>
        </w:tc>
        <w:tc>
          <w:tcPr>
            <w:tcW w:w="0" w:type="auto"/>
          </w:tcPr>
          <w:p w14:paraId="5889437F" w14:textId="40D6602F" w:rsidR="00240AA3" w:rsidRPr="00AB79BD" w:rsidRDefault="00240AA3" w:rsidP="00AB79BD">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snapToGrid w:val="0"/>
                <w:color w:val="auto"/>
                <w:sz w:val="18"/>
                <w:szCs w:val="18"/>
              </w:rPr>
            </w:pPr>
            <w:r w:rsidRPr="00AB79BD">
              <w:rPr>
                <w:rFonts w:ascii="Arial" w:hAnsi="Arial"/>
                <w:color w:val="auto"/>
                <w:sz w:val="18"/>
                <w:szCs w:val="18"/>
              </w:rPr>
              <w:t>1.6</w:t>
            </w:r>
          </w:p>
        </w:tc>
        <w:tc>
          <w:tcPr>
            <w:tcW w:w="0" w:type="auto"/>
          </w:tcPr>
          <w:p w14:paraId="2DB48B55" w14:textId="43600B09" w:rsidR="00240AA3" w:rsidRPr="00AB79BD" w:rsidRDefault="00240AA3" w:rsidP="00AB79BD">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olor w:val="auto"/>
                <w:sz w:val="18"/>
                <w:szCs w:val="18"/>
              </w:rPr>
            </w:pPr>
            <w:r w:rsidRPr="00AB79BD">
              <w:rPr>
                <w:rFonts w:ascii="Arial" w:hAnsi="Arial"/>
                <w:color w:val="auto"/>
                <w:sz w:val="18"/>
                <w:szCs w:val="18"/>
              </w:rPr>
              <w:t>25%</w:t>
            </w:r>
          </w:p>
        </w:tc>
      </w:tr>
      <w:tr w:rsidR="00240AA3" w:rsidRPr="00AB79BD" w14:paraId="2B602B7C" w14:textId="0252180B" w:rsidTr="00A128CA">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0" w:type="auto"/>
          </w:tcPr>
          <w:p w14:paraId="075E4C86" w14:textId="35405C81" w:rsidR="00240AA3" w:rsidRPr="00AB79BD" w:rsidRDefault="00240AA3" w:rsidP="00AB79BD">
            <w:pPr>
              <w:pStyle w:val="PwCNormal"/>
              <w:numPr>
                <w:ilvl w:val="0"/>
                <w:numId w:val="0"/>
              </w:numPr>
              <w:spacing w:before="40" w:after="40"/>
              <w:jc w:val="center"/>
              <w:rPr>
                <w:rFonts w:ascii="Arial" w:hAnsi="Arial"/>
                <w:snapToGrid w:val="0"/>
                <w:color w:val="auto"/>
                <w:sz w:val="18"/>
                <w:szCs w:val="18"/>
              </w:rPr>
            </w:pPr>
            <w:r w:rsidRPr="00AB79BD">
              <w:rPr>
                <w:rFonts w:ascii="Arial" w:hAnsi="Arial"/>
                <w:sz w:val="18"/>
                <w:szCs w:val="18"/>
              </w:rPr>
              <w:t>R - Rent Assistance</w:t>
            </w:r>
          </w:p>
        </w:tc>
        <w:tc>
          <w:tcPr>
            <w:tcW w:w="0" w:type="auto"/>
          </w:tcPr>
          <w:p w14:paraId="47AA6355" w14:textId="1FDB4A41" w:rsidR="00240AA3" w:rsidRPr="00AB79BD" w:rsidRDefault="00240AA3" w:rsidP="00AB79BD">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snapToGrid w:val="0"/>
                <w:color w:val="auto"/>
                <w:sz w:val="18"/>
                <w:szCs w:val="18"/>
              </w:rPr>
            </w:pPr>
            <w:r w:rsidRPr="00AB79BD">
              <w:rPr>
                <w:rFonts w:ascii="Arial" w:hAnsi="Arial"/>
                <w:color w:val="auto"/>
                <w:sz w:val="18"/>
                <w:szCs w:val="18"/>
              </w:rPr>
              <w:t>5.8</w:t>
            </w:r>
          </w:p>
        </w:tc>
        <w:tc>
          <w:tcPr>
            <w:tcW w:w="0" w:type="auto"/>
          </w:tcPr>
          <w:p w14:paraId="6EB185A0" w14:textId="6ADFB092" w:rsidR="00240AA3" w:rsidRPr="00AB79BD" w:rsidRDefault="00240AA3" w:rsidP="00AB79BD">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snapToGrid w:val="0"/>
                <w:color w:val="auto"/>
                <w:sz w:val="18"/>
                <w:szCs w:val="18"/>
              </w:rPr>
            </w:pPr>
            <w:r w:rsidRPr="00AB79BD">
              <w:rPr>
                <w:rFonts w:ascii="Arial" w:hAnsi="Arial"/>
                <w:color w:val="auto"/>
                <w:sz w:val="18"/>
                <w:szCs w:val="18"/>
              </w:rPr>
              <w:t>12.0</w:t>
            </w:r>
          </w:p>
        </w:tc>
        <w:tc>
          <w:tcPr>
            <w:tcW w:w="0" w:type="auto"/>
          </w:tcPr>
          <w:p w14:paraId="22712182" w14:textId="56943D6C" w:rsidR="00240AA3" w:rsidRPr="00AB79BD" w:rsidRDefault="00240AA3" w:rsidP="00AB79BD">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olor w:val="auto"/>
                <w:sz w:val="18"/>
                <w:szCs w:val="18"/>
              </w:rPr>
            </w:pPr>
            <w:r w:rsidRPr="00AB79BD">
              <w:rPr>
                <w:rFonts w:ascii="Arial" w:hAnsi="Arial"/>
                <w:color w:val="auto"/>
                <w:sz w:val="18"/>
                <w:szCs w:val="18"/>
              </w:rPr>
              <w:t>60%</w:t>
            </w:r>
          </w:p>
        </w:tc>
      </w:tr>
    </w:tbl>
    <w:p w14:paraId="12B19289" w14:textId="691F44F4" w:rsidR="00837757" w:rsidRDefault="00837757" w:rsidP="004069C4">
      <w:pPr>
        <w:pStyle w:val="OutlineNumbered1"/>
        <w:numPr>
          <w:ilvl w:val="0"/>
          <w:numId w:val="0"/>
        </w:numPr>
        <w:spacing w:after="0"/>
      </w:pPr>
    </w:p>
    <w:p w14:paraId="70EAB2BE" w14:textId="513C4FC0" w:rsidR="004C1247" w:rsidRPr="00E5127E" w:rsidRDefault="005866F5" w:rsidP="00D405E4">
      <w:pPr>
        <w:pStyle w:val="OutlineNumbered1"/>
      </w:pPr>
      <w:r w:rsidRPr="00E5127E">
        <w:t xml:space="preserve">Average years of use per </w:t>
      </w:r>
      <w:r w:rsidR="00FA0D78">
        <w:t xml:space="preserve">new </w:t>
      </w:r>
      <w:r w:rsidRPr="00E5127E">
        <w:t>entr</w:t>
      </w:r>
      <w:r w:rsidR="00FA0D78">
        <w:t>ant</w:t>
      </w:r>
      <w:r w:rsidRPr="00E5127E">
        <w:t xml:space="preserve"> is a measure of </w:t>
      </w:r>
      <w:r w:rsidR="00FA0D78">
        <w:t xml:space="preserve">the </w:t>
      </w:r>
      <w:r w:rsidRPr="00E5127E">
        <w:t xml:space="preserve">continuous use of a payment. </w:t>
      </w:r>
      <w:r w:rsidR="004C1247" w:rsidRPr="00E5127E">
        <w:t xml:space="preserve">Some payment categories have significantly longer continuous durations, most notably </w:t>
      </w:r>
      <w:r w:rsidR="00910FDA">
        <w:t>d</w:t>
      </w:r>
      <w:r w:rsidR="004C1247" w:rsidRPr="00E5127E">
        <w:t xml:space="preserve">isability and </w:t>
      </w:r>
      <w:r w:rsidR="00FA0D78">
        <w:t>Age P</w:t>
      </w:r>
      <w:r w:rsidR="004C1247" w:rsidRPr="00E5127E">
        <w:t xml:space="preserve">ension payments. Once people start accessing these payments they are unlikely to stop until death (or transfer from </w:t>
      </w:r>
      <w:r w:rsidR="00910FDA">
        <w:t>d</w:t>
      </w:r>
      <w:r w:rsidR="004C1247" w:rsidRPr="00E5127E">
        <w:t xml:space="preserve">isability onto </w:t>
      </w:r>
      <w:r w:rsidR="00FA0D78">
        <w:t>the Age P</w:t>
      </w:r>
      <w:r w:rsidR="004C1247" w:rsidRPr="00E5127E">
        <w:t>ension). Carer payments (D and M) also have a slightly longer continuous duration</w:t>
      </w:r>
      <w:r w:rsidR="0076787C" w:rsidRPr="00E5127E">
        <w:t xml:space="preserve">, with duration driven by the needs </w:t>
      </w:r>
      <w:r w:rsidR="00937F35" w:rsidRPr="00E5127E">
        <w:t xml:space="preserve">and lifetime </w:t>
      </w:r>
      <w:r w:rsidR="0076787C" w:rsidRPr="00E5127E">
        <w:t xml:space="preserve">of the caree. </w:t>
      </w:r>
    </w:p>
    <w:p w14:paraId="574DC944" w14:textId="69D4E69B" w:rsidR="004C1247" w:rsidRPr="00E5127E" w:rsidRDefault="005866F5" w:rsidP="00D405E4">
      <w:pPr>
        <w:pStyle w:val="OutlineNumbered1"/>
      </w:pPr>
      <w:r w:rsidRPr="00E5127E">
        <w:t xml:space="preserve">Average years of use per recipient is a measure of the future use of a payment for those </w:t>
      </w:r>
      <w:r w:rsidR="00910FDA">
        <w:t>who</w:t>
      </w:r>
      <w:r w:rsidR="00910FDA" w:rsidRPr="00E5127E">
        <w:t xml:space="preserve"> </w:t>
      </w:r>
      <w:r w:rsidRPr="00E5127E">
        <w:t xml:space="preserve">will receive it at some point. </w:t>
      </w:r>
      <w:r w:rsidR="00CC0BC6" w:rsidRPr="00E5127E">
        <w:t xml:space="preserve">The difference between </w:t>
      </w:r>
      <w:r w:rsidR="00FA0D78" w:rsidRPr="00FA0D78">
        <w:t>‘</w:t>
      </w:r>
      <w:r w:rsidR="005E1D2C">
        <w:t>a</w:t>
      </w:r>
      <w:r w:rsidR="00FA0D78" w:rsidRPr="00FA0D78">
        <w:t>verage years of use per new entrant’</w:t>
      </w:r>
      <w:r w:rsidR="00CC0BC6" w:rsidRPr="00E5127E">
        <w:t xml:space="preserve"> and </w:t>
      </w:r>
      <w:r w:rsidR="00FA0D78" w:rsidRPr="00FA0D78">
        <w:t>‘</w:t>
      </w:r>
      <w:r w:rsidR="005E1D2C">
        <w:t>a</w:t>
      </w:r>
      <w:r w:rsidR="00FA0D78" w:rsidRPr="00FA0D78">
        <w:t>verage years of use per recipient’ therefore</w:t>
      </w:r>
      <w:r w:rsidR="00CC0BC6" w:rsidRPr="00E5127E">
        <w:t xml:space="preserve"> highlights </w:t>
      </w:r>
      <w:r w:rsidR="004C1247" w:rsidRPr="00E5127E">
        <w:t>payment categories</w:t>
      </w:r>
      <w:r w:rsidR="00CC0BC6" w:rsidRPr="00E5127E">
        <w:t xml:space="preserve"> that people are more likely to access multiple times in their life. One example is Job</w:t>
      </w:r>
      <w:r w:rsidR="006A0BD0">
        <w:t>S</w:t>
      </w:r>
      <w:r w:rsidR="00CC0BC6" w:rsidRPr="00E5127E">
        <w:t>eeker (B) where people may be in an</w:t>
      </w:r>
      <w:r w:rsidR="00C72685">
        <w:t>d</w:t>
      </w:r>
      <w:r w:rsidR="00CC0BC6" w:rsidRPr="00E5127E">
        <w:t xml:space="preserve"> out of work, or may access it when they are first looking for work and then again in the years before retirement. Another example is famil</w:t>
      </w:r>
      <w:r w:rsidR="00717195" w:rsidRPr="00E5127E">
        <w:t>i</w:t>
      </w:r>
      <w:r w:rsidR="00CC0BC6" w:rsidRPr="00E5127E">
        <w:t xml:space="preserve">es payments, </w:t>
      </w:r>
      <w:r w:rsidR="00717195" w:rsidRPr="00E5127E">
        <w:lastRenderedPageBreak/>
        <w:t>predominantly</w:t>
      </w:r>
      <w:r w:rsidR="00CC0BC6" w:rsidRPr="00E5127E">
        <w:t xml:space="preserve"> H &amp; I, where people can access payment</w:t>
      </w:r>
      <w:r w:rsidR="00717195" w:rsidRPr="00E5127E">
        <w:t>s multiple times with additional children.</w:t>
      </w:r>
      <w:r w:rsidR="00CC0BC6" w:rsidRPr="00E5127E">
        <w:t xml:space="preserve"> </w:t>
      </w:r>
    </w:p>
    <w:p w14:paraId="6DF822C6" w14:textId="02D8687D" w:rsidR="005866F5" w:rsidRPr="00E5127E" w:rsidRDefault="00FA0D78" w:rsidP="00D405E4">
      <w:pPr>
        <w:pStyle w:val="OutlineNumbered1"/>
      </w:pPr>
      <w:r>
        <w:t>In terms</w:t>
      </w:r>
      <w:r w:rsidR="005866F5" w:rsidRPr="00E5127E">
        <w:t xml:space="preserve"> of </w:t>
      </w:r>
      <w:r>
        <w:t>assessing</w:t>
      </w:r>
      <w:r w:rsidR="005866F5" w:rsidRPr="00E5127E">
        <w:t xml:space="preserve"> the future use of payment</w:t>
      </w:r>
      <w:r>
        <w:t>s</w:t>
      </w:r>
      <w:r w:rsidR="005866F5" w:rsidRPr="00E5127E">
        <w:t xml:space="preserve"> for the average Australian, </w:t>
      </w:r>
      <w:r>
        <w:t xml:space="preserve">the final column gives an indication of </w:t>
      </w:r>
      <w:r w:rsidR="005866F5" w:rsidRPr="00E5127E">
        <w:t xml:space="preserve">this </w:t>
      </w:r>
      <w:r>
        <w:t xml:space="preserve">and </w:t>
      </w:r>
      <w:r w:rsidR="005E1D2C">
        <w:t xml:space="preserve">therefore infers </w:t>
      </w:r>
      <w:r>
        <w:t>the proportion of the population</w:t>
      </w:r>
      <w:r w:rsidR="005866F5" w:rsidRPr="00E5127E">
        <w:t xml:space="preserve"> who w</w:t>
      </w:r>
      <w:r>
        <w:t>ill not</w:t>
      </w:r>
      <w:r w:rsidR="005866F5" w:rsidRPr="00E5127E">
        <w:t xml:space="preserve"> access that payment </w:t>
      </w:r>
      <w:r>
        <w:t xml:space="preserve">category </w:t>
      </w:r>
      <w:r w:rsidR="005866F5" w:rsidRPr="00E5127E">
        <w:t xml:space="preserve">at all. </w:t>
      </w:r>
      <w:r w:rsidR="00120B8E" w:rsidRPr="00E5127E">
        <w:t xml:space="preserve">This measure highlights payments that are used more broadly across the population, with </w:t>
      </w:r>
      <w:r w:rsidR="005E1D2C">
        <w:t>A</w:t>
      </w:r>
      <w:r w:rsidR="00120B8E" w:rsidRPr="00E5127E">
        <w:t xml:space="preserve">ge </w:t>
      </w:r>
      <w:r w:rsidR="005E1D2C">
        <w:t>P</w:t>
      </w:r>
      <w:r w:rsidR="00120B8E" w:rsidRPr="00E5127E">
        <w:t>en</w:t>
      </w:r>
      <w:r w:rsidR="005E1D2C">
        <w:t>sion</w:t>
      </w:r>
      <w:r w:rsidR="00120B8E" w:rsidRPr="00E5127E">
        <w:t xml:space="preserve"> </w:t>
      </w:r>
      <w:r w:rsidR="00B359DD">
        <w:t xml:space="preserve">and Working Age payments </w:t>
      </w:r>
      <w:r w:rsidR="00120B8E" w:rsidRPr="00E5127E">
        <w:t>being the primary example</w:t>
      </w:r>
      <w:r w:rsidR="00B359DD">
        <w:t>s</w:t>
      </w:r>
      <w:r w:rsidR="00120B8E" w:rsidRPr="00E5127E">
        <w:t>.</w:t>
      </w:r>
      <w:r w:rsidR="00B359DD">
        <w:t xml:space="preserve"> Note that people on Working Age payments include those looking for work in the years immediately prior to retirement age</w:t>
      </w:r>
      <w:r w:rsidR="00120B8E" w:rsidRPr="00E5127E">
        <w:t>.</w:t>
      </w:r>
    </w:p>
    <w:p w14:paraId="0BF04005" w14:textId="43B2CE54" w:rsidR="000C2F64" w:rsidRDefault="000C2F64" w:rsidP="002C30FE">
      <w:pPr>
        <w:pStyle w:val="Heading2"/>
      </w:pPr>
      <w:bookmarkStart w:id="272" w:name="_Toc36555807"/>
      <w:bookmarkStart w:id="273" w:name="_Toc36563906"/>
      <w:bookmarkStart w:id="274" w:name="_Toc36655877"/>
      <w:bookmarkStart w:id="275" w:name="_Toc37931087"/>
      <w:bookmarkStart w:id="276" w:name="_Toc38007031"/>
      <w:bookmarkStart w:id="277" w:name="_Toc38458556"/>
      <w:bookmarkStart w:id="278" w:name="_Toc39071814"/>
      <w:bookmarkStart w:id="279" w:name="_Toc39243444"/>
      <w:bookmarkStart w:id="280" w:name="_Toc100131569"/>
      <w:r>
        <w:t>Analysis of change from 2018 to 2019</w:t>
      </w:r>
      <w:bookmarkEnd w:id="272"/>
      <w:bookmarkEnd w:id="273"/>
      <w:bookmarkEnd w:id="274"/>
      <w:bookmarkEnd w:id="275"/>
      <w:bookmarkEnd w:id="276"/>
      <w:bookmarkEnd w:id="277"/>
      <w:bookmarkEnd w:id="278"/>
      <w:bookmarkEnd w:id="279"/>
      <w:bookmarkEnd w:id="280"/>
    </w:p>
    <w:p w14:paraId="0CEF6C0C" w14:textId="79261E59" w:rsidR="00A7618E" w:rsidRPr="00A7618E" w:rsidRDefault="00A7618E" w:rsidP="00D405E4">
      <w:pPr>
        <w:pStyle w:val="OutlineNumbered1"/>
        <w:rPr>
          <w:rFonts w:cs="Arial"/>
        </w:rPr>
      </w:pPr>
      <w:r w:rsidRPr="00A7618E">
        <w:t>Compared to the 30</w:t>
      </w:r>
      <w:r w:rsidR="008C791B">
        <w:t> </w:t>
      </w:r>
      <w:r w:rsidRPr="00A7618E">
        <w:t>June 2018 rebased valuation of $5,701 billion, the 30</w:t>
      </w:r>
      <w:r w:rsidR="008C791B">
        <w:t> </w:t>
      </w:r>
      <w:r w:rsidRPr="00A7618E">
        <w:t>June</w:t>
      </w:r>
      <w:r w:rsidR="008C791B">
        <w:t> </w:t>
      </w:r>
      <w:r w:rsidRPr="00A7618E">
        <w:t>2019 valuation of $5,</w:t>
      </w:r>
      <w:r w:rsidR="00C91FDA">
        <w:t>506</w:t>
      </w:r>
      <w:r w:rsidRPr="00A7618E">
        <w:t xml:space="preserve"> billion represents a 3.</w:t>
      </w:r>
      <w:r w:rsidR="00C91FDA">
        <w:t>4</w:t>
      </w:r>
      <w:r w:rsidRPr="00A7618E">
        <w:t>% decrease in the Lifetime Cost.</w:t>
      </w:r>
    </w:p>
    <w:p w14:paraId="723E71D7" w14:textId="1C04243A" w:rsidR="001A034C" w:rsidRPr="00123572" w:rsidRDefault="001A034C" w:rsidP="00D405E4">
      <w:pPr>
        <w:pStyle w:val="OutlineNumbered1"/>
        <w:rPr>
          <w:rFonts w:cs="Arial"/>
        </w:rPr>
      </w:pPr>
      <w:r w:rsidRPr="00123572">
        <w:rPr>
          <w:rFonts w:cs="Arial"/>
        </w:rPr>
        <w:t>Changes</w:t>
      </w:r>
      <w:r w:rsidR="00940C18" w:rsidRPr="00123572">
        <w:rPr>
          <w:rFonts w:cs="Arial"/>
        </w:rPr>
        <w:t xml:space="preserve"> in the valuation </w:t>
      </w:r>
      <w:r w:rsidRPr="00123572">
        <w:rPr>
          <w:rFonts w:cs="Arial"/>
        </w:rPr>
        <w:t xml:space="preserve">will occur </w:t>
      </w:r>
      <w:r w:rsidR="00940C18" w:rsidRPr="00123572">
        <w:rPr>
          <w:rFonts w:cs="Arial"/>
        </w:rPr>
        <w:t xml:space="preserve">over time, as measured at each year’s valuation date, </w:t>
      </w:r>
      <w:r w:rsidRPr="00123572">
        <w:rPr>
          <w:rFonts w:cs="Arial"/>
        </w:rPr>
        <w:t>for a number of reasons</w:t>
      </w:r>
      <w:r w:rsidR="00940C18" w:rsidRPr="00123572">
        <w:rPr>
          <w:rFonts w:cs="Arial"/>
        </w:rPr>
        <w:t xml:space="preserve">. These </w:t>
      </w:r>
      <w:r w:rsidR="005E1D2C">
        <w:rPr>
          <w:rFonts w:cs="Arial"/>
        </w:rPr>
        <w:t>reasons</w:t>
      </w:r>
      <w:r w:rsidR="00940C18" w:rsidRPr="00123572">
        <w:rPr>
          <w:rFonts w:cs="Arial"/>
        </w:rPr>
        <w:t xml:space="preserve"> include:</w:t>
      </w:r>
    </w:p>
    <w:p w14:paraId="7EFED0C5" w14:textId="68D237ED" w:rsidR="00F13713" w:rsidRPr="00123572" w:rsidRDefault="007169A6" w:rsidP="00D405E4">
      <w:pPr>
        <w:pStyle w:val="Bullet1"/>
      </w:pPr>
      <w:r>
        <w:t>c</w:t>
      </w:r>
      <w:r w:rsidR="00F13713" w:rsidRPr="00123572">
        <w:t>hanges to the size and composition of the population</w:t>
      </w:r>
      <w:r>
        <w:t xml:space="preserve"> through,</w:t>
      </w:r>
      <w:r w:rsidR="00F13713" w:rsidRPr="00123572">
        <w:t xml:space="preserve"> for example</w:t>
      </w:r>
      <w:r>
        <w:t>,</w:t>
      </w:r>
      <w:r w:rsidR="00F13713" w:rsidRPr="00123572">
        <w:t xml:space="preserve"> births, deaths, </w:t>
      </w:r>
      <w:r w:rsidR="00DD05EF">
        <w:t xml:space="preserve">and </w:t>
      </w:r>
      <w:r w:rsidR="00F13713" w:rsidRPr="00123572">
        <w:t>migration since the last valuation</w:t>
      </w:r>
      <w:r w:rsidR="00DD05EF">
        <w:t>;</w:t>
      </w:r>
      <w:r w:rsidR="00F13713" w:rsidRPr="00123572">
        <w:t xml:space="preserve"> and the ageing of the remaining population by one year in the interim;</w:t>
      </w:r>
    </w:p>
    <w:p w14:paraId="7812F619" w14:textId="354F3D4C" w:rsidR="00F13713" w:rsidRDefault="007169A6" w:rsidP="00D405E4">
      <w:pPr>
        <w:pStyle w:val="Bullet1"/>
      </w:pPr>
      <w:r>
        <w:t>t</w:t>
      </w:r>
      <w:r w:rsidR="00F13713" w:rsidRPr="00123572">
        <w:t>he impact of general economic conditions, such as unemployment and inflation;</w:t>
      </w:r>
    </w:p>
    <w:p w14:paraId="55A9BE74" w14:textId="3BEF513F" w:rsidR="00123572" w:rsidRPr="00123572" w:rsidRDefault="007169A6" w:rsidP="00D405E4">
      <w:pPr>
        <w:pStyle w:val="Bullet1"/>
      </w:pPr>
      <w:r>
        <w:t>i</w:t>
      </w:r>
      <w:r w:rsidR="00123572">
        <w:t>nflationary increases on the rates of payment;</w:t>
      </w:r>
    </w:p>
    <w:p w14:paraId="0F26DCA3" w14:textId="670CA00C" w:rsidR="00123572" w:rsidRPr="00123572" w:rsidRDefault="007169A6" w:rsidP="00D405E4">
      <w:pPr>
        <w:pStyle w:val="Bullet1"/>
      </w:pPr>
      <w:r>
        <w:t>c</w:t>
      </w:r>
      <w:r w:rsidR="00F13713" w:rsidRPr="00123572">
        <w:t>hanges to welfare payments arising from policy changes</w:t>
      </w:r>
      <w:r w:rsidR="005D35D2">
        <w:t>, and from the changing profile of those receiving payments</w:t>
      </w:r>
      <w:r w:rsidR="00F13713" w:rsidRPr="00123572">
        <w:t>;</w:t>
      </w:r>
    </w:p>
    <w:p w14:paraId="71821FA1" w14:textId="6A64D51B" w:rsidR="00123572" w:rsidRPr="00123572" w:rsidRDefault="007169A6" w:rsidP="00D405E4">
      <w:pPr>
        <w:pStyle w:val="Bullet1"/>
      </w:pPr>
      <w:r>
        <w:t>c</w:t>
      </w:r>
      <w:r w:rsidR="00F13713" w:rsidRPr="00123572">
        <w:t>hanges to both the current and expected future utilisation of each part of the welfare system; and</w:t>
      </w:r>
    </w:p>
    <w:p w14:paraId="360C3301" w14:textId="39506A77" w:rsidR="00F13713" w:rsidRDefault="007169A6" w:rsidP="00D405E4">
      <w:pPr>
        <w:pStyle w:val="Bullet1"/>
      </w:pPr>
      <w:r>
        <w:t>e</w:t>
      </w:r>
      <w:r w:rsidR="00F13713" w:rsidRPr="00123572">
        <w:t>xternal changes, such as the change in the discount rate.</w:t>
      </w:r>
    </w:p>
    <w:p w14:paraId="5BB72EA9" w14:textId="77480BF9" w:rsidR="00123572" w:rsidRPr="00420BD2" w:rsidRDefault="008E2D37" w:rsidP="00D405E4">
      <w:pPr>
        <w:pStyle w:val="OutlineNumbered1"/>
      </w:pPr>
      <w:r w:rsidRPr="00420BD2">
        <w:t xml:space="preserve">In order to understand the overall change in the </w:t>
      </w:r>
      <w:r w:rsidR="002A2F33">
        <w:t>Lifetime Cost</w:t>
      </w:r>
      <w:r w:rsidRPr="00420BD2">
        <w:t xml:space="preserve">, we </w:t>
      </w:r>
      <w:r w:rsidR="00904982" w:rsidRPr="00420BD2">
        <w:t xml:space="preserve">now present an analysis of change in the valuation over the last year. This analysis groups together factors that have contributed to this change, </w:t>
      </w:r>
      <w:r w:rsidR="005D35D2">
        <w:t>and</w:t>
      </w:r>
      <w:r w:rsidR="00904982" w:rsidRPr="00420BD2">
        <w:t xml:space="preserve"> examin</w:t>
      </w:r>
      <w:r w:rsidR="005D35D2">
        <w:t>es</w:t>
      </w:r>
      <w:r w:rsidR="00904982" w:rsidRPr="00420BD2">
        <w:t xml:space="preserve"> the changes occurring within </w:t>
      </w:r>
      <w:r w:rsidR="000D2D72">
        <w:t>each</w:t>
      </w:r>
      <w:r w:rsidR="00904982" w:rsidRPr="00420BD2">
        <w:t xml:space="preserve"> payment</w:t>
      </w:r>
      <w:r w:rsidR="00DD05EF">
        <w:t xml:space="preserve"> categor</w:t>
      </w:r>
      <w:r w:rsidR="000D2D72">
        <w:t>y</w:t>
      </w:r>
      <w:r w:rsidR="00F86043" w:rsidRPr="00420BD2">
        <w:t>.</w:t>
      </w:r>
    </w:p>
    <w:p w14:paraId="74E874BB" w14:textId="216787F3" w:rsidR="00BB46B2" w:rsidRDefault="00F86043" w:rsidP="00D405E4">
      <w:pPr>
        <w:pStyle w:val="OutlineNumbered1"/>
      </w:pPr>
      <w:r>
        <w:t>T</w:t>
      </w:r>
      <w:r w:rsidR="008E2D37" w:rsidRPr="00187EC8">
        <w:t xml:space="preserve">his analysis is sensitive to the order in which the changes are made. For instance, the impact of updating assumptions </w:t>
      </w:r>
      <w:r w:rsidR="000D2D72">
        <w:t>regarding movements between modelled welfare classes w</w:t>
      </w:r>
      <w:r w:rsidR="008E2D37" w:rsidRPr="00187EC8">
        <w:t>ill be influenced by the numbers of people in that class</w:t>
      </w:r>
      <w:r w:rsidR="00DD05EF">
        <w:t>,</w:t>
      </w:r>
      <w:r w:rsidR="008E2D37" w:rsidRPr="00187EC8">
        <w:t xml:space="preserve"> and so will differ depending on the order in which the population information and </w:t>
      </w:r>
      <w:r w:rsidR="00DD05EF">
        <w:t xml:space="preserve">welfare </w:t>
      </w:r>
      <w:r w:rsidR="008E2D37" w:rsidRPr="00187EC8">
        <w:t>class assumptions are updated.</w:t>
      </w:r>
    </w:p>
    <w:p w14:paraId="1FE64CB8" w14:textId="555CC6A7" w:rsidR="008E2D37" w:rsidRPr="00BB46B2" w:rsidRDefault="00F86043" w:rsidP="00D405E4">
      <w:pPr>
        <w:pStyle w:val="OutlineNumbered1"/>
      </w:pPr>
      <w:r>
        <w:t xml:space="preserve">A visual representation of the analysis of change is </w:t>
      </w:r>
      <w:r w:rsidR="007169A6">
        <w:t xml:space="preserve">shown in </w:t>
      </w:r>
      <w:r w:rsidR="00087E5F">
        <w:fldChar w:fldCharType="begin"/>
      </w:r>
      <w:r w:rsidR="00087E5F">
        <w:instrText xml:space="preserve"> REF  Figure30 \h </w:instrText>
      </w:r>
      <w:r w:rsidR="00087E5F">
        <w:fldChar w:fldCharType="separate"/>
      </w:r>
      <w:r w:rsidR="00751625">
        <w:t xml:space="preserve">Figure </w:t>
      </w:r>
      <w:r w:rsidR="00751625">
        <w:rPr>
          <w:noProof/>
        </w:rPr>
        <w:t>30</w:t>
      </w:r>
      <w:r w:rsidR="00087E5F">
        <w:fldChar w:fldCharType="end"/>
      </w:r>
      <w:r w:rsidR="008E2D37" w:rsidRPr="00187EC8">
        <w:t>.</w:t>
      </w:r>
    </w:p>
    <w:p w14:paraId="388DBB27" w14:textId="5F6E8C4C" w:rsidR="008E2D37" w:rsidRDefault="008E2D37" w:rsidP="000B1493">
      <w:pPr>
        <w:pStyle w:val="Caption"/>
      </w:pPr>
      <w:bookmarkStart w:id="281" w:name="Figure30"/>
      <w:bookmarkStart w:id="282" w:name="_Toc100131540"/>
      <w:r>
        <w:lastRenderedPageBreak/>
        <w:t>Figure</w:t>
      </w:r>
      <w:r w:rsidR="001D1EFA">
        <w:t xml:space="preserve"> </w:t>
      </w:r>
      <w:r w:rsidR="00D405E4">
        <w:rPr>
          <w:noProof/>
        </w:rPr>
        <w:fldChar w:fldCharType="begin"/>
      </w:r>
      <w:r w:rsidR="00D405E4">
        <w:rPr>
          <w:noProof/>
        </w:rPr>
        <w:instrText xml:space="preserve"> SEQ Figure \* ARABIC </w:instrText>
      </w:r>
      <w:r w:rsidR="00D405E4">
        <w:rPr>
          <w:noProof/>
        </w:rPr>
        <w:fldChar w:fldCharType="separate"/>
      </w:r>
      <w:r w:rsidR="00751625">
        <w:rPr>
          <w:noProof/>
        </w:rPr>
        <w:t>30</w:t>
      </w:r>
      <w:r w:rsidR="00D405E4">
        <w:rPr>
          <w:noProof/>
        </w:rPr>
        <w:fldChar w:fldCharType="end"/>
      </w:r>
      <w:bookmarkEnd w:id="281"/>
      <w:r w:rsidR="001C1141">
        <w:t>: Explanation of c</w:t>
      </w:r>
      <w:r>
        <w:t xml:space="preserve">hange in </w:t>
      </w:r>
      <w:r w:rsidR="002A2F33">
        <w:t>Lifetime Cost</w:t>
      </w:r>
      <w:r w:rsidR="0014656F">
        <w:t xml:space="preserve"> (relative to June 2018</w:t>
      </w:r>
      <w:r>
        <w:t>-rebased)</w:t>
      </w:r>
      <w:bookmarkEnd w:id="282"/>
    </w:p>
    <w:p w14:paraId="30519612" w14:textId="4F5CE8C0" w:rsidR="008E2D37" w:rsidRDefault="000D30ED" w:rsidP="000B1493">
      <w:pPr>
        <w:pStyle w:val="Caption"/>
      </w:pPr>
      <w:r w:rsidRPr="00AA26EE">
        <w:rPr>
          <w:noProof/>
        </w:rPr>
        <w:drawing>
          <wp:inline distT="0" distB="0" distL="0" distR="0" wp14:anchorId="26CCB945" wp14:editId="251BFCD7">
            <wp:extent cx="4895850" cy="2546066"/>
            <wp:effectExtent l="0" t="0" r="0" b="6985"/>
            <wp:docPr id="29" name="Picture 29" descr="This waterfall chart shows the incremental progression from the rebased 2018 valuation ($5,701 billion) to the 2019 valuation ($5,506 billion). This chart lists the differences attributed to experience between the two valuation reports, covering updated economic assumptions (-$84 billion), 2018-2019 experience (-$184 billion), and change in population (+$73 b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his waterfall chart shows the incremental progression from the rebased 2018 valuation ($5,701 billion) to the 2019 valuation ($5,506 billion). This chart lists the differences attributed to experience between the two valuation reports, covering updated economic assumptions (-$84 billion), 2018-2019 experience (-$184 billion), and change in population (+$73 billion)."/>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895850" cy="2546066"/>
                    </a:xfrm>
                    <a:prstGeom prst="rect">
                      <a:avLst/>
                    </a:prstGeom>
                    <a:noFill/>
                    <a:ln>
                      <a:noFill/>
                    </a:ln>
                  </pic:spPr>
                </pic:pic>
              </a:graphicData>
            </a:graphic>
          </wp:inline>
        </w:drawing>
      </w:r>
    </w:p>
    <w:p w14:paraId="41C1BABF" w14:textId="77777777" w:rsidR="00B648E0" w:rsidRPr="001D5714" w:rsidRDefault="00B648E0" w:rsidP="009057A0">
      <w:pPr>
        <w:pStyle w:val="OutlineNumbered2"/>
        <w:keepNext/>
        <w:numPr>
          <w:ilvl w:val="0"/>
          <w:numId w:val="0"/>
        </w:numPr>
        <w:rPr>
          <w:i/>
        </w:rPr>
      </w:pPr>
      <w:r w:rsidRPr="001D5714">
        <w:rPr>
          <w:i/>
        </w:rPr>
        <w:t xml:space="preserve">Movement due to </w:t>
      </w:r>
      <w:r>
        <w:rPr>
          <w:i/>
        </w:rPr>
        <w:t>economic</w:t>
      </w:r>
      <w:r w:rsidRPr="001D5714">
        <w:rPr>
          <w:i/>
        </w:rPr>
        <w:t xml:space="preserve"> changes</w:t>
      </w:r>
    </w:p>
    <w:p w14:paraId="4026133E" w14:textId="7BB0BDFE" w:rsidR="00B648E0" w:rsidRPr="00D8740C" w:rsidRDefault="00B648E0" w:rsidP="00AB6B03">
      <w:pPr>
        <w:pStyle w:val="OutlineNumbered1"/>
      </w:pPr>
      <w:r w:rsidRPr="00D8740C">
        <w:t>As a result of changes in economic experience and assumptions, the valuation result has decreased by $84</w:t>
      </w:r>
      <w:r w:rsidR="007169A6">
        <w:t xml:space="preserve"> </w:t>
      </w:r>
      <w:r w:rsidRPr="00D8740C">
        <w:t>b</w:t>
      </w:r>
      <w:r w:rsidR="00704DCF">
        <w:t>illion</w:t>
      </w:r>
      <w:r w:rsidRPr="00D8740C">
        <w:t xml:space="preserve"> (1.5%). The primary economic factors relevant to this valuation are unemployment, wage growth and inflation.</w:t>
      </w:r>
    </w:p>
    <w:p w14:paraId="0FBD13E8" w14:textId="2DBDEA9E" w:rsidR="00B648E0" w:rsidRPr="00D8740C" w:rsidRDefault="00B648E0" w:rsidP="00AB6B03">
      <w:pPr>
        <w:pStyle w:val="OutlineNumbered1"/>
      </w:pPr>
      <w:r w:rsidRPr="00D8740C">
        <w:t>The primary driver of the economic change is the longer forecasted timeframe for AWE to reach its long</w:t>
      </w:r>
      <w:r w:rsidR="007169A6">
        <w:t>-</w:t>
      </w:r>
      <w:r w:rsidRPr="00D8740C">
        <w:t xml:space="preserve">term rate of 4%. Age </w:t>
      </w:r>
      <w:r w:rsidR="007169A6">
        <w:t>P</w:t>
      </w:r>
      <w:r w:rsidRPr="00D8740C">
        <w:t>ension payments ar</w:t>
      </w:r>
      <w:r w:rsidR="00D8740C">
        <w:t>e most impacted by this change.</w:t>
      </w:r>
    </w:p>
    <w:p w14:paraId="4600B8AE" w14:textId="77777777" w:rsidR="00B648E0" w:rsidRPr="001D5714" w:rsidRDefault="00B648E0" w:rsidP="00B648E0">
      <w:pPr>
        <w:pStyle w:val="OutlineNumbered2"/>
        <w:numPr>
          <w:ilvl w:val="0"/>
          <w:numId w:val="0"/>
        </w:numPr>
        <w:rPr>
          <w:i/>
        </w:rPr>
      </w:pPr>
      <w:r>
        <w:rPr>
          <w:i/>
        </w:rPr>
        <w:t>Movement due to 2018-19 experience and policy</w:t>
      </w:r>
      <w:r w:rsidRPr="001D5714">
        <w:rPr>
          <w:i/>
        </w:rPr>
        <w:t xml:space="preserve"> changes</w:t>
      </w:r>
    </w:p>
    <w:p w14:paraId="43D9C5B2" w14:textId="388070FD" w:rsidR="00FA67C6" w:rsidRPr="00091204" w:rsidRDefault="007169A6" w:rsidP="00AB6B03">
      <w:pPr>
        <w:pStyle w:val="OutlineNumbered1"/>
      </w:pPr>
      <w:r>
        <w:t>Movement due to 2018-19 experience and policy changes formed</w:t>
      </w:r>
      <w:r w:rsidR="00B648E0" w:rsidRPr="00091204">
        <w:t xml:space="preserve"> the primary driver of the lower 2019 valuation </w:t>
      </w:r>
      <w:r w:rsidR="00FA67C6" w:rsidRPr="00091204">
        <w:t>result, decreasing the rebased 30</w:t>
      </w:r>
      <w:r w:rsidR="008C791B">
        <w:t> </w:t>
      </w:r>
      <w:r w:rsidR="00FA67C6" w:rsidRPr="00091204">
        <w:t>June</w:t>
      </w:r>
      <w:r w:rsidR="008C791B">
        <w:t> </w:t>
      </w:r>
      <w:r w:rsidR="00FA67C6" w:rsidRPr="00091204">
        <w:t>2018 result by $</w:t>
      </w:r>
      <w:r w:rsidR="00A71784">
        <w:t>184</w:t>
      </w:r>
      <w:r w:rsidR="00FA67C6" w:rsidRPr="00091204">
        <w:t xml:space="preserve"> billion (3.</w:t>
      </w:r>
      <w:r w:rsidR="00A71784">
        <w:t>2</w:t>
      </w:r>
      <w:r w:rsidR="00FA67C6" w:rsidRPr="00091204">
        <w:t>%).</w:t>
      </w:r>
    </w:p>
    <w:p w14:paraId="24B9BC49" w14:textId="2D0A1061" w:rsidR="00B648E0" w:rsidRPr="00091204" w:rsidRDefault="00FA67C6" w:rsidP="00AB6B03">
      <w:pPr>
        <w:pStyle w:val="OutlineNumbered1"/>
      </w:pPr>
      <w:r w:rsidRPr="00091204">
        <w:t xml:space="preserve">Changes in class-specific experience flow on from the discussion in </w:t>
      </w:r>
      <w:r w:rsidR="007169A6">
        <w:t>S</w:t>
      </w:r>
      <w:r w:rsidRPr="00091204">
        <w:t>ection 2</w:t>
      </w:r>
      <w:r w:rsidR="002B4F91">
        <w:t>,</w:t>
      </w:r>
      <w:r w:rsidRPr="00091204">
        <w:t xml:space="preserve"> which summarises recent changes in each modelled welfare class. In general, </w:t>
      </w:r>
      <w:r w:rsidR="00091204" w:rsidRPr="00091204">
        <w:t xml:space="preserve">slightly </w:t>
      </w:r>
      <w:r w:rsidR="007741E8" w:rsidRPr="00091204">
        <w:t xml:space="preserve">lower utilisation </w:t>
      </w:r>
      <w:r w:rsidR="00091204" w:rsidRPr="00091204">
        <w:t>of welfare</w:t>
      </w:r>
      <w:r w:rsidR="007169A6">
        <w:t>,</w:t>
      </w:r>
      <w:r w:rsidR="00091204" w:rsidRPr="00091204">
        <w:t xml:space="preserve"> combined with relative stability in average payment size</w:t>
      </w:r>
      <w:r w:rsidR="007169A6">
        <w:t>,</w:t>
      </w:r>
      <w:r w:rsidR="00091204" w:rsidRPr="00091204">
        <w:t xml:space="preserve"> has given rise to the overall decrease.</w:t>
      </w:r>
    </w:p>
    <w:p w14:paraId="04790488" w14:textId="6C8D7F47" w:rsidR="00B648E0" w:rsidRPr="00091204" w:rsidRDefault="00B648E0" w:rsidP="00AB6B03">
      <w:pPr>
        <w:pStyle w:val="OutlineNumbered1"/>
      </w:pPr>
      <w:r w:rsidRPr="00091204">
        <w:t xml:space="preserve">Changes to the welfare system </w:t>
      </w:r>
      <w:r w:rsidR="00091204" w:rsidRPr="00091204">
        <w:t xml:space="preserve">also </w:t>
      </w:r>
      <w:r w:rsidRPr="00091204">
        <w:t>directly influence the utilisation and entitlement amounts within each welfare class and payment category. The impact of such policy changes in 2018-19 have been relatively minor</w:t>
      </w:r>
      <w:r w:rsidR="00A71784">
        <w:t xml:space="preserve"> and are included in the $184 billion experience change</w:t>
      </w:r>
      <w:r w:rsidRPr="00091204">
        <w:t>.</w:t>
      </w:r>
    </w:p>
    <w:p w14:paraId="3289DE7C" w14:textId="37F12C44" w:rsidR="001D5714" w:rsidRPr="001D5714" w:rsidRDefault="001D5714" w:rsidP="00890CAA">
      <w:pPr>
        <w:pStyle w:val="OutlineNumbered2"/>
        <w:keepNext/>
        <w:numPr>
          <w:ilvl w:val="0"/>
          <w:numId w:val="0"/>
        </w:numPr>
        <w:rPr>
          <w:i/>
        </w:rPr>
      </w:pPr>
      <w:r w:rsidRPr="001D5714">
        <w:rPr>
          <w:i/>
        </w:rPr>
        <w:lastRenderedPageBreak/>
        <w:t>Movement due to population changes</w:t>
      </w:r>
    </w:p>
    <w:p w14:paraId="3F410B16" w14:textId="517C1A5A" w:rsidR="001D56D1" w:rsidRPr="00D8740C" w:rsidRDefault="00257902" w:rsidP="00AB6B03">
      <w:pPr>
        <w:pStyle w:val="OutlineNumbered1"/>
      </w:pPr>
      <w:r w:rsidRPr="00D8740C">
        <w:t xml:space="preserve">Each year, we expect the total </w:t>
      </w:r>
      <w:r w:rsidR="002A2F33" w:rsidRPr="00D8740C">
        <w:t>Lifetime Cost</w:t>
      </w:r>
      <w:r w:rsidRPr="00D8740C">
        <w:t xml:space="preserve"> to </w:t>
      </w:r>
      <w:r w:rsidR="00DD05EF" w:rsidRPr="00D8740C">
        <w:t>change</w:t>
      </w:r>
      <w:r w:rsidRPr="00D8740C">
        <w:t xml:space="preserve"> in line with </w:t>
      </w:r>
      <w:r w:rsidR="00DD05EF" w:rsidRPr="00D8740C">
        <w:t>movements</w:t>
      </w:r>
      <w:r w:rsidRPr="00D8740C">
        <w:t xml:space="preserve"> in the population. At the June</w:t>
      </w:r>
      <w:r w:rsidR="008C791B">
        <w:t> </w:t>
      </w:r>
      <w:r w:rsidRPr="00D8740C">
        <w:t xml:space="preserve">2019 valuation, the overall </w:t>
      </w:r>
      <w:r w:rsidR="002A2F33" w:rsidRPr="00D8740C">
        <w:t>Lifetime Cost</w:t>
      </w:r>
      <w:r w:rsidRPr="00D8740C">
        <w:t xml:space="preserve"> increased by $</w:t>
      </w:r>
      <w:r w:rsidR="00F46C85">
        <w:t>73</w:t>
      </w:r>
      <w:r w:rsidR="00704DCF">
        <w:t xml:space="preserve"> </w:t>
      </w:r>
      <w:r w:rsidR="004860B3" w:rsidRPr="00D8740C">
        <w:t>b</w:t>
      </w:r>
      <w:r w:rsidR="00704DCF">
        <w:t>illio</w:t>
      </w:r>
      <w:r w:rsidR="004860B3" w:rsidRPr="00D8740C">
        <w:t>n (1.</w:t>
      </w:r>
      <w:r w:rsidR="00F46C85">
        <w:t>3</w:t>
      </w:r>
      <w:r w:rsidRPr="00D8740C">
        <w:t>%</w:t>
      </w:r>
      <w:r w:rsidR="004860B3" w:rsidRPr="00D8740C">
        <w:t xml:space="preserve"> of the 30</w:t>
      </w:r>
      <w:r w:rsidR="008C791B">
        <w:t> </w:t>
      </w:r>
      <w:r w:rsidR="004860B3" w:rsidRPr="00D8740C">
        <w:t>June</w:t>
      </w:r>
      <w:r w:rsidR="008C791B">
        <w:t> </w:t>
      </w:r>
      <w:r w:rsidR="004860B3" w:rsidRPr="00D8740C">
        <w:t>2018 rebased valuation</w:t>
      </w:r>
      <w:r w:rsidRPr="00D8740C">
        <w:t>) d</w:t>
      </w:r>
      <w:r w:rsidR="00331248" w:rsidRPr="00D8740C">
        <w:t xml:space="preserve">ue to </w:t>
      </w:r>
      <w:r w:rsidR="001D56D1" w:rsidRPr="00D8740C">
        <w:t>the change in the starting population.</w:t>
      </w:r>
    </w:p>
    <w:p w14:paraId="26DC12A4" w14:textId="11B93819" w:rsidR="00257902" w:rsidRPr="00D8740C" w:rsidRDefault="001D56D1" w:rsidP="00AB6B03">
      <w:pPr>
        <w:pStyle w:val="OutlineNumbered1"/>
      </w:pPr>
      <w:r w:rsidRPr="00D8740C">
        <w:t>There are two main popula</w:t>
      </w:r>
      <w:r>
        <w:t xml:space="preserve">tion drivers of this change in </w:t>
      </w:r>
      <w:r w:rsidR="00D8740C">
        <w:t>L</w:t>
      </w:r>
      <w:r w:rsidRPr="00D8740C">
        <w:t>ife</w:t>
      </w:r>
      <w:r w:rsidR="00D8740C">
        <w:t>time Co</w:t>
      </w:r>
      <w:r w:rsidRPr="00D8740C">
        <w:t xml:space="preserve">st. One is the size of the starting population, which </w:t>
      </w:r>
      <w:r w:rsidR="002A3C1F" w:rsidRPr="00D8740C">
        <w:t>g</w:t>
      </w:r>
      <w:r w:rsidR="00331248" w:rsidRPr="00D8740C">
        <w:t>r</w:t>
      </w:r>
      <w:r w:rsidR="002A3C1F" w:rsidRPr="00D8740C">
        <w:t>e</w:t>
      </w:r>
      <w:r w:rsidR="00331248" w:rsidRPr="00D8740C">
        <w:t>w</w:t>
      </w:r>
      <w:r w:rsidR="002A3C1F" w:rsidRPr="00D8740C">
        <w:t xml:space="preserve"> over</w:t>
      </w:r>
      <w:r w:rsidR="00225483" w:rsidRPr="00D8740C">
        <w:t xml:space="preserve"> </w:t>
      </w:r>
      <w:r w:rsidR="00257902" w:rsidRPr="00D8740C">
        <w:t>the 2018</w:t>
      </w:r>
      <w:r w:rsidR="002A3C1F" w:rsidRPr="00D8740C">
        <w:t>-</w:t>
      </w:r>
      <w:r w:rsidR="00257902" w:rsidRPr="00D8740C">
        <w:t xml:space="preserve">19 </w:t>
      </w:r>
      <w:r w:rsidR="002A3C1F" w:rsidRPr="00D8740C">
        <w:t xml:space="preserve">financial </w:t>
      </w:r>
      <w:r w:rsidR="00257902" w:rsidRPr="00D8740C">
        <w:t>year</w:t>
      </w:r>
      <w:r w:rsidRPr="00D8740C">
        <w:t xml:space="preserve"> by 1.8%</w:t>
      </w:r>
      <w:r w:rsidR="00257902" w:rsidRPr="00D8740C">
        <w:t xml:space="preserve">. </w:t>
      </w:r>
      <w:r w:rsidRPr="00D8740C">
        <w:t>The other is the proportion of the p</w:t>
      </w:r>
      <w:r w:rsidR="00225483" w:rsidRPr="00D8740C">
        <w:t>op</w:t>
      </w:r>
      <w:r w:rsidRPr="00D8740C">
        <w:t xml:space="preserve">ulation on </w:t>
      </w:r>
      <w:r w:rsidR="00257902" w:rsidRPr="00D8740C">
        <w:t xml:space="preserve">welfare </w:t>
      </w:r>
      <w:r w:rsidRPr="00D8740C">
        <w:t>at the valuation date, which</w:t>
      </w:r>
      <w:r w:rsidR="00257902" w:rsidRPr="00D8740C">
        <w:t xml:space="preserve"> decreased</w:t>
      </w:r>
      <w:r w:rsidRPr="00D8740C">
        <w:t xml:space="preserve"> and </w:t>
      </w:r>
      <w:r w:rsidR="00257902" w:rsidRPr="00D8740C">
        <w:t xml:space="preserve">now represents </w:t>
      </w:r>
      <w:r w:rsidRPr="00D8740C">
        <w:t>30.9</w:t>
      </w:r>
      <w:r w:rsidR="00257902" w:rsidRPr="00D8740C">
        <w:t>% of the population (down from 31.8% at June 2018)</w:t>
      </w:r>
      <w:r w:rsidRPr="00D8740C">
        <w:t xml:space="preserve">. </w:t>
      </w:r>
      <w:r w:rsidR="00D8740C">
        <w:t>The combined impact of a larger overall population</w:t>
      </w:r>
      <w:r w:rsidR="002B4F91">
        <w:t>,</w:t>
      </w:r>
      <w:r w:rsidR="00D8740C">
        <w:t xml:space="preserve"> but a lower proportion of that population currently on welfare</w:t>
      </w:r>
      <w:r w:rsidR="002B4F91">
        <w:t>,</w:t>
      </w:r>
      <w:r w:rsidR="00D8740C">
        <w:t xml:space="preserve"> gives rise to 1.1% </w:t>
      </w:r>
      <w:r w:rsidR="002B4F91">
        <w:t xml:space="preserve">fewer </w:t>
      </w:r>
      <w:r w:rsidR="00D8740C">
        <w:t>people overall on welfare</w:t>
      </w:r>
      <w:r w:rsidR="009B5890">
        <w:t>,</w:t>
      </w:r>
      <w:r w:rsidR="00D8740C">
        <w:t xml:space="preserve"> </w:t>
      </w:r>
      <w:r w:rsidR="009B5890">
        <w:t>in the starting population,</w:t>
      </w:r>
      <w:r w:rsidR="00D8740C">
        <w:t xml:space="preserve"> in terms of absolute numbers.</w:t>
      </w:r>
    </w:p>
    <w:p w14:paraId="4CF05D8B" w14:textId="6B5C8EEE" w:rsidR="00257902" w:rsidRPr="001D5714" w:rsidRDefault="00CD09C6" w:rsidP="00257902">
      <w:pPr>
        <w:pStyle w:val="OutlineNumbered2"/>
        <w:numPr>
          <w:ilvl w:val="0"/>
          <w:numId w:val="0"/>
        </w:numPr>
        <w:rPr>
          <w:i/>
        </w:rPr>
      </w:pPr>
      <w:r>
        <w:rPr>
          <w:i/>
        </w:rPr>
        <w:t>Total m</w:t>
      </w:r>
      <w:r w:rsidR="00257902" w:rsidRPr="001D5714">
        <w:rPr>
          <w:i/>
        </w:rPr>
        <w:t xml:space="preserve">ovement </w:t>
      </w:r>
      <w:r w:rsidR="00257902">
        <w:rPr>
          <w:i/>
        </w:rPr>
        <w:t>by payment category</w:t>
      </w:r>
    </w:p>
    <w:p w14:paraId="345D19E6" w14:textId="780A2D07" w:rsidR="00555351" w:rsidRDefault="00555351" w:rsidP="00AB6B03">
      <w:pPr>
        <w:pStyle w:val="OutlineNumbered1"/>
      </w:pPr>
      <w:r>
        <w:t>Movements in t</w:t>
      </w:r>
      <w:r w:rsidRPr="00187EC8">
        <w:t xml:space="preserve">he </w:t>
      </w:r>
      <w:r>
        <w:t>Lifetime Cost</w:t>
      </w:r>
      <w:r w:rsidRPr="00187EC8">
        <w:t xml:space="preserve"> </w:t>
      </w:r>
      <w:r>
        <w:t xml:space="preserve">arising from </w:t>
      </w:r>
      <w:r w:rsidR="00091204">
        <w:t>all</w:t>
      </w:r>
      <w:r>
        <w:t xml:space="preserve"> changes </w:t>
      </w:r>
      <w:r w:rsidRPr="00187EC8">
        <w:t xml:space="preserve">described above </w:t>
      </w:r>
      <w:r w:rsidR="00091204">
        <w:t>do</w:t>
      </w:r>
      <w:r w:rsidRPr="00187EC8">
        <w:t xml:space="preserve"> not impact </w:t>
      </w:r>
      <w:r>
        <w:t>every</w:t>
      </w:r>
      <w:r w:rsidRPr="00187EC8">
        <w:t xml:space="preserve"> welfare class</w:t>
      </w:r>
      <w:r>
        <w:t xml:space="preserve"> or payment category</w:t>
      </w:r>
      <w:r w:rsidRPr="00187EC8">
        <w:t xml:space="preserve"> in the same way. For instance, certain assumption changes will only affect particular classes, population growth may differ by class, and the observed trends in welfare utilisation and behaviour will also differ by class.</w:t>
      </w:r>
      <w:r w:rsidRPr="00555351">
        <w:t xml:space="preserve"> </w:t>
      </w:r>
      <w:r>
        <w:t xml:space="preserve">These changes are better examined by considering category-specific </w:t>
      </w:r>
      <w:r w:rsidRPr="00187EC8">
        <w:t>impact</w:t>
      </w:r>
      <w:r>
        <w:t>s</w:t>
      </w:r>
      <w:r w:rsidRPr="00187EC8">
        <w:t xml:space="preserve"> of emerging experience observed over the year</w:t>
      </w:r>
      <w:r>
        <w:t>,</w:t>
      </w:r>
      <w:r w:rsidRPr="00187EC8">
        <w:t xml:space="preserve"> together with </w:t>
      </w:r>
      <w:r>
        <w:t xml:space="preserve">changes about </w:t>
      </w:r>
      <w:r w:rsidRPr="00187EC8">
        <w:t>assumption</w:t>
      </w:r>
      <w:r>
        <w:t>s in the future</w:t>
      </w:r>
      <w:r w:rsidR="002B4F91">
        <w:t>,</w:t>
      </w:r>
      <w:r w:rsidRPr="00187EC8">
        <w:t xml:space="preserve"> which</w:t>
      </w:r>
      <w:r>
        <w:t xml:space="preserve"> are themselves </w:t>
      </w:r>
      <w:r w:rsidRPr="00187EC8">
        <w:t>reflect</w:t>
      </w:r>
      <w:r>
        <w:t>ive of</w:t>
      </w:r>
      <w:r w:rsidRPr="00187EC8">
        <w:t xml:space="preserve"> this experience.</w:t>
      </w:r>
    </w:p>
    <w:p w14:paraId="7999A1EC" w14:textId="120C3BBB" w:rsidR="00F26706" w:rsidRPr="00D318B7" w:rsidRDefault="001C3A12" w:rsidP="00AB6B03">
      <w:pPr>
        <w:pStyle w:val="OutlineNumbered1"/>
      </w:pPr>
      <w:r w:rsidRPr="00D318B7">
        <w:rPr>
          <w:color w:val="auto"/>
        </w:rPr>
        <w:t>For each payment categor</w:t>
      </w:r>
      <w:r w:rsidR="000D2D72">
        <w:rPr>
          <w:color w:val="auto"/>
        </w:rPr>
        <w:t>y</w:t>
      </w:r>
      <w:r w:rsidRPr="00D318B7">
        <w:rPr>
          <w:color w:val="auto"/>
        </w:rPr>
        <w:t>, the change in Lifetime Cost is considered in respect of changes in experience and future assumptions</w:t>
      </w:r>
      <w:r w:rsidR="00627B80" w:rsidRPr="00D318B7">
        <w:rPr>
          <w:color w:val="auto"/>
        </w:rPr>
        <w:t>, regarding entries, exits, and average payment amounts</w:t>
      </w:r>
      <w:r w:rsidR="00091204" w:rsidRPr="00DF34DF">
        <w:rPr>
          <w:color w:val="auto"/>
        </w:rPr>
        <w:t>.</w:t>
      </w:r>
      <w:r w:rsidR="00DF34DF" w:rsidRPr="00DF34DF">
        <w:rPr>
          <w:color w:val="auto"/>
        </w:rPr>
        <w:t xml:space="preserve"> </w:t>
      </w:r>
      <w:r w:rsidR="00F26706">
        <w:rPr>
          <w:color w:val="auto"/>
        </w:rPr>
        <w:t xml:space="preserve">An analysis of change is </w:t>
      </w:r>
      <w:r w:rsidR="002B4F91">
        <w:rPr>
          <w:color w:val="auto"/>
        </w:rPr>
        <w:t xml:space="preserve">shown in </w:t>
      </w:r>
      <w:r w:rsidR="00087E5F">
        <w:rPr>
          <w:color w:val="auto"/>
        </w:rPr>
        <w:fldChar w:fldCharType="begin"/>
      </w:r>
      <w:r w:rsidR="00087E5F">
        <w:rPr>
          <w:color w:val="auto"/>
        </w:rPr>
        <w:instrText xml:space="preserve"> REF  Table10 \h </w:instrText>
      </w:r>
      <w:r w:rsidR="00087E5F">
        <w:rPr>
          <w:color w:val="auto"/>
        </w:rPr>
      </w:r>
      <w:r w:rsidR="00087E5F">
        <w:rPr>
          <w:color w:val="auto"/>
        </w:rPr>
        <w:fldChar w:fldCharType="separate"/>
      </w:r>
      <w:r w:rsidR="00751625" w:rsidRPr="00DC54F5">
        <w:t xml:space="preserve">Table </w:t>
      </w:r>
      <w:r w:rsidR="00751625">
        <w:rPr>
          <w:noProof/>
        </w:rPr>
        <w:t>10</w:t>
      </w:r>
      <w:r w:rsidR="00087E5F">
        <w:rPr>
          <w:color w:val="auto"/>
        </w:rPr>
        <w:fldChar w:fldCharType="end"/>
      </w:r>
      <w:r w:rsidR="00F26706" w:rsidRPr="00D318B7">
        <w:rPr>
          <w:color w:val="auto"/>
        </w:rPr>
        <w:t>.</w:t>
      </w:r>
    </w:p>
    <w:p w14:paraId="67D3488C" w14:textId="09C9C72A" w:rsidR="0086142A" w:rsidRPr="00DC54F5" w:rsidRDefault="005B5D2F" w:rsidP="000B1493">
      <w:pPr>
        <w:pStyle w:val="Caption"/>
      </w:pPr>
      <w:bookmarkStart w:id="283" w:name="Table10"/>
      <w:r w:rsidRPr="00DC54F5">
        <w:t xml:space="preserve">Table </w:t>
      </w:r>
      <w:r w:rsidR="00215A2C">
        <w:fldChar w:fldCharType="begin"/>
      </w:r>
      <w:r w:rsidR="00215A2C">
        <w:instrText xml:space="preserve"> SEQ Table \* ARABIC </w:instrText>
      </w:r>
      <w:r w:rsidR="00215A2C">
        <w:fldChar w:fldCharType="separate"/>
      </w:r>
      <w:r w:rsidR="00751625">
        <w:rPr>
          <w:noProof/>
        </w:rPr>
        <w:t>10</w:t>
      </w:r>
      <w:r w:rsidR="00215A2C">
        <w:rPr>
          <w:noProof/>
        </w:rPr>
        <w:fldChar w:fldCharType="end"/>
      </w:r>
      <w:bookmarkEnd w:id="283"/>
      <w:r w:rsidRPr="00DC54F5">
        <w:t xml:space="preserve">: </w:t>
      </w:r>
      <w:r w:rsidRPr="001C1141">
        <w:t>Change</w:t>
      </w:r>
      <w:r w:rsidRPr="00DC54F5">
        <w:t xml:space="preserve"> in Lifetime Cost </w:t>
      </w:r>
      <w:r w:rsidR="00CD09C6" w:rsidRPr="00DC54F5">
        <w:t>by payment category</w:t>
      </w:r>
    </w:p>
    <w:tbl>
      <w:tblPr>
        <w:tblStyle w:val="ListTable3-Accent1"/>
        <w:tblW w:w="5000" w:type="pct"/>
        <w:tblLayout w:type="fixed"/>
        <w:tblLook w:val="04A0" w:firstRow="1" w:lastRow="0" w:firstColumn="1" w:lastColumn="0" w:noHBand="0" w:noVBand="1"/>
      </w:tblPr>
      <w:tblGrid>
        <w:gridCol w:w="2069"/>
        <w:gridCol w:w="1779"/>
        <w:gridCol w:w="1375"/>
        <w:gridCol w:w="1331"/>
        <w:gridCol w:w="1146"/>
      </w:tblGrid>
      <w:tr w:rsidR="00324AF2" w:rsidRPr="00740D1C" w14:paraId="0B636782" w14:textId="7951266D" w:rsidTr="00811738">
        <w:trPr>
          <w:cnfStyle w:val="100000000000" w:firstRow="1" w:lastRow="0" w:firstColumn="0" w:lastColumn="0" w:oddVBand="0" w:evenVBand="0" w:oddHBand="0" w:evenHBand="0" w:firstRowFirstColumn="0" w:firstRowLastColumn="0" w:lastRowFirstColumn="0" w:lastRowLastColumn="0"/>
          <w:trHeight w:val="363"/>
        </w:trPr>
        <w:tc>
          <w:tcPr>
            <w:cnfStyle w:val="001000000100" w:firstRow="0" w:lastRow="0" w:firstColumn="1" w:lastColumn="0" w:oddVBand="0" w:evenVBand="0" w:oddHBand="0" w:evenHBand="0" w:firstRowFirstColumn="1" w:firstRowLastColumn="0" w:lastRowFirstColumn="0" w:lastRowLastColumn="0"/>
            <w:tcW w:w="1344" w:type="pct"/>
            <w:vMerge w:val="restart"/>
          </w:tcPr>
          <w:p w14:paraId="59841E9B" w14:textId="286ECFAF" w:rsidR="002C0D56" w:rsidRPr="00740D1C" w:rsidRDefault="002C0D56" w:rsidP="00740D1C">
            <w:pPr>
              <w:pStyle w:val="PwCNormal"/>
              <w:spacing w:before="40" w:after="40" w:line="260" w:lineRule="exact"/>
              <w:rPr>
                <w:rFonts w:ascii="Arial" w:hAnsi="Arial"/>
                <w:color w:val="auto"/>
                <w:sz w:val="18"/>
                <w:szCs w:val="18"/>
              </w:rPr>
            </w:pPr>
            <w:r w:rsidRPr="00740D1C">
              <w:rPr>
                <w:rFonts w:ascii="Arial" w:hAnsi="Arial"/>
                <w:color w:val="auto"/>
                <w:sz w:val="18"/>
                <w:szCs w:val="18"/>
              </w:rPr>
              <w:t>Payment Category</w:t>
            </w:r>
          </w:p>
        </w:tc>
        <w:tc>
          <w:tcPr>
            <w:tcW w:w="2047" w:type="pct"/>
            <w:gridSpan w:val="2"/>
          </w:tcPr>
          <w:p w14:paraId="45F44809" w14:textId="7767A7BD" w:rsidR="002C0D56" w:rsidRPr="00740D1C" w:rsidRDefault="002C0D56" w:rsidP="00740D1C">
            <w:pPr>
              <w:pStyle w:val="PwCNormal"/>
              <w:spacing w:before="40" w:after="40" w:line="260" w:lineRule="exact"/>
              <w:jc w:val="center"/>
              <w:cnfStyle w:val="100000000000" w:firstRow="1" w:lastRow="0" w:firstColumn="0" w:lastColumn="0" w:oddVBand="0" w:evenVBand="0" w:oddHBand="0" w:evenHBand="0" w:firstRowFirstColumn="0" w:firstRowLastColumn="0" w:lastRowFirstColumn="0" w:lastRowLastColumn="0"/>
              <w:rPr>
                <w:rFonts w:ascii="Arial" w:hAnsi="Arial"/>
                <w:color w:val="auto"/>
                <w:sz w:val="18"/>
                <w:szCs w:val="18"/>
              </w:rPr>
            </w:pPr>
            <w:r w:rsidRPr="00740D1C">
              <w:rPr>
                <w:rFonts w:ascii="Arial" w:hAnsi="Arial"/>
                <w:color w:val="auto"/>
                <w:sz w:val="18"/>
                <w:szCs w:val="18"/>
              </w:rPr>
              <w:t>Lifetime Cost $m for Year End:</w:t>
            </w:r>
          </w:p>
        </w:tc>
        <w:tc>
          <w:tcPr>
            <w:tcW w:w="1609" w:type="pct"/>
            <w:gridSpan w:val="2"/>
          </w:tcPr>
          <w:p w14:paraId="313CFA84" w14:textId="725E57EA" w:rsidR="002C0D56" w:rsidRPr="00740D1C" w:rsidRDefault="002C0D56" w:rsidP="00740D1C">
            <w:pPr>
              <w:pStyle w:val="PwCNormal"/>
              <w:numPr>
                <w:ilvl w:val="0"/>
                <w:numId w:val="0"/>
              </w:numPr>
              <w:spacing w:before="40" w:after="40" w:line="260" w:lineRule="exact"/>
              <w:jc w:val="center"/>
              <w:cnfStyle w:val="100000000000" w:firstRow="1" w:lastRow="0" w:firstColumn="0" w:lastColumn="0" w:oddVBand="0" w:evenVBand="0" w:oddHBand="0" w:evenHBand="0" w:firstRowFirstColumn="0" w:firstRowLastColumn="0" w:lastRowFirstColumn="0" w:lastRowLastColumn="0"/>
              <w:rPr>
                <w:rFonts w:ascii="Arial" w:hAnsi="Arial"/>
                <w:color w:val="auto"/>
                <w:sz w:val="18"/>
                <w:szCs w:val="18"/>
              </w:rPr>
            </w:pPr>
            <w:r w:rsidRPr="00740D1C">
              <w:rPr>
                <w:rFonts w:ascii="Arial" w:hAnsi="Arial"/>
                <w:color w:val="auto"/>
                <w:sz w:val="18"/>
                <w:szCs w:val="18"/>
              </w:rPr>
              <w:t>Change in Lifetime Cost</w:t>
            </w:r>
          </w:p>
        </w:tc>
      </w:tr>
      <w:tr w:rsidR="00324AF2" w:rsidRPr="00740D1C" w14:paraId="73126B2C" w14:textId="4592611B" w:rsidTr="00811738">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1344" w:type="pct"/>
            <w:vMerge/>
          </w:tcPr>
          <w:p w14:paraId="63F65A83" w14:textId="77777777" w:rsidR="002C0D56" w:rsidRPr="00740D1C" w:rsidRDefault="002C0D56" w:rsidP="00740D1C">
            <w:pPr>
              <w:pStyle w:val="PwCNormal"/>
              <w:numPr>
                <w:ilvl w:val="0"/>
                <w:numId w:val="0"/>
              </w:numPr>
              <w:spacing w:before="40" w:after="40" w:line="260" w:lineRule="exact"/>
              <w:rPr>
                <w:rFonts w:ascii="Arial" w:hAnsi="Arial"/>
                <w:b w:val="0"/>
                <w:color w:val="auto"/>
                <w:sz w:val="18"/>
                <w:szCs w:val="18"/>
              </w:rPr>
            </w:pPr>
          </w:p>
        </w:tc>
        <w:tc>
          <w:tcPr>
            <w:tcW w:w="1155" w:type="pct"/>
            <w:shd w:val="clear" w:color="auto" w:fill="74000E" w:themeFill="accent1"/>
          </w:tcPr>
          <w:p w14:paraId="7CFB43C1" w14:textId="68A9EBE2" w:rsidR="002C0D56" w:rsidRPr="00740D1C" w:rsidRDefault="002C0D56" w:rsidP="00740D1C">
            <w:pPr>
              <w:pStyle w:val="PwCNormal"/>
              <w:spacing w:before="40" w:after="40" w:line="260" w:lineRule="exact"/>
              <w:cnfStyle w:val="000000100000" w:firstRow="0" w:lastRow="0" w:firstColumn="0" w:lastColumn="0" w:oddVBand="0" w:evenVBand="0" w:oddHBand="1" w:evenHBand="0" w:firstRowFirstColumn="0" w:firstRowLastColumn="0" w:lastRowFirstColumn="0" w:lastRowLastColumn="0"/>
              <w:rPr>
                <w:rFonts w:ascii="Arial" w:hAnsi="Arial"/>
                <w:b/>
                <w:color w:val="auto"/>
                <w:sz w:val="18"/>
                <w:szCs w:val="18"/>
              </w:rPr>
            </w:pPr>
            <w:r w:rsidRPr="00740D1C">
              <w:rPr>
                <w:rFonts w:ascii="Arial" w:hAnsi="Arial"/>
                <w:b/>
                <w:color w:val="auto"/>
                <w:sz w:val="18"/>
                <w:szCs w:val="18"/>
              </w:rPr>
              <w:t>30 June 2019</w:t>
            </w:r>
          </w:p>
        </w:tc>
        <w:tc>
          <w:tcPr>
            <w:tcW w:w="893" w:type="pct"/>
            <w:shd w:val="clear" w:color="auto" w:fill="74000E" w:themeFill="accent1"/>
          </w:tcPr>
          <w:p w14:paraId="4E634018" w14:textId="0D893F2D" w:rsidR="002C0D56" w:rsidRPr="00740D1C" w:rsidRDefault="002C0D56" w:rsidP="00740D1C">
            <w:pPr>
              <w:pStyle w:val="PwCNormal"/>
              <w:spacing w:before="40" w:after="40" w:line="260" w:lineRule="exact"/>
              <w:jc w:val="center"/>
              <w:cnfStyle w:val="000000100000" w:firstRow="0" w:lastRow="0" w:firstColumn="0" w:lastColumn="0" w:oddVBand="0" w:evenVBand="0" w:oddHBand="1" w:evenHBand="0" w:firstRowFirstColumn="0" w:firstRowLastColumn="0" w:lastRowFirstColumn="0" w:lastRowLastColumn="0"/>
              <w:rPr>
                <w:rFonts w:ascii="Arial" w:hAnsi="Arial"/>
                <w:b/>
                <w:color w:val="auto"/>
                <w:sz w:val="18"/>
                <w:szCs w:val="18"/>
              </w:rPr>
            </w:pPr>
            <w:r w:rsidRPr="00740D1C">
              <w:rPr>
                <w:rFonts w:ascii="Arial" w:hAnsi="Arial"/>
                <w:b/>
                <w:color w:val="auto"/>
                <w:sz w:val="18"/>
                <w:szCs w:val="18"/>
              </w:rPr>
              <w:t>30 June 2018</w:t>
            </w:r>
          </w:p>
        </w:tc>
        <w:tc>
          <w:tcPr>
            <w:tcW w:w="864" w:type="pct"/>
            <w:shd w:val="clear" w:color="auto" w:fill="74000E" w:themeFill="accent1"/>
          </w:tcPr>
          <w:p w14:paraId="509EB1A8" w14:textId="49419424" w:rsidR="002C0D56" w:rsidRPr="00740D1C" w:rsidRDefault="002C0D56" w:rsidP="00740D1C">
            <w:pPr>
              <w:pStyle w:val="PwCNormal"/>
              <w:spacing w:before="40" w:after="40" w:line="260" w:lineRule="exact"/>
              <w:jc w:val="center"/>
              <w:cnfStyle w:val="000000100000" w:firstRow="0" w:lastRow="0" w:firstColumn="0" w:lastColumn="0" w:oddVBand="0" w:evenVBand="0" w:oddHBand="1" w:evenHBand="0" w:firstRowFirstColumn="0" w:firstRowLastColumn="0" w:lastRowFirstColumn="0" w:lastRowLastColumn="0"/>
              <w:rPr>
                <w:rFonts w:ascii="Arial" w:hAnsi="Arial"/>
                <w:b/>
                <w:color w:val="auto"/>
                <w:sz w:val="18"/>
                <w:szCs w:val="18"/>
              </w:rPr>
            </w:pPr>
            <w:r w:rsidRPr="00740D1C">
              <w:rPr>
                <w:rFonts w:ascii="Arial" w:hAnsi="Arial"/>
                <w:b/>
                <w:color w:val="auto"/>
                <w:sz w:val="18"/>
                <w:szCs w:val="18"/>
              </w:rPr>
              <w:t>$m</w:t>
            </w:r>
          </w:p>
        </w:tc>
        <w:tc>
          <w:tcPr>
            <w:tcW w:w="745" w:type="pct"/>
            <w:shd w:val="clear" w:color="auto" w:fill="74000E" w:themeFill="accent1"/>
          </w:tcPr>
          <w:p w14:paraId="1BA42E7D" w14:textId="6D72B098" w:rsidR="002C0D56" w:rsidRPr="00740D1C" w:rsidRDefault="002C0D56" w:rsidP="00740D1C">
            <w:pPr>
              <w:pStyle w:val="PwCNormal"/>
              <w:numPr>
                <w:ilvl w:val="0"/>
                <w:numId w:val="0"/>
              </w:numPr>
              <w:spacing w:before="40" w:after="40" w:line="260" w:lineRule="exact"/>
              <w:jc w:val="center"/>
              <w:cnfStyle w:val="000000100000" w:firstRow="0" w:lastRow="0" w:firstColumn="0" w:lastColumn="0" w:oddVBand="0" w:evenVBand="0" w:oddHBand="1" w:evenHBand="0" w:firstRowFirstColumn="0" w:firstRowLastColumn="0" w:lastRowFirstColumn="0" w:lastRowLastColumn="0"/>
              <w:rPr>
                <w:rFonts w:ascii="Arial" w:hAnsi="Arial"/>
                <w:b/>
                <w:color w:val="auto"/>
                <w:sz w:val="18"/>
                <w:szCs w:val="18"/>
              </w:rPr>
            </w:pPr>
            <w:r w:rsidRPr="00740D1C">
              <w:rPr>
                <w:rFonts w:ascii="Arial" w:hAnsi="Arial"/>
                <w:b/>
                <w:color w:val="auto"/>
                <w:sz w:val="18"/>
                <w:szCs w:val="18"/>
              </w:rPr>
              <w:t>%</w:t>
            </w:r>
          </w:p>
        </w:tc>
      </w:tr>
      <w:tr w:rsidR="00324AF2" w:rsidRPr="00740D1C" w14:paraId="2F6CA133" w14:textId="754E0255" w:rsidTr="00811738">
        <w:tc>
          <w:tcPr>
            <w:cnfStyle w:val="001000000000" w:firstRow="0" w:lastRow="0" w:firstColumn="1" w:lastColumn="0" w:oddVBand="0" w:evenVBand="0" w:oddHBand="0" w:evenHBand="0" w:firstRowFirstColumn="0" w:firstRowLastColumn="0" w:lastRowFirstColumn="0" w:lastRowLastColumn="0"/>
            <w:tcW w:w="1344" w:type="pct"/>
          </w:tcPr>
          <w:p w14:paraId="751B6384" w14:textId="13CF6654" w:rsidR="00324AF2" w:rsidRPr="00740D1C" w:rsidRDefault="00324AF2" w:rsidP="00740D1C">
            <w:pPr>
              <w:pStyle w:val="PwCNormal"/>
              <w:spacing w:before="40" w:after="40" w:line="260" w:lineRule="exact"/>
              <w:rPr>
                <w:rFonts w:ascii="Arial" w:hAnsi="Arial"/>
                <w:color w:val="FF0000"/>
                <w:sz w:val="18"/>
                <w:szCs w:val="18"/>
              </w:rPr>
            </w:pPr>
            <w:r w:rsidRPr="00740D1C">
              <w:rPr>
                <w:rFonts w:ascii="Arial" w:hAnsi="Arial"/>
                <w:sz w:val="18"/>
                <w:szCs w:val="18"/>
              </w:rPr>
              <w:t>A - IS Studying</w:t>
            </w:r>
          </w:p>
        </w:tc>
        <w:tc>
          <w:tcPr>
            <w:tcW w:w="1155" w:type="pct"/>
          </w:tcPr>
          <w:p w14:paraId="6B3A954C" w14:textId="52C3D680" w:rsidR="00324AF2" w:rsidRPr="00740D1C" w:rsidRDefault="00324AF2" w:rsidP="00740D1C">
            <w:pPr>
              <w:pStyle w:val="PwCNormal"/>
              <w:numPr>
                <w:ilvl w:val="0"/>
                <w:numId w:val="0"/>
              </w:numPr>
              <w:spacing w:before="40" w:after="40" w:line="260" w:lineRule="exact"/>
              <w:ind w:right="108"/>
              <w:jc w:val="right"/>
              <w:cnfStyle w:val="000000000000" w:firstRow="0" w:lastRow="0" w:firstColumn="0" w:lastColumn="0" w:oddVBand="0" w:evenVBand="0" w:oddHBand="0" w:evenHBand="0" w:firstRowFirstColumn="0" w:firstRowLastColumn="0" w:lastRowFirstColumn="0" w:lastRowLastColumn="0"/>
              <w:rPr>
                <w:rFonts w:ascii="Arial" w:hAnsi="Arial"/>
                <w:color w:val="auto"/>
                <w:sz w:val="18"/>
                <w:szCs w:val="18"/>
              </w:rPr>
            </w:pPr>
            <w:r w:rsidRPr="00740D1C">
              <w:rPr>
                <w:rFonts w:ascii="Arial" w:hAnsi="Arial"/>
                <w:sz w:val="18"/>
                <w:szCs w:val="18"/>
              </w:rPr>
              <w:t>29,704</w:t>
            </w:r>
          </w:p>
        </w:tc>
        <w:tc>
          <w:tcPr>
            <w:tcW w:w="893" w:type="pct"/>
          </w:tcPr>
          <w:p w14:paraId="368D10BC" w14:textId="3E08BCC0" w:rsidR="00324AF2" w:rsidRPr="00740D1C" w:rsidRDefault="00324AF2" w:rsidP="00740D1C">
            <w:pPr>
              <w:pStyle w:val="PwCNormal"/>
              <w:numPr>
                <w:ilvl w:val="0"/>
                <w:numId w:val="0"/>
              </w:numPr>
              <w:spacing w:before="40" w:after="40" w:line="260" w:lineRule="exact"/>
              <w:ind w:right="108"/>
              <w:jc w:val="right"/>
              <w:cnfStyle w:val="000000000000" w:firstRow="0" w:lastRow="0" w:firstColumn="0" w:lastColumn="0" w:oddVBand="0" w:evenVBand="0" w:oddHBand="0" w:evenHBand="0" w:firstRowFirstColumn="0" w:firstRowLastColumn="0" w:lastRowFirstColumn="0" w:lastRowLastColumn="0"/>
              <w:rPr>
                <w:rFonts w:ascii="Arial" w:hAnsi="Arial"/>
                <w:color w:val="auto"/>
                <w:sz w:val="18"/>
                <w:szCs w:val="18"/>
              </w:rPr>
            </w:pPr>
            <w:r w:rsidRPr="00740D1C">
              <w:rPr>
                <w:rFonts w:ascii="Arial" w:hAnsi="Arial"/>
                <w:sz w:val="18"/>
                <w:szCs w:val="18"/>
              </w:rPr>
              <w:t>34,770</w:t>
            </w:r>
          </w:p>
        </w:tc>
        <w:tc>
          <w:tcPr>
            <w:tcW w:w="864" w:type="pct"/>
          </w:tcPr>
          <w:p w14:paraId="57B6DC25" w14:textId="703DD9D4" w:rsidR="00324AF2" w:rsidRPr="00740D1C" w:rsidRDefault="00324AF2" w:rsidP="00740D1C">
            <w:pPr>
              <w:pStyle w:val="PwCNormal"/>
              <w:numPr>
                <w:ilvl w:val="0"/>
                <w:numId w:val="0"/>
              </w:numPr>
              <w:spacing w:before="40" w:after="40" w:line="260" w:lineRule="exact"/>
              <w:ind w:right="92"/>
              <w:jc w:val="right"/>
              <w:cnfStyle w:val="000000000000" w:firstRow="0" w:lastRow="0" w:firstColumn="0" w:lastColumn="0" w:oddVBand="0" w:evenVBand="0" w:oddHBand="0" w:evenHBand="0" w:firstRowFirstColumn="0" w:firstRowLastColumn="0" w:lastRowFirstColumn="0" w:lastRowLastColumn="0"/>
              <w:rPr>
                <w:rFonts w:ascii="Arial" w:hAnsi="Arial"/>
                <w:color w:val="auto"/>
                <w:sz w:val="18"/>
                <w:szCs w:val="18"/>
              </w:rPr>
            </w:pPr>
            <w:r w:rsidRPr="00740D1C">
              <w:rPr>
                <w:rFonts w:ascii="Arial" w:hAnsi="Arial"/>
                <w:sz w:val="18"/>
                <w:szCs w:val="18"/>
              </w:rPr>
              <w:t>-5,066</w:t>
            </w:r>
          </w:p>
        </w:tc>
        <w:tc>
          <w:tcPr>
            <w:tcW w:w="745" w:type="pct"/>
          </w:tcPr>
          <w:p w14:paraId="70A07F4F" w14:textId="0FDA902E" w:rsidR="00324AF2" w:rsidRPr="00740D1C" w:rsidRDefault="00324AF2" w:rsidP="00740D1C">
            <w:pPr>
              <w:pStyle w:val="PwCNormal"/>
              <w:spacing w:before="40" w:after="40" w:line="260" w:lineRule="exact"/>
              <w:ind w:right="92"/>
              <w:jc w:val="right"/>
              <w:cnfStyle w:val="000000000000" w:firstRow="0" w:lastRow="0" w:firstColumn="0" w:lastColumn="0" w:oddVBand="0" w:evenVBand="0" w:oddHBand="0" w:evenHBand="0" w:firstRowFirstColumn="0" w:firstRowLastColumn="0" w:lastRowFirstColumn="0" w:lastRowLastColumn="0"/>
              <w:rPr>
                <w:rFonts w:ascii="Arial" w:hAnsi="Arial"/>
                <w:color w:val="auto"/>
                <w:sz w:val="18"/>
                <w:szCs w:val="18"/>
              </w:rPr>
            </w:pPr>
            <w:r w:rsidRPr="00740D1C">
              <w:rPr>
                <w:rFonts w:ascii="Arial" w:hAnsi="Arial"/>
                <w:sz w:val="18"/>
                <w:szCs w:val="18"/>
              </w:rPr>
              <w:t>-14.57%</w:t>
            </w:r>
          </w:p>
        </w:tc>
      </w:tr>
      <w:tr w:rsidR="00324AF2" w:rsidRPr="00740D1C" w14:paraId="2D442B48" w14:textId="103E151C" w:rsidTr="008117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4" w:type="pct"/>
          </w:tcPr>
          <w:p w14:paraId="7570EDF4" w14:textId="23C4E4C6" w:rsidR="00324AF2" w:rsidRPr="00740D1C" w:rsidRDefault="00324AF2" w:rsidP="00740D1C">
            <w:pPr>
              <w:pStyle w:val="PwCNormal"/>
              <w:spacing w:before="40" w:after="40" w:line="260" w:lineRule="exact"/>
              <w:rPr>
                <w:rFonts w:ascii="Arial" w:hAnsi="Arial"/>
                <w:color w:val="FF0000"/>
                <w:sz w:val="18"/>
                <w:szCs w:val="18"/>
              </w:rPr>
            </w:pPr>
            <w:r w:rsidRPr="00740D1C">
              <w:rPr>
                <w:rFonts w:ascii="Arial" w:hAnsi="Arial"/>
                <w:sz w:val="18"/>
                <w:szCs w:val="18"/>
              </w:rPr>
              <w:t>B - IS Working Age</w:t>
            </w:r>
          </w:p>
        </w:tc>
        <w:tc>
          <w:tcPr>
            <w:tcW w:w="1155" w:type="pct"/>
          </w:tcPr>
          <w:p w14:paraId="42B27FFD" w14:textId="4ED9F96B" w:rsidR="00324AF2" w:rsidRPr="00740D1C" w:rsidRDefault="00324AF2" w:rsidP="00740D1C">
            <w:pPr>
              <w:pStyle w:val="PwCNormal"/>
              <w:numPr>
                <w:ilvl w:val="0"/>
                <w:numId w:val="0"/>
              </w:numPr>
              <w:spacing w:before="40" w:after="40" w:line="260" w:lineRule="exact"/>
              <w:ind w:right="108"/>
              <w:jc w:val="right"/>
              <w:cnfStyle w:val="000000100000" w:firstRow="0" w:lastRow="0" w:firstColumn="0" w:lastColumn="0" w:oddVBand="0" w:evenVBand="0" w:oddHBand="1" w:evenHBand="0" w:firstRowFirstColumn="0" w:firstRowLastColumn="0" w:lastRowFirstColumn="0" w:lastRowLastColumn="0"/>
              <w:rPr>
                <w:rFonts w:ascii="Arial" w:hAnsi="Arial"/>
                <w:color w:val="auto"/>
                <w:sz w:val="18"/>
                <w:szCs w:val="18"/>
              </w:rPr>
            </w:pPr>
            <w:r w:rsidRPr="00740D1C">
              <w:rPr>
                <w:rFonts w:ascii="Arial" w:hAnsi="Arial"/>
                <w:sz w:val="18"/>
                <w:szCs w:val="18"/>
              </w:rPr>
              <w:t>265,256</w:t>
            </w:r>
          </w:p>
        </w:tc>
        <w:tc>
          <w:tcPr>
            <w:tcW w:w="893" w:type="pct"/>
          </w:tcPr>
          <w:p w14:paraId="626B9273" w14:textId="1B426D5E" w:rsidR="00324AF2" w:rsidRPr="00740D1C" w:rsidRDefault="00324AF2" w:rsidP="00740D1C">
            <w:pPr>
              <w:pStyle w:val="PwCNormal"/>
              <w:numPr>
                <w:ilvl w:val="0"/>
                <w:numId w:val="0"/>
              </w:numPr>
              <w:spacing w:before="40" w:after="40" w:line="260" w:lineRule="exact"/>
              <w:ind w:right="108"/>
              <w:jc w:val="right"/>
              <w:cnfStyle w:val="000000100000" w:firstRow="0" w:lastRow="0" w:firstColumn="0" w:lastColumn="0" w:oddVBand="0" w:evenVBand="0" w:oddHBand="1" w:evenHBand="0" w:firstRowFirstColumn="0" w:firstRowLastColumn="0" w:lastRowFirstColumn="0" w:lastRowLastColumn="0"/>
              <w:rPr>
                <w:rFonts w:ascii="Arial" w:hAnsi="Arial"/>
                <w:color w:val="auto"/>
                <w:sz w:val="18"/>
                <w:szCs w:val="18"/>
              </w:rPr>
            </w:pPr>
            <w:r w:rsidRPr="00740D1C">
              <w:rPr>
                <w:rFonts w:ascii="Arial" w:hAnsi="Arial"/>
                <w:sz w:val="18"/>
                <w:szCs w:val="18"/>
              </w:rPr>
              <w:t>311,024</w:t>
            </w:r>
          </w:p>
        </w:tc>
        <w:tc>
          <w:tcPr>
            <w:tcW w:w="864" w:type="pct"/>
          </w:tcPr>
          <w:p w14:paraId="3B044553" w14:textId="5E6A6D6A" w:rsidR="00324AF2" w:rsidRPr="00740D1C" w:rsidRDefault="00324AF2" w:rsidP="00740D1C">
            <w:pPr>
              <w:pStyle w:val="PwCNormal"/>
              <w:numPr>
                <w:ilvl w:val="0"/>
                <w:numId w:val="0"/>
              </w:numPr>
              <w:spacing w:before="40" w:after="40" w:line="260" w:lineRule="exact"/>
              <w:ind w:right="92"/>
              <w:jc w:val="right"/>
              <w:cnfStyle w:val="000000100000" w:firstRow="0" w:lastRow="0" w:firstColumn="0" w:lastColumn="0" w:oddVBand="0" w:evenVBand="0" w:oddHBand="1" w:evenHBand="0" w:firstRowFirstColumn="0" w:firstRowLastColumn="0" w:lastRowFirstColumn="0" w:lastRowLastColumn="0"/>
              <w:rPr>
                <w:rFonts w:ascii="Arial" w:hAnsi="Arial"/>
                <w:color w:val="auto"/>
                <w:sz w:val="18"/>
                <w:szCs w:val="18"/>
              </w:rPr>
            </w:pPr>
            <w:r w:rsidRPr="00740D1C">
              <w:rPr>
                <w:rFonts w:ascii="Arial" w:hAnsi="Arial"/>
                <w:sz w:val="18"/>
                <w:szCs w:val="18"/>
              </w:rPr>
              <w:t>-45,768</w:t>
            </w:r>
          </w:p>
        </w:tc>
        <w:tc>
          <w:tcPr>
            <w:tcW w:w="745" w:type="pct"/>
          </w:tcPr>
          <w:p w14:paraId="583DBE2D" w14:textId="33F4532D" w:rsidR="00324AF2" w:rsidRPr="00740D1C" w:rsidRDefault="00324AF2" w:rsidP="00740D1C">
            <w:pPr>
              <w:pStyle w:val="PwCNormal"/>
              <w:spacing w:before="40" w:after="40" w:line="260" w:lineRule="exact"/>
              <w:ind w:right="92"/>
              <w:jc w:val="right"/>
              <w:cnfStyle w:val="000000100000" w:firstRow="0" w:lastRow="0" w:firstColumn="0" w:lastColumn="0" w:oddVBand="0" w:evenVBand="0" w:oddHBand="1" w:evenHBand="0" w:firstRowFirstColumn="0" w:firstRowLastColumn="0" w:lastRowFirstColumn="0" w:lastRowLastColumn="0"/>
              <w:rPr>
                <w:rFonts w:ascii="Arial" w:hAnsi="Arial"/>
                <w:color w:val="auto"/>
                <w:sz w:val="18"/>
                <w:szCs w:val="18"/>
              </w:rPr>
            </w:pPr>
            <w:r w:rsidRPr="00740D1C">
              <w:rPr>
                <w:rFonts w:ascii="Arial" w:hAnsi="Arial"/>
                <w:sz w:val="18"/>
                <w:szCs w:val="18"/>
              </w:rPr>
              <w:t>-14.72%</w:t>
            </w:r>
          </w:p>
        </w:tc>
      </w:tr>
      <w:tr w:rsidR="00324AF2" w:rsidRPr="00740D1C" w14:paraId="15729567" w14:textId="250ED556" w:rsidTr="00811738">
        <w:tc>
          <w:tcPr>
            <w:cnfStyle w:val="001000000000" w:firstRow="0" w:lastRow="0" w:firstColumn="1" w:lastColumn="0" w:oddVBand="0" w:evenVBand="0" w:oddHBand="0" w:evenHBand="0" w:firstRowFirstColumn="0" w:firstRowLastColumn="0" w:lastRowFirstColumn="0" w:lastRowLastColumn="0"/>
            <w:tcW w:w="1344" w:type="pct"/>
          </w:tcPr>
          <w:p w14:paraId="2B3D3AFB" w14:textId="54CE7F8C" w:rsidR="00324AF2" w:rsidRPr="00740D1C" w:rsidRDefault="00324AF2" w:rsidP="00740D1C">
            <w:pPr>
              <w:pStyle w:val="PwCNormal"/>
              <w:numPr>
                <w:ilvl w:val="0"/>
                <w:numId w:val="0"/>
              </w:numPr>
              <w:spacing w:before="40" w:after="40" w:line="260" w:lineRule="exact"/>
              <w:rPr>
                <w:rFonts w:ascii="Arial" w:hAnsi="Arial"/>
                <w:color w:val="FF0000"/>
                <w:sz w:val="18"/>
                <w:szCs w:val="18"/>
              </w:rPr>
            </w:pPr>
            <w:r w:rsidRPr="00740D1C">
              <w:rPr>
                <w:rFonts w:ascii="Arial" w:hAnsi="Arial"/>
                <w:sz w:val="18"/>
                <w:szCs w:val="18"/>
              </w:rPr>
              <w:t>C - IS Parents</w:t>
            </w:r>
          </w:p>
        </w:tc>
        <w:tc>
          <w:tcPr>
            <w:tcW w:w="1155" w:type="pct"/>
          </w:tcPr>
          <w:p w14:paraId="7F6A6DE6" w14:textId="3F27ACC1" w:rsidR="00324AF2" w:rsidRPr="00740D1C" w:rsidRDefault="00324AF2" w:rsidP="00740D1C">
            <w:pPr>
              <w:pStyle w:val="PwCNormal"/>
              <w:numPr>
                <w:ilvl w:val="0"/>
                <w:numId w:val="0"/>
              </w:numPr>
              <w:spacing w:before="40" w:after="40" w:line="260" w:lineRule="exact"/>
              <w:ind w:right="108"/>
              <w:jc w:val="right"/>
              <w:cnfStyle w:val="000000000000" w:firstRow="0" w:lastRow="0" w:firstColumn="0" w:lastColumn="0" w:oddVBand="0" w:evenVBand="0" w:oddHBand="0" w:evenHBand="0" w:firstRowFirstColumn="0" w:firstRowLastColumn="0" w:lastRowFirstColumn="0" w:lastRowLastColumn="0"/>
              <w:rPr>
                <w:rFonts w:ascii="Arial" w:hAnsi="Arial"/>
                <w:color w:val="auto"/>
                <w:sz w:val="18"/>
                <w:szCs w:val="18"/>
              </w:rPr>
            </w:pPr>
            <w:r w:rsidRPr="00740D1C">
              <w:rPr>
                <w:rFonts w:ascii="Arial" w:hAnsi="Arial"/>
                <w:sz w:val="18"/>
                <w:szCs w:val="18"/>
              </w:rPr>
              <w:t>124,481</w:t>
            </w:r>
          </w:p>
        </w:tc>
        <w:tc>
          <w:tcPr>
            <w:tcW w:w="893" w:type="pct"/>
          </w:tcPr>
          <w:p w14:paraId="454C7E5A" w14:textId="701B45EC" w:rsidR="00324AF2" w:rsidRPr="00740D1C" w:rsidRDefault="00324AF2" w:rsidP="00740D1C">
            <w:pPr>
              <w:pStyle w:val="PwCNormal"/>
              <w:numPr>
                <w:ilvl w:val="0"/>
                <w:numId w:val="0"/>
              </w:numPr>
              <w:spacing w:before="40" w:after="40" w:line="260" w:lineRule="exact"/>
              <w:ind w:right="108"/>
              <w:jc w:val="right"/>
              <w:cnfStyle w:val="000000000000" w:firstRow="0" w:lastRow="0" w:firstColumn="0" w:lastColumn="0" w:oddVBand="0" w:evenVBand="0" w:oddHBand="0" w:evenHBand="0" w:firstRowFirstColumn="0" w:firstRowLastColumn="0" w:lastRowFirstColumn="0" w:lastRowLastColumn="0"/>
              <w:rPr>
                <w:rFonts w:ascii="Arial" w:hAnsi="Arial"/>
                <w:color w:val="auto"/>
                <w:sz w:val="18"/>
                <w:szCs w:val="18"/>
              </w:rPr>
            </w:pPr>
            <w:r w:rsidRPr="00740D1C">
              <w:rPr>
                <w:rFonts w:ascii="Arial" w:hAnsi="Arial"/>
                <w:sz w:val="18"/>
                <w:szCs w:val="18"/>
              </w:rPr>
              <w:t>143,314</w:t>
            </w:r>
          </w:p>
        </w:tc>
        <w:tc>
          <w:tcPr>
            <w:tcW w:w="864" w:type="pct"/>
          </w:tcPr>
          <w:p w14:paraId="633727C9" w14:textId="61565875" w:rsidR="00324AF2" w:rsidRPr="00740D1C" w:rsidRDefault="00324AF2" w:rsidP="00740D1C">
            <w:pPr>
              <w:pStyle w:val="PwCNormal"/>
              <w:numPr>
                <w:ilvl w:val="0"/>
                <w:numId w:val="0"/>
              </w:numPr>
              <w:spacing w:before="40" w:after="40" w:line="260" w:lineRule="exact"/>
              <w:ind w:right="92"/>
              <w:jc w:val="right"/>
              <w:cnfStyle w:val="000000000000" w:firstRow="0" w:lastRow="0" w:firstColumn="0" w:lastColumn="0" w:oddVBand="0" w:evenVBand="0" w:oddHBand="0" w:evenHBand="0" w:firstRowFirstColumn="0" w:firstRowLastColumn="0" w:lastRowFirstColumn="0" w:lastRowLastColumn="0"/>
              <w:rPr>
                <w:rFonts w:ascii="Arial" w:hAnsi="Arial"/>
                <w:color w:val="auto"/>
                <w:sz w:val="18"/>
                <w:szCs w:val="18"/>
              </w:rPr>
            </w:pPr>
            <w:r w:rsidRPr="00740D1C">
              <w:rPr>
                <w:rFonts w:ascii="Arial" w:hAnsi="Arial"/>
                <w:sz w:val="18"/>
                <w:szCs w:val="18"/>
              </w:rPr>
              <w:t>-18,833</w:t>
            </w:r>
          </w:p>
        </w:tc>
        <w:tc>
          <w:tcPr>
            <w:tcW w:w="745" w:type="pct"/>
          </w:tcPr>
          <w:p w14:paraId="75814220" w14:textId="488C65BB" w:rsidR="00324AF2" w:rsidRPr="00740D1C" w:rsidRDefault="00324AF2" w:rsidP="00740D1C">
            <w:pPr>
              <w:pStyle w:val="PwCNormal"/>
              <w:spacing w:before="40" w:after="40" w:line="260" w:lineRule="exact"/>
              <w:ind w:right="92"/>
              <w:jc w:val="right"/>
              <w:cnfStyle w:val="000000000000" w:firstRow="0" w:lastRow="0" w:firstColumn="0" w:lastColumn="0" w:oddVBand="0" w:evenVBand="0" w:oddHBand="0" w:evenHBand="0" w:firstRowFirstColumn="0" w:firstRowLastColumn="0" w:lastRowFirstColumn="0" w:lastRowLastColumn="0"/>
              <w:rPr>
                <w:rFonts w:ascii="Arial" w:hAnsi="Arial"/>
                <w:color w:val="auto"/>
                <w:sz w:val="18"/>
                <w:szCs w:val="18"/>
              </w:rPr>
            </w:pPr>
            <w:r w:rsidRPr="00740D1C">
              <w:rPr>
                <w:rFonts w:ascii="Arial" w:hAnsi="Arial"/>
                <w:sz w:val="18"/>
                <w:szCs w:val="18"/>
              </w:rPr>
              <w:t>-13.14%</w:t>
            </w:r>
          </w:p>
        </w:tc>
      </w:tr>
      <w:tr w:rsidR="00324AF2" w:rsidRPr="00740D1C" w14:paraId="0AB5DA26" w14:textId="5EE699EB" w:rsidTr="008117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4" w:type="pct"/>
          </w:tcPr>
          <w:p w14:paraId="4BB63D39" w14:textId="68392FCA" w:rsidR="00324AF2" w:rsidRPr="00740D1C" w:rsidRDefault="00324AF2" w:rsidP="00740D1C">
            <w:pPr>
              <w:pStyle w:val="PwCNormal"/>
              <w:numPr>
                <w:ilvl w:val="0"/>
                <w:numId w:val="0"/>
              </w:numPr>
              <w:spacing w:before="40" w:after="40" w:line="260" w:lineRule="exact"/>
              <w:rPr>
                <w:rFonts w:ascii="Arial" w:hAnsi="Arial"/>
                <w:color w:val="FF0000"/>
                <w:sz w:val="18"/>
                <w:szCs w:val="18"/>
              </w:rPr>
            </w:pPr>
            <w:r w:rsidRPr="00740D1C">
              <w:rPr>
                <w:rFonts w:ascii="Arial" w:hAnsi="Arial"/>
                <w:sz w:val="18"/>
                <w:szCs w:val="18"/>
              </w:rPr>
              <w:t>D - IS Carers</w:t>
            </w:r>
          </w:p>
        </w:tc>
        <w:tc>
          <w:tcPr>
            <w:tcW w:w="1155" w:type="pct"/>
          </w:tcPr>
          <w:p w14:paraId="29578D2C" w14:textId="4D279FFC" w:rsidR="00324AF2" w:rsidRPr="00740D1C" w:rsidRDefault="00324AF2" w:rsidP="00740D1C">
            <w:pPr>
              <w:pStyle w:val="PwCNormal"/>
              <w:numPr>
                <w:ilvl w:val="0"/>
                <w:numId w:val="0"/>
              </w:numPr>
              <w:spacing w:before="40" w:after="40" w:line="260" w:lineRule="exact"/>
              <w:ind w:right="108"/>
              <w:jc w:val="right"/>
              <w:cnfStyle w:val="000000100000" w:firstRow="0" w:lastRow="0" w:firstColumn="0" w:lastColumn="0" w:oddVBand="0" w:evenVBand="0" w:oddHBand="1" w:evenHBand="0" w:firstRowFirstColumn="0" w:firstRowLastColumn="0" w:lastRowFirstColumn="0" w:lastRowLastColumn="0"/>
              <w:rPr>
                <w:rFonts w:ascii="Arial" w:hAnsi="Arial"/>
                <w:color w:val="auto"/>
                <w:sz w:val="18"/>
                <w:szCs w:val="18"/>
              </w:rPr>
            </w:pPr>
            <w:r w:rsidRPr="00740D1C">
              <w:rPr>
                <w:rFonts w:ascii="Arial" w:hAnsi="Arial"/>
                <w:sz w:val="18"/>
                <w:szCs w:val="18"/>
              </w:rPr>
              <w:t>217,769</w:t>
            </w:r>
          </w:p>
        </w:tc>
        <w:tc>
          <w:tcPr>
            <w:tcW w:w="893" w:type="pct"/>
          </w:tcPr>
          <w:p w14:paraId="1F26FA58" w14:textId="0431535A" w:rsidR="00324AF2" w:rsidRPr="00740D1C" w:rsidRDefault="00324AF2" w:rsidP="00740D1C">
            <w:pPr>
              <w:pStyle w:val="PwCNormal"/>
              <w:numPr>
                <w:ilvl w:val="0"/>
                <w:numId w:val="0"/>
              </w:numPr>
              <w:spacing w:before="40" w:after="40" w:line="260" w:lineRule="exact"/>
              <w:ind w:right="108"/>
              <w:jc w:val="right"/>
              <w:cnfStyle w:val="000000100000" w:firstRow="0" w:lastRow="0" w:firstColumn="0" w:lastColumn="0" w:oddVBand="0" w:evenVBand="0" w:oddHBand="1" w:evenHBand="0" w:firstRowFirstColumn="0" w:firstRowLastColumn="0" w:lastRowFirstColumn="0" w:lastRowLastColumn="0"/>
              <w:rPr>
                <w:rFonts w:ascii="Arial" w:hAnsi="Arial"/>
                <w:color w:val="auto"/>
                <w:sz w:val="18"/>
                <w:szCs w:val="18"/>
              </w:rPr>
            </w:pPr>
            <w:r w:rsidRPr="00740D1C">
              <w:rPr>
                <w:rFonts w:ascii="Arial" w:hAnsi="Arial"/>
                <w:sz w:val="18"/>
                <w:szCs w:val="18"/>
              </w:rPr>
              <w:t>250,752</w:t>
            </w:r>
          </w:p>
        </w:tc>
        <w:tc>
          <w:tcPr>
            <w:tcW w:w="864" w:type="pct"/>
          </w:tcPr>
          <w:p w14:paraId="111DFD27" w14:textId="73575E23" w:rsidR="00324AF2" w:rsidRPr="00740D1C" w:rsidRDefault="00324AF2" w:rsidP="00740D1C">
            <w:pPr>
              <w:pStyle w:val="PwCNormal"/>
              <w:numPr>
                <w:ilvl w:val="0"/>
                <w:numId w:val="0"/>
              </w:numPr>
              <w:spacing w:before="40" w:after="40" w:line="260" w:lineRule="exact"/>
              <w:ind w:right="92"/>
              <w:jc w:val="right"/>
              <w:cnfStyle w:val="000000100000" w:firstRow="0" w:lastRow="0" w:firstColumn="0" w:lastColumn="0" w:oddVBand="0" w:evenVBand="0" w:oddHBand="1" w:evenHBand="0" w:firstRowFirstColumn="0" w:firstRowLastColumn="0" w:lastRowFirstColumn="0" w:lastRowLastColumn="0"/>
              <w:rPr>
                <w:rFonts w:ascii="Arial" w:hAnsi="Arial"/>
                <w:color w:val="auto"/>
                <w:sz w:val="18"/>
                <w:szCs w:val="18"/>
              </w:rPr>
            </w:pPr>
            <w:r w:rsidRPr="00740D1C">
              <w:rPr>
                <w:rFonts w:ascii="Arial" w:hAnsi="Arial"/>
                <w:sz w:val="18"/>
                <w:szCs w:val="18"/>
              </w:rPr>
              <w:t>-32,983</w:t>
            </w:r>
          </w:p>
        </w:tc>
        <w:tc>
          <w:tcPr>
            <w:tcW w:w="745" w:type="pct"/>
          </w:tcPr>
          <w:p w14:paraId="5101F89E" w14:textId="79C358A0" w:rsidR="00324AF2" w:rsidRPr="00740D1C" w:rsidRDefault="00324AF2" w:rsidP="00740D1C">
            <w:pPr>
              <w:pStyle w:val="PwCNormal"/>
              <w:spacing w:before="40" w:after="40" w:line="260" w:lineRule="exact"/>
              <w:ind w:right="92"/>
              <w:jc w:val="right"/>
              <w:cnfStyle w:val="000000100000" w:firstRow="0" w:lastRow="0" w:firstColumn="0" w:lastColumn="0" w:oddVBand="0" w:evenVBand="0" w:oddHBand="1" w:evenHBand="0" w:firstRowFirstColumn="0" w:firstRowLastColumn="0" w:lastRowFirstColumn="0" w:lastRowLastColumn="0"/>
              <w:rPr>
                <w:rFonts w:ascii="Arial" w:hAnsi="Arial"/>
                <w:color w:val="auto"/>
                <w:sz w:val="18"/>
                <w:szCs w:val="18"/>
              </w:rPr>
            </w:pPr>
            <w:r w:rsidRPr="00740D1C">
              <w:rPr>
                <w:rFonts w:ascii="Arial" w:hAnsi="Arial"/>
                <w:sz w:val="18"/>
                <w:szCs w:val="18"/>
              </w:rPr>
              <w:t>-13.15%</w:t>
            </w:r>
          </w:p>
        </w:tc>
      </w:tr>
      <w:tr w:rsidR="00324AF2" w:rsidRPr="00740D1C" w14:paraId="6E553557" w14:textId="331E56AC" w:rsidTr="00811738">
        <w:tc>
          <w:tcPr>
            <w:cnfStyle w:val="001000000000" w:firstRow="0" w:lastRow="0" w:firstColumn="1" w:lastColumn="0" w:oddVBand="0" w:evenVBand="0" w:oddHBand="0" w:evenHBand="0" w:firstRowFirstColumn="0" w:firstRowLastColumn="0" w:lastRowFirstColumn="0" w:lastRowLastColumn="0"/>
            <w:tcW w:w="1344" w:type="pct"/>
          </w:tcPr>
          <w:p w14:paraId="7D7E9D45" w14:textId="0EBD6A1E" w:rsidR="00324AF2" w:rsidRPr="00740D1C" w:rsidRDefault="00324AF2" w:rsidP="00740D1C">
            <w:pPr>
              <w:pStyle w:val="PwCNormal"/>
              <w:numPr>
                <w:ilvl w:val="0"/>
                <w:numId w:val="0"/>
              </w:numPr>
              <w:spacing w:before="40" w:after="40" w:line="260" w:lineRule="exact"/>
              <w:rPr>
                <w:rFonts w:ascii="Arial" w:hAnsi="Arial"/>
                <w:color w:val="FF0000"/>
                <w:sz w:val="18"/>
                <w:szCs w:val="18"/>
              </w:rPr>
            </w:pPr>
            <w:r w:rsidRPr="00740D1C">
              <w:rPr>
                <w:rFonts w:ascii="Arial" w:hAnsi="Arial"/>
                <w:sz w:val="18"/>
                <w:szCs w:val="18"/>
              </w:rPr>
              <w:t>E - IS Disability</w:t>
            </w:r>
          </w:p>
        </w:tc>
        <w:tc>
          <w:tcPr>
            <w:tcW w:w="1155" w:type="pct"/>
          </w:tcPr>
          <w:p w14:paraId="7D646C7B" w14:textId="562BF254" w:rsidR="00324AF2" w:rsidRPr="00740D1C" w:rsidRDefault="00324AF2" w:rsidP="00740D1C">
            <w:pPr>
              <w:pStyle w:val="PwCNormal"/>
              <w:numPr>
                <w:ilvl w:val="0"/>
                <w:numId w:val="0"/>
              </w:numPr>
              <w:spacing w:before="40" w:after="40" w:line="260" w:lineRule="exact"/>
              <w:ind w:right="108"/>
              <w:jc w:val="right"/>
              <w:cnfStyle w:val="000000000000" w:firstRow="0" w:lastRow="0" w:firstColumn="0" w:lastColumn="0" w:oddVBand="0" w:evenVBand="0" w:oddHBand="0" w:evenHBand="0" w:firstRowFirstColumn="0" w:firstRowLastColumn="0" w:lastRowFirstColumn="0" w:lastRowLastColumn="0"/>
              <w:rPr>
                <w:rFonts w:ascii="Arial" w:hAnsi="Arial"/>
                <w:color w:val="auto"/>
                <w:sz w:val="18"/>
                <w:szCs w:val="18"/>
              </w:rPr>
            </w:pPr>
            <w:r w:rsidRPr="00740D1C">
              <w:rPr>
                <w:rFonts w:ascii="Arial" w:hAnsi="Arial"/>
                <w:sz w:val="18"/>
                <w:szCs w:val="18"/>
              </w:rPr>
              <w:t>634,716</w:t>
            </w:r>
          </w:p>
        </w:tc>
        <w:tc>
          <w:tcPr>
            <w:tcW w:w="893" w:type="pct"/>
          </w:tcPr>
          <w:p w14:paraId="480D400B" w14:textId="6EFC5243" w:rsidR="00324AF2" w:rsidRPr="00740D1C" w:rsidRDefault="00324AF2" w:rsidP="00740D1C">
            <w:pPr>
              <w:pStyle w:val="PwCNormal"/>
              <w:numPr>
                <w:ilvl w:val="0"/>
                <w:numId w:val="0"/>
              </w:numPr>
              <w:spacing w:before="40" w:after="40" w:line="260" w:lineRule="exact"/>
              <w:ind w:right="108"/>
              <w:jc w:val="right"/>
              <w:cnfStyle w:val="000000000000" w:firstRow="0" w:lastRow="0" w:firstColumn="0" w:lastColumn="0" w:oddVBand="0" w:evenVBand="0" w:oddHBand="0" w:evenHBand="0" w:firstRowFirstColumn="0" w:firstRowLastColumn="0" w:lastRowFirstColumn="0" w:lastRowLastColumn="0"/>
              <w:rPr>
                <w:rFonts w:ascii="Arial" w:hAnsi="Arial"/>
                <w:color w:val="auto"/>
                <w:sz w:val="18"/>
                <w:szCs w:val="18"/>
              </w:rPr>
            </w:pPr>
            <w:r w:rsidRPr="00740D1C">
              <w:rPr>
                <w:rFonts w:ascii="Arial" w:hAnsi="Arial"/>
                <w:sz w:val="18"/>
                <w:szCs w:val="18"/>
              </w:rPr>
              <w:t>628,517</w:t>
            </w:r>
          </w:p>
        </w:tc>
        <w:tc>
          <w:tcPr>
            <w:tcW w:w="864" w:type="pct"/>
          </w:tcPr>
          <w:p w14:paraId="326AD579" w14:textId="60ECB4B2" w:rsidR="00324AF2" w:rsidRPr="00740D1C" w:rsidRDefault="00324AF2" w:rsidP="00740D1C">
            <w:pPr>
              <w:pStyle w:val="PwCNormal"/>
              <w:numPr>
                <w:ilvl w:val="0"/>
                <w:numId w:val="0"/>
              </w:numPr>
              <w:spacing w:before="40" w:after="40" w:line="260" w:lineRule="exact"/>
              <w:ind w:right="92"/>
              <w:jc w:val="right"/>
              <w:cnfStyle w:val="000000000000" w:firstRow="0" w:lastRow="0" w:firstColumn="0" w:lastColumn="0" w:oddVBand="0" w:evenVBand="0" w:oddHBand="0" w:evenHBand="0" w:firstRowFirstColumn="0" w:firstRowLastColumn="0" w:lastRowFirstColumn="0" w:lastRowLastColumn="0"/>
              <w:rPr>
                <w:rFonts w:ascii="Arial" w:hAnsi="Arial"/>
                <w:color w:val="auto"/>
                <w:sz w:val="18"/>
                <w:szCs w:val="18"/>
              </w:rPr>
            </w:pPr>
            <w:r w:rsidRPr="00740D1C">
              <w:rPr>
                <w:rFonts w:ascii="Arial" w:hAnsi="Arial"/>
                <w:sz w:val="18"/>
                <w:szCs w:val="18"/>
              </w:rPr>
              <w:t>6,199</w:t>
            </w:r>
          </w:p>
        </w:tc>
        <w:tc>
          <w:tcPr>
            <w:tcW w:w="745" w:type="pct"/>
          </w:tcPr>
          <w:p w14:paraId="0BEFA911" w14:textId="73DD0147" w:rsidR="00324AF2" w:rsidRPr="00740D1C" w:rsidRDefault="00324AF2" w:rsidP="00740D1C">
            <w:pPr>
              <w:pStyle w:val="PwCNormal"/>
              <w:spacing w:before="40" w:after="40" w:line="260" w:lineRule="exact"/>
              <w:ind w:right="92"/>
              <w:jc w:val="right"/>
              <w:cnfStyle w:val="000000000000" w:firstRow="0" w:lastRow="0" w:firstColumn="0" w:lastColumn="0" w:oddVBand="0" w:evenVBand="0" w:oddHBand="0" w:evenHBand="0" w:firstRowFirstColumn="0" w:firstRowLastColumn="0" w:lastRowFirstColumn="0" w:lastRowLastColumn="0"/>
              <w:rPr>
                <w:rFonts w:ascii="Arial" w:hAnsi="Arial"/>
                <w:color w:val="auto"/>
                <w:sz w:val="18"/>
                <w:szCs w:val="18"/>
              </w:rPr>
            </w:pPr>
            <w:r w:rsidRPr="00740D1C">
              <w:rPr>
                <w:rFonts w:ascii="Arial" w:hAnsi="Arial"/>
                <w:sz w:val="18"/>
                <w:szCs w:val="18"/>
              </w:rPr>
              <w:t>0.99%</w:t>
            </w:r>
          </w:p>
        </w:tc>
      </w:tr>
      <w:tr w:rsidR="00324AF2" w:rsidRPr="00740D1C" w14:paraId="66C2EC26" w14:textId="3D9224E5" w:rsidTr="008117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4" w:type="pct"/>
          </w:tcPr>
          <w:p w14:paraId="55EC3BBF" w14:textId="392B69E5" w:rsidR="00324AF2" w:rsidRPr="00740D1C" w:rsidRDefault="00324AF2" w:rsidP="00740D1C">
            <w:pPr>
              <w:pStyle w:val="PwCNormal"/>
              <w:numPr>
                <w:ilvl w:val="0"/>
                <w:numId w:val="0"/>
              </w:numPr>
              <w:spacing w:before="40" w:after="40" w:line="260" w:lineRule="exact"/>
              <w:rPr>
                <w:rFonts w:ascii="Arial" w:hAnsi="Arial"/>
                <w:color w:val="FF0000"/>
                <w:sz w:val="18"/>
                <w:szCs w:val="18"/>
              </w:rPr>
            </w:pPr>
            <w:r w:rsidRPr="00740D1C">
              <w:rPr>
                <w:rFonts w:ascii="Arial" w:hAnsi="Arial"/>
                <w:sz w:val="18"/>
                <w:szCs w:val="18"/>
              </w:rPr>
              <w:t>F - IS Aged</w:t>
            </w:r>
          </w:p>
        </w:tc>
        <w:tc>
          <w:tcPr>
            <w:tcW w:w="1155" w:type="pct"/>
          </w:tcPr>
          <w:p w14:paraId="62BCF303" w14:textId="00870139" w:rsidR="00324AF2" w:rsidRPr="00740D1C" w:rsidRDefault="00324AF2" w:rsidP="00740D1C">
            <w:pPr>
              <w:pStyle w:val="PwCNormal"/>
              <w:numPr>
                <w:ilvl w:val="0"/>
                <w:numId w:val="0"/>
              </w:numPr>
              <w:spacing w:before="40" w:after="40" w:line="260" w:lineRule="exact"/>
              <w:ind w:right="108"/>
              <w:jc w:val="right"/>
              <w:cnfStyle w:val="000000100000" w:firstRow="0" w:lastRow="0" w:firstColumn="0" w:lastColumn="0" w:oddVBand="0" w:evenVBand="0" w:oddHBand="1" w:evenHBand="0" w:firstRowFirstColumn="0" w:firstRowLastColumn="0" w:lastRowFirstColumn="0" w:lastRowLastColumn="0"/>
              <w:rPr>
                <w:rFonts w:ascii="Arial" w:hAnsi="Arial"/>
                <w:color w:val="auto"/>
                <w:sz w:val="18"/>
                <w:szCs w:val="18"/>
              </w:rPr>
            </w:pPr>
            <w:r w:rsidRPr="00740D1C">
              <w:rPr>
                <w:rFonts w:ascii="Arial" w:hAnsi="Arial"/>
                <w:sz w:val="18"/>
                <w:szCs w:val="18"/>
              </w:rPr>
              <w:t>3,202,087</w:t>
            </w:r>
          </w:p>
        </w:tc>
        <w:tc>
          <w:tcPr>
            <w:tcW w:w="893" w:type="pct"/>
          </w:tcPr>
          <w:p w14:paraId="407B44AB" w14:textId="5646A812" w:rsidR="00324AF2" w:rsidRPr="00740D1C" w:rsidRDefault="00324AF2" w:rsidP="00740D1C">
            <w:pPr>
              <w:pStyle w:val="PwCNormal"/>
              <w:numPr>
                <w:ilvl w:val="0"/>
                <w:numId w:val="0"/>
              </w:numPr>
              <w:spacing w:before="40" w:after="40" w:line="260" w:lineRule="exact"/>
              <w:ind w:right="108"/>
              <w:jc w:val="right"/>
              <w:cnfStyle w:val="000000100000" w:firstRow="0" w:lastRow="0" w:firstColumn="0" w:lastColumn="0" w:oddVBand="0" w:evenVBand="0" w:oddHBand="1" w:evenHBand="0" w:firstRowFirstColumn="0" w:firstRowLastColumn="0" w:lastRowFirstColumn="0" w:lastRowLastColumn="0"/>
              <w:rPr>
                <w:rFonts w:ascii="Arial" w:hAnsi="Arial"/>
                <w:color w:val="auto"/>
                <w:sz w:val="18"/>
                <w:szCs w:val="18"/>
              </w:rPr>
            </w:pPr>
            <w:r w:rsidRPr="00740D1C">
              <w:rPr>
                <w:rFonts w:ascii="Arial" w:hAnsi="Arial"/>
                <w:sz w:val="18"/>
                <w:szCs w:val="18"/>
              </w:rPr>
              <w:t>3,276,644</w:t>
            </w:r>
          </w:p>
        </w:tc>
        <w:tc>
          <w:tcPr>
            <w:tcW w:w="864" w:type="pct"/>
          </w:tcPr>
          <w:p w14:paraId="0CB66130" w14:textId="6FAA9580" w:rsidR="00324AF2" w:rsidRPr="00740D1C" w:rsidRDefault="00324AF2" w:rsidP="00740D1C">
            <w:pPr>
              <w:pStyle w:val="PwCNormal"/>
              <w:numPr>
                <w:ilvl w:val="0"/>
                <w:numId w:val="0"/>
              </w:numPr>
              <w:spacing w:before="40" w:after="40" w:line="260" w:lineRule="exact"/>
              <w:ind w:right="92"/>
              <w:jc w:val="right"/>
              <w:cnfStyle w:val="000000100000" w:firstRow="0" w:lastRow="0" w:firstColumn="0" w:lastColumn="0" w:oddVBand="0" w:evenVBand="0" w:oddHBand="1" w:evenHBand="0" w:firstRowFirstColumn="0" w:firstRowLastColumn="0" w:lastRowFirstColumn="0" w:lastRowLastColumn="0"/>
              <w:rPr>
                <w:rFonts w:ascii="Arial" w:hAnsi="Arial"/>
                <w:color w:val="auto"/>
                <w:sz w:val="18"/>
                <w:szCs w:val="18"/>
              </w:rPr>
            </w:pPr>
            <w:r w:rsidRPr="00740D1C">
              <w:rPr>
                <w:rFonts w:ascii="Arial" w:hAnsi="Arial"/>
                <w:sz w:val="18"/>
                <w:szCs w:val="18"/>
              </w:rPr>
              <w:t>-74,557</w:t>
            </w:r>
          </w:p>
        </w:tc>
        <w:tc>
          <w:tcPr>
            <w:tcW w:w="745" w:type="pct"/>
          </w:tcPr>
          <w:p w14:paraId="41E31329" w14:textId="7E36486E" w:rsidR="00324AF2" w:rsidRPr="00740D1C" w:rsidRDefault="00324AF2" w:rsidP="00740D1C">
            <w:pPr>
              <w:pStyle w:val="PwCNormal"/>
              <w:spacing w:before="40" w:after="40" w:line="260" w:lineRule="exact"/>
              <w:ind w:right="92"/>
              <w:jc w:val="right"/>
              <w:cnfStyle w:val="000000100000" w:firstRow="0" w:lastRow="0" w:firstColumn="0" w:lastColumn="0" w:oddVBand="0" w:evenVBand="0" w:oddHBand="1" w:evenHBand="0" w:firstRowFirstColumn="0" w:firstRowLastColumn="0" w:lastRowFirstColumn="0" w:lastRowLastColumn="0"/>
              <w:rPr>
                <w:rFonts w:ascii="Arial" w:hAnsi="Arial"/>
                <w:color w:val="auto"/>
                <w:sz w:val="18"/>
                <w:szCs w:val="18"/>
              </w:rPr>
            </w:pPr>
            <w:r w:rsidRPr="00740D1C">
              <w:rPr>
                <w:rFonts w:ascii="Arial" w:hAnsi="Arial"/>
                <w:sz w:val="18"/>
                <w:szCs w:val="18"/>
              </w:rPr>
              <w:t>-2.28%</w:t>
            </w:r>
          </w:p>
        </w:tc>
      </w:tr>
      <w:tr w:rsidR="00324AF2" w:rsidRPr="00740D1C" w14:paraId="07D87B43" w14:textId="5EC08E80" w:rsidTr="00811738">
        <w:tc>
          <w:tcPr>
            <w:cnfStyle w:val="001000000000" w:firstRow="0" w:lastRow="0" w:firstColumn="1" w:lastColumn="0" w:oddVBand="0" w:evenVBand="0" w:oddHBand="0" w:evenHBand="0" w:firstRowFirstColumn="0" w:firstRowLastColumn="0" w:lastRowFirstColumn="0" w:lastRowLastColumn="0"/>
            <w:tcW w:w="1344" w:type="pct"/>
          </w:tcPr>
          <w:p w14:paraId="37E37F1A" w14:textId="1EFE61B5" w:rsidR="00324AF2" w:rsidRPr="00740D1C" w:rsidRDefault="00324AF2" w:rsidP="00740D1C">
            <w:pPr>
              <w:pStyle w:val="PwCNormal"/>
              <w:numPr>
                <w:ilvl w:val="0"/>
                <w:numId w:val="0"/>
              </w:numPr>
              <w:spacing w:before="40" w:after="40" w:line="260" w:lineRule="exact"/>
              <w:rPr>
                <w:rFonts w:ascii="Arial" w:hAnsi="Arial"/>
                <w:color w:val="FF0000"/>
                <w:sz w:val="18"/>
                <w:szCs w:val="18"/>
              </w:rPr>
            </w:pPr>
            <w:r w:rsidRPr="00740D1C">
              <w:rPr>
                <w:rFonts w:ascii="Arial" w:hAnsi="Arial"/>
                <w:sz w:val="18"/>
                <w:szCs w:val="18"/>
              </w:rPr>
              <w:t>G - IS Dependent</w:t>
            </w:r>
          </w:p>
        </w:tc>
        <w:tc>
          <w:tcPr>
            <w:tcW w:w="1155" w:type="pct"/>
          </w:tcPr>
          <w:p w14:paraId="2D8FE715" w14:textId="0385AAC3" w:rsidR="00324AF2" w:rsidRPr="00740D1C" w:rsidRDefault="00324AF2" w:rsidP="00740D1C">
            <w:pPr>
              <w:pStyle w:val="PwCNormal"/>
              <w:numPr>
                <w:ilvl w:val="0"/>
                <w:numId w:val="0"/>
              </w:numPr>
              <w:spacing w:before="40" w:after="40" w:line="260" w:lineRule="exact"/>
              <w:ind w:right="108"/>
              <w:jc w:val="right"/>
              <w:cnfStyle w:val="000000000000" w:firstRow="0" w:lastRow="0" w:firstColumn="0" w:lastColumn="0" w:oddVBand="0" w:evenVBand="0" w:oddHBand="0" w:evenHBand="0" w:firstRowFirstColumn="0" w:firstRowLastColumn="0" w:lastRowFirstColumn="0" w:lastRowLastColumn="0"/>
              <w:rPr>
                <w:rFonts w:ascii="Arial" w:hAnsi="Arial"/>
                <w:color w:val="auto"/>
                <w:sz w:val="18"/>
                <w:szCs w:val="18"/>
              </w:rPr>
            </w:pPr>
            <w:r w:rsidRPr="00740D1C">
              <w:rPr>
                <w:rFonts w:ascii="Arial" w:hAnsi="Arial"/>
                <w:sz w:val="18"/>
                <w:szCs w:val="18"/>
              </w:rPr>
              <w:t>201</w:t>
            </w:r>
          </w:p>
        </w:tc>
        <w:tc>
          <w:tcPr>
            <w:tcW w:w="893" w:type="pct"/>
          </w:tcPr>
          <w:p w14:paraId="28EE9632" w14:textId="39F4A5A0" w:rsidR="00324AF2" w:rsidRPr="00740D1C" w:rsidRDefault="00324AF2" w:rsidP="00740D1C">
            <w:pPr>
              <w:pStyle w:val="PwCNormal"/>
              <w:numPr>
                <w:ilvl w:val="0"/>
                <w:numId w:val="0"/>
              </w:numPr>
              <w:spacing w:before="40" w:after="40" w:line="260" w:lineRule="exact"/>
              <w:ind w:right="108"/>
              <w:jc w:val="right"/>
              <w:cnfStyle w:val="000000000000" w:firstRow="0" w:lastRow="0" w:firstColumn="0" w:lastColumn="0" w:oddVBand="0" w:evenVBand="0" w:oddHBand="0" w:evenHBand="0" w:firstRowFirstColumn="0" w:firstRowLastColumn="0" w:lastRowFirstColumn="0" w:lastRowLastColumn="0"/>
              <w:rPr>
                <w:rFonts w:ascii="Arial" w:hAnsi="Arial"/>
                <w:color w:val="auto"/>
                <w:sz w:val="18"/>
                <w:szCs w:val="18"/>
              </w:rPr>
            </w:pPr>
            <w:r w:rsidRPr="00740D1C">
              <w:rPr>
                <w:rFonts w:ascii="Arial" w:hAnsi="Arial"/>
                <w:sz w:val="18"/>
                <w:szCs w:val="18"/>
              </w:rPr>
              <w:t>385</w:t>
            </w:r>
          </w:p>
        </w:tc>
        <w:tc>
          <w:tcPr>
            <w:tcW w:w="864" w:type="pct"/>
          </w:tcPr>
          <w:p w14:paraId="24AD42EA" w14:textId="7982BA19" w:rsidR="00324AF2" w:rsidRPr="00740D1C" w:rsidRDefault="00324AF2" w:rsidP="00740D1C">
            <w:pPr>
              <w:pStyle w:val="PwCNormal"/>
              <w:numPr>
                <w:ilvl w:val="0"/>
                <w:numId w:val="0"/>
              </w:numPr>
              <w:spacing w:before="40" w:after="40" w:line="260" w:lineRule="exact"/>
              <w:ind w:right="92"/>
              <w:jc w:val="right"/>
              <w:cnfStyle w:val="000000000000" w:firstRow="0" w:lastRow="0" w:firstColumn="0" w:lastColumn="0" w:oddVBand="0" w:evenVBand="0" w:oddHBand="0" w:evenHBand="0" w:firstRowFirstColumn="0" w:firstRowLastColumn="0" w:lastRowFirstColumn="0" w:lastRowLastColumn="0"/>
              <w:rPr>
                <w:rFonts w:ascii="Arial" w:hAnsi="Arial"/>
                <w:color w:val="auto"/>
                <w:sz w:val="18"/>
                <w:szCs w:val="18"/>
              </w:rPr>
            </w:pPr>
            <w:r w:rsidRPr="00740D1C">
              <w:rPr>
                <w:rFonts w:ascii="Arial" w:hAnsi="Arial"/>
                <w:sz w:val="18"/>
                <w:szCs w:val="18"/>
              </w:rPr>
              <w:t>-184</w:t>
            </w:r>
          </w:p>
        </w:tc>
        <w:tc>
          <w:tcPr>
            <w:tcW w:w="745" w:type="pct"/>
          </w:tcPr>
          <w:p w14:paraId="320BE2E8" w14:textId="272A3C28" w:rsidR="00324AF2" w:rsidRPr="00740D1C" w:rsidRDefault="00324AF2" w:rsidP="00740D1C">
            <w:pPr>
              <w:pStyle w:val="PwCNormal"/>
              <w:spacing w:before="40" w:after="40" w:line="260" w:lineRule="exact"/>
              <w:ind w:right="92"/>
              <w:jc w:val="right"/>
              <w:cnfStyle w:val="000000000000" w:firstRow="0" w:lastRow="0" w:firstColumn="0" w:lastColumn="0" w:oddVBand="0" w:evenVBand="0" w:oddHBand="0" w:evenHBand="0" w:firstRowFirstColumn="0" w:firstRowLastColumn="0" w:lastRowFirstColumn="0" w:lastRowLastColumn="0"/>
              <w:rPr>
                <w:rFonts w:ascii="Arial" w:hAnsi="Arial"/>
                <w:color w:val="auto"/>
                <w:sz w:val="18"/>
                <w:szCs w:val="18"/>
              </w:rPr>
            </w:pPr>
            <w:r w:rsidRPr="00740D1C">
              <w:rPr>
                <w:rFonts w:ascii="Arial" w:hAnsi="Arial"/>
                <w:sz w:val="18"/>
                <w:szCs w:val="18"/>
              </w:rPr>
              <w:t>-47.89%</w:t>
            </w:r>
          </w:p>
        </w:tc>
      </w:tr>
      <w:tr w:rsidR="00324AF2" w:rsidRPr="00740D1C" w14:paraId="550DCB67" w14:textId="4966513A" w:rsidTr="008117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4" w:type="pct"/>
          </w:tcPr>
          <w:p w14:paraId="16FD7F7A" w14:textId="38A73CCA" w:rsidR="00324AF2" w:rsidRPr="00740D1C" w:rsidRDefault="00324AF2" w:rsidP="00740D1C">
            <w:pPr>
              <w:pStyle w:val="PwCNormal"/>
              <w:numPr>
                <w:ilvl w:val="0"/>
                <w:numId w:val="0"/>
              </w:numPr>
              <w:spacing w:before="40" w:after="40" w:line="260" w:lineRule="exact"/>
              <w:rPr>
                <w:rFonts w:ascii="Arial" w:hAnsi="Arial"/>
                <w:color w:val="FF0000"/>
                <w:sz w:val="18"/>
                <w:szCs w:val="18"/>
              </w:rPr>
            </w:pPr>
            <w:r w:rsidRPr="00740D1C">
              <w:rPr>
                <w:rFonts w:ascii="Arial" w:hAnsi="Arial"/>
                <w:sz w:val="18"/>
                <w:szCs w:val="18"/>
              </w:rPr>
              <w:lastRenderedPageBreak/>
              <w:t>H - Other - FTB</w:t>
            </w:r>
          </w:p>
        </w:tc>
        <w:tc>
          <w:tcPr>
            <w:tcW w:w="1155" w:type="pct"/>
          </w:tcPr>
          <w:p w14:paraId="16101F66" w14:textId="1A5293BD" w:rsidR="00324AF2" w:rsidRPr="00740D1C" w:rsidRDefault="00324AF2" w:rsidP="00740D1C">
            <w:pPr>
              <w:pStyle w:val="PwCNormal"/>
              <w:numPr>
                <w:ilvl w:val="0"/>
                <w:numId w:val="0"/>
              </w:numPr>
              <w:spacing w:before="40" w:after="40" w:line="260" w:lineRule="exact"/>
              <w:ind w:right="108"/>
              <w:jc w:val="right"/>
              <w:cnfStyle w:val="000000100000" w:firstRow="0" w:lastRow="0" w:firstColumn="0" w:lastColumn="0" w:oddVBand="0" w:evenVBand="0" w:oddHBand="1" w:evenHBand="0" w:firstRowFirstColumn="0" w:firstRowLastColumn="0" w:lastRowFirstColumn="0" w:lastRowLastColumn="0"/>
              <w:rPr>
                <w:rFonts w:ascii="Arial" w:hAnsi="Arial"/>
                <w:color w:val="auto"/>
                <w:sz w:val="18"/>
                <w:szCs w:val="18"/>
              </w:rPr>
            </w:pPr>
            <w:r w:rsidRPr="00740D1C">
              <w:rPr>
                <w:rFonts w:ascii="Arial" w:hAnsi="Arial"/>
                <w:sz w:val="18"/>
                <w:szCs w:val="18"/>
              </w:rPr>
              <w:t>320,370</w:t>
            </w:r>
          </w:p>
        </w:tc>
        <w:tc>
          <w:tcPr>
            <w:tcW w:w="893" w:type="pct"/>
          </w:tcPr>
          <w:p w14:paraId="77A0A62B" w14:textId="6CFA7EE4" w:rsidR="00324AF2" w:rsidRPr="00740D1C" w:rsidRDefault="00324AF2" w:rsidP="00740D1C">
            <w:pPr>
              <w:pStyle w:val="PwCNormal"/>
              <w:numPr>
                <w:ilvl w:val="0"/>
                <w:numId w:val="0"/>
              </w:numPr>
              <w:spacing w:before="40" w:after="40" w:line="260" w:lineRule="exact"/>
              <w:ind w:right="108"/>
              <w:jc w:val="right"/>
              <w:cnfStyle w:val="000000100000" w:firstRow="0" w:lastRow="0" w:firstColumn="0" w:lastColumn="0" w:oddVBand="0" w:evenVBand="0" w:oddHBand="1" w:evenHBand="0" w:firstRowFirstColumn="0" w:firstRowLastColumn="0" w:lastRowFirstColumn="0" w:lastRowLastColumn="0"/>
              <w:rPr>
                <w:rFonts w:ascii="Arial" w:hAnsi="Arial"/>
                <w:color w:val="auto"/>
                <w:sz w:val="18"/>
                <w:szCs w:val="18"/>
              </w:rPr>
            </w:pPr>
            <w:r w:rsidRPr="00740D1C">
              <w:rPr>
                <w:rFonts w:ascii="Arial" w:hAnsi="Arial"/>
                <w:sz w:val="18"/>
                <w:szCs w:val="18"/>
              </w:rPr>
              <w:t>324,086</w:t>
            </w:r>
          </w:p>
        </w:tc>
        <w:tc>
          <w:tcPr>
            <w:tcW w:w="864" w:type="pct"/>
          </w:tcPr>
          <w:p w14:paraId="34684233" w14:textId="60E2EABC" w:rsidR="00324AF2" w:rsidRPr="00740D1C" w:rsidRDefault="00324AF2" w:rsidP="00740D1C">
            <w:pPr>
              <w:pStyle w:val="PwCNormal"/>
              <w:numPr>
                <w:ilvl w:val="0"/>
                <w:numId w:val="0"/>
              </w:numPr>
              <w:spacing w:before="40" w:after="40" w:line="260" w:lineRule="exact"/>
              <w:ind w:right="92"/>
              <w:jc w:val="right"/>
              <w:cnfStyle w:val="000000100000" w:firstRow="0" w:lastRow="0" w:firstColumn="0" w:lastColumn="0" w:oddVBand="0" w:evenVBand="0" w:oddHBand="1" w:evenHBand="0" w:firstRowFirstColumn="0" w:firstRowLastColumn="0" w:lastRowFirstColumn="0" w:lastRowLastColumn="0"/>
              <w:rPr>
                <w:rFonts w:ascii="Arial" w:hAnsi="Arial"/>
                <w:color w:val="auto"/>
                <w:sz w:val="18"/>
                <w:szCs w:val="18"/>
              </w:rPr>
            </w:pPr>
            <w:r w:rsidRPr="00740D1C">
              <w:rPr>
                <w:rFonts w:ascii="Arial" w:hAnsi="Arial"/>
                <w:sz w:val="18"/>
                <w:szCs w:val="18"/>
              </w:rPr>
              <w:t>-3,716</w:t>
            </w:r>
          </w:p>
        </w:tc>
        <w:tc>
          <w:tcPr>
            <w:tcW w:w="745" w:type="pct"/>
          </w:tcPr>
          <w:p w14:paraId="78460E76" w14:textId="7C541C83" w:rsidR="00324AF2" w:rsidRPr="00740D1C" w:rsidRDefault="00324AF2" w:rsidP="00740D1C">
            <w:pPr>
              <w:pStyle w:val="PwCNormal"/>
              <w:spacing w:before="40" w:after="40" w:line="260" w:lineRule="exact"/>
              <w:ind w:right="92"/>
              <w:jc w:val="right"/>
              <w:cnfStyle w:val="000000100000" w:firstRow="0" w:lastRow="0" w:firstColumn="0" w:lastColumn="0" w:oddVBand="0" w:evenVBand="0" w:oddHBand="1" w:evenHBand="0" w:firstRowFirstColumn="0" w:firstRowLastColumn="0" w:lastRowFirstColumn="0" w:lastRowLastColumn="0"/>
              <w:rPr>
                <w:rFonts w:ascii="Arial" w:hAnsi="Arial"/>
                <w:color w:val="auto"/>
                <w:sz w:val="18"/>
                <w:szCs w:val="18"/>
              </w:rPr>
            </w:pPr>
            <w:r w:rsidRPr="00740D1C">
              <w:rPr>
                <w:rFonts w:ascii="Arial" w:hAnsi="Arial"/>
                <w:sz w:val="18"/>
                <w:szCs w:val="18"/>
              </w:rPr>
              <w:t>-1.15%</w:t>
            </w:r>
          </w:p>
        </w:tc>
      </w:tr>
      <w:tr w:rsidR="00324AF2" w:rsidRPr="00740D1C" w14:paraId="290F0E91" w14:textId="200703C3" w:rsidTr="00811738">
        <w:tc>
          <w:tcPr>
            <w:cnfStyle w:val="001000000000" w:firstRow="0" w:lastRow="0" w:firstColumn="1" w:lastColumn="0" w:oddVBand="0" w:evenVBand="0" w:oddHBand="0" w:evenHBand="0" w:firstRowFirstColumn="0" w:firstRowLastColumn="0" w:lastRowFirstColumn="0" w:lastRowLastColumn="0"/>
            <w:tcW w:w="1344" w:type="pct"/>
          </w:tcPr>
          <w:p w14:paraId="0D410F87" w14:textId="6986AD2B" w:rsidR="00324AF2" w:rsidRPr="00740D1C" w:rsidRDefault="00324AF2" w:rsidP="00740D1C">
            <w:pPr>
              <w:pStyle w:val="PwCNormal"/>
              <w:numPr>
                <w:ilvl w:val="0"/>
                <w:numId w:val="0"/>
              </w:numPr>
              <w:spacing w:before="40" w:after="40" w:line="260" w:lineRule="exact"/>
              <w:rPr>
                <w:rFonts w:ascii="Arial" w:hAnsi="Arial"/>
                <w:color w:val="FF0000"/>
                <w:sz w:val="18"/>
                <w:szCs w:val="18"/>
              </w:rPr>
            </w:pPr>
            <w:r w:rsidRPr="00740D1C">
              <w:rPr>
                <w:rFonts w:ascii="Arial" w:hAnsi="Arial"/>
                <w:sz w:val="18"/>
                <w:szCs w:val="18"/>
              </w:rPr>
              <w:t>I - Other - Family</w:t>
            </w:r>
          </w:p>
        </w:tc>
        <w:tc>
          <w:tcPr>
            <w:tcW w:w="1155" w:type="pct"/>
          </w:tcPr>
          <w:p w14:paraId="13FD711B" w14:textId="41D6D536" w:rsidR="00324AF2" w:rsidRPr="00740D1C" w:rsidRDefault="00324AF2" w:rsidP="00740D1C">
            <w:pPr>
              <w:pStyle w:val="PwCNormal"/>
              <w:numPr>
                <w:ilvl w:val="0"/>
                <w:numId w:val="0"/>
              </w:numPr>
              <w:spacing w:before="40" w:after="40" w:line="260" w:lineRule="exact"/>
              <w:ind w:right="108"/>
              <w:jc w:val="right"/>
              <w:cnfStyle w:val="000000000000" w:firstRow="0" w:lastRow="0" w:firstColumn="0" w:lastColumn="0" w:oddVBand="0" w:evenVBand="0" w:oddHBand="0" w:evenHBand="0" w:firstRowFirstColumn="0" w:firstRowLastColumn="0" w:lastRowFirstColumn="0" w:lastRowLastColumn="0"/>
              <w:rPr>
                <w:rFonts w:ascii="Arial" w:hAnsi="Arial"/>
                <w:color w:val="auto"/>
                <w:sz w:val="18"/>
                <w:szCs w:val="18"/>
              </w:rPr>
            </w:pPr>
            <w:r w:rsidRPr="00740D1C">
              <w:rPr>
                <w:rFonts w:ascii="Arial" w:hAnsi="Arial"/>
                <w:sz w:val="18"/>
                <w:szCs w:val="18"/>
              </w:rPr>
              <w:t>175,876</w:t>
            </w:r>
          </w:p>
        </w:tc>
        <w:tc>
          <w:tcPr>
            <w:tcW w:w="893" w:type="pct"/>
          </w:tcPr>
          <w:p w14:paraId="0D365890" w14:textId="69BE49C3" w:rsidR="00324AF2" w:rsidRPr="00740D1C" w:rsidRDefault="00324AF2" w:rsidP="00740D1C">
            <w:pPr>
              <w:pStyle w:val="PwCNormal"/>
              <w:numPr>
                <w:ilvl w:val="0"/>
                <w:numId w:val="0"/>
              </w:numPr>
              <w:spacing w:before="40" w:after="40" w:line="260" w:lineRule="exact"/>
              <w:ind w:right="108"/>
              <w:jc w:val="right"/>
              <w:cnfStyle w:val="000000000000" w:firstRow="0" w:lastRow="0" w:firstColumn="0" w:lastColumn="0" w:oddVBand="0" w:evenVBand="0" w:oddHBand="0" w:evenHBand="0" w:firstRowFirstColumn="0" w:firstRowLastColumn="0" w:lastRowFirstColumn="0" w:lastRowLastColumn="0"/>
              <w:rPr>
                <w:rFonts w:ascii="Arial" w:hAnsi="Arial"/>
                <w:color w:val="auto"/>
                <w:sz w:val="18"/>
                <w:szCs w:val="18"/>
              </w:rPr>
            </w:pPr>
            <w:r w:rsidRPr="00740D1C">
              <w:rPr>
                <w:rFonts w:ascii="Arial" w:hAnsi="Arial"/>
                <w:sz w:val="18"/>
                <w:szCs w:val="18"/>
              </w:rPr>
              <w:t>178,150</w:t>
            </w:r>
          </w:p>
        </w:tc>
        <w:tc>
          <w:tcPr>
            <w:tcW w:w="864" w:type="pct"/>
          </w:tcPr>
          <w:p w14:paraId="323F4BE7" w14:textId="4420B32D" w:rsidR="00324AF2" w:rsidRPr="00740D1C" w:rsidRDefault="00324AF2" w:rsidP="00740D1C">
            <w:pPr>
              <w:pStyle w:val="PwCNormal"/>
              <w:numPr>
                <w:ilvl w:val="0"/>
                <w:numId w:val="0"/>
              </w:numPr>
              <w:spacing w:before="40" w:after="40" w:line="260" w:lineRule="exact"/>
              <w:ind w:right="92"/>
              <w:jc w:val="right"/>
              <w:cnfStyle w:val="000000000000" w:firstRow="0" w:lastRow="0" w:firstColumn="0" w:lastColumn="0" w:oddVBand="0" w:evenVBand="0" w:oddHBand="0" w:evenHBand="0" w:firstRowFirstColumn="0" w:firstRowLastColumn="0" w:lastRowFirstColumn="0" w:lastRowLastColumn="0"/>
              <w:rPr>
                <w:rFonts w:ascii="Arial" w:hAnsi="Arial"/>
                <w:color w:val="auto"/>
                <w:sz w:val="18"/>
                <w:szCs w:val="18"/>
              </w:rPr>
            </w:pPr>
            <w:r w:rsidRPr="00740D1C">
              <w:rPr>
                <w:rFonts w:ascii="Arial" w:hAnsi="Arial"/>
                <w:sz w:val="18"/>
                <w:szCs w:val="18"/>
              </w:rPr>
              <w:t>-2,274</w:t>
            </w:r>
          </w:p>
        </w:tc>
        <w:tc>
          <w:tcPr>
            <w:tcW w:w="745" w:type="pct"/>
          </w:tcPr>
          <w:p w14:paraId="1EA6283D" w14:textId="3586B06C" w:rsidR="00324AF2" w:rsidRPr="00740D1C" w:rsidRDefault="00324AF2" w:rsidP="00740D1C">
            <w:pPr>
              <w:pStyle w:val="PwCNormal"/>
              <w:spacing w:before="40" w:after="40" w:line="260" w:lineRule="exact"/>
              <w:ind w:right="92"/>
              <w:jc w:val="right"/>
              <w:cnfStyle w:val="000000000000" w:firstRow="0" w:lastRow="0" w:firstColumn="0" w:lastColumn="0" w:oddVBand="0" w:evenVBand="0" w:oddHBand="0" w:evenHBand="0" w:firstRowFirstColumn="0" w:firstRowLastColumn="0" w:lastRowFirstColumn="0" w:lastRowLastColumn="0"/>
              <w:rPr>
                <w:rFonts w:ascii="Arial" w:hAnsi="Arial"/>
                <w:color w:val="auto"/>
                <w:sz w:val="18"/>
                <w:szCs w:val="18"/>
              </w:rPr>
            </w:pPr>
            <w:r w:rsidRPr="00740D1C">
              <w:rPr>
                <w:rFonts w:ascii="Arial" w:hAnsi="Arial"/>
                <w:sz w:val="18"/>
                <w:szCs w:val="18"/>
              </w:rPr>
              <w:t>-1.28%</w:t>
            </w:r>
          </w:p>
        </w:tc>
      </w:tr>
      <w:tr w:rsidR="00324AF2" w:rsidRPr="00740D1C" w14:paraId="4ECA00AE" w14:textId="3B831836" w:rsidTr="008117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4" w:type="pct"/>
          </w:tcPr>
          <w:p w14:paraId="77CCCF25" w14:textId="0A8C789D" w:rsidR="00324AF2" w:rsidRPr="00740D1C" w:rsidRDefault="00324AF2" w:rsidP="00740D1C">
            <w:pPr>
              <w:pStyle w:val="PwCNormal"/>
              <w:numPr>
                <w:ilvl w:val="0"/>
                <w:numId w:val="0"/>
              </w:numPr>
              <w:spacing w:before="40" w:after="40" w:line="260" w:lineRule="exact"/>
              <w:rPr>
                <w:rFonts w:ascii="Arial" w:hAnsi="Arial"/>
                <w:color w:val="FF0000"/>
                <w:sz w:val="18"/>
                <w:szCs w:val="18"/>
              </w:rPr>
            </w:pPr>
            <w:r w:rsidRPr="00740D1C">
              <w:rPr>
                <w:rFonts w:ascii="Arial" w:hAnsi="Arial"/>
                <w:sz w:val="18"/>
                <w:szCs w:val="18"/>
              </w:rPr>
              <w:t>J - Other - New Parents</w:t>
            </w:r>
          </w:p>
        </w:tc>
        <w:tc>
          <w:tcPr>
            <w:tcW w:w="1155" w:type="pct"/>
          </w:tcPr>
          <w:p w14:paraId="0733C23E" w14:textId="0B2AE85E" w:rsidR="00324AF2" w:rsidRPr="00740D1C" w:rsidRDefault="00324AF2" w:rsidP="00740D1C">
            <w:pPr>
              <w:pStyle w:val="PwCNormal"/>
              <w:numPr>
                <w:ilvl w:val="0"/>
                <w:numId w:val="0"/>
              </w:numPr>
              <w:spacing w:before="40" w:after="40" w:line="260" w:lineRule="exact"/>
              <w:ind w:right="108"/>
              <w:jc w:val="right"/>
              <w:cnfStyle w:val="000000100000" w:firstRow="0" w:lastRow="0" w:firstColumn="0" w:lastColumn="0" w:oddVBand="0" w:evenVBand="0" w:oddHBand="1" w:evenHBand="0" w:firstRowFirstColumn="0" w:firstRowLastColumn="0" w:lastRowFirstColumn="0" w:lastRowLastColumn="0"/>
              <w:rPr>
                <w:rFonts w:ascii="Arial" w:hAnsi="Arial"/>
                <w:color w:val="auto"/>
                <w:sz w:val="18"/>
                <w:szCs w:val="18"/>
              </w:rPr>
            </w:pPr>
            <w:r w:rsidRPr="00740D1C">
              <w:rPr>
                <w:rFonts w:ascii="Arial" w:hAnsi="Arial"/>
                <w:sz w:val="18"/>
                <w:szCs w:val="18"/>
              </w:rPr>
              <w:t>61,252</w:t>
            </w:r>
          </w:p>
        </w:tc>
        <w:tc>
          <w:tcPr>
            <w:tcW w:w="893" w:type="pct"/>
          </w:tcPr>
          <w:p w14:paraId="5486C80C" w14:textId="08211C6B" w:rsidR="00324AF2" w:rsidRPr="00740D1C" w:rsidRDefault="00324AF2" w:rsidP="00740D1C">
            <w:pPr>
              <w:pStyle w:val="PwCNormal"/>
              <w:numPr>
                <w:ilvl w:val="0"/>
                <w:numId w:val="0"/>
              </w:numPr>
              <w:spacing w:before="40" w:after="40" w:line="260" w:lineRule="exact"/>
              <w:ind w:right="108"/>
              <w:jc w:val="right"/>
              <w:cnfStyle w:val="000000100000" w:firstRow="0" w:lastRow="0" w:firstColumn="0" w:lastColumn="0" w:oddVBand="0" w:evenVBand="0" w:oddHBand="1" w:evenHBand="0" w:firstRowFirstColumn="0" w:firstRowLastColumn="0" w:lastRowFirstColumn="0" w:lastRowLastColumn="0"/>
              <w:rPr>
                <w:rFonts w:ascii="Arial" w:hAnsi="Arial"/>
                <w:color w:val="auto"/>
                <w:sz w:val="18"/>
                <w:szCs w:val="18"/>
              </w:rPr>
            </w:pPr>
            <w:r w:rsidRPr="00740D1C">
              <w:rPr>
                <w:rFonts w:ascii="Arial" w:hAnsi="Arial"/>
                <w:sz w:val="18"/>
                <w:szCs w:val="18"/>
              </w:rPr>
              <w:t>53,736</w:t>
            </w:r>
          </w:p>
        </w:tc>
        <w:tc>
          <w:tcPr>
            <w:tcW w:w="864" w:type="pct"/>
          </w:tcPr>
          <w:p w14:paraId="33DC0852" w14:textId="794BE62C" w:rsidR="00324AF2" w:rsidRPr="00740D1C" w:rsidRDefault="00324AF2" w:rsidP="00740D1C">
            <w:pPr>
              <w:pStyle w:val="PwCNormal"/>
              <w:numPr>
                <w:ilvl w:val="0"/>
                <w:numId w:val="0"/>
              </w:numPr>
              <w:spacing w:before="40" w:after="40" w:line="260" w:lineRule="exact"/>
              <w:ind w:right="92"/>
              <w:jc w:val="right"/>
              <w:cnfStyle w:val="000000100000" w:firstRow="0" w:lastRow="0" w:firstColumn="0" w:lastColumn="0" w:oddVBand="0" w:evenVBand="0" w:oddHBand="1" w:evenHBand="0" w:firstRowFirstColumn="0" w:firstRowLastColumn="0" w:lastRowFirstColumn="0" w:lastRowLastColumn="0"/>
              <w:rPr>
                <w:rFonts w:ascii="Arial" w:hAnsi="Arial"/>
                <w:color w:val="auto"/>
                <w:sz w:val="18"/>
                <w:szCs w:val="18"/>
              </w:rPr>
            </w:pPr>
            <w:r w:rsidRPr="00740D1C">
              <w:rPr>
                <w:rFonts w:ascii="Arial" w:hAnsi="Arial"/>
                <w:sz w:val="18"/>
                <w:szCs w:val="18"/>
              </w:rPr>
              <w:t>7,516</w:t>
            </w:r>
          </w:p>
        </w:tc>
        <w:tc>
          <w:tcPr>
            <w:tcW w:w="745" w:type="pct"/>
          </w:tcPr>
          <w:p w14:paraId="22BBB8AC" w14:textId="6FCA13C0" w:rsidR="00324AF2" w:rsidRPr="00740D1C" w:rsidRDefault="00324AF2" w:rsidP="00740D1C">
            <w:pPr>
              <w:pStyle w:val="PwCNormal"/>
              <w:spacing w:before="40" w:after="40" w:line="260" w:lineRule="exact"/>
              <w:ind w:right="92"/>
              <w:jc w:val="right"/>
              <w:cnfStyle w:val="000000100000" w:firstRow="0" w:lastRow="0" w:firstColumn="0" w:lastColumn="0" w:oddVBand="0" w:evenVBand="0" w:oddHBand="1" w:evenHBand="0" w:firstRowFirstColumn="0" w:firstRowLastColumn="0" w:lastRowFirstColumn="0" w:lastRowLastColumn="0"/>
              <w:rPr>
                <w:rFonts w:ascii="Arial" w:hAnsi="Arial"/>
                <w:color w:val="auto"/>
                <w:sz w:val="18"/>
                <w:szCs w:val="18"/>
              </w:rPr>
            </w:pPr>
            <w:r w:rsidRPr="00740D1C">
              <w:rPr>
                <w:rFonts w:ascii="Arial" w:hAnsi="Arial"/>
                <w:sz w:val="18"/>
                <w:szCs w:val="18"/>
              </w:rPr>
              <w:t>13.99%</w:t>
            </w:r>
          </w:p>
        </w:tc>
      </w:tr>
      <w:tr w:rsidR="00324AF2" w:rsidRPr="00740D1C" w14:paraId="0206D83F" w14:textId="45E499E7" w:rsidTr="00811738">
        <w:tc>
          <w:tcPr>
            <w:cnfStyle w:val="001000000000" w:firstRow="0" w:lastRow="0" w:firstColumn="1" w:lastColumn="0" w:oddVBand="0" w:evenVBand="0" w:oddHBand="0" w:evenHBand="0" w:firstRowFirstColumn="0" w:firstRowLastColumn="0" w:lastRowFirstColumn="0" w:lastRowLastColumn="0"/>
            <w:tcW w:w="1344" w:type="pct"/>
          </w:tcPr>
          <w:p w14:paraId="3688E868" w14:textId="1ECB2CB2" w:rsidR="00324AF2" w:rsidRPr="00740D1C" w:rsidRDefault="00324AF2" w:rsidP="00740D1C">
            <w:pPr>
              <w:pStyle w:val="PwCNormal"/>
              <w:numPr>
                <w:ilvl w:val="0"/>
                <w:numId w:val="0"/>
              </w:numPr>
              <w:spacing w:before="40" w:after="40" w:line="260" w:lineRule="exact"/>
              <w:rPr>
                <w:rFonts w:ascii="Arial" w:hAnsi="Arial"/>
                <w:color w:val="FF0000"/>
                <w:sz w:val="18"/>
                <w:szCs w:val="18"/>
              </w:rPr>
            </w:pPr>
            <w:r w:rsidRPr="00740D1C">
              <w:rPr>
                <w:rFonts w:ascii="Arial" w:hAnsi="Arial"/>
                <w:sz w:val="18"/>
                <w:szCs w:val="18"/>
              </w:rPr>
              <w:t>L - Other - Health &amp; Disability</w:t>
            </w:r>
          </w:p>
        </w:tc>
        <w:tc>
          <w:tcPr>
            <w:tcW w:w="1155" w:type="pct"/>
          </w:tcPr>
          <w:p w14:paraId="3D48A56A" w14:textId="3664B100" w:rsidR="00324AF2" w:rsidRPr="00740D1C" w:rsidRDefault="00324AF2" w:rsidP="00740D1C">
            <w:pPr>
              <w:pStyle w:val="PwCNormal"/>
              <w:numPr>
                <w:ilvl w:val="0"/>
                <w:numId w:val="0"/>
              </w:numPr>
              <w:spacing w:before="40" w:after="40" w:line="260" w:lineRule="exact"/>
              <w:ind w:right="108"/>
              <w:jc w:val="right"/>
              <w:cnfStyle w:val="000000000000" w:firstRow="0" w:lastRow="0" w:firstColumn="0" w:lastColumn="0" w:oddVBand="0" w:evenVBand="0" w:oddHBand="0" w:evenHBand="0" w:firstRowFirstColumn="0" w:firstRowLastColumn="0" w:lastRowFirstColumn="0" w:lastRowLastColumn="0"/>
              <w:rPr>
                <w:rFonts w:ascii="Arial" w:hAnsi="Arial"/>
                <w:color w:val="auto"/>
                <w:sz w:val="18"/>
                <w:szCs w:val="18"/>
              </w:rPr>
            </w:pPr>
            <w:r w:rsidRPr="00740D1C">
              <w:rPr>
                <w:rFonts w:ascii="Arial" w:hAnsi="Arial"/>
                <w:sz w:val="18"/>
                <w:szCs w:val="18"/>
              </w:rPr>
              <w:t>1,634</w:t>
            </w:r>
          </w:p>
        </w:tc>
        <w:tc>
          <w:tcPr>
            <w:tcW w:w="893" w:type="pct"/>
          </w:tcPr>
          <w:p w14:paraId="11479849" w14:textId="4FE71767" w:rsidR="00324AF2" w:rsidRPr="00740D1C" w:rsidRDefault="00324AF2" w:rsidP="00740D1C">
            <w:pPr>
              <w:pStyle w:val="PwCNormal"/>
              <w:numPr>
                <w:ilvl w:val="0"/>
                <w:numId w:val="0"/>
              </w:numPr>
              <w:spacing w:before="40" w:after="40" w:line="260" w:lineRule="exact"/>
              <w:ind w:right="108"/>
              <w:jc w:val="right"/>
              <w:cnfStyle w:val="000000000000" w:firstRow="0" w:lastRow="0" w:firstColumn="0" w:lastColumn="0" w:oddVBand="0" w:evenVBand="0" w:oddHBand="0" w:evenHBand="0" w:firstRowFirstColumn="0" w:firstRowLastColumn="0" w:lastRowFirstColumn="0" w:lastRowLastColumn="0"/>
              <w:rPr>
                <w:rFonts w:ascii="Arial" w:hAnsi="Arial"/>
                <w:color w:val="auto"/>
                <w:sz w:val="18"/>
                <w:szCs w:val="18"/>
              </w:rPr>
            </w:pPr>
            <w:r w:rsidRPr="00740D1C">
              <w:rPr>
                <w:rFonts w:ascii="Arial" w:hAnsi="Arial"/>
                <w:sz w:val="18"/>
                <w:szCs w:val="18"/>
              </w:rPr>
              <w:t>3,538</w:t>
            </w:r>
          </w:p>
        </w:tc>
        <w:tc>
          <w:tcPr>
            <w:tcW w:w="864" w:type="pct"/>
          </w:tcPr>
          <w:p w14:paraId="4B46C1D7" w14:textId="6F79B26A" w:rsidR="00324AF2" w:rsidRPr="00740D1C" w:rsidRDefault="00324AF2" w:rsidP="00740D1C">
            <w:pPr>
              <w:pStyle w:val="PwCNormal"/>
              <w:numPr>
                <w:ilvl w:val="0"/>
                <w:numId w:val="0"/>
              </w:numPr>
              <w:spacing w:before="40" w:after="40" w:line="260" w:lineRule="exact"/>
              <w:ind w:right="92"/>
              <w:jc w:val="right"/>
              <w:cnfStyle w:val="000000000000" w:firstRow="0" w:lastRow="0" w:firstColumn="0" w:lastColumn="0" w:oddVBand="0" w:evenVBand="0" w:oddHBand="0" w:evenHBand="0" w:firstRowFirstColumn="0" w:firstRowLastColumn="0" w:lastRowFirstColumn="0" w:lastRowLastColumn="0"/>
              <w:rPr>
                <w:rFonts w:ascii="Arial" w:hAnsi="Arial"/>
                <w:color w:val="auto"/>
                <w:sz w:val="18"/>
                <w:szCs w:val="18"/>
              </w:rPr>
            </w:pPr>
            <w:r w:rsidRPr="00740D1C">
              <w:rPr>
                <w:rFonts w:ascii="Arial" w:hAnsi="Arial"/>
                <w:sz w:val="18"/>
                <w:szCs w:val="18"/>
              </w:rPr>
              <w:t>-1,904</w:t>
            </w:r>
          </w:p>
        </w:tc>
        <w:tc>
          <w:tcPr>
            <w:tcW w:w="745" w:type="pct"/>
          </w:tcPr>
          <w:p w14:paraId="3D1583E3" w14:textId="2ABE9135" w:rsidR="00324AF2" w:rsidRPr="00740D1C" w:rsidRDefault="00324AF2" w:rsidP="00740D1C">
            <w:pPr>
              <w:pStyle w:val="PwCNormal"/>
              <w:spacing w:before="40" w:after="40" w:line="260" w:lineRule="exact"/>
              <w:ind w:right="92"/>
              <w:jc w:val="right"/>
              <w:cnfStyle w:val="000000000000" w:firstRow="0" w:lastRow="0" w:firstColumn="0" w:lastColumn="0" w:oddVBand="0" w:evenVBand="0" w:oddHBand="0" w:evenHBand="0" w:firstRowFirstColumn="0" w:firstRowLastColumn="0" w:lastRowFirstColumn="0" w:lastRowLastColumn="0"/>
              <w:rPr>
                <w:rFonts w:ascii="Arial" w:hAnsi="Arial"/>
                <w:color w:val="auto"/>
                <w:sz w:val="18"/>
                <w:szCs w:val="18"/>
              </w:rPr>
            </w:pPr>
            <w:r w:rsidRPr="00740D1C">
              <w:rPr>
                <w:rFonts w:ascii="Arial" w:hAnsi="Arial"/>
                <w:sz w:val="18"/>
                <w:szCs w:val="18"/>
              </w:rPr>
              <w:t>-53.83%</w:t>
            </w:r>
          </w:p>
        </w:tc>
      </w:tr>
      <w:tr w:rsidR="00324AF2" w:rsidRPr="00740D1C" w14:paraId="7DAF5401" w14:textId="399FE767" w:rsidTr="008117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4" w:type="pct"/>
          </w:tcPr>
          <w:p w14:paraId="5BA2A281" w14:textId="48CD0384" w:rsidR="00324AF2" w:rsidRPr="00740D1C" w:rsidRDefault="00324AF2" w:rsidP="00740D1C">
            <w:pPr>
              <w:pStyle w:val="PwCNormal"/>
              <w:numPr>
                <w:ilvl w:val="0"/>
                <w:numId w:val="0"/>
              </w:numPr>
              <w:spacing w:before="40" w:after="40" w:line="260" w:lineRule="exact"/>
              <w:rPr>
                <w:rFonts w:ascii="Arial" w:hAnsi="Arial"/>
                <w:color w:val="FF0000"/>
                <w:sz w:val="18"/>
                <w:szCs w:val="18"/>
              </w:rPr>
            </w:pPr>
            <w:r w:rsidRPr="00740D1C">
              <w:rPr>
                <w:rFonts w:ascii="Arial" w:hAnsi="Arial"/>
                <w:sz w:val="18"/>
                <w:szCs w:val="18"/>
              </w:rPr>
              <w:t>M - Other - Carer</w:t>
            </w:r>
          </w:p>
        </w:tc>
        <w:tc>
          <w:tcPr>
            <w:tcW w:w="1155" w:type="pct"/>
          </w:tcPr>
          <w:p w14:paraId="094122DC" w14:textId="6BD56C1A" w:rsidR="00324AF2" w:rsidRPr="00740D1C" w:rsidRDefault="00324AF2" w:rsidP="00740D1C">
            <w:pPr>
              <w:pStyle w:val="PwCNormal"/>
              <w:numPr>
                <w:ilvl w:val="0"/>
                <w:numId w:val="0"/>
              </w:numPr>
              <w:spacing w:before="40" w:after="40" w:line="260" w:lineRule="exact"/>
              <w:ind w:right="108"/>
              <w:jc w:val="right"/>
              <w:cnfStyle w:val="000000100000" w:firstRow="0" w:lastRow="0" w:firstColumn="0" w:lastColumn="0" w:oddVBand="0" w:evenVBand="0" w:oddHBand="1" w:evenHBand="0" w:firstRowFirstColumn="0" w:firstRowLastColumn="0" w:lastRowFirstColumn="0" w:lastRowLastColumn="0"/>
              <w:rPr>
                <w:rFonts w:ascii="Arial" w:hAnsi="Arial"/>
                <w:color w:val="auto"/>
                <w:sz w:val="18"/>
                <w:szCs w:val="18"/>
              </w:rPr>
            </w:pPr>
            <w:r w:rsidRPr="00740D1C">
              <w:rPr>
                <w:rFonts w:ascii="Arial" w:hAnsi="Arial"/>
                <w:sz w:val="18"/>
                <w:szCs w:val="18"/>
              </w:rPr>
              <w:t>72,169</w:t>
            </w:r>
          </w:p>
        </w:tc>
        <w:tc>
          <w:tcPr>
            <w:tcW w:w="893" w:type="pct"/>
          </w:tcPr>
          <w:p w14:paraId="790E1A56" w14:textId="75A11714" w:rsidR="00324AF2" w:rsidRPr="00740D1C" w:rsidRDefault="00324AF2" w:rsidP="00740D1C">
            <w:pPr>
              <w:pStyle w:val="PwCNormal"/>
              <w:numPr>
                <w:ilvl w:val="0"/>
                <w:numId w:val="0"/>
              </w:numPr>
              <w:spacing w:before="40" w:after="40" w:line="260" w:lineRule="exact"/>
              <w:ind w:right="108"/>
              <w:jc w:val="right"/>
              <w:cnfStyle w:val="000000100000" w:firstRow="0" w:lastRow="0" w:firstColumn="0" w:lastColumn="0" w:oddVBand="0" w:evenVBand="0" w:oddHBand="1" w:evenHBand="0" w:firstRowFirstColumn="0" w:firstRowLastColumn="0" w:lastRowFirstColumn="0" w:lastRowLastColumn="0"/>
              <w:rPr>
                <w:rFonts w:ascii="Arial" w:hAnsi="Arial"/>
                <w:color w:val="auto"/>
                <w:sz w:val="18"/>
                <w:szCs w:val="18"/>
              </w:rPr>
            </w:pPr>
            <w:r w:rsidRPr="00740D1C">
              <w:rPr>
                <w:rFonts w:ascii="Arial" w:hAnsi="Arial"/>
                <w:sz w:val="18"/>
                <w:szCs w:val="18"/>
              </w:rPr>
              <w:t>71,906</w:t>
            </w:r>
          </w:p>
        </w:tc>
        <w:tc>
          <w:tcPr>
            <w:tcW w:w="864" w:type="pct"/>
          </w:tcPr>
          <w:p w14:paraId="27369FAE" w14:textId="3FFF615D" w:rsidR="00324AF2" w:rsidRPr="00740D1C" w:rsidRDefault="00324AF2" w:rsidP="00740D1C">
            <w:pPr>
              <w:pStyle w:val="PwCNormal"/>
              <w:numPr>
                <w:ilvl w:val="0"/>
                <w:numId w:val="0"/>
              </w:numPr>
              <w:spacing w:before="40" w:after="40" w:line="260" w:lineRule="exact"/>
              <w:ind w:right="92"/>
              <w:jc w:val="right"/>
              <w:cnfStyle w:val="000000100000" w:firstRow="0" w:lastRow="0" w:firstColumn="0" w:lastColumn="0" w:oddVBand="0" w:evenVBand="0" w:oddHBand="1" w:evenHBand="0" w:firstRowFirstColumn="0" w:firstRowLastColumn="0" w:lastRowFirstColumn="0" w:lastRowLastColumn="0"/>
              <w:rPr>
                <w:rFonts w:ascii="Arial" w:hAnsi="Arial"/>
                <w:color w:val="auto"/>
                <w:sz w:val="18"/>
                <w:szCs w:val="18"/>
              </w:rPr>
            </w:pPr>
            <w:r w:rsidRPr="00740D1C">
              <w:rPr>
                <w:rFonts w:ascii="Arial" w:hAnsi="Arial"/>
                <w:sz w:val="18"/>
                <w:szCs w:val="18"/>
              </w:rPr>
              <w:t>263</w:t>
            </w:r>
          </w:p>
        </w:tc>
        <w:tc>
          <w:tcPr>
            <w:tcW w:w="745" w:type="pct"/>
          </w:tcPr>
          <w:p w14:paraId="1FFBC583" w14:textId="4346F371" w:rsidR="00324AF2" w:rsidRPr="00740D1C" w:rsidRDefault="00324AF2" w:rsidP="00740D1C">
            <w:pPr>
              <w:pStyle w:val="PwCNormal"/>
              <w:spacing w:before="40" w:after="40" w:line="260" w:lineRule="exact"/>
              <w:ind w:right="92"/>
              <w:jc w:val="right"/>
              <w:cnfStyle w:val="000000100000" w:firstRow="0" w:lastRow="0" w:firstColumn="0" w:lastColumn="0" w:oddVBand="0" w:evenVBand="0" w:oddHBand="1" w:evenHBand="0" w:firstRowFirstColumn="0" w:firstRowLastColumn="0" w:lastRowFirstColumn="0" w:lastRowLastColumn="0"/>
              <w:rPr>
                <w:rFonts w:ascii="Arial" w:hAnsi="Arial"/>
                <w:color w:val="auto"/>
                <w:sz w:val="18"/>
                <w:szCs w:val="18"/>
              </w:rPr>
            </w:pPr>
            <w:r w:rsidRPr="00740D1C">
              <w:rPr>
                <w:rFonts w:ascii="Arial" w:hAnsi="Arial"/>
                <w:sz w:val="18"/>
                <w:szCs w:val="18"/>
              </w:rPr>
              <w:t>0.37%</w:t>
            </w:r>
          </w:p>
        </w:tc>
      </w:tr>
      <w:tr w:rsidR="00324AF2" w:rsidRPr="00740D1C" w14:paraId="6945DA69" w14:textId="3876DB4A" w:rsidTr="00811738">
        <w:tc>
          <w:tcPr>
            <w:cnfStyle w:val="001000000000" w:firstRow="0" w:lastRow="0" w:firstColumn="1" w:lastColumn="0" w:oddVBand="0" w:evenVBand="0" w:oddHBand="0" w:evenHBand="0" w:firstRowFirstColumn="0" w:firstRowLastColumn="0" w:lastRowFirstColumn="0" w:lastRowLastColumn="0"/>
            <w:tcW w:w="1344" w:type="pct"/>
          </w:tcPr>
          <w:p w14:paraId="414F5139" w14:textId="6EC71C07" w:rsidR="00324AF2" w:rsidRPr="00740D1C" w:rsidRDefault="00324AF2" w:rsidP="00740D1C">
            <w:pPr>
              <w:pStyle w:val="PwCNormal"/>
              <w:numPr>
                <w:ilvl w:val="0"/>
                <w:numId w:val="0"/>
              </w:numPr>
              <w:spacing w:before="40" w:after="40" w:line="260" w:lineRule="exact"/>
              <w:rPr>
                <w:rFonts w:ascii="Arial" w:hAnsi="Arial"/>
                <w:color w:val="FF0000"/>
                <w:sz w:val="18"/>
                <w:szCs w:val="18"/>
              </w:rPr>
            </w:pPr>
            <w:r w:rsidRPr="00740D1C">
              <w:rPr>
                <w:rFonts w:ascii="Arial" w:hAnsi="Arial"/>
                <w:sz w:val="18"/>
                <w:szCs w:val="18"/>
              </w:rPr>
              <w:t>N - Other - Study &amp; Skills</w:t>
            </w:r>
          </w:p>
        </w:tc>
        <w:tc>
          <w:tcPr>
            <w:tcW w:w="1155" w:type="pct"/>
          </w:tcPr>
          <w:p w14:paraId="1AEBDEE3" w14:textId="13F61AE8" w:rsidR="00324AF2" w:rsidRPr="00740D1C" w:rsidRDefault="00324AF2" w:rsidP="00740D1C">
            <w:pPr>
              <w:pStyle w:val="PwCNormal"/>
              <w:numPr>
                <w:ilvl w:val="0"/>
                <w:numId w:val="0"/>
              </w:numPr>
              <w:spacing w:before="40" w:after="40" w:line="260" w:lineRule="exact"/>
              <w:ind w:right="108"/>
              <w:jc w:val="right"/>
              <w:cnfStyle w:val="000000000000" w:firstRow="0" w:lastRow="0" w:firstColumn="0" w:lastColumn="0" w:oddVBand="0" w:evenVBand="0" w:oddHBand="0" w:evenHBand="0" w:firstRowFirstColumn="0" w:firstRowLastColumn="0" w:lastRowFirstColumn="0" w:lastRowLastColumn="0"/>
              <w:rPr>
                <w:rFonts w:ascii="Arial" w:hAnsi="Arial"/>
                <w:color w:val="auto"/>
                <w:sz w:val="18"/>
                <w:szCs w:val="18"/>
              </w:rPr>
            </w:pPr>
            <w:r w:rsidRPr="00740D1C">
              <w:rPr>
                <w:rFonts w:ascii="Arial" w:hAnsi="Arial"/>
                <w:sz w:val="18"/>
                <w:szCs w:val="18"/>
              </w:rPr>
              <w:t>4,337</w:t>
            </w:r>
          </w:p>
        </w:tc>
        <w:tc>
          <w:tcPr>
            <w:tcW w:w="893" w:type="pct"/>
          </w:tcPr>
          <w:p w14:paraId="531A1055" w14:textId="6372FC7D" w:rsidR="00324AF2" w:rsidRPr="00740D1C" w:rsidRDefault="00324AF2" w:rsidP="00740D1C">
            <w:pPr>
              <w:pStyle w:val="PwCNormal"/>
              <w:numPr>
                <w:ilvl w:val="0"/>
                <w:numId w:val="0"/>
              </w:numPr>
              <w:spacing w:before="40" w:after="40" w:line="260" w:lineRule="exact"/>
              <w:ind w:right="108"/>
              <w:jc w:val="right"/>
              <w:cnfStyle w:val="000000000000" w:firstRow="0" w:lastRow="0" w:firstColumn="0" w:lastColumn="0" w:oddVBand="0" w:evenVBand="0" w:oddHBand="0" w:evenHBand="0" w:firstRowFirstColumn="0" w:firstRowLastColumn="0" w:lastRowFirstColumn="0" w:lastRowLastColumn="0"/>
              <w:rPr>
                <w:rFonts w:ascii="Arial" w:hAnsi="Arial"/>
                <w:color w:val="auto"/>
                <w:sz w:val="18"/>
                <w:szCs w:val="18"/>
              </w:rPr>
            </w:pPr>
            <w:r w:rsidRPr="00740D1C">
              <w:rPr>
                <w:rFonts w:ascii="Arial" w:hAnsi="Arial"/>
                <w:sz w:val="18"/>
                <w:szCs w:val="18"/>
              </w:rPr>
              <w:t>4,440</w:t>
            </w:r>
          </w:p>
        </w:tc>
        <w:tc>
          <w:tcPr>
            <w:tcW w:w="864" w:type="pct"/>
          </w:tcPr>
          <w:p w14:paraId="2F7F75AD" w14:textId="4D4D28D1" w:rsidR="00324AF2" w:rsidRPr="00740D1C" w:rsidRDefault="00324AF2" w:rsidP="00740D1C">
            <w:pPr>
              <w:pStyle w:val="PwCNormal"/>
              <w:numPr>
                <w:ilvl w:val="0"/>
                <w:numId w:val="0"/>
              </w:numPr>
              <w:spacing w:before="40" w:after="40" w:line="260" w:lineRule="exact"/>
              <w:ind w:right="92"/>
              <w:jc w:val="right"/>
              <w:cnfStyle w:val="000000000000" w:firstRow="0" w:lastRow="0" w:firstColumn="0" w:lastColumn="0" w:oddVBand="0" w:evenVBand="0" w:oddHBand="0" w:evenHBand="0" w:firstRowFirstColumn="0" w:firstRowLastColumn="0" w:lastRowFirstColumn="0" w:lastRowLastColumn="0"/>
              <w:rPr>
                <w:rFonts w:ascii="Arial" w:hAnsi="Arial"/>
                <w:color w:val="auto"/>
                <w:sz w:val="18"/>
                <w:szCs w:val="18"/>
              </w:rPr>
            </w:pPr>
            <w:r w:rsidRPr="00740D1C">
              <w:rPr>
                <w:rFonts w:ascii="Arial" w:hAnsi="Arial"/>
                <w:sz w:val="18"/>
                <w:szCs w:val="18"/>
              </w:rPr>
              <w:t>-103</w:t>
            </w:r>
          </w:p>
        </w:tc>
        <w:tc>
          <w:tcPr>
            <w:tcW w:w="745" w:type="pct"/>
          </w:tcPr>
          <w:p w14:paraId="3CD7D356" w14:textId="2423B8DD" w:rsidR="00324AF2" w:rsidRPr="00740D1C" w:rsidRDefault="00324AF2" w:rsidP="00740D1C">
            <w:pPr>
              <w:pStyle w:val="PwCNormal"/>
              <w:spacing w:before="40" w:after="40" w:line="260" w:lineRule="exact"/>
              <w:ind w:right="92"/>
              <w:jc w:val="right"/>
              <w:cnfStyle w:val="000000000000" w:firstRow="0" w:lastRow="0" w:firstColumn="0" w:lastColumn="0" w:oddVBand="0" w:evenVBand="0" w:oddHBand="0" w:evenHBand="0" w:firstRowFirstColumn="0" w:firstRowLastColumn="0" w:lastRowFirstColumn="0" w:lastRowLastColumn="0"/>
              <w:rPr>
                <w:rFonts w:ascii="Arial" w:hAnsi="Arial"/>
                <w:color w:val="auto"/>
                <w:sz w:val="18"/>
                <w:szCs w:val="18"/>
              </w:rPr>
            </w:pPr>
            <w:r w:rsidRPr="00740D1C">
              <w:rPr>
                <w:rFonts w:ascii="Arial" w:hAnsi="Arial"/>
                <w:sz w:val="18"/>
                <w:szCs w:val="18"/>
              </w:rPr>
              <w:t>-2.32%</w:t>
            </w:r>
          </w:p>
        </w:tc>
      </w:tr>
      <w:tr w:rsidR="00324AF2" w:rsidRPr="00740D1C" w14:paraId="068F9229" w14:textId="450BA3E5" w:rsidTr="008117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4" w:type="pct"/>
          </w:tcPr>
          <w:p w14:paraId="37D8CE34" w14:textId="182736DD" w:rsidR="00324AF2" w:rsidRPr="00740D1C" w:rsidRDefault="00324AF2" w:rsidP="00740D1C">
            <w:pPr>
              <w:pStyle w:val="PwCNormal"/>
              <w:numPr>
                <w:ilvl w:val="0"/>
                <w:numId w:val="0"/>
              </w:numPr>
              <w:spacing w:before="40" w:after="40" w:line="260" w:lineRule="exact"/>
              <w:rPr>
                <w:rFonts w:ascii="Arial" w:hAnsi="Arial"/>
                <w:color w:val="FF0000"/>
                <w:sz w:val="18"/>
                <w:szCs w:val="18"/>
              </w:rPr>
            </w:pPr>
            <w:r w:rsidRPr="00740D1C">
              <w:rPr>
                <w:rFonts w:ascii="Arial" w:hAnsi="Arial"/>
                <w:sz w:val="18"/>
                <w:szCs w:val="18"/>
              </w:rPr>
              <w:t>O - Other Remote &amp; Regional</w:t>
            </w:r>
          </w:p>
        </w:tc>
        <w:tc>
          <w:tcPr>
            <w:tcW w:w="1155" w:type="pct"/>
          </w:tcPr>
          <w:p w14:paraId="136B757D" w14:textId="0977AF16" w:rsidR="00324AF2" w:rsidRPr="00740D1C" w:rsidRDefault="00324AF2" w:rsidP="00740D1C">
            <w:pPr>
              <w:pStyle w:val="PwCNormal"/>
              <w:numPr>
                <w:ilvl w:val="0"/>
                <w:numId w:val="0"/>
              </w:numPr>
              <w:spacing w:before="40" w:after="40" w:line="260" w:lineRule="exact"/>
              <w:ind w:right="108"/>
              <w:jc w:val="right"/>
              <w:cnfStyle w:val="000000100000" w:firstRow="0" w:lastRow="0" w:firstColumn="0" w:lastColumn="0" w:oddVBand="0" w:evenVBand="0" w:oddHBand="1" w:evenHBand="0" w:firstRowFirstColumn="0" w:firstRowLastColumn="0" w:lastRowFirstColumn="0" w:lastRowLastColumn="0"/>
              <w:rPr>
                <w:rFonts w:ascii="Arial" w:hAnsi="Arial"/>
                <w:color w:val="auto"/>
                <w:sz w:val="18"/>
                <w:szCs w:val="18"/>
              </w:rPr>
            </w:pPr>
            <w:r w:rsidRPr="00740D1C">
              <w:rPr>
                <w:rFonts w:ascii="Arial" w:hAnsi="Arial"/>
                <w:sz w:val="18"/>
                <w:szCs w:val="18"/>
              </w:rPr>
              <w:t>2,566</w:t>
            </w:r>
          </w:p>
        </w:tc>
        <w:tc>
          <w:tcPr>
            <w:tcW w:w="893" w:type="pct"/>
          </w:tcPr>
          <w:p w14:paraId="0018045B" w14:textId="4F848654" w:rsidR="00324AF2" w:rsidRPr="00740D1C" w:rsidRDefault="00324AF2" w:rsidP="00740D1C">
            <w:pPr>
              <w:pStyle w:val="PwCNormal"/>
              <w:numPr>
                <w:ilvl w:val="0"/>
                <w:numId w:val="0"/>
              </w:numPr>
              <w:spacing w:before="40" w:after="40" w:line="260" w:lineRule="exact"/>
              <w:ind w:right="108"/>
              <w:jc w:val="right"/>
              <w:cnfStyle w:val="000000100000" w:firstRow="0" w:lastRow="0" w:firstColumn="0" w:lastColumn="0" w:oddVBand="0" w:evenVBand="0" w:oddHBand="1" w:evenHBand="0" w:firstRowFirstColumn="0" w:firstRowLastColumn="0" w:lastRowFirstColumn="0" w:lastRowLastColumn="0"/>
              <w:rPr>
                <w:rFonts w:ascii="Arial" w:hAnsi="Arial"/>
                <w:color w:val="auto"/>
                <w:sz w:val="18"/>
                <w:szCs w:val="18"/>
              </w:rPr>
            </w:pPr>
            <w:r w:rsidRPr="00740D1C">
              <w:rPr>
                <w:rFonts w:ascii="Arial" w:hAnsi="Arial"/>
                <w:sz w:val="18"/>
                <w:szCs w:val="18"/>
              </w:rPr>
              <w:t>2,356</w:t>
            </w:r>
          </w:p>
        </w:tc>
        <w:tc>
          <w:tcPr>
            <w:tcW w:w="864" w:type="pct"/>
          </w:tcPr>
          <w:p w14:paraId="2659DA8A" w14:textId="2A222C38" w:rsidR="00324AF2" w:rsidRPr="00740D1C" w:rsidRDefault="00324AF2" w:rsidP="00740D1C">
            <w:pPr>
              <w:pStyle w:val="PwCNormal"/>
              <w:numPr>
                <w:ilvl w:val="0"/>
                <w:numId w:val="0"/>
              </w:numPr>
              <w:spacing w:before="40" w:after="40" w:line="260" w:lineRule="exact"/>
              <w:ind w:right="92"/>
              <w:jc w:val="right"/>
              <w:cnfStyle w:val="000000100000" w:firstRow="0" w:lastRow="0" w:firstColumn="0" w:lastColumn="0" w:oddVBand="0" w:evenVBand="0" w:oddHBand="1" w:evenHBand="0" w:firstRowFirstColumn="0" w:firstRowLastColumn="0" w:lastRowFirstColumn="0" w:lastRowLastColumn="0"/>
              <w:rPr>
                <w:rFonts w:ascii="Arial" w:hAnsi="Arial"/>
                <w:color w:val="auto"/>
                <w:sz w:val="18"/>
                <w:szCs w:val="18"/>
              </w:rPr>
            </w:pPr>
            <w:r w:rsidRPr="00740D1C">
              <w:rPr>
                <w:rFonts w:ascii="Arial" w:hAnsi="Arial"/>
                <w:sz w:val="18"/>
                <w:szCs w:val="18"/>
              </w:rPr>
              <w:t>210</w:t>
            </w:r>
          </w:p>
        </w:tc>
        <w:tc>
          <w:tcPr>
            <w:tcW w:w="745" w:type="pct"/>
          </w:tcPr>
          <w:p w14:paraId="590A683C" w14:textId="7C0722CD" w:rsidR="00324AF2" w:rsidRPr="00740D1C" w:rsidRDefault="00324AF2" w:rsidP="00740D1C">
            <w:pPr>
              <w:pStyle w:val="PwCNormal"/>
              <w:spacing w:before="40" w:after="40" w:line="260" w:lineRule="exact"/>
              <w:ind w:right="92"/>
              <w:jc w:val="right"/>
              <w:cnfStyle w:val="000000100000" w:firstRow="0" w:lastRow="0" w:firstColumn="0" w:lastColumn="0" w:oddVBand="0" w:evenVBand="0" w:oddHBand="1" w:evenHBand="0" w:firstRowFirstColumn="0" w:firstRowLastColumn="0" w:lastRowFirstColumn="0" w:lastRowLastColumn="0"/>
              <w:rPr>
                <w:rFonts w:ascii="Arial" w:hAnsi="Arial"/>
                <w:color w:val="auto"/>
                <w:sz w:val="18"/>
                <w:szCs w:val="18"/>
              </w:rPr>
            </w:pPr>
            <w:r w:rsidRPr="00740D1C">
              <w:rPr>
                <w:rFonts w:ascii="Arial" w:hAnsi="Arial"/>
                <w:sz w:val="18"/>
                <w:szCs w:val="18"/>
              </w:rPr>
              <w:t>8.93%</w:t>
            </w:r>
          </w:p>
        </w:tc>
      </w:tr>
      <w:tr w:rsidR="00324AF2" w:rsidRPr="00740D1C" w14:paraId="48030BE6" w14:textId="01F37629" w:rsidTr="00811738">
        <w:tc>
          <w:tcPr>
            <w:cnfStyle w:val="001000000000" w:firstRow="0" w:lastRow="0" w:firstColumn="1" w:lastColumn="0" w:oddVBand="0" w:evenVBand="0" w:oddHBand="0" w:evenHBand="0" w:firstRowFirstColumn="0" w:firstRowLastColumn="0" w:lastRowFirstColumn="0" w:lastRowLastColumn="0"/>
            <w:tcW w:w="1344" w:type="pct"/>
          </w:tcPr>
          <w:p w14:paraId="4CE6F33B" w14:textId="231AF78D" w:rsidR="00324AF2" w:rsidRPr="00740D1C" w:rsidRDefault="00324AF2" w:rsidP="00740D1C">
            <w:pPr>
              <w:pStyle w:val="PwCNormal"/>
              <w:numPr>
                <w:ilvl w:val="0"/>
                <w:numId w:val="0"/>
              </w:numPr>
              <w:spacing w:before="40" w:after="40" w:line="260" w:lineRule="exact"/>
              <w:rPr>
                <w:rFonts w:ascii="Arial" w:hAnsi="Arial"/>
                <w:color w:val="FF0000"/>
                <w:sz w:val="18"/>
                <w:szCs w:val="18"/>
              </w:rPr>
            </w:pPr>
            <w:r w:rsidRPr="00740D1C">
              <w:rPr>
                <w:rFonts w:ascii="Arial" w:hAnsi="Arial"/>
                <w:sz w:val="18"/>
                <w:szCs w:val="18"/>
              </w:rPr>
              <w:t>P - Other General Allowances</w:t>
            </w:r>
          </w:p>
        </w:tc>
        <w:tc>
          <w:tcPr>
            <w:tcW w:w="1155" w:type="pct"/>
          </w:tcPr>
          <w:p w14:paraId="530DEB16" w14:textId="38CF1719" w:rsidR="00324AF2" w:rsidRPr="00740D1C" w:rsidRDefault="00324AF2" w:rsidP="00740D1C">
            <w:pPr>
              <w:pStyle w:val="PwCNormal"/>
              <w:numPr>
                <w:ilvl w:val="0"/>
                <w:numId w:val="0"/>
              </w:numPr>
              <w:spacing w:before="40" w:after="40" w:line="260" w:lineRule="exact"/>
              <w:ind w:right="108"/>
              <w:jc w:val="right"/>
              <w:cnfStyle w:val="000000000000" w:firstRow="0" w:lastRow="0" w:firstColumn="0" w:lastColumn="0" w:oddVBand="0" w:evenVBand="0" w:oddHBand="0" w:evenHBand="0" w:firstRowFirstColumn="0" w:firstRowLastColumn="0" w:lastRowFirstColumn="0" w:lastRowLastColumn="0"/>
              <w:rPr>
                <w:rFonts w:ascii="Arial" w:hAnsi="Arial"/>
                <w:color w:val="auto"/>
                <w:sz w:val="18"/>
                <w:szCs w:val="18"/>
              </w:rPr>
            </w:pPr>
            <w:r w:rsidRPr="00740D1C">
              <w:rPr>
                <w:rFonts w:ascii="Arial" w:hAnsi="Arial"/>
                <w:sz w:val="18"/>
                <w:szCs w:val="18"/>
              </w:rPr>
              <w:t>265,558</w:t>
            </w:r>
          </w:p>
        </w:tc>
        <w:tc>
          <w:tcPr>
            <w:tcW w:w="893" w:type="pct"/>
          </w:tcPr>
          <w:p w14:paraId="25E95D14" w14:textId="7BB5E109" w:rsidR="00324AF2" w:rsidRPr="00740D1C" w:rsidRDefault="00324AF2" w:rsidP="00740D1C">
            <w:pPr>
              <w:pStyle w:val="PwCNormal"/>
              <w:numPr>
                <w:ilvl w:val="0"/>
                <w:numId w:val="0"/>
              </w:numPr>
              <w:spacing w:before="40" w:after="40" w:line="260" w:lineRule="exact"/>
              <w:ind w:right="108"/>
              <w:jc w:val="right"/>
              <w:cnfStyle w:val="000000000000" w:firstRow="0" w:lastRow="0" w:firstColumn="0" w:lastColumn="0" w:oddVBand="0" w:evenVBand="0" w:oddHBand="0" w:evenHBand="0" w:firstRowFirstColumn="0" w:firstRowLastColumn="0" w:lastRowFirstColumn="0" w:lastRowLastColumn="0"/>
              <w:rPr>
                <w:rFonts w:ascii="Arial" w:hAnsi="Arial"/>
                <w:color w:val="auto"/>
                <w:sz w:val="18"/>
                <w:szCs w:val="18"/>
              </w:rPr>
            </w:pPr>
            <w:r w:rsidRPr="00740D1C">
              <w:rPr>
                <w:rFonts w:ascii="Arial" w:hAnsi="Arial"/>
                <w:sz w:val="18"/>
                <w:szCs w:val="18"/>
              </w:rPr>
              <w:t>280,484</w:t>
            </w:r>
          </w:p>
        </w:tc>
        <w:tc>
          <w:tcPr>
            <w:tcW w:w="864" w:type="pct"/>
          </w:tcPr>
          <w:p w14:paraId="3ACC18E7" w14:textId="0B871700" w:rsidR="00324AF2" w:rsidRPr="00740D1C" w:rsidRDefault="00324AF2" w:rsidP="00740D1C">
            <w:pPr>
              <w:pStyle w:val="PwCNormal"/>
              <w:numPr>
                <w:ilvl w:val="0"/>
                <w:numId w:val="0"/>
              </w:numPr>
              <w:spacing w:before="40" w:after="40" w:line="260" w:lineRule="exact"/>
              <w:ind w:right="92"/>
              <w:jc w:val="right"/>
              <w:cnfStyle w:val="000000000000" w:firstRow="0" w:lastRow="0" w:firstColumn="0" w:lastColumn="0" w:oddVBand="0" w:evenVBand="0" w:oddHBand="0" w:evenHBand="0" w:firstRowFirstColumn="0" w:firstRowLastColumn="0" w:lastRowFirstColumn="0" w:lastRowLastColumn="0"/>
              <w:rPr>
                <w:rFonts w:ascii="Arial" w:hAnsi="Arial"/>
                <w:color w:val="auto"/>
                <w:sz w:val="18"/>
                <w:szCs w:val="18"/>
              </w:rPr>
            </w:pPr>
            <w:r w:rsidRPr="00740D1C">
              <w:rPr>
                <w:rFonts w:ascii="Arial" w:hAnsi="Arial"/>
                <w:sz w:val="18"/>
                <w:szCs w:val="18"/>
              </w:rPr>
              <w:t>-14,926</w:t>
            </w:r>
          </w:p>
        </w:tc>
        <w:tc>
          <w:tcPr>
            <w:tcW w:w="745" w:type="pct"/>
          </w:tcPr>
          <w:p w14:paraId="2BD74497" w14:textId="588A10DF" w:rsidR="00324AF2" w:rsidRPr="00740D1C" w:rsidRDefault="00324AF2" w:rsidP="00740D1C">
            <w:pPr>
              <w:pStyle w:val="PwCNormal"/>
              <w:spacing w:before="40" w:after="40" w:line="260" w:lineRule="exact"/>
              <w:ind w:right="92"/>
              <w:jc w:val="right"/>
              <w:cnfStyle w:val="000000000000" w:firstRow="0" w:lastRow="0" w:firstColumn="0" w:lastColumn="0" w:oddVBand="0" w:evenVBand="0" w:oddHBand="0" w:evenHBand="0" w:firstRowFirstColumn="0" w:firstRowLastColumn="0" w:lastRowFirstColumn="0" w:lastRowLastColumn="0"/>
              <w:rPr>
                <w:rFonts w:ascii="Arial" w:hAnsi="Arial"/>
                <w:color w:val="auto"/>
                <w:sz w:val="18"/>
                <w:szCs w:val="18"/>
              </w:rPr>
            </w:pPr>
            <w:r w:rsidRPr="00740D1C">
              <w:rPr>
                <w:rFonts w:ascii="Arial" w:hAnsi="Arial"/>
                <w:sz w:val="18"/>
                <w:szCs w:val="18"/>
              </w:rPr>
              <w:t>-5.32%</w:t>
            </w:r>
          </w:p>
        </w:tc>
      </w:tr>
      <w:tr w:rsidR="00324AF2" w:rsidRPr="00740D1C" w14:paraId="0A64EEE9" w14:textId="40936F0C" w:rsidTr="008117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4" w:type="pct"/>
          </w:tcPr>
          <w:p w14:paraId="2994B3B7" w14:textId="58138A7F" w:rsidR="00324AF2" w:rsidRPr="00740D1C" w:rsidRDefault="00324AF2" w:rsidP="00740D1C">
            <w:pPr>
              <w:pStyle w:val="PwCNormal"/>
              <w:numPr>
                <w:ilvl w:val="0"/>
                <w:numId w:val="0"/>
              </w:numPr>
              <w:spacing w:before="40" w:after="40" w:line="260" w:lineRule="exact"/>
              <w:rPr>
                <w:rFonts w:ascii="Arial" w:hAnsi="Arial"/>
                <w:color w:val="FF0000"/>
                <w:sz w:val="18"/>
                <w:szCs w:val="18"/>
              </w:rPr>
            </w:pPr>
            <w:r w:rsidRPr="00740D1C">
              <w:rPr>
                <w:rFonts w:ascii="Arial" w:hAnsi="Arial"/>
                <w:sz w:val="18"/>
                <w:szCs w:val="18"/>
              </w:rPr>
              <w:t>Q - All Other</w:t>
            </w:r>
          </w:p>
        </w:tc>
        <w:tc>
          <w:tcPr>
            <w:tcW w:w="1155" w:type="pct"/>
          </w:tcPr>
          <w:p w14:paraId="48BF4261" w14:textId="43B62BDB" w:rsidR="00324AF2" w:rsidRPr="00740D1C" w:rsidRDefault="00324AF2" w:rsidP="00740D1C">
            <w:pPr>
              <w:pStyle w:val="PwCNormal"/>
              <w:numPr>
                <w:ilvl w:val="0"/>
                <w:numId w:val="0"/>
              </w:numPr>
              <w:spacing w:before="40" w:after="40" w:line="260" w:lineRule="exact"/>
              <w:ind w:right="108"/>
              <w:jc w:val="right"/>
              <w:cnfStyle w:val="000000100000" w:firstRow="0" w:lastRow="0" w:firstColumn="0" w:lastColumn="0" w:oddVBand="0" w:evenVBand="0" w:oddHBand="1" w:evenHBand="0" w:firstRowFirstColumn="0" w:firstRowLastColumn="0" w:lastRowFirstColumn="0" w:lastRowLastColumn="0"/>
              <w:rPr>
                <w:rFonts w:ascii="Arial" w:hAnsi="Arial"/>
                <w:color w:val="auto"/>
                <w:sz w:val="18"/>
                <w:szCs w:val="18"/>
              </w:rPr>
            </w:pPr>
            <w:r w:rsidRPr="00740D1C">
              <w:rPr>
                <w:rFonts w:ascii="Arial" w:hAnsi="Arial"/>
                <w:sz w:val="18"/>
                <w:szCs w:val="18"/>
              </w:rPr>
              <w:t>6,289</w:t>
            </w:r>
          </w:p>
        </w:tc>
        <w:tc>
          <w:tcPr>
            <w:tcW w:w="893" w:type="pct"/>
          </w:tcPr>
          <w:p w14:paraId="16236839" w14:textId="3EBD392A" w:rsidR="00324AF2" w:rsidRPr="00740D1C" w:rsidRDefault="00324AF2" w:rsidP="00740D1C">
            <w:pPr>
              <w:pStyle w:val="PwCNormal"/>
              <w:numPr>
                <w:ilvl w:val="0"/>
                <w:numId w:val="0"/>
              </w:numPr>
              <w:spacing w:before="40" w:after="40" w:line="260" w:lineRule="exact"/>
              <w:ind w:right="108"/>
              <w:jc w:val="right"/>
              <w:cnfStyle w:val="000000100000" w:firstRow="0" w:lastRow="0" w:firstColumn="0" w:lastColumn="0" w:oddVBand="0" w:evenVBand="0" w:oddHBand="1" w:evenHBand="0" w:firstRowFirstColumn="0" w:firstRowLastColumn="0" w:lastRowFirstColumn="0" w:lastRowLastColumn="0"/>
              <w:rPr>
                <w:rFonts w:ascii="Arial" w:hAnsi="Arial"/>
                <w:color w:val="auto"/>
                <w:sz w:val="18"/>
                <w:szCs w:val="18"/>
              </w:rPr>
            </w:pPr>
            <w:r w:rsidRPr="00740D1C">
              <w:rPr>
                <w:rFonts w:ascii="Arial" w:hAnsi="Arial"/>
                <w:sz w:val="18"/>
                <w:szCs w:val="18"/>
              </w:rPr>
              <w:t>6,108</w:t>
            </w:r>
          </w:p>
        </w:tc>
        <w:tc>
          <w:tcPr>
            <w:tcW w:w="864" w:type="pct"/>
          </w:tcPr>
          <w:p w14:paraId="382678A4" w14:textId="7C46DA78" w:rsidR="00324AF2" w:rsidRPr="00740D1C" w:rsidRDefault="00324AF2" w:rsidP="00740D1C">
            <w:pPr>
              <w:pStyle w:val="PwCNormal"/>
              <w:numPr>
                <w:ilvl w:val="0"/>
                <w:numId w:val="0"/>
              </w:numPr>
              <w:spacing w:before="40" w:after="40" w:line="260" w:lineRule="exact"/>
              <w:ind w:right="92"/>
              <w:jc w:val="right"/>
              <w:cnfStyle w:val="000000100000" w:firstRow="0" w:lastRow="0" w:firstColumn="0" w:lastColumn="0" w:oddVBand="0" w:evenVBand="0" w:oddHBand="1" w:evenHBand="0" w:firstRowFirstColumn="0" w:firstRowLastColumn="0" w:lastRowFirstColumn="0" w:lastRowLastColumn="0"/>
              <w:rPr>
                <w:rFonts w:ascii="Arial" w:hAnsi="Arial"/>
                <w:color w:val="auto"/>
                <w:sz w:val="18"/>
                <w:szCs w:val="18"/>
              </w:rPr>
            </w:pPr>
            <w:r w:rsidRPr="00740D1C">
              <w:rPr>
                <w:rFonts w:ascii="Arial" w:hAnsi="Arial"/>
                <w:sz w:val="18"/>
                <w:szCs w:val="18"/>
              </w:rPr>
              <w:t>181</w:t>
            </w:r>
          </w:p>
        </w:tc>
        <w:tc>
          <w:tcPr>
            <w:tcW w:w="745" w:type="pct"/>
          </w:tcPr>
          <w:p w14:paraId="41AFCDD9" w14:textId="4538221B" w:rsidR="00324AF2" w:rsidRPr="00740D1C" w:rsidRDefault="00324AF2" w:rsidP="00740D1C">
            <w:pPr>
              <w:pStyle w:val="PwCNormal"/>
              <w:spacing w:before="40" w:after="40" w:line="260" w:lineRule="exact"/>
              <w:ind w:right="92"/>
              <w:jc w:val="right"/>
              <w:cnfStyle w:val="000000100000" w:firstRow="0" w:lastRow="0" w:firstColumn="0" w:lastColumn="0" w:oddVBand="0" w:evenVBand="0" w:oddHBand="1" w:evenHBand="0" w:firstRowFirstColumn="0" w:firstRowLastColumn="0" w:lastRowFirstColumn="0" w:lastRowLastColumn="0"/>
              <w:rPr>
                <w:rFonts w:ascii="Arial" w:hAnsi="Arial"/>
                <w:color w:val="auto"/>
                <w:sz w:val="18"/>
                <w:szCs w:val="18"/>
              </w:rPr>
            </w:pPr>
            <w:r w:rsidRPr="00740D1C">
              <w:rPr>
                <w:rFonts w:ascii="Arial" w:hAnsi="Arial"/>
                <w:sz w:val="18"/>
                <w:szCs w:val="18"/>
              </w:rPr>
              <w:t>2.97%</w:t>
            </w:r>
          </w:p>
        </w:tc>
      </w:tr>
      <w:tr w:rsidR="00324AF2" w:rsidRPr="00740D1C" w14:paraId="6691BD8F" w14:textId="6ABA0E3A" w:rsidTr="00811738">
        <w:tc>
          <w:tcPr>
            <w:cnfStyle w:val="001000000000" w:firstRow="0" w:lastRow="0" w:firstColumn="1" w:lastColumn="0" w:oddVBand="0" w:evenVBand="0" w:oddHBand="0" w:evenHBand="0" w:firstRowFirstColumn="0" w:firstRowLastColumn="0" w:lastRowFirstColumn="0" w:lastRowLastColumn="0"/>
            <w:tcW w:w="1344" w:type="pct"/>
          </w:tcPr>
          <w:p w14:paraId="5D2E0BBA" w14:textId="4DF058E9" w:rsidR="00324AF2" w:rsidRPr="00740D1C" w:rsidRDefault="00324AF2" w:rsidP="00740D1C">
            <w:pPr>
              <w:pStyle w:val="PwCNormal"/>
              <w:numPr>
                <w:ilvl w:val="0"/>
                <w:numId w:val="0"/>
              </w:numPr>
              <w:spacing w:before="40" w:after="40" w:line="260" w:lineRule="exact"/>
              <w:rPr>
                <w:rFonts w:ascii="Arial" w:hAnsi="Arial"/>
                <w:color w:val="FF0000"/>
                <w:sz w:val="18"/>
                <w:szCs w:val="18"/>
              </w:rPr>
            </w:pPr>
            <w:r w:rsidRPr="00740D1C">
              <w:rPr>
                <w:rFonts w:ascii="Arial" w:hAnsi="Arial"/>
                <w:sz w:val="18"/>
                <w:szCs w:val="18"/>
              </w:rPr>
              <w:t>R - Rent Assistance</w:t>
            </w:r>
          </w:p>
        </w:tc>
        <w:tc>
          <w:tcPr>
            <w:tcW w:w="1155" w:type="pct"/>
          </w:tcPr>
          <w:p w14:paraId="4A84C96B" w14:textId="15815109" w:rsidR="00324AF2" w:rsidRPr="00740D1C" w:rsidRDefault="00324AF2" w:rsidP="00740D1C">
            <w:pPr>
              <w:pStyle w:val="PwCNormal"/>
              <w:numPr>
                <w:ilvl w:val="0"/>
                <w:numId w:val="0"/>
              </w:numPr>
              <w:spacing w:before="40" w:after="40" w:line="260" w:lineRule="exact"/>
              <w:ind w:right="108"/>
              <w:jc w:val="right"/>
              <w:cnfStyle w:val="000000000000" w:firstRow="0" w:lastRow="0" w:firstColumn="0" w:lastColumn="0" w:oddVBand="0" w:evenVBand="0" w:oddHBand="0" w:evenHBand="0" w:firstRowFirstColumn="0" w:firstRowLastColumn="0" w:lastRowFirstColumn="0" w:lastRowLastColumn="0"/>
              <w:rPr>
                <w:rFonts w:ascii="Arial" w:hAnsi="Arial"/>
                <w:color w:val="auto"/>
                <w:sz w:val="18"/>
                <w:szCs w:val="18"/>
              </w:rPr>
            </w:pPr>
            <w:r w:rsidRPr="00740D1C">
              <w:rPr>
                <w:rFonts w:ascii="Arial" w:hAnsi="Arial"/>
                <w:sz w:val="18"/>
                <w:szCs w:val="18"/>
              </w:rPr>
              <w:t>121,382</w:t>
            </w:r>
          </w:p>
        </w:tc>
        <w:tc>
          <w:tcPr>
            <w:tcW w:w="893" w:type="pct"/>
          </w:tcPr>
          <w:p w14:paraId="3FF5C17F" w14:textId="1D0E76FA" w:rsidR="00324AF2" w:rsidRPr="00740D1C" w:rsidRDefault="00324AF2" w:rsidP="00740D1C">
            <w:pPr>
              <w:pStyle w:val="PwCNormal"/>
              <w:numPr>
                <w:ilvl w:val="0"/>
                <w:numId w:val="0"/>
              </w:numPr>
              <w:spacing w:before="40" w:after="40" w:line="260" w:lineRule="exact"/>
              <w:ind w:right="108"/>
              <w:jc w:val="right"/>
              <w:cnfStyle w:val="000000000000" w:firstRow="0" w:lastRow="0" w:firstColumn="0" w:lastColumn="0" w:oddVBand="0" w:evenVBand="0" w:oddHBand="0" w:evenHBand="0" w:firstRowFirstColumn="0" w:firstRowLastColumn="0" w:lastRowFirstColumn="0" w:lastRowLastColumn="0"/>
              <w:rPr>
                <w:rFonts w:ascii="Arial" w:hAnsi="Arial"/>
                <w:color w:val="auto"/>
                <w:sz w:val="18"/>
                <w:szCs w:val="18"/>
              </w:rPr>
            </w:pPr>
            <w:r w:rsidRPr="00740D1C">
              <w:rPr>
                <w:rFonts w:ascii="Arial" w:hAnsi="Arial"/>
                <w:sz w:val="18"/>
                <w:szCs w:val="18"/>
              </w:rPr>
              <w:t>130,331</w:t>
            </w:r>
          </w:p>
        </w:tc>
        <w:tc>
          <w:tcPr>
            <w:tcW w:w="864" w:type="pct"/>
          </w:tcPr>
          <w:p w14:paraId="5720142E" w14:textId="4EF70AD8" w:rsidR="00324AF2" w:rsidRPr="00740D1C" w:rsidRDefault="00324AF2" w:rsidP="00740D1C">
            <w:pPr>
              <w:pStyle w:val="PwCNormal"/>
              <w:numPr>
                <w:ilvl w:val="0"/>
                <w:numId w:val="0"/>
              </w:numPr>
              <w:spacing w:before="40" w:after="40" w:line="260" w:lineRule="exact"/>
              <w:ind w:right="92"/>
              <w:jc w:val="right"/>
              <w:cnfStyle w:val="000000000000" w:firstRow="0" w:lastRow="0" w:firstColumn="0" w:lastColumn="0" w:oddVBand="0" w:evenVBand="0" w:oddHBand="0" w:evenHBand="0" w:firstRowFirstColumn="0" w:firstRowLastColumn="0" w:lastRowFirstColumn="0" w:lastRowLastColumn="0"/>
              <w:rPr>
                <w:rFonts w:ascii="Arial" w:hAnsi="Arial"/>
                <w:color w:val="auto"/>
                <w:sz w:val="18"/>
                <w:szCs w:val="18"/>
              </w:rPr>
            </w:pPr>
            <w:r w:rsidRPr="00740D1C">
              <w:rPr>
                <w:rFonts w:ascii="Arial" w:hAnsi="Arial"/>
                <w:sz w:val="18"/>
                <w:szCs w:val="18"/>
              </w:rPr>
              <w:t>-8,949</w:t>
            </w:r>
          </w:p>
        </w:tc>
        <w:tc>
          <w:tcPr>
            <w:tcW w:w="745" w:type="pct"/>
          </w:tcPr>
          <w:p w14:paraId="0BFE7473" w14:textId="7667D8E2" w:rsidR="00324AF2" w:rsidRPr="00740D1C" w:rsidRDefault="00324AF2" w:rsidP="00740D1C">
            <w:pPr>
              <w:pStyle w:val="PwCNormal"/>
              <w:spacing w:before="40" w:after="40" w:line="260" w:lineRule="exact"/>
              <w:ind w:right="92"/>
              <w:jc w:val="right"/>
              <w:cnfStyle w:val="000000000000" w:firstRow="0" w:lastRow="0" w:firstColumn="0" w:lastColumn="0" w:oddVBand="0" w:evenVBand="0" w:oddHBand="0" w:evenHBand="0" w:firstRowFirstColumn="0" w:firstRowLastColumn="0" w:lastRowFirstColumn="0" w:lastRowLastColumn="0"/>
              <w:rPr>
                <w:rFonts w:ascii="Arial" w:hAnsi="Arial"/>
                <w:color w:val="auto"/>
                <w:sz w:val="18"/>
                <w:szCs w:val="18"/>
              </w:rPr>
            </w:pPr>
            <w:r w:rsidRPr="00740D1C">
              <w:rPr>
                <w:rFonts w:ascii="Arial" w:hAnsi="Arial"/>
                <w:sz w:val="18"/>
                <w:szCs w:val="18"/>
              </w:rPr>
              <w:t>-6.87%</w:t>
            </w:r>
          </w:p>
        </w:tc>
      </w:tr>
      <w:tr w:rsidR="00324AF2" w:rsidRPr="00740D1C" w14:paraId="6AB9285E" w14:textId="15B42294" w:rsidTr="008117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4" w:type="pct"/>
          </w:tcPr>
          <w:p w14:paraId="00220A91" w14:textId="453381E6" w:rsidR="00324AF2" w:rsidRPr="00740D1C" w:rsidRDefault="00324AF2" w:rsidP="00740D1C">
            <w:pPr>
              <w:pStyle w:val="PwCNormal"/>
              <w:numPr>
                <w:ilvl w:val="0"/>
                <w:numId w:val="0"/>
              </w:numPr>
              <w:spacing w:before="40" w:after="40" w:line="260" w:lineRule="exact"/>
              <w:rPr>
                <w:rFonts w:ascii="Arial" w:hAnsi="Arial"/>
                <w:color w:val="FF0000"/>
                <w:sz w:val="18"/>
                <w:szCs w:val="18"/>
              </w:rPr>
            </w:pPr>
            <w:r w:rsidRPr="00740D1C">
              <w:rPr>
                <w:rFonts w:ascii="Arial" w:hAnsi="Arial"/>
                <w:sz w:val="18"/>
                <w:szCs w:val="18"/>
              </w:rPr>
              <w:t>Total</w:t>
            </w:r>
          </w:p>
        </w:tc>
        <w:tc>
          <w:tcPr>
            <w:tcW w:w="1155" w:type="pct"/>
          </w:tcPr>
          <w:p w14:paraId="34FC1A91" w14:textId="08F83CD5" w:rsidR="00324AF2" w:rsidRPr="00200DAF" w:rsidRDefault="00324AF2" w:rsidP="00740D1C">
            <w:pPr>
              <w:pStyle w:val="PwCNormal"/>
              <w:numPr>
                <w:ilvl w:val="0"/>
                <w:numId w:val="0"/>
              </w:numPr>
              <w:spacing w:before="40" w:after="40" w:line="260" w:lineRule="exact"/>
              <w:ind w:right="108"/>
              <w:jc w:val="right"/>
              <w:cnfStyle w:val="000000100000" w:firstRow="0" w:lastRow="0" w:firstColumn="0" w:lastColumn="0" w:oddVBand="0" w:evenVBand="0" w:oddHBand="1" w:evenHBand="0" w:firstRowFirstColumn="0" w:firstRowLastColumn="0" w:lastRowFirstColumn="0" w:lastRowLastColumn="0"/>
              <w:rPr>
                <w:rFonts w:ascii="Arial" w:hAnsi="Arial"/>
                <w:b/>
                <w:color w:val="auto"/>
                <w:sz w:val="18"/>
                <w:szCs w:val="18"/>
              </w:rPr>
            </w:pPr>
            <w:r w:rsidRPr="00200DAF">
              <w:rPr>
                <w:rFonts w:ascii="Arial" w:hAnsi="Arial"/>
                <w:b/>
                <w:sz w:val="18"/>
                <w:szCs w:val="18"/>
              </w:rPr>
              <w:t>5,505,647</w:t>
            </w:r>
          </w:p>
        </w:tc>
        <w:tc>
          <w:tcPr>
            <w:tcW w:w="893" w:type="pct"/>
          </w:tcPr>
          <w:p w14:paraId="37FE93AF" w14:textId="36426C0E" w:rsidR="00324AF2" w:rsidRPr="00200DAF" w:rsidRDefault="00324AF2" w:rsidP="00740D1C">
            <w:pPr>
              <w:pStyle w:val="PwCNormal"/>
              <w:numPr>
                <w:ilvl w:val="0"/>
                <w:numId w:val="0"/>
              </w:numPr>
              <w:spacing w:before="40" w:after="40" w:line="260" w:lineRule="exact"/>
              <w:ind w:right="108"/>
              <w:jc w:val="right"/>
              <w:cnfStyle w:val="000000100000" w:firstRow="0" w:lastRow="0" w:firstColumn="0" w:lastColumn="0" w:oddVBand="0" w:evenVBand="0" w:oddHBand="1" w:evenHBand="0" w:firstRowFirstColumn="0" w:firstRowLastColumn="0" w:lastRowFirstColumn="0" w:lastRowLastColumn="0"/>
              <w:rPr>
                <w:rFonts w:ascii="Arial" w:hAnsi="Arial"/>
                <w:b/>
                <w:color w:val="auto"/>
                <w:sz w:val="18"/>
                <w:szCs w:val="18"/>
              </w:rPr>
            </w:pPr>
            <w:r w:rsidRPr="00200DAF">
              <w:rPr>
                <w:rFonts w:ascii="Arial" w:hAnsi="Arial"/>
                <w:b/>
                <w:sz w:val="18"/>
                <w:szCs w:val="18"/>
              </w:rPr>
              <w:t>5,700,540</w:t>
            </w:r>
          </w:p>
        </w:tc>
        <w:tc>
          <w:tcPr>
            <w:tcW w:w="864" w:type="pct"/>
          </w:tcPr>
          <w:p w14:paraId="5B218AD6" w14:textId="2D38232A" w:rsidR="00324AF2" w:rsidRPr="00200DAF" w:rsidRDefault="00324AF2" w:rsidP="00740D1C">
            <w:pPr>
              <w:pStyle w:val="PwCNormal"/>
              <w:numPr>
                <w:ilvl w:val="0"/>
                <w:numId w:val="0"/>
              </w:numPr>
              <w:spacing w:before="40" w:after="40" w:line="260" w:lineRule="exact"/>
              <w:ind w:right="92"/>
              <w:jc w:val="right"/>
              <w:cnfStyle w:val="000000100000" w:firstRow="0" w:lastRow="0" w:firstColumn="0" w:lastColumn="0" w:oddVBand="0" w:evenVBand="0" w:oddHBand="1" w:evenHBand="0" w:firstRowFirstColumn="0" w:firstRowLastColumn="0" w:lastRowFirstColumn="0" w:lastRowLastColumn="0"/>
              <w:rPr>
                <w:rFonts w:ascii="Arial" w:hAnsi="Arial"/>
                <w:b/>
                <w:color w:val="auto"/>
                <w:sz w:val="18"/>
                <w:szCs w:val="18"/>
              </w:rPr>
            </w:pPr>
            <w:r w:rsidRPr="00200DAF">
              <w:rPr>
                <w:rFonts w:ascii="Arial" w:hAnsi="Arial"/>
                <w:b/>
                <w:sz w:val="18"/>
                <w:szCs w:val="18"/>
              </w:rPr>
              <w:t>-194,893</w:t>
            </w:r>
          </w:p>
        </w:tc>
        <w:tc>
          <w:tcPr>
            <w:tcW w:w="745" w:type="pct"/>
          </w:tcPr>
          <w:p w14:paraId="640D27BE" w14:textId="5DA9C012" w:rsidR="00324AF2" w:rsidRPr="00200DAF" w:rsidRDefault="00324AF2" w:rsidP="00740D1C">
            <w:pPr>
              <w:pStyle w:val="PwCNormal"/>
              <w:spacing w:before="40" w:after="40" w:line="260" w:lineRule="exact"/>
              <w:ind w:right="92"/>
              <w:jc w:val="right"/>
              <w:cnfStyle w:val="000000100000" w:firstRow="0" w:lastRow="0" w:firstColumn="0" w:lastColumn="0" w:oddVBand="0" w:evenVBand="0" w:oddHBand="1" w:evenHBand="0" w:firstRowFirstColumn="0" w:firstRowLastColumn="0" w:lastRowFirstColumn="0" w:lastRowLastColumn="0"/>
              <w:rPr>
                <w:rFonts w:ascii="Arial" w:hAnsi="Arial"/>
                <w:b/>
                <w:color w:val="auto"/>
                <w:sz w:val="18"/>
                <w:szCs w:val="18"/>
              </w:rPr>
            </w:pPr>
            <w:r w:rsidRPr="00200DAF">
              <w:rPr>
                <w:rFonts w:ascii="Arial" w:hAnsi="Arial"/>
                <w:b/>
                <w:sz w:val="18"/>
                <w:szCs w:val="18"/>
              </w:rPr>
              <w:t>-3.42%</w:t>
            </w:r>
          </w:p>
        </w:tc>
      </w:tr>
    </w:tbl>
    <w:p w14:paraId="3A4E46E9" w14:textId="77777777" w:rsidR="001F2438" w:rsidRDefault="001F2438" w:rsidP="002C0D56">
      <w:pPr>
        <w:pStyle w:val="OutlineNumbered2"/>
        <w:numPr>
          <w:ilvl w:val="0"/>
          <w:numId w:val="0"/>
        </w:numPr>
        <w:spacing w:after="0"/>
        <w:rPr>
          <w:color w:val="auto"/>
        </w:rPr>
      </w:pPr>
    </w:p>
    <w:p w14:paraId="38D5FA8D" w14:textId="218FE442" w:rsidR="008A2048" w:rsidRPr="00F84249" w:rsidRDefault="004141B9" w:rsidP="00AB6B03">
      <w:pPr>
        <w:pStyle w:val="OutlineNumbered1"/>
      </w:pPr>
      <w:r>
        <w:t xml:space="preserve">The major contributor to the overall decrease in Lifetime Cost </w:t>
      </w:r>
      <w:r w:rsidR="00407B60">
        <w:t>is</w:t>
      </w:r>
      <w:r>
        <w:t xml:space="preserve"> the Age </w:t>
      </w:r>
      <w:r w:rsidR="002B4F91">
        <w:t>P</w:t>
      </w:r>
      <w:r>
        <w:t>ension, which contributes $</w:t>
      </w:r>
      <w:r w:rsidR="009E684E">
        <w:t>75</w:t>
      </w:r>
      <w:r>
        <w:t xml:space="preserve"> billion </w:t>
      </w:r>
      <w:r w:rsidR="001C199D">
        <w:t>(</w:t>
      </w:r>
      <w:r w:rsidR="009E684E">
        <w:t>38</w:t>
      </w:r>
      <w:r>
        <w:t>%</w:t>
      </w:r>
      <w:r w:rsidR="001C199D">
        <w:t>)</w:t>
      </w:r>
      <w:r>
        <w:t xml:space="preserve"> of the total decrease. </w:t>
      </w:r>
      <w:r w:rsidR="00C76C61" w:rsidRPr="00F84249">
        <w:t xml:space="preserve">A decreased use of the Age Pension </w:t>
      </w:r>
      <w:r w:rsidRPr="00F84249">
        <w:t xml:space="preserve">is projected </w:t>
      </w:r>
      <w:r w:rsidR="00C76C61" w:rsidRPr="00F84249">
        <w:t xml:space="preserve">in the future, </w:t>
      </w:r>
      <w:r w:rsidR="008A2048" w:rsidRPr="00F84249">
        <w:t>driven by a number of factors</w:t>
      </w:r>
      <w:r>
        <w:t>:</w:t>
      </w:r>
    </w:p>
    <w:p w14:paraId="502419CF" w14:textId="20E9D136" w:rsidR="008A2048" w:rsidRPr="00F84249" w:rsidRDefault="008A2048" w:rsidP="00AB6B03">
      <w:pPr>
        <w:pStyle w:val="Bullet1"/>
      </w:pPr>
      <w:r w:rsidRPr="00F84249">
        <w:t xml:space="preserve">The </w:t>
      </w:r>
      <w:r w:rsidR="004141B9">
        <w:t>ongoing</w:t>
      </w:r>
      <w:r w:rsidRPr="00F84249">
        <w:t xml:space="preserve"> </w:t>
      </w:r>
      <w:r w:rsidR="00C76C61" w:rsidRPr="00F84249">
        <w:t>accumulat</w:t>
      </w:r>
      <w:r w:rsidR="00CD09C6" w:rsidRPr="00F84249">
        <w:t>ion of superannuation over time</w:t>
      </w:r>
      <w:r w:rsidRPr="00F84249">
        <w:t xml:space="preserve"> will </w:t>
      </w:r>
      <w:r w:rsidR="00623D0C" w:rsidRPr="00F84249">
        <w:t xml:space="preserve">help delay entry into the </w:t>
      </w:r>
      <w:r w:rsidR="004141B9">
        <w:t>A</w:t>
      </w:r>
      <w:r w:rsidRPr="00F84249">
        <w:t xml:space="preserve">ge </w:t>
      </w:r>
      <w:r w:rsidR="004141B9">
        <w:t>P</w:t>
      </w:r>
      <w:r w:rsidRPr="00F84249">
        <w:t>ension</w:t>
      </w:r>
      <w:r w:rsidR="00623D0C" w:rsidRPr="00F84249">
        <w:t xml:space="preserve"> for many people</w:t>
      </w:r>
      <w:r w:rsidR="004141B9">
        <w:t>, resulting</w:t>
      </w:r>
      <w:r w:rsidR="00623D0C" w:rsidRPr="00F84249">
        <w:t xml:space="preserve"> in fewer people accessing </w:t>
      </w:r>
      <w:r w:rsidR="004141B9">
        <w:t>the Age P</w:t>
      </w:r>
      <w:r w:rsidR="00623D0C" w:rsidRPr="00F84249">
        <w:t xml:space="preserve">ension in a given year. </w:t>
      </w:r>
      <w:r w:rsidRPr="00F84249">
        <w:t xml:space="preserve">Although this simulation includes assumptions </w:t>
      </w:r>
      <w:r w:rsidR="004141B9">
        <w:t>regarding</w:t>
      </w:r>
      <w:r w:rsidRPr="00F84249">
        <w:t xml:space="preserve"> this</w:t>
      </w:r>
      <w:r w:rsidR="004141B9">
        <w:t xml:space="preserve"> likelihood</w:t>
      </w:r>
      <w:r w:rsidRPr="00F84249">
        <w:t xml:space="preserve">, annual adjustments are expected as </w:t>
      </w:r>
      <w:r w:rsidR="00800BBE" w:rsidRPr="00F84249">
        <w:t>additional data brings more information.</w:t>
      </w:r>
    </w:p>
    <w:p w14:paraId="76650E71" w14:textId="067AA0C2" w:rsidR="00800BBE" w:rsidRPr="00F84249" w:rsidRDefault="00800BBE" w:rsidP="00AB6B03">
      <w:pPr>
        <w:pStyle w:val="Bullet1"/>
      </w:pPr>
      <w:r w:rsidRPr="00F84249">
        <w:t>The</w:t>
      </w:r>
      <w:r w:rsidR="00CD09C6" w:rsidRPr="00F84249">
        <w:t xml:space="preserve"> increasing </w:t>
      </w:r>
      <w:r w:rsidR="004141B9">
        <w:t>A</w:t>
      </w:r>
      <w:r w:rsidR="00CD09C6" w:rsidRPr="00F84249">
        <w:t xml:space="preserve">ge </w:t>
      </w:r>
      <w:r w:rsidR="004141B9">
        <w:t>P</w:t>
      </w:r>
      <w:r w:rsidR="00CD09C6" w:rsidRPr="00F84249">
        <w:t>en</w:t>
      </w:r>
      <w:r w:rsidR="00A27BC1" w:rsidRPr="00F84249">
        <w:t>s</w:t>
      </w:r>
      <w:r w:rsidR="00CD09C6" w:rsidRPr="00F84249">
        <w:t>ion eligibility age</w:t>
      </w:r>
      <w:r w:rsidR="00623D0C" w:rsidRPr="00F84249">
        <w:t xml:space="preserve"> will </w:t>
      </w:r>
      <w:r w:rsidR="004141B9">
        <w:t>further</w:t>
      </w:r>
      <w:r w:rsidR="00623D0C" w:rsidRPr="00F84249">
        <w:t xml:space="preserve"> delay entry into the </w:t>
      </w:r>
      <w:r w:rsidR="004141B9">
        <w:t>A</w:t>
      </w:r>
      <w:r w:rsidR="004141B9" w:rsidRPr="00F84249">
        <w:t xml:space="preserve">ge </w:t>
      </w:r>
      <w:r w:rsidR="004141B9">
        <w:t>P</w:t>
      </w:r>
      <w:r w:rsidR="004141B9" w:rsidRPr="00F84249">
        <w:t>ension</w:t>
      </w:r>
      <w:r w:rsidR="00623D0C" w:rsidRPr="00F84249">
        <w:t xml:space="preserve">. </w:t>
      </w:r>
    </w:p>
    <w:p w14:paraId="730EDC10" w14:textId="5E816206" w:rsidR="00623D0C" w:rsidRPr="00F84249" w:rsidRDefault="00800BBE" w:rsidP="00AB6B03">
      <w:pPr>
        <w:pStyle w:val="Bullet1"/>
      </w:pPr>
      <w:r w:rsidRPr="00F84249">
        <w:t xml:space="preserve">Reduced pre-retirement welfare dependence is projected to result in reduced </w:t>
      </w:r>
      <w:r w:rsidR="004141B9">
        <w:t>A</w:t>
      </w:r>
      <w:r w:rsidR="004141B9" w:rsidRPr="00F84249">
        <w:t xml:space="preserve">ge </w:t>
      </w:r>
      <w:r w:rsidR="004141B9">
        <w:t>P</w:t>
      </w:r>
      <w:r w:rsidR="004141B9" w:rsidRPr="00F84249">
        <w:t>ension</w:t>
      </w:r>
      <w:r w:rsidRPr="00F84249">
        <w:t xml:space="preserve"> usage in the future.</w:t>
      </w:r>
    </w:p>
    <w:p w14:paraId="0B0B0605" w14:textId="41A055D3" w:rsidR="00795B25" w:rsidRPr="00F84249" w:rsidRDefault="008A2048" w:rsidP="00AB6B03">
      <w:pPr>
        <w:pStyle w:val="Bullet1"/>
      </w:pPr>
      <w:r w:rsidRPr="00F84249">
        <w:t xml:space="preserve">The </w:t>
      </w:r>
      <w:r w:rsidR="00623D0C" w:rsidRPr="00F84249">
        <w:t xml:space="preserve">lower AWE forecasts result in lower </w:t>
      </w:r>
      <w:r w:rsidR="00E80688" w:rsidRPr="00F84249">
        <w:t>present value of future</w:t>
      </w:r>
      <w:r w:rsidR="00623D0C" w:rsidRPr="00F84249">
        <w:t xml:space="preserve"> payments. </w:t>
      </w:r>
    </w:p>
    <w:p w14:paraId="3F0966AE" w14:textId="78131E15" w:rsidR="00286D0D" w:rsidRPr="00F84249" w:rsidRDefault="004141B9" w:rsidP="00AB6B03">
      <w:pPr>
        <w:pStyle w:val="Bullet1"/>
      </w:pPr>
      <w:r>
        <w:t>Partially offsetting the above factors are th</w:t>
      </w:r>
      <w:r w:rsidR="00286D0D">
        <w:t>e policy changes implemented in 2018-19</w:t>
      </w:r>
      <w:r>
        <w:t xml:space="preserve">, relating to </w:t>
      </w:r>
      <w:r w:rsidR="00286D0D">
        <w:t xml:space="preserve">changes to </w:t>
      </w:r>
      <w:r>
        <w:t xml:space="preserve">the </w:t>
      </w:r>
      <w:r w:rsidR="00F834BE">
        <w:t>W</w:t>
      </w:r>
      <w:r w:rsidR="00286D0D">
        <w:t xml:space="preserve">ork </w:t>
      </w:r>
      <w:r w:rsidR="00F834BE">
        <w:t>B</w:t>
      </w:r>
      <w:r w:rsidR="00286D0D">
        <w:t>onus and deeming rates</w:t>
      </w:r>
      <w:r>
        <w:t>. These policy changes</w:t>
      </w:r>
      <w:r w:rsidR="00286D0D">
        <w:t xml:space="preserve"> slightly increased pension payments.  </w:t>
      </w:r>
    </w:p>
    <w:p w14:paraId="32F390DB" w14:textId="28346A1B" w:rsidR="00EF0AF3" w:rsidRPr="00F84249" w:rsidRDefault="003B72EB" w:rsidP="00AB6B03">
      <w:pPr>
        <w:pStyle w:val="OutlineNumbered1"/>
      </w:pPr>
      <w:r w:rsidRPr="00F84249">
        <w:t xml:space="preserve">Most of the pre-retirement income support </w:t>
      </w:r>
      <w:r w:rsidR="001C199D" w:rsidRPr="001C199D">
        <w:t>categories</w:t>
      </w:r>
      <w:r w:rsidRPr="00F84249">
        <w:t xml:space="preserve"> have also decreased</w:t>
      </w:r>
      <w:r w:rsidR="008C352E" w:rsidRPr="00F84249">
        <w:t xml:space="preserve">, </w:t>
      </w:r>
      <w:r w:rsidR="001A1212" w:rsidRPr="00F84249">
        <w:t>with c</w:t>
      </w:r>
      <w:r w:rsidR="00EF0AF3" w:rsidRPr="00F84249">
        <w:t xml:space="preserve">ontinued falls in entry rates for these classes </w:t>
      </w:r>
      <w:r w:rsidR="001A1212" w:rsidRPr="00F84249">
        <w:t>being</w:t>
      </w:r>
      <w:r w:rsidR="00EF0AF3" w:rsidRPr="00F84249">
        <w:t xml:space="preserve"> the primary driver</w:t>
      </w:r>
      <w:r w:rsidR="001C199D" w:rsidRPr="001C199D">
        <w:t>.</w:t>
      </w:r>
      <w:r w:rsidR="00EF0AF3" w:rsidRPr="00F84249">
        <w:t xml:space="preserve"> </w:t>
      </w:r>
      <w:r w:rsidR="00E80688" w:rsidRPr="00F84249">
        <w:t xml:space="preserve">The </w:t>
      </w:r>
      <w:r w:rsidR="001C199D" w:rsidRPr="001C199D">
        <w:lastRenderedPageBreak/>
        <w:t xml:space="preserve">longer forecasted timeframe for AWE </w:t>
      </w:r>
      <w:r w:rsidR="009B6ECB">
        <w:t xml:space="preserve">and CPI </w:t>
      </w:r>
      <w:r w:rsidR="001C199D" w:rsidRPr="001C199D">
        <w:t xml:space="preserve">to reach </w:t>
      </w:r>
      <w:r w:rsidR="009B6ECB">
        <w:t>their respective</w:t>
      </w:r>
      <w:r w:rsidR="001C199D" w:rsidRPr="001C199D">
        <w:t xml:space="preserve"> long</w:t>
      </w:r>
      <w:r w:rsidR="002B4F91">
        <w:t>-</w:t>
      </w:r>
      <w:r w:rsidR="001C199D" w:rsidRPr="001C199D">
        <w:t>term rate</w:t>
      </w:r>
      <w:r w:rsidR="009B6ECB">
        <w:t>s</w:t>
      </w:r>
      <w:r w:rsidR="001C199D" w:rsidRPr="001C199D">
        <w:t xml:space="preserve"> </w:t>
      </w:r>
      <w:r w:rsidR="00E80688" w:rsidRPr="00F84249">
        <w:t xml:space="preserve">also contributed to </w:t>
      </w:r>
      <w:r w:rsidR="00E80688" w:rsidRPr="001C199D">
        <w:t xml:space="preserve">lower </w:t>
      </w:r>
      <w:r w:rsidR="001C199D">
        <w:t>L</w:t>
      </w:r>
      <w:r w:rsidR="00E80688" w:rsidRPr="001C199D">
        <w:t xml:space="preserve">ifetime </w:t>
      </w:r>
      <w:r w:rsidR="001C199D">
        <w:t>C</w:t>
      </w:r>
      <w:r w:rsidR="00E80688" w:rsidRPr="001C199D">
        <w:t>ost</w:t>
      </w:r>
      <w:r w:rsidR="001C199D">
        <w:t>s,</w:t>
      </w:r>
      <w:r w:rsidR="00E80688" w:rsidRPr="00F84249">
        <w:t xml:space="preserve"> through </w:t>
      </w:r>
      <w:r w:rsidR="001C199D">
        <w:t xml:space="preserve">a </w:t>
      </w:r>
      <w:r w:rsidR="00E80688" w:rsidRPr="00F84249">
        <w:t xml:space="preserve">reduced present value of future payments. </w:t>
      </w:r>
      <w:r w:rsidR="007902EF">
        <w:t xml:space="preserve">For the disability class, other than a </w:t>
      </w:r>
      <w:r w:rsidR="007902EF" w:rsidRPr="002C5023">
        <w:t xml:space="preserve">large decrease in exits </w:t>
      </w:r>
      <w:r w:rsidR="007902EF">
        <w:t>in 2017-18 arising from an</w:t>
      </w:r>
      <w:r w:rsidR="007902EF" w:rsidRPr="002C5023">
        <w:t xml:space="preserve"> increase in the </w:t>
      </w:r>
      <w:r w:rsidR="007902EF">
        <w:t>Age Pension</w:t>
      </w:r>
      <w:r w:rsidR="007902EF" w:rsidRPr="002C5023">
        <w:t xml:space="preserve"> age</w:t>
      </w:r>
      <w:r w:rsidR="007902EF">
        <w:t>, e</w:t>
      </w:r>
      <w:r w:rsidR="001A1212" w:rsidRPr="001C199D">
        <w:t xml:space="preserve">xperience has been </w:t>
      </w:r>
      <w:r w:rsidR="007902EF">
        <w:t xml:space="preserve">relatively </w:t>
      </w:r>
      <w:r w:rsidR="001A1212" w:rsidRPr="001C199D">
        <w:t>stable, result</w:t>
      </w:r>
      <w:r w:rsidR="007902EF">
        <w:t>ing</w:t>
      </w:r>
      <w:r w:rsidR="001A1212" w:rsidRPr="001C199D">
        <w:t xml:space="preserve"> in little change in its </w:t>
      </w:r>
      <w:r w:rsidR="007902EF">
        <w:t>Lifetime Cost</w:t>
      </w:r>
      <w:r w:rsidR="001A1212" w:rsidRPr="001C199D">
        <w:t xml:space="preserve">. </w:t>
      </w:r>
    </w:p>
    <w:p w14:paraId="74923185" w14:textId="7DD75523" w:rsidR="000C34E9" w:rsidRPr="000C34E9" w:rsidRDefault="00102A0C" w:rsidP="00AB6B03">
      <w:pPr>
        <w:pStyle w:val="OutlineNumbered1"/>
        <w:rPr>
          <w:rFonts w:cs="Arial"/>
        </w:rPr>
      </w:pPr>
      <w:r w:rsidRPr="000C34E9">
        <w:t>Overall</w:t>
      </w:r>
      <w:r w:rsidR="002B4F91">
        <w:t>,</w:t>
      </w:r>
      <w:r w:rsidRPr="000C34E9">
        <w:t xml:space="preserve"> there has been a slight </w:t>
      </w:r>
      <w:r w:rsidR="009E684E">
        <w:t>in</w:t>
      </w:r>
      <w:r w:rsidRPr="000C34E9">
        <w:t>crease in non-income support families</w:t>
      </w:r>
      <w:r w:rsidR="007902EF" w:rsidRPr="000C34E9">
        <w:t xml:space="preserve">, in aggregate across </w:t>
      </w:r>
      <w:r w:rsidRPr="000C34E9">
        <w:t>payment</w:t>
      </w:r>
      <w:r w:rsidR="007902EF" w:rsidRPr="000C34E9">
        <w:t xml:space="preserve"> categorie</w:t>
      </w:r>
      <w:r w:rsidRPr="000C34E9">
        <w:t xml:space="preserve">s H, I </w:t>
      </w:r>
      <w:r w:rsidR="007902EF" w:rsidRPr="000C34E9">
        <w:t>and</w:t>
      </w:r>
      <w:r w:rsidRPr="000C34E9">
        <w:t xml:space="preserve"> J. </w:t>
      </w:r>
      <w:r w:rsidR="007902EF" w:rsidRPr="000C34E9">
        <w:t>P</w:t>
      </w:r>
      <w:r w:rsidRPr="000C34E9">
        <w:t>olicy changes introduced in 2018-19</w:t>
      </w:r>
      <w:r w:rsidR="007902EF" w:rsidRPr="000C34E9">
        <w:t xml:space="preserve"> have had an impact here</w:t>
      </w:r>
      <w:r w:rsidR="000C34E9" w:rsidRPr="000C34E9">
        <w:t xml:space="preserve">, although the full impact of changes from </w:t>
      </w:r>
      <w:r w:rsidR="000C34E9" w:rsidRPr="000C34E9">
        <w:rPr>
          <w:rFonts w:cs="Arial"/>
          <w:color w:val="222222"/>
          <w:shd w:val="clear" w:color="auto" w:fill="FFFFFF"/>
        </w:rPr>
        <w:t xml:space="preserve">Child Care Benefit (CCB) and Child Care Rebate (CCR) </w:t>
      </w:r>
      <w:r w:rsidR="000C34E9">
        <w:rPr>
          <w:rFonts w:cs="Arial"/>
          <w:color w:val="222222"/>
          <w:shd w:val="clear" w:color="auto" w:fill="FFFFFF"/>
        </w:rPr>
        <w:t xml:space="preserve">to </w:t>
      </w:r>
      <w:r w:rsidR="000C34E9" w:rsidRPr="000C34E9">
        <w:rPr>
          <w:rFonts w:cs="Arial"/>
        </w:rPr>
        <w:t xml:space="preserve">Child Care Subsidy (CCS) </w:t>
      </w:r>
      <w:r w:rsidR="000C34E9">
        <w:rPr>
          <w:rFonts w:cs="Arial"/>
        </w:rPr>
        <w:t>are not yet represented in the data</w:t>
      </w:r>
      <w:r w:rsidR="000C34E9" w:rsidRPr="000C34E9">
        <w:rPr>
          <w:rFonts w:cs="Arial"/>
          <w:color w:val="222222"/>
          <w:shd w:val="clear" w:color="auto" w:fill="FFFFFF"/>
        </w:rPr>
        <w:t>.</w:t>
      </w:r>
    </w:p>
    <w:p w14:paraId="7C0E3F5C" w14:textId="4410C0E5" w:rsidR="000A5BB9" w:rsidRPr="00F84249" w:rsidRDefault="00F84249" w:rsidP="00AB6B03">
      <w:pPr>
        <w:pStyle w:val="OutlineNumbered1"/>
        <w:rPr>
          <w:i/>
        </w:rPr>
      </w:pPr>
      <w:r w:rsidRPr="00F84249">
        <w:t xml:space="preserve">The other significant movements were in payment categories P and R. These payments are </w:t>
      </w:r>
      <w:r w:rsidR="0076787C" w:rsidRPr="00F84249">
        <w:t>predominantly</w:t>
      </w:r>
      <w:r w:rsidRPr="00F84249">
        <w:t xml:space="preserve"> supplementary payments for people on income support </w:t>
      </w:r>
      <w:r w:rsidR="0076787C" w:rsidRPr="00F84249">
        <w:t>payments</w:t>
      </w:r>
      <w:r w:rsidRPr="00F84249">
        <w:t>. The reduction in the number of people projected to access income support has thus had a flow on impact to these payment categories.</w:t>
      </w:r>
    </w:p>
    <w:p w14:paraId="4D2E4EC9" w14:textId="288A7383" w:rsidR="00AA3BBD" w:rsidRDefault="00AA3BBD" w:rsidP="002C30FE">
      <w:pPr>
        <w:pStyle w:val="Heading2"/>
      </w:pPr>
      <w:bookmarkStart w:id="284" w:name="_Toc36555808"/>
      <w:bookmarkStart w:id="285" w:name="_Toc36563907"/>
      <w:bookmarkStart w:id="286" w:name="_Toc36655878"/>
      <w:bookmarkStart w:id="287" w:name="_Toc37931088"/>
      <w:bookmarkStart w:id="288" w:name="_Toc38007032"/>
      <w:bookmarkStart w:id="289" w:name="_Toc38458557"/>
      <w:bookmarkStart w:id="290" w:name="_Toc39071815"/>
      <w:bookmarkStart w:id="291" w:name="_Toc39243445"/>
      <w:bookmarkStart w:id="292" w:name="_Toc100131570"/>
      <w:r w:rsidRPr="007C0BB0">
        <w:t>Sensitivity</w:t>
      </w:r>
      <w:r>
        <w:t xml:space="preserve"> </w:t>
      </w:r>
      <w:r w:rsidR="00890CAA">
        <w:t>a</w:t>
      </w:r>
      <w:r>
        <w:t>nalysis</w:t>
      </w:r>
      <w:bookmarkEnd w:id="284"/>
      <w:bookmarkEnd w:id="285"/>
      <w:bookmarkEnd w:id="286"/>
      <w:bookmarkEnd w:id="287"/>
      <w:bookmarkEnd w:id="288"/>
      <w:bookmarkEnd w:id="289"/>
      <w:bookmarkEnd w:id="290"/>
      <w:bookmarkEnd w:id="291"/>
      <w:bookmarkEnd w:id="292"/>
    </w:p>
    <w:p w14:paraId="41C87C9D" w14:textId="5864514A" w:rsidR="00AA56A2" w:rsidRPr="00AB6B03" w:rsidRDefault="00EA3715" w:rsidP="00AB6B03">
      <w:pPr>
        <w:pStyle w:val="OutlineNumbered1"/>
      </w:pPr>
      <w:r w:rsidRPr="00AB6B03">
        <w:t xml:space="preserve">Clearly, many factors may influence </w:t>
      </w:r>
      <w:r w:rsidR="00977888" w:rsidRPr="00AB6B03">
        <w:t>future</w:t>
      </w:r>
      <w:r w:rsidRPr="00AB6B03">
        <w:t xml:space="preserve"> welfare</w:t>
      </w:r>
      <w:r w:rsidR="00977888" w:rsidRPr="00AB6B03">
        <w:t xml:space="preserve"> utilisation</w:t>
      </w:r>
      <w:r w:rsidR="00CB68E2" w:rsidRPr="00AB6B03">
        <w:t xml:space="preserve"> and the Lifetime Cost</w:t>
      </w:r>
      <w:r w:rsidRPr="00AB6B03">
        <w:t>. These include changes on the demand side of welfare, with changes in patterns of life and work; changes in the composition of households; and changes in the mix of industries and work opportunities. On the supply side, impacts of trends in population health and healthcare are important, as are changes in the availability and usefulness of informal support provided between members of families and other social groups. Furthermore, the long</w:t>
      </w:r>
      <w:r w:rsidR="002B4F91" w:rsidRPr="00AB6B03">
        <w:t>-</w:t>
      </w:r>
      <w:r w:rsidRPr="00AB6B03">
        <w:t>term nature of cashflows underlying the Lifetime Cost means that there is some sensitivity of the Lifetime Cost to key assumptions.</w:t>
      </w:r>
    </w:p>
    <w:p w14:paraId="574E3EBD" w14:textId="1B8F6FA2" w:rsidR="00AA56A2" w:rsidRPr="00AB6B03" w:rsidRDefault="004C51E3" w:rsidP="00AB6B03">
      <w:pPr>
        <w:pStyle w:val="OutlineNumbered1"/>
      </w:pPr>
      <w:r w:rsidRPr="00AB6B03">
        <w:t>We vary key</w:t>
      </w:r>
      <w:r w:rsidR="00AA56A2" w:rsidRPr="00AB6B03">
        <w:t xml:space="preserve"> assumptions </w:t>
      </w:r>
      <w:r w:rsidRPr="00AB6B03">
        <w:t xml:space="preserve">relating to mortality, economic </w:t>
      </w:r>
      <w:r w:rsidR="00217065" w:rsidRPr="00AB6B03">
        <w:t xml:space="preserve">factors </w:t>
      </w:r>
      <w:r w:rsidRPr="00AB6B03">
        <w:t>and welfare utilisation</w:t>
      </w:r>
      <w:r w:rsidR="00AA56A2" w:rsidRPr="00AB6B03">
        <w:t xml:space="preserve"> in order to indicate the sensitivity of the Lifetime Cost to </w:t>
      </w:r>
      <w:r w:rsidR="00633BD6" w:rsidRPr="00AB6B03">
        <w:t xml:space="preserve">changes in these assumptions. This highlights that the central estimate </w:t>
      </w:r>
      <w:r w:rsidR="00217065" w:rsidRPr="00AB6B03">
        <w:t>of</w:t>
      </w:r>
      <w:r w:rsidR="00633BD6" w:rsidRPr="00AB6B03">
        <w:t xml:space="preserve"> the Lifetime Cost is subject to uncertainty, and some contributors to that uncertainty are broadly quantified in the </w:t>
      </w:r>
      <w:r w:rsidR="002B4F91" w:rsidRPr="00AB6B03">
        <w:t xml:space="preserve">following </w:t>
      </w:r>
      <w:r w:rsidR="00633BD6" w:rsidRPr="00AB6B03">
        <w:t xml:space="preserve">analysis. </w:t>
      </w:r>
      <w:r w:rsidRPr="00AB6B03">
        <w:t>The likelihood of each variation is not assessed.</w:t>
      </w:r>
    </w:p>
    <w:p w14:paraId="2DA81025" w14:textId="68BA54F8" w:rsidR="00EA3715" w:rsidRPr="00AB6B03" w:rsidRDefault="00AA56A2" w:rsidP="00AB6B03">
      <w:pPr>
        <w:pStyle w:val="OutlineNumbered1"/>
      </w:pPr>
      <w:r w:rsidRPr="00AB6B03">
        <w:t xml:space="preserve">One key demographic assumption relates to future rates of </w:t>
      </w:r>
      <w:r w:rsidR="00633BD6" w:rsidRPr="00AB6B03">
        <w:t xml:space="preserve">improvement in </w:t>
      </w:r>
      <w:r w:rsidRPr="00AB6B03">
        <w:t xml:space="preserve">mortality. With the Age Pension typically having a long duration of payments in respect of an individual recipient, changes to how mortality may change in the future can have a significant impact on how long they receive Age Pension payments. </w:t>
      </w:r>
      <w:r w:rsidR="007C4DEE" w:rsidRPr="00AB6B03">
        <w:t>Hence, some variation in this future improvement is considered.</w:t>
      </w:r>
    </w:p>
    <w:p w14:paraId="01D22417" w14:textId="6C8D1E46" w:rsidR="00AF181D" w:rsidRPr="00AB6B03" w:rsidRDefault="00044BB0" w:rsidP="00AB6B03">
      <w:pPr>
        <w:pStyle w:val="OutlineNumbered1"/>
      </w:pPr>
      <w:r w:rsidRPr="00AB6B03">
        <w:t>Other</w:t>
      </w:r>
      <w:r w:rsidR="007C4DEE" w:rsidRPr="00AB6B03">
        <w:t xml:space="preserve"> key assumption</w:t>
      </w:r>
      <w:r w:rsidRPr="00AB6B03">
        <w:t>s</w:t>
      </w:r>
      <w:r w:rsidR="007C4DEE" w:rsidRPr="00AB6B03">
        <w:t xml:space="preserve"> </w:t>
      </w:r>
      <w:r w:rsidR="00D22B81" w:rsidRPr="00AB6B03">
        <w:t xml:space="preserve">relate to the broader economic environment. </w:t>
      </w:r>
      <w:r w:rsidR="00AF181D" w:rsidRPr="00AB6B03">
        <w:t xml:space="preserve">The </w:t>
      </w:r>
      <w:r w:rsidR="002A2F33" w:rsidRPr="00AB6B03">
        <w:t>Lifetime Cost</w:t>
      </w:r>
      <w:r w:rsidR="00AF181D" w:rsidRPr="00AB6B03">
        <w:t xml:space="preserve"> is based on </w:t>
      </w:r>
      <w:r w:rsidR="00D22B81" w:rsidRPr="00AB6B03">
        <w:t xml:space="preserve">this remaining </w:t>
      </w:r>
      <w:r w:rsidR="00AF181D" w:rsidRPr="00AB6B03">
        <w:t>relative</w:t>
      </w:r>
      <w:r w:rsidR="00D22B81" w:rsidRPr="00AB6B03">
        <w:t>ly</w:t>
      </w:r>
      <w:r w:rsidR="00AF181D" w:rsidRPr="00AB6B03">
        <w:t xml:space="preserve"> consisten</w:t>
      </w:r>
      <w:r w:rsidR="00D22B81" w:rsidRPr="00AB6B03">
        <w:t xml:space="preserve">t over time, particularly with respect to inflation and unemployment. </w:t>
      </w:r>
      <w:r w:rsidR="00815C23" w:rsidRPr="00AB6B03">
        <w:t xml:space="preserve">However, </w:t>
      </w:r>
      <w:r w:rsidR="00217065" w:rsidRPr="00AB6B03">
        <w:t>m</w:t>
      </w:r>
      <w:r w:rsidR="00E5062E" w:rsidRPr="00AB6B03">
        <w:t xml:space="preserve">any </w:t>
      </w:r>
      <w:r w:rsidR="00815C23" w:rsidRPr="00AB6B03">
        <w:t xml:space="preserve">welfare </w:t>
      </w:r>
      <w:r w:rsidR="00E5062E" w:rsidRPr="00AB6B03">
        <w:lastRenderedPageBreak/>
        <w:t xml:space="preserve">payments are not received until many years into the future </w:t>
      </w:r>
      <w:r w:rsidR="00815C23" w:rsidRPr="00AB6B03">
        <w:t>– for example, the Age Pension</w:t>
      </w:r>
      <w:r w:rsidR="00217065" w:rsidRPr="00AB6B03">
        <w:t xml:space="preserve"> for those who are currently young</w:t>
      </w:r>
      <w:r w:rsidR="00E5062E" w:rsidRPr="00AB6B03">
        <w:t xml:space="preserve">. This means small changes in indexation rates can have a large impact on the </w:t>
      </w:r>
      <w:r w:rsidR="002A2F33" w:rsidRPr="00AB6B03">
        <w:t>Lifetime Cost</w:t>
      </w:r>
      <w:r w:rsidR="00E5062E" w:rsidRPr="00AB6B03">
        <w:t>.</w:t>
      </w:r>
      <w:r w:rsidR="00815C23" w:rsidRPr="00AB6B03">
        <w:t xml:space="preserve"> </w:t>
      </w:r>
      <w:r w:rsidR="0011258D" w:rsidRPr="00AB6B03">
        <w:t>R</w:t>
      </w:r>
      <w:r w:rsidR="00815C23" w:rsidRPr="00AB6B03">
        <w:t>ates of unemployment</w:t>
      </w:r>
      <w:r w:rsidR="0011258D" w:rsidRPr="00AB6B03">
        <w:t xml:space="preserve"> also influence</w:t>
      </w:r>
      <w:r w:rsidR="00815C23" w:rsidRPr="00AB6B03">
        <w:t xml:space="preserve"> the future utilisation of welfare, thereby the Lifetime Cost as well</w:t>
      </w:r>
      <w:r w:rsidR="0011258D" w:rsidRPr="00AB6B03">
        <w:t>.</w:t>
      </w:r>
      <w:r w:rsidR="00815C23" w:rsidRPr="00AB6B03">
        <w:t xml:space="preserve"> </w:t>
      </w:r>
      <w:r w:rsidR="0063562B" w:rsidRPr="00AB6B03">
        <w:t xml:space="preserve">The overall Lifetime Cost is also sensitive to the interest rate used to discount future cashflows. </w:t>
      </w:r>
      <w:r w:rsidR="0011258D" w:rsidRPr="00AB6B03">
        <w:t>As a consequence</w:t>
      </w:r>
      <w:r w:rsidR="00815C23" w:rsidRPr="00AB6B03">
        <w:t>, variations in these assumption</w:t>
      </w:r>
      <w:r w:rsidR="003F6361" w:rsidRPr="00AB6B03">
        <w:t>s</w:t>
      </w:r>
      <w:r w:rsidR="00815C23" w:rsidRPr="00AB6B03">
        <w:t xml:space="preserve"> are considered as well.</w:t>
      </w:r>
    </w:p>
    <w:p w14:paraId="240F4F2B" w14:textId="62598DFF" w:rsidR="003F6361" w:rsidRPr="00AB6B03" w:rsidRDefault="0080689B" w:rsidP="00AB6B03">
      <w:pPr>
        <w:pStyle w:val="OutlineNumbered1"/>
      </w:pPr>
      <w:r w:rsidRPr="00AB6B03">
        <w:t>Any projection of future welfare utilisation is sensitive to a range of factors and</w:t>
      </w:r>
      <w:r w:rsidR="00A75D92" w:rsidRPr="00AB6B03">
        <w:t>,</w:t>
      </w:r>
      <w:r w:rsidRPr="00AB6B03">
        <w:t xml:space="preserve"> therefore, the projected entry rates and exit rates under each modelled class are sensitive to variations in these assumptions. One such factor relates to </w:t>
      </w:r>
      <w:r w:rsidR="0055146F" w:rsidRPr="00AB6B03">
        <w:t>legislated policy</w:t>
      </w:r>
      <w:r w:rsidRPr="00AB6B03">
        <w:t>, for which current policy</w:t>
      </w:r>
      <w:r w:rsidR="0055146F" w:rsidRPr="00AB6B03">
        <w:t xml:space="preserve"> is assumed to remain in perpetuity, despite the fact that polic</w:t>
      </w:r>
      <w:r w:rsidR="00217065" w:rsidRPr="00AB6B03">
        <w:t>ies</w:t>
      </w:r>
      <w:r w:rsidR="0055146F" w:rsidRPr="00AB6B03">
        <w:t xml:space="preserve"> relating to the welfare system change frequently. </w:t>
      </w:r>
      <w:r w:rsidR="00217065" w:rsidRPr="00AB6B03">
        <w:t>Furthermore, s</w:t>
      </w:r>
      <w:r w:rsidR="0011258D" w:rsidRPr="00AB6B03">
        <w:t>ome</w:t>
      </w:r>
      <w:r w:rsidR="00CE4A30" w:rsidRPr="00AB6B03">
        <w:t xml:space="preserve"> policy settings</w:t>
      </w:r>
      <w:r w:rsidR="0011258D" w:rsidRPr="00AB6B03">
        <w:t>,</w:t>
      </w:r>
      <w:r w:rsidR="00CE4A30" w:rsidRPr="00AB6B03">
        <w:t xml:space="preserve"> already adopted and included in the valuation, </w:t>
      </w:r>
      <w:r w:rsidR="0011258D" w:rsidRPr="00AB6B03">
        <w:t xml:space="preserve">are </w:t>
      </w:r>
      <w:r w:rsidR="00CE4A30" w:rsidRPr="00AB6B03">
        <w:t xml:space="preserve">recent changes </w:t>
      </w:r>
      <w:r w:rsidR="0011258D" w:rsidRPr="00AB6B03">
        <w:t>which</w:t>
      </w:r>
      <w:r w:rsidR="00CE4A30" w:rsidRPr="00AB6B03">
        <w:t xml:space="preserve"> are not yet fully reflected in the observed experience</w:t>
      </w:r>
      <w:r w:rsidR="00D9294D" w:rsidRPr="00AB6B03">
        <w:t xml:space="preserve">. </w:t>
      </w:r>
      <w:r w:rsidR="00CE4A30" w:rsidRPr="00AB6B03">
        <w:t>These considerations mean that the assumptions are inherently uncertain and the actual future experience may differ from that modelled.</w:t>
      </w:r>
    </w:p>
    <w:p w14:paraId="37134D64" w14:textId="4E9A8663" w:rsidR="003F6361" w:rsidRPr="006C46CC" w:rsidRDefault="00A618A0" w:rsidP="006C46CC">
      <w:pPr>
        <w:pStyle w:val="OutlineNumbered1"/>
      </w:pPr>
      <w:r w:rsidRPr="006C46CC">
        <w:t>As well as uncertaint</w:t>
      </w:r>
      <w:r w:rsidR="0080689B" w:rsidRPr="006C46CC">
        <w:t>ies</w:t>
      </w:r>
      <w:r w:rsidRPr="006C46CC">
        <w:t xml:space="preserve"> arising from policy assumptions, the behaviour and response of current and future welfare recipients may also change over time – to either policy, and/or </w:t>
      </w:r>
      <w:r w:rsidR="003F6361" w:rsidRPr="006C46CC">
        <w:t xml:space="preserve">economic changes. In addition, </w:t>
      </w:r>
      <w:r w:rsidRPr="006C46CC">
        <w:t xml:space="preserve">changes over time in key individual characteristics do occur, for example educational attainment, </w:t>
      </w:r>
      <w:r w:rsidR="0080689B" w:rsidRPr="006C46CC">
        <w:t xml:space="preserve">SEIFA status, </w:t>
      </w:r>
      <w:r w:rsidR="00957B37" w:rsidRPr="006C46CC">
        <w:t xml:space="preserve">capacity to work, partnering status, </w:t>
      </w:r>
      <w:r w:rsidR="0080689B" w:rsidRPr="006C46CC">
        <w:t xml:space="preserve">and </w:t>
      </w:r>
      <w:r w:rsidR="00957B37" w:rsidRPr="006C46CC">
        <w:t>number and age</w:t>
      </w:r>
      <w:r w:rsidR="0080689B" w:rsidRPr="006C46CC">
        <w:t>s</w:t>
      </w:r>
      <w:r w:rsidR="003F6361" w:rsidRPr="006C46CC">
        <w:t xml:space="preserve"> of children.</w:t>
      </w:r>
    </w:p>
    <w:p w14:paraId="66FA8CE1" w14:textId="242D62FF" w:rsidR="003F6361" w:rsidRPr="006C46CC" w:rsidRDefault="0080689B" w:rsidP="006C46CC">
      <w:pPr>
        <w:pStyle w:val="OutlineNumbered1"/>
      </w:pPr>
      <w:r w:rsidRPr="006C46CC">
        <w:t>Importantly, t</w:t>
      </w:r>
      <w:r w:rsidR="00957B37" w:rsidRPr="006C46CC">
        <w:t xml:space="preserve">he </w:t>
      </w:r>
      <w:r w:rsidR="002A2F33" w:rsidRPr="006C46CC">
        <w:t>Lifetime Cost</w:t>
      </w:r>
      <w:r w:rsidR="00957B37" w:rsidRPr="006C46CC">
        <w:t xml:space="preserve"> assessment for the </w:t>
      </w:r>
      <w:r w:rsidR="003F6361" w:rsidRPr="006C46CC">
        <w:t>non-welfare</w:t>
      </w:r>
      <w:r w:rsidR="00957B37" w:rsidRPr="006C46CC">
        <w:t xml:space="preserve"> population may be even more uncertain than the </w:t>
      </w:r>
      <w:r w:rsidR="002A2F33" w:rsidRPr="006C46CC">
        <w:t>Lifetime Cost</w:t>
      </w:r>
      <w:r w:rsidR="00957B37" w:rsidRPr="006C46CC">
        <w:t xml:space="preserve"> for people currently and recently in receipt of </w:t>
      </w:r>
      <w:r w:rsidR="00E5575F" w:rsidRPr="006C46CC">
        <w:t>welfare</w:t>
      </w:r>
      <w:r w:rsidR="00957B37" w:rsidRPr="006C46CC">
        <w:t xml:space="preserve">. </w:t>
      </w:r>
      <w:r w:rsidR="00E5575F" w:rsidRPr="006C46CC">
        <w:t>This is because less i</w:t>
      </w:r>
      <w:r w:rsidR="00957B37" w:rsidRPr="006C46CC">
        <w:t xml:space="preserve">s known about the characteristics of </w:t>
      </w:r>
      <w:r w:rsidR="00E5575F" w:rsidRPr="006C46CC">
        <w:t xml:space="preserve">those not within the DSS data, and because </w:t>
      </w:r>
      <w:r w:rsidR="00957B37" w:rsidRPr="006C46CC">
        <w:t xml:space="preserve">their projected future welfare </w:t>
      </w:r>
      <w:r w:rsidR="00E5575F" w:rsidRPr="006C46CC">
        <w:t xml:space="preserve">utilisation </w:t>
      </w:r>
      <w:r w:rsidR="00957B37" w:rsidRPr="006C46CC">
        <w:t xml:space="preserve">is further into the future than for current </w:t>
      </w:r>
      <w:r w:rsidR="00E5575F" w:rsidRPr="006C46CC">
        <w:t>welfare recipients.</w:t>
      </w:r>
      <w:r w:rsidRPr="006C46CC">
        <w:t xml:space="preserve"> </w:t>
      </w:r>
      <w:r w:rsidR="003F6361" w:rsidRPr="006C46CC">
        <w:t>Hence, variations in the</w:t>
      </w:r>
      <w:r w:rsidR="00E5575F" w:rsidRPr="006C46CC">
        <w:t xml:space="preserve"> entry and exit assumptions from welfare to non-welfare, and non-welfare to welfare,</w:t>
      </w:r>
      <w:r w:rsidR="003F6361" w:rsidRPr="006C46CC">
        <w:t xml:space="preserve"> are considered as </w:t>
      </w:r>
      <w:r w:rsidR="00E5575F" w:rsidRPr="006C46CC">
        <w:t>part of the sensitivity analysis</w:t>
      </w:r>
      <w:r w:rsidR="003F6361" w:rsidRPr="006C46CC">
        <w:t>.</w:t>
      </w:r>
    </w:p>
    <w:p w14:paraId="24F7025A" w14:textId="4B35D797" w:rsidR="00957B37" w:rsidRPr="00187EC8" w:rsidRDefault="00957B37" w:rsidP="00A733BD">
      <w:pPr>
        <w:pStyle w:val="Heading3"/>
      </w:pPr>
      <w:r w:rsidRPr="00187EC8">
        <w:t>Sensitivity</w:t>
      </w:r>
      <w:r w:rsidR="00E5062E">
        <w:t xml:space="preserve"> </w:t>
      </w:r>
      <w:r w:rsidR="00890CAA">
        <w:t>r</w:t>
      </w:r>
      <w:r w:rsidR="00E5062E">
        <w:t>esults</w:t>
      </w:r>
    </w:p>
    <w:p w14:paraId="237B9AEC" w14:textId="75CF14E4" w:rsidR="00E5062E" w:rsidRPr="00187EC8" w:rsidRDefault="00182A21" w:rsidP="006C46CC">
      <w:pPr>
        <w:pStyle w:val="OutlineNumbered1"/>
      </w:pPr>
      <w:r>
        <w:t>T</w:t>
      </w:r>
      <w:r w:rsidR="00E5062E" w:rsidRPr="00187EC8">
        <w:t xml:space="preserve">he sensitivity </w:t>
      </w:r>
      <w:r>
        <w:t xml:space="preserve">of the Lifetime Cost </w:t>
      </w:r>
      <w:r w:rsidR="00E5062E" w:rsidRPr="00187EC8">
        <w:t xml:space="preserve">to key assumptions </w:t>
      </w:r>
      <w:r>
        <w:t xml:space="preserve">is </w:t>
      </w:r>
      <w:r w:rsidR="005825D0">
        <w:t xml:space="preserve">provided in </w:t>
      </w:r>
      <w:r w:rsidR="004A3FD1">
        <w:fldChar w:fldCharType="begin"/>
      </w:r>
      <w:r w:rsidR="004A3FD1">
        <w:instrText xml:space="preserve"> REF  Table11 \h </w:instrText>
      </w:r>
      <w:r w:rsidR="004A3FD1">
        <w:fldChar w:fldCharType="separate"/>
      </w:r>
      <w:r w:rsidR="00751625" w:rsidRPr="00182A21">
        <w:t xml:space="preserve">Table </w:t>
      </w:r>
      <w:r w:rsidR="00751625">
        <w:rPr>
          <w:noProof/>
        </w:rPr>
        <w:t>11</w:t>
      </w:r>
      <w:r w:rsidR="004A3FD1">
        <w:fldChar w:fldCharType="end"/>
      </w:r>
      <w:r w:rsidR="00E5062E" w:rsidRPr="00187EC8">
        <w:t>.</w:t>
      </w:r>
      <w:r w:rsidR="006D11C4">
        <w:t xml:space="preserve"> Economic sensitivit</w:t>
      </w:r>
      <w:r>
        <w:t>ies</w:t>
      </w:r>
      <w:r w:rsidR="006D11C4">
        <w:t xml:space="preserve"> are </w:t>
      </w:r>
      <w:r w:rsidR="00DE3BEB">
        <w:t>additional changes relative to valuation assumptions (</w:t>
      </w:r>
      <w:r w:rsidR="005825D0">
        <w:t>that is</w:t>
      </w:r>
      <w:r>
        <w:t>, an additive</w:t>
      </w:r>
      <w:r w:rsidR="00DE3BEB">
        <w:t xml:space="preserve"> change</w:t>
      </w:r>
      <w:r>
        <w:t xml:space="preserve"> [</w:t>
      </w:r>
      <w:r>
        <w:rPr>
          <w:rFonts w:cs="Arial"/>
        </w:rPr>
        <w:t xml:space="preserve">± </w:t>
      </w:r>
      <w:r w:rsidR="00C546AC">
        <w:t>%</w:t>
      </w:r>
      <w:r>
        <w:t>]</w:t>
      </w:r>
      <w:r w:rsidR="00DE3BEB">
        <w:t xml:space="preserve">), </w:t>
      </w:r>
      <w:r w:rsidR="00C546AC">
        <w:t xml:space="preserve">and </w:t>
      </w:r>
      <w:r w:rsidR="00DE3BEB">
        <w:t xml:space="preserve">mortality and welfare utilisation sensitivity are </w:t>
      </w:r>
      <w:r w:rsidR="00791833">
        <w:t>proportional change</w:t>
      </w:r>
      <w:r w:rsidR="00DE3BEB">
        <w:t xml:space="preserve"> relative to valuation assumptions (</w:t>
      </w:r>
      <w:r w:rsidR="005825D0">
        <w:t>that is</w:t>
      </w:r>
      <w:r>
        <w:t>, a multiplicative change [</w:t>
      </w:r>
      <w:r w:rsidR="00F9268C">
        <w:rPr>
          <w:rFonts w:cs="Arial"/>
        </w:rPr>
        <w:t>×</w:t>
      </w:r>
      <w:r w:rsidR="00F9268C">
        <w:t xml:space="preserve"> </w:t>
      </w:r>
      <w:r>
        <w:t>{</w:t>
      </w:r>
      <w:r w:rsidR="00DE3BEB">
        <w:t>100%</w:t>
      </w:r>
      <w:r w:rsidR="00F72657">
        <w:t xml:space="preserve"> </w:t>
      </w:r>
      <w:r w:rsidR="00DE3BEB">
        <w:rPr>
          <w:rFonts w:cs="Arial"/>
        </w:rPr>
        <w:t>±</w:t>
      </w:r>
      <w:r w:rsidR="00DE3BEB">
        <w:t xml:space="preserve"> change</w:t>
      </w:r>
      <w:r w:rsidR="00C546AC">
        <w:t>%</w:t>
      </w:r>
      <w:r>
        <w:t>}</w:t>
      </w:r>
      <w:r w:rsidR="00F9268C">
        <w:t>]</w:t>
      </w:r>
      <w:r w:rsidR="00DE3BEB">
        <w:t>).</w:t>
      </w:r>
      <w:r w:rsidR="006D11C4">
        <w:t xml:space="preserve"> </w:t>
      </w:r>
    </w:p>
    <w:p w14:paraId="413F1244" w14:textId="2E3A013A" w:rsidR="009A4DAD" w:rsidRPr="00182A21" w:rsidRDefault="002E0542" w:rsidP="000B1493">
      <w:pPr>
        <w:pStyle w:val="Caption"/>
      </w:pPr>
      <w:bookmarkStart w:id="293" w:name="Table11"/>
      <w:r w:rsidRPr="00182A21">
        <w:lastRenderedPageBreak/>
        <w:t xml:space="preserve">Table </w:t>
      </w:r>
      <w:r w:rsidR="00215A2C">
        <w:fldChar w:fldCharType="begin"/>
      </w:r>
      <w:r w:rsidR="00215A2C">
        <w:instrText xml:space="preserve"> SEQ Table \* ARABIC </w:instrText>
      </w:r>
      <w:r w:rsidR="00215A2C">
        <w:fldChar w:fldCharType="separate"/>
      </w:r>
      <w:r w:rsidR="00751625">
        <w:rPr>
          <w:noProof/>
        </w:rPr>
        <w:t>11</w:t>
      </w:r>
      <w:r w:rsidR="00215A2C">
        <w:rPr>
          <w:noProof/>
        </w:rPr>
        <w:fldChar w:fldCharType="end"/>
      </w:r>
      <w:bookmarkEnd w:id="293"/>
      <w:r w:rsidRPr="00182A21">
        <w:t xml:space="preserve">: Sensitivity of </w:t>
      </w:r>
      <w:r w:rsidR="00E5575F" w:rsidRPr="00182A21">
        <w:t>Lifetime Cost</w:t>
      </w:r>
      <w:r w:rsidRPr="00182A21">
        <w:t xml:space="preserve"> to </w:t>
      </w:r>
      <w:r w:rsidR="001C1141">
        <w:t>C</w:t>
      </w:r>
      <w:r w:rsidRPr="00182A21">
        <w:t xml:space="preserve">hanges in </w:t>
      </w:r>
      <w:r w:rsidR="001C1141">
        <w:t>A</w:t>
      </w:r>
      <w:r w:rsidRPr="00182A21">
        <w:t>ssumptions</w:t>
      </w:r>
    </w:p>
    <w:tbl>
      <w:tblPr>
        <w:tblStyle w:val="ListTable3-Accent1"/>
        <w:tblW w:w="8217" w:type="dxa"/>
        <w:tblLook w:val="04A0" w:firstRow="1" w:lastRow="0" w:firstColumn="1" w:lastColumn="0" w:noHBand="0" w:noVBand="1"/>
      </w:tblPr>
      <w:tblGrid>
        <w:gridCol w:w="680"/>
        <w:gridCol w:w="1397"/>
        <w:gridCol w:w="582"/>
        <w:gridCol w:w="917"/>
        <w:gridCol w:w="950"/>
        <w:gridCol w:w="1126"/>
        <w:gridCol w:w="881"/>
        <w:gridCol w:w="846"/>
        <w:gridCol w:w="838"/>
      </w:tblGrid>
      <w:tr w:rsidR="002E0542" w:rsidRPr="001C1141" w14:paraId="3D80EBA8" w14:textId="103D573B" w:rsidTr="007B022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80" w:type="dxa"/>
            <w:gridSpan w:val="3"/>
            <w:vMerge w:val="restart"/>
          </w:tcPr>
          <w:p w14:paraId="4C82E0BF" w14:textId="77777777" w:rsidR="002E0542" w:rsidRPr="00740D1C" w:rsidRDefault="002E0542" w:rsidP="00740D1C">
            <w:pPr>
              <w:pStyle w:val="PwCNormal"/>
              <w:spacing w:before="40" w:after="40"/>
              <w:rPr>
                <w:rFonts w:ascii="Arial" w:hAnsi="Arial"/>
                <w:color w:val="FFFFFF" w:themeColor="background1"/>
                <w:sz w:val="18"/>
                <w:szCs w:val="18"/>
              </w:rPr>
            </w:pPr>
          </w:p>
          <w:p w14:paraId="3C5B0F98" w14:textId="77777777" w:rsidR="002E0542" w:rsidRPr="00740D1C" w:rsidRDefault="002E0542" w:rsidP="00740D1C">
            <w:pPr>
              <w:pStyle w:val="PwCNormal"/>
              <w:spacing w:before="40" w:after="40"/>
              <w:rPr>
                <w:rFonts w:ascii="Arial" w:hAnsi="Arial"/>
                <w:color w:val="FFFFFF" w:themeColor="background1"/>
                <w:sz w:val="18"/>
                <w:szCs w:val="18"/>
              </w:rPr>
            </w:pPr>
          </w:p>
          <w:p w14:paraId="401C1E2D" w14:textId="7145D34B" w:rsidR="002E0542" w:rsidRPr="00740D1C" w:rsidRDefault="002E0542" w:rsidP="00740D1C">
            <w:pPr>
              <w:pStyle w:val="PwCNormal"/>
              <w:spacing w:before="40" w:after="40"/>
              <w:jc w:val="center"/>
              <w:rPr>
                <w:rFonts w:ascii="Arial" w:hAnsi="Arial"/>
                <w:color w:val="FFFFFF" w:themeColor="background1"/>
                <w:sz w:val="18"/>
                <w:szCs w:val="18"/>
              </w:rPr>
            </w:pPr>
            <w:r w:rsidRPr="00740D1C">
              <w:rPr>
                <w:rFonts w:ascii="Arial" w:hAnsi="Arial"/>
                <w:color w:val="FFFFFF" w:themeColor="background1"/>
                <w:sz w:val="18"/>
                <w:szCs w:val="18"/>
              </w:rPr>
              <w:t xml:space="preserve">Sensitivity </w:t>
            </w:r>
            <w:r w:rsidR="00E43C0D" w:rsidRPr="00740D1C">
              <w:rPr>
                <w:rFonts w:ascii="Arial" w:hAnsi="Arial"/>
                <w:color w:val="FFFFFF" w:themeColor="background1"/>
                <w:sz w:val="18"/>
                <w:szCs w:val="18"/>
              </w:rPr>
              <w:t>T</w:t>
            </w:r>
            <w:r w:rsidRPr="00740D1C">
              <w:rPr>
                <w:rFonts w:ascii="Arial" w:hAnsi="Arial"/>
                <w:color w:val="FFFFFF" w:themeColor="background1"/>
                <w:sz w:val="18"/>
                <w:szCs w:val="18"/>
              </w:rPr>
              <w:t>est</w:t>
            </w:r>
          </w:p>
        </w:tc>
        <w:tc>
          <w:tcPr>
            <w:tcW w:w="3888" w:type="dxa"/>
            <w:gridSpan w:val="4"/>
          </w:tcPr>
          <w:p w14:paraId="7BF33D3B" w14:textId="4A3483C8" w:rsidR="002E0542" w:rsidRPr="00740D1C" w:rsidRDefault="002E0542" w:rsidP="00740D1C">
            <w:pPr>
              <w:pStyle w:val="PwCNormal"/>
              <w:numPr>
                <w:ilvl w:val="0"/>
                <w:numId w:val="0"/>
              </w:numPr>
              <w:spacing w:before="40" w:after="40"/>
              <w:jc w:val="center"/>
              <w:cnfStyle w:val="100000000000" w:firstRow="1" w:lastRow="0" w:firstColumn="0" w:lastColumn="0" w:oddVBand="0" w:evenVBand="0" w:oddHBand="0" w:evenHBand="0" w:firstRowFirstColumn="0" w:firstRowLastColumn="0" w:lastRowFirstColumn="0" w:lastRowLastColumn="0"/>
              <w:rPr>
                <w:rFonts w:ascii="Arial" w:hAnsi="Arial"/>
                <w:color w:val="FFFFFF" w:themeColor="background1"/>
                <w:sz w:val="18"/>
                <w:szCs w:val="18"/>
              </w:rPr>
            </w:pPr>
            <w:r w:rsidRPr="00740D1C">
              <w:rPr>
                <w:rFonts w:ascii="Arial" w:hAnsi="Arial"/>
                <w:color w:val="FFFFFF" w:themeColor="background1"/>
                <w:sz w:val="18"/>
                <w:szCs w:val="18"/>
              </w:rPr>
              <w:t xml:space="preserve">Change (%) in future </w:t>
            </w:r>
            <w:r w:rsidR="002A2F33" w:rsidRPr="00740D1C">
              <w:rPr>
                <w:rFonts w:ascii="Arial" w:hAnsi="Arial"/>
                <w:color w:val="FFFFFF" w:themeColor="background1"/>
                <w:sz w:val="18"/>
                <w:szCs w:val="18"/>
              </w:rPr>
              <w:t>Lifetime Cost</w:t>
            </w:r>
            <w:r w:rsidRPr="00740D1C">
              <w:rPr>
                <w:rFonts w:ascii="Arial" w:hAnsi="Arial"/>
                <w:color w:val="FFFFFF" w:themeColor="background1"/>
                <w:sz w:val="18"/>
                <w:szCs w:val="18"/>
              </w:rPr>
              <w:t xml:space="preserve"> in payment categories:</w:t>
            </w:r>
          </w:p>
        </w:tc>
        <w:tc>
          <w:tcPr>
            <w:tcW w:w="1649" w:type="dxa"/>
            <w:gridSpan w:val="2"/>
          </w:tcPr>
          <w:p w14:paraId="1C482773" w14:textId="1A2ADA8B" w:rsidR="002E0542" w:rsidRPr="00740D1C" w:rsidRDefault="002E0542" w:rsidP="00740D1C">
            <w:pPr>
              <w:pStyle w:val="PwCNormal"/>
              <w:numPr>
                <w:ilvl w:val="0"/>
                <w:numId w:val="0"/>
              </w:numPr>
              <w:spacing w:before="40" w:after="40"/>
              <w:jc w:val="center"/>
              <w:cnfStyle w:val="100000000000" w:firstRow="1" w:lastRow="0" w:firstColumn="0" w:lastColumn="0" w:oddVBand="0" w:evenVBand="0" w:oddHBand="0" w:evenHBand="0" w:firstRowFirstColumn="0" w:firstRowLastColumn="0" w:lastRowFirstColumn="0" w:lastRowLastColumn="0"/>
              <w:rPr>
                <w:rFonts w:ascii="Arial" w:hAnsi="Arial"/>
                <w:color w:val="FFFFFF" w:themeColor="background1"/>
                <w:sz w:val="18"/>
                <w:szCs w:val="18"/>
              </w:rPr>
            </w:pPr>
            <w:r w:rsidRPr="00740D1C">
              <w:rPr>
                <w:rFonts w:ascii="Arial" w:hAnsi="Arial"/>
                <w:color w:val="FFFFFF" w:themeColor="background1"/>
                <w:sz w:val="18"/>
                <w:szCs w:val="18"/>
              </w:rPr>
              <w:t xml:space="preserve">Total change in </w:t>
            </w:r>
            <w:r w:rsidR="002A2F33" w:rsidRPr="00740D1C">
              <w:rPr>
                <w:rFonts w:ascii="Arial" w:hAnsi="Arial"/>
                <w:color w:val="FFFFFF" w:themeColor="background1"/>
                <w:sz w:val="18"/>
                <w:szCs w:val="18"/>
              </w:rPr>
              <w:t>Lifetime Cost</w:t>
            </w:r>
          </w:p>
        </w:tc>
      </w:tr>
      <w:tr w:rsidR="002E0542" w:rsidRPr="001C1141" w14:paraId="57774437" w14:textId="171E1AAB" w:rsidTr="007B022E">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2680" w:type="dxa"/>
            <w:gridSpan w:val="3"/>
            <w:vMerge/>
          </w:tcPr>
          <w:p w14:paraId="2225E3F0" w14:textId="61248F75" w:rsidR="002E0542" w:rsidRPr="00740D1C" w:rsidRDefault="002E0542" w:rsidP="00740D1C">
            <w:pPr>
              <w:pStyle w:val="PwCNormal"/>
              <w:numPr>
                <w:ilvl w:val="0"/>
                <w:numId w:val="0"/>
              </w:numPr>
              <w:spacing w:before="40" w:after="40"/>
              <w:rPr>
                <w:rFonts w:ascii="Arial" w:hAnsi="Arial"/>
                <w:color w:val="FFFFFF" w:themeColor="background1"/>
                <w:sz w:val="18"/>
                <w:szCs w:val="18"/>
              </w:rPr>
            </w:pPr>
          </w:p>
        </w:tc>
        <w:tc>
          <w:tcPr>
            <w:tcW w:w="1851" w:type="dxa"/>
            <w:gridSpan w:val="2"/>
            <w:shd w:val="clear" w:color="auto" w:fill="74000E" w:themeFill="accent1"/>
          </w:tcPr>
          <w:p w14:paraId="534AA9C0" w14:textId="5442B3F6" w:rsidR="002E0542" w:rsidRPr="00740D1C" w:rsidRDefault="002E0542" w:rsidP="00740D1C">
            <w:pPr>
              <w:pStyle w:val="PwCNormal"/>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b/>
                <w:color w:val="FFFFFF" w:themeColor="background1"/>
                <w:sz w:val="18"/>
                <w:szCs w:val="18"/>
              </w:rPr>
            </w:pPr>
            <w:r w:rsidRPr="00740D1C">
              <w:rPr>
                <w:rFonts w:ascii="Arial" w:hAnsi="Arial"/>
                <w:b/>
                <w:color w:val="FFFFFF" w:themeColor="background1"/>
                <w:sz w:val="18"/>
                <w:szCs w:val="18"/>
              </w:rPr>
              <w:t>Income support</w:t>
            </w:r>
          </w:p>
        </w:tc>
        <w:tc>
          <w:tcPr>
            <w:tcW w:w="2037" w:type="dxa"/>
            <w:gridSpan w:val="2"/>
            <w:shd w:val="clear" w:color="auto" w:fill="74000E" w:themeFill="accent1"/>
          </w:tcPr>
          <w:p w14:paraId="43EC3342" w14:textId="7181217D" w:rsidR="002E0542" w:rsidRPr="00740D1C" w:rsidRDefault="00621A46" w:rsidP="00740D1C">
            <w:pPr>
              <w:pStyle w:val="PwCNormal"/>
              <w:spacing w:before="40" w:after="40"/>
              <w:cnfStyle w:val="000000100000" w:firstRow="0" w:lastRow="0" w:firstColumn="0" w:lastColumn="0" w:oddVBand="0" w:evenVBand="0" w:oddHBand="1" w:evenHBand="0" w:firstRowFirstColumn="0" w:firstRowLastColumn="0" w:lastRowFirstColumn="0" w:lastRowLastColumn="0"/>
              <w:rPr>
                <w:rFonts w:ascii="Arial" w:hAnsi="Arial"/>
                <w:b/>
                <w:color w:val="FFFFFF" w:themeColor="background1"/>
                <w:sz w:val="18"/>
                <w:szCs w:val="18"/>
              </w:rPr>
            </w:pPr>
            <w:r w:rsidRPr="00740D1C">
              <w:rPr>
                <w:rFonts w:ascii="Arial" w:hAnsi="Arial"/>
                <w:b/>
                <w:color w:val="FFFFFF" w:themeColor="background1"/>
                <w:sz w:val="18"/>
                <w:szCs w:val="18"/>
              </w:rPr>
              <w:t>Non-income</w:t>
            </w:r>
            <w:r w:rsidR="002E0542" w:rsidRPr="00740D1C">
              <w:rPr>
                <w:rFonts w:ascii="Arial" w:hAnsi="Arial"/>
                <w:b/>
                <w:color w:val="FFFFFF" w:themeColor="background1"/>
                <w:sz w:val="18"/>
                <w:szCs w:val="18"/>
              </w:rPr>
              <w:t xml:space="preserve"> support</w:t>
            </w:r>
          </w:p>
        </w:tc>
        <w:tc>
          <w:tcPr>
            <w:tcW w:w="798" w:type="dxa"/>
            <w:vMerge w:val="restart"/>
            <w:shd w:val="clear" w:color="auto" w:fill="74000E" w:themeFill="accent1"/>
          </w:tcPr>
          <w:p w14:paraId="3CE57CEF" w14:textId="1C81BF71" w:rsidR="002E0542" w:rsidRPr="00740D1C" w:rsidRDefault="002E0542" w:rsidP="00740D1C">
            <w:pPr>
              <w:pStyle w:val="PwCNormal"/>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b/>
                <w:color w:val="FFFFFF" w:themeColor="background1"/>
                <w:sz w:val="18"/>
                <w:szCs w:val="18"/>
              </w:rPr>
            </w:pPr>
            <w:r w:rsidRPr="00740D1C">
              <w:rPr>
                <w:rFonts w:ascii="Arial" w:hAnsi="Arial"/>
                <w:b/>
                <w:color w:val="FFFFFF" w:themeColor="background1"/>
                <w:sz w:val="18"/>
                <w:szCs w:val="18"/>
              </w:rPr>
              <w:t>$</w:t>
            </w:r>
            <w:r w:rsidR="00E5062E" w:rsidRPr="00740D1C">
              <w:rPr>
                <w:rFonts w:ascii="Arial" w:hAnsi="Arial"/>
                <w:b/>
                <w:color w:val="FFFFFF" w:themeColor="background1"/>
                <w:sz w:val="18"/>
                <w:szCs w:val="18"/>
              </w:rPr>
              <w:t>b</w:t>
            </w:r>
            <w:r w:rsidR="00704DCF" w:rsidRPr="00740D1C">
              <w:rPr>
                <w:rFonts w:ascii="Arial" w:hAnsi="Arial"/>
                <w:b/>
                <w:color w:val="FFFFFF" w:themeColor="background1"/>
                <w:sz w:val="18"/>
                <w:szCs w:val="18"/>
              </w:rPr>
              <w:t>illio</w:t>
            </w:r>
            <w:r w:rsidR="00E5062E" w:rsidRPr="00740D1C">
              <w:rPr>
                <w:rFonts w:ascii="Arial" w:hAnsi="Arial"/>
                <w:b/>
                <w:color w:val="FFFFFF" w:themeColor="background1"/>
                <w:sz w:val="18"/>
                <w:szCs w:val="18"/>
              </w:rPr>
              <w:t>n</w:t>
            </w:r>
          </w:p>
        </w:tc>
        <w:tc>
          <w:tcPr>
            <w:tcW w:w="851" w:type="dxa"/>
            <w:vMerge w:val="restart"/>
            <w:shd w:val="clear" w:color="auto" w:fill="74000E" w:themeFill="accent1"/>
          </w:tcPr>
          <w:p w14:paraId="78F1D092" w14:textId="497649BA" w:rsidR="002E0542" w:rsidRPr="00740D1C" w:rsidRDefault="002E0542" w:rsidP="00740D1C">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b/>
                <w:color w:val="FFFFFF" w:themeColor="background1"/>
                <w:sz w:val="18"/>
                <w:szCs w:val="18"/>
              </w:rPr>
            </w:pPr>
            <w:r w:rsidRPr="00740D1C">
              <w:rPr>
                <w:rFonts w:ascii="Arial" w:hAnsi="Arial"/>
                <w:b/>
                <w:color w:val="FFFFFF" w:themeColor="background1"/>
                <w:sz w:val="18"/>
                <w:szCs w:val="18"/>
              </w:rPr>
              <w:t>%</w:t>
            </w:r>
          </w:p>
        </w:tc>
      </w:tr>
      <w:tr w:rsidR="005D7769" w:rsidRPr="001C1141" w14:paraId="1458DA8D" w14:textId="77777777" w:rsidTr="007B022E">
        <w:trPr>
          <w:trHeight w:val="720"/>
        </w:trPr>
        <w:tc>
          <w:tcPr>
            <w:cnfStyle w:val="001000000000" w:firstRow="0" w:lastRow="0" w:firstColumn="1" w:lastColumn="0" w:oddVBand="0" w:evenVBand="0" w:oddHBand="0" w:evenHBand="0" w:firstRowFirstColumn="0" w:firstRowLastColumn="0" w:lastRowFirstColumn="0" w:lastRowLastColumn="0"/>
            <w:tcW w:w="2680" w:type="dxa"/>
            <w:gridSpan w:val="3"/>
            <w:vMerge/>
          </w:tcPr>
          <w:p w14:paraId="33D458EC" w14:textId="77777777" w:rsidR="002E0542" w:rsidRPr="001C1141" w:rsidRDefault="002E0542" w:rsidP="00740D1C">
            <w:pPr>
              <w:pStyle w:val="PwCNormal"/>
              <w:numPr>
                <w:ilvl w:val="0"/>
                <w:numId w:val="0"/>
              </w:numPr>
              <w:spacing w:before="40" w:after="40"/>
              <w:rPr>
                <w:rFonts w:ascii="Arial" w:hAnsi="Arial"/>
                <w:sz w:val="18"/>
                <w:szCs w:val="18"/>
              </w:rPr>
            </w:pPr>
          </w:p>
        </w:tc>
        <w:tc>
          <w:tcPr>
            <w:tcW w:w="870" w:type="dxa"/>
            <w:shd w:val="clear" w:color="auto" w:fill="74000E" w:themeFill="accent1"/>
          </w:tcPr>
          <w:p w14:paraId="74643677" w14:textId="3A09747A" w:rsidR="002E0542" w:rsidRPr="002C0D56" w:rsidRDefault="002E0542" w:rsidP="00740D1C">
            <w:pPr>
              <w:pStyle w:val="PwCNormal"/>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b/>
                <w:color w:val="FFFFFF" w:themeColor="background1"/>
                <w:sz w:val="18"/>
                <w:szCs w:val="18"/>
              </w:rPr>
            </w:pPr>
            <w:r w:rsidRPr="002C0D56">
              <w:rPr>
                <w:rFonts w:ascii="Arial" w:hAnsi="Arial"/>
                <w:b/>
                <w:color w:val="FFFFFF" w:themeColor="background1"/>
                <w:sz w:val="18"/>
                <w:szCs w:val="18"/>
              </w:rPr>
              <w:t xml:space="preserve">F: </w:t>
            </w:r>
            <w:r w:rsidR="001F0FCC" w:rsidRPr="002C0D56">
              <w:rPr>
                <w:rFonts w:ascii="Arial" w:hAnsi="Arial"/>
                <w:b/>
                <w:color w:val="FFFFFF" w:themeColor="background1"/>
                <w:sz w:val="18"/>
                <w:szCs w:val="18"/>
              </w:rPr>
              <w:t>Age Pension</w:t>
            </w:r>
          </w:p>
        </w:tc>
        <w:tc>
          <w:tcPr>
            <w:tcW w:w="981" w:type="dxa"/>
            <w:shd w:val="clear" w:color="auto" w:fill="74000E" w:themeFill="accent1"/>
          </w:tcPr>
          <w:p w14:paraId="438A602D" w14:textId="75216DBB" w:rsidR="002E0542" w:rsidRPr="002C0D56" w:rsidRDefault="002E0542" w:rsidP="00740D1C">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b/>
                <w:color w:val="FFFFFF" w:themeColor="background1"/>
                <w:sz w:val="18"/>
                <w:szCs w:val="18"/>
              </w:rPr>
            </w:pPr>
            <w:r w:rsidRPr="002C0D56">
              <w:rPr>
                <w:rFonts w:ascii="Arial" w:hAnsi="Arial"/>
                <w:b/>
                <w:color w:val="FFFFFF" w:themeColor="background1"/>
                <w:sz w:val="18"/>
                <w:szCs w:val="18"/>
              </w:rPr>
              <w:t xml:space="preserve">A-E,G: Other </w:t>
            </w:r>
          </w:p>
        </w:tc>
        <w:tc>
          <w:tcPr>
            <w:tcW w:w="1134" w:type="dxa"/>
            <w:shd w:val="clear" w:color="auto" w:fill="74000E" w:themeFill="accent1"/>
          </w:tcPr>
          <w:p w14:paraId="2E987C62" w14:textId="03101871" w:rsidR="002E0542" w:rsidRPr="002C0D56" w:rsidRDefault="002E0542" w:rsidP="00740D1C">
            <w:pPr>
              <w:pStyle w:val="PwCNormal"/>
              <w:numPr>
                <w:ilvl w:val="0"/>
                <w:numId w:val="0"/>
              </w:numPr>
              <w:spacing w:before="40" w:after="40"/>
              <w:cnfStyle w:val="000000000000" w:firstRow="0" w:lastRow="0" w:firstColumn="0" w:lastColumn="0" w:oddVBand="0" w:evenVBand="0" w:oddHBand="0" w:evenHBand="0" w:firstRowFirstColumn="0" w:firstRowLastColumn="0" w:lastRowFirstColumn="0" w:lastRowLastColumn="0"/>
              <w:rPr>
                <w:rFonts w:ascii="Arial" w:hAnsi="Arial"/>
                <w:b/>
                <w:color w:val="FFFFFF" w:themeColor="background1"/>
                <w:sz w:val="18"/>
                <w:szCs w:val="18"/>
              </w:rPr>
            </w:pPr>
            <w:r w:rsidRPr="002C0D56">
              <w:rPr>
                <w:rFonts w:ascii="Arial" w:hAnsi="Arial"/>
                <w:b/>
                <w:color w:val="FFFFFF" w:themeColor="background1"/>
                <w:sz w:val="18"/>
                <w:szCs w:val="18"/>
              </w:rPr>
              <w:t>H-J: Famil</w:t>
            </w:r>
            <w:r w:rsidR="00B70689" w:rsidRPr="002C0D56">
              <w:rPr>
                <w:rFonts w:ascii="Arial" w:hAnsi="Arial"/>
                <w:b/>
                <w:color w:val="FFFFFF" w:themeColor="background1"/>
                <w:sz w:val="18"/>
                <w:szCs w:val="18"/>
              </w:rPr>
              <w:t>ies</w:t>
            </w:r>
            <w:r w:rsidRPr="002C0D56">
              <w:rPr>
                <w:rFonts w:ascii="Arial" w:hAnsi="Arial"/>
                <w:b/>
                <w:color w:val="FFFFFF" w:themeColor="background1"/>
                <w:sz w:val="18"/>
                <w:szCs w:val="18"/>
              </w:rPr>
              <w:t xml:space="preserve"> payments </w:t>
            </w:r>
          </w:p>
        </w:tc>
        <w:tc>
          <w:tcPr>
            <w:tcW w:w="903" w:type="dxa"/>
            <w:shd w:val="clear" w:color="auto" w:fill="74000E" w:themeFill="accent1"/>
          </w:tcPr>
          <w:p w14:paraId="2AE893DE" w14:textId="354445BA" w:rsidR="002E0542" w:rsidRPr="002C0D56" w:rsidRDefault="00B61E6A" w:rsidP="00740D1C">
            <w:pPr>
              <w:pStyle w:val="PwCNormal"/>
              <w:spacing w:before="40" w:after="40"/>
              <w:cnfStyle w:val="000000000000" w:firstRow="0" w:lastRow="0" w:firstColumn="0" w:lastColumn="0" w:oddVBand="0" w:evenVBand="0" w:oddHBand="0" w:evenHBand="0" w:firstRowFirstColumn="0" w:firstRowLastColumn="0" w:lastRowFirstColumn="0" w:lastRowLastColumn="0"/>
              <w:rPr>
                <w:rFonts w:ascii="Arial" w:hAnsi="Arial"/>
                <w:b/>
                <w:color w:val="FFFFFF" w:themeColor="background1"/>
                <w:sz w:val="18"/>
                <w:szCs w:val="18"/>
              </w:rPr>
            </w:pPr>
            <w:r w:rsidRPr="002C0D56">
              <w:rPr>
                <w:rFonts w:ascii="Arial" w:hAnsi="Arial"/>
                <w:b/>
                <w:color w:val="FFFFFF" w:themeColor="background1"/>
                <w:sz w:val="18"/>
                <w:szCs w:val="18"/>
              </w:rPr>
              <w:t xml:space="preserve">L-R: </w:t>
            </w:r>
            <w:r w:rsidR="002E0542" w:rsidRPr="002C0D56">
              <w:rPr>
                <w:rFonts w:ascii="Arial" w:hAnsi="Arial"/>
                <w:b/>
                <w:color w:val="FFFFFF" w:themeColor="background1"/>
                <w:sz w:val="18"/>
                <w:szCs w:val="18"/>
              </w:rPr>
              <w:t>Other</w:t>
            </w:r>
          </w:p>
        </w:tc>
        <w:tc>
          <w:tcPr>
            <w:tcW w:w="798" w:type="dxa"/>
            <w:vMerge/>
            <w:shd w:val="clear" w:color="auto" w:fill="74000E" w:themeFill="accent1"/>
          </w:tcPr>
          <w:p w14:paraId="377D8470" w14:textId="77777777" w:rsidR="002E0542" w:rsidRPr="001C1141" w:rsidRDefault="002E0542" w:rsidP="00740D1C">
            <w:pPr>
              <w:pStyle w:val="PwCNormal"/>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851" w:type="dxa"/>
            <w:vMerge/>
            <w:shd w:val="clear" w:color="auto" w:fill="74000E" w:themeFill="accent1"/>
          </w:tcPr>
          <w:p w14:paraId="654E9FE4" w14:textId="77777777" w:rsidR="002E0542" w:rsidRPr="001C1141" w:rsidRDefault="002E0542" w:rsidP="00740D1C">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5D7769" w:rsidRPr="001C1141" w14:paraId="12F13EB7" w14:textId="6FDB6D4E" w:rsidTr="007B02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 w:type="dxa"/>
            <w:vMerge w:val="restart"/>
            <w:textDirection w:val="btLr"/>
          </w:tcPr>
          <w:p w14:paraId="0319E9B8" w14:textId="404872E9" w:rsidR="00095648" w:rsidRPr="001C1141" w:rsidRDefault="00095648" w:rsidP="00740D1C">
            <w:pPr>
              <w:pStyle w:val="PwCNormal"/>
              <w:numPr>
                <w:ilvl w:val="0"/>
                <w:numId w:val="0"/>
              </w:numPr>
              <w:spacing w:before="40" w:after="40"/>
              <w:ind w:left="113" w:right="113"/>
              <w:jc w:val="center"/>
              <w:rPr>
                <w:rFonts w:ascii="Arial" w:hAnsi="Arial"/>
                <w:sz w:val="18"/>
                <w:szCs w:val="18"/>
              </w:rPr>
            </w:pPr>
            <w:r w:rsidRPr="001C1141">
              <w:rPr>
                <w:rFonts w:ascii="Arial" w:hAnsi="Arial"/>
                <w:sz w:val="18"/>
                <w:szCs w:val="18"/>
              </w:rPr>
              <w:t>Mortality</w:t>
            </w:r>
          </w:p>
        </w:tc>
        <w:tc>
          <w:tcPr>
            <w:tcW w:w="1979" w:type="dxa"/>
            <w:gridSpan w:val="2"/>
          </w:tcPr>
          <w:p w14:paraId="71378C63" w14:textId="44EA8DAC" w:rsidR="00095648" w:rsidRPr="001C1141" w:rsidRDefault="00095648" w:rsidP="00740D1C">
            <w:pPr>
              <w:pStyle w:val="PwCNormal"/>
              <w:numPr>
                <w:ilvl w:val="0"/>
                <w:numId w:val="0"/>
              </w:numPr>
              <w:spacing w:before="40" w:after="40"/>
              <w:cnfStyle w:val="000000100000" w:firstRow="0" w:lastRow="0" w:firstColumn="0" w:lastColumn="0" w:oddVBand="0" w:evenVBand="0" w:oddHBand="1" w:evenHBand="0" w:firstRowFirstColumn="0" w:firstRowLastColumn="0" w:lastRowFirstColumn="0" w:lastRowLastColumn="0"/>
              <w:rPr>
                <w:rFonts w:ascii="Arial" w:hAnsi="Arial"/>
                <w:sz w:val="18"/>
                <w:szCs w:val="18"/>
              </w:rPr>
            </w:pPr>
            <w:r w:rsidRPr="001C1141">
              <w:rPr>
                <w:rFonts w:ascii="Arial" w:hAnsi="Arial"/>
                <w:sz w:val="18"/>
                <w:szCs w:val="18"/>
              </w:rPr>
              <w:t>Future improvements: +10%</w:t>
            </w:r>
          </w:p>
        </w:tc>
        <w:tc>
          <w:tcPr>
            <w:tcW w:w="870" w:type="dxa"/>
          </w:tcPr>
          <w:p w14:paraId="1427F07E" w14:textId="6E9CB6D5" w:rsidR="00095648" w:rsidRPr="001C1141" w:rsidRDefault="00095648" w:rsidP="00740D1C">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sz w:val="18"/>
                <w:szCs w:val="18"/>
              </w:rPr>
            </w:pPr>
            <w:r w:rsidRPr="001C1141">
              <w:rPr>
                <w:rFonts w:ascii="Arial" w:hAnsi="Arial"/>
                <w:color w:val="000000"/>
                <w:sz w:val="18"/>
                <w:szCs w:val="18"/>
              </w:rPr>
              <w:t>0.9%</w:t>
            </w:r>
          </w:p>
        </w:tc>
        <w:tc>
          <w:tcPr>
            <w:tcW w:w="981" w:type="dxa"/>
          </w:tcPr>
          <w:p w14:paraId="5B41D18A" w14:textId="0D1EFF52" w:rsidR="00095648" w:rsidRPr="001C1141" w:rsidRDefault="00095648" w:rsidP="00740D1C">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sz w:val="18"/>
                <w:szCs w:val="18"/>
              </w:rPr>
            </w:pPr>
            <w:r w:rsidRPr="001C1141">
              <w:rPr>
                <w:rFonts w:ascii="Arial" w:hAnsi="Arial"/>
                <w:color w:val="000000"/>
                <w:sz w:val="18"/>
                <w:szCs w:val="18"/>
              </w:rPr>
              <w:t>0.3%</w:t>
            </w:r>
          </w:p>
        </w:tc>
        <w:tc>
          <w:tcPr>
            <w:tcW w:w="1134" w:type="dxa"/>
          </w:tcPr>
          <w:p w14:paraId="07107BB8" w14:textId="79359CAA" w:rsidR="00095648" w:rsidRPr="001C1141" w:rsidRDefault="00095648" w:rsidP="00740D1C">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sz w:val="18"/>
                <w:szCs w:val="18"/>
              </w:rPr>
            </w:pPr>
            <w:r w:rsidRPr="001C1141">
              <w:rPr>
                <w:rFonts w:ascii="Arial" w:hAnsi="Arial"/>
                <w:color w:val="000000"/>
                <w:sz w:val="18"/>
                <w:szCs w:val="18"/>
              </w:rPr>
              <w:t>0.0%</w:t>
            </w:r>
          </w:p>
        </w:tc>
        <w:tc>
          <w:tcPr>
            <w:tcW w:w="903" w:type="dxa"/>
          </w:tcPr>
          <w:p w14:paraId="1E66FA7E" w14:textId="18C82896" w:rsidR="00095648" w:rsidRPr="001C1141" w:rsidRDefault="00095648" w:rsidP="00740D1C">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sz w:val="18"/>
                <w:szCs w:val="18"/>
              </w:rPr>
            </w:pPr>
            <w:r w:rsidRPr="001C1141">
              <w:rPr>
                <w:rFonts w:ascii="Arial" w:hAnsi="Arial"/>
                <w:color w:val="000000"/>
                <w:sz w:val="18"/>
                <w:szCs w:val="18"/>
              </w:rPr>
              <w:t>0.1%</w:t>
            </w:r>
          </w:p>
        </w:tc>
        <w:tc>
          <w:tcPr>
            <w:tcW w:w="798" w:type="dxa"/>
          </w:tcPr>
          <w:p w14:paraId="6FA47389" w14:textId="6ADD9B26" w:rsidR="00095648" w:rsidRPr="001C1141" w:rsidRDefault="00095648" w:rsidP="00740D1C">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sz w:val="18"/>
                <w:szCs w:val="18"/>
              </w:rPr>
            </w:pPr>
            <w:r w:rsidRPr="001C1141">
              <w:rPr>
                <w:rFonts w:ascii="Arial" w:hAnsi="Arial"/>
                <w:color w:val="000000"/>
                <w:sz w:val="18"/>
                <w:szCs w:val="18"/>
              </w:rPr>
              <w:t>7</w:t>
            </w:r>
            <w:r w:rsidR="00182A21" w:rsidRPr="001C1141">
              <w:rPr>
                <w:rFonts w:ascii="Arial" w:hAnsi="Arial"/>
                <w:color w:val="000000"/>
                <w:sz w:val="18"/>
                <w:szCs w:val="18"/>
              </w:rPr>
              <w:t>4</w:t>
            </w:r>
          </w:p>
        </w:tc>
        <w:tc>
          <w:tcPr>
            <w:tcW w:w="851" w:type="dxa"/>
          </w:tcPr>
          <w:p w14:paraId="4FFD4019" w14:textId="433132F0" w:rsidR="00095648" w:rsidRPr="001C1141" w:rsidRDefault="00095648" w:rsidP="00740D1C">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sz w:val="18"/>
                <w:szCs w:val="18"/>
              </w:rPr>
            </w:pPr>
            <w:r w:rsidRPr="001C1141">
              <w:rPr>
                <w:rFonts w:ascii="Arial" w:hAnsi="Arial"/>
                <w:color w:val="000000"/>
                <w:sz w:val="18"/>
                <w:szCs w:val="18"/>
              </w:rPr>
              <w:t>1.3%</w:t>
            </w:r>
          </w:p>
        </w:tc>
      </w:tr>
      <w:tr w:rsidR="005D7769" w:rsidRPr="001C1141" w14:paraId="0D1054D0" w14:textId="4190D52D" w:rsidTr="007B022E">
        <w:trPr>
          <w:trHeight w:val="538"/>
        </w:trPr>
        <w:tc>
          <w:tcPr>
            <w:cnfStyle w:val="001000000000" w:firstRow="0" w:lastRow="0" w:firstColumn="1" w:lastColumn="0" w:oddVBand="0" w:evenVBand="0" w:oddHBand="0" w:evenHBand="0" w:firstRowFirstColumn="0" w:firstRowLastColumn="0" w:lastRowFirstColumn="0" w:lastRowLastColumn="0"/>
            <w:tcW w:w="701" w:type="dxa"/>
            <w:vMerge/>
          </w:tcPr>
          <w:p w14:paraId="17533B12" w14:textId="77777777" w:rsidR="00095648" w:rsidRPr="001C1141" w:rsidRDefault="00095648" w:rsidP="00740D1C">
            <w:pPr>
              <w:pStyle w:val="PwCNormal"/>
              <w:numPr>
                <w:ilvl w:val="0"/>
                <w:numId w:val="0"/>
              </w:numPr>
              <w:spacing w:before="40" w:after="40"/>
              <w:jc w:val="center"/>
              <w:rPr>
                <w:rFonts w:ascii="Arial" w:hAnsi="Arial"/>
                <w:sz w:val="18"/>
                <w:szCs w:val="18"/>
              </w:rPr>
            </w:pPr>
          </w:p>
        </w:tc>
        <w:tc>
          <w:tcPr>
            <w:tcW w:w="1979" w:type="dxa"/>
            <w:gridSpan w:val="2"/>
          </w:tcPr>
          <w:p w14:paraId="531124FC" w14:textId="58D27BAE" w:rsidR="00095648" w:rsidRPr="001C1141" w:rsidRDefault="00095648" w:rsidP="00740D1C">
            <w:pPr>
              <w:pStyle w:val="PwCNormal"/>
              <w:numPr>
                <w:ilvl w:val="0"/>
                <w:numId w:val="0"/>
              </w:numPr>
              <w:spacing w:before="40" w:after="40"/>
              <w:cnfStyle w:val="000000000000" w:firstRow="0" w:lastRow="0" w:firstColumn="0" w:lastColumn="0" w:oddVBand="0" w:evenVBand="0" w:oddHBand="0" w:evenHBand="0" w:firstRowFirstColumn="0" w:firstRowLastColumn="0" w:lastRowFirstColumn="0" w:lastRowLastColumn="0"/>
              <w:rPr>
                <w:rFonts w:ascii="Arial" w:hAnsi="Arial"/>
                <w:sz w:val="18"/>
                <w:szCs w:val="18"/>
              </w:rPr>
            </w:pPr>
            <w:r w:rsidRPr="001C1141">
              <w:rPr>
                <w:rFonts w:ascii="Arial" w:hAnsi="Arial"/>
                <w:sz w:val="18"/>
                <w:szCs w:val="18"/>
              </w:rPr>
              <w:t>Future improvements: -10%</w:t>
            </w:r>
          </w:p>
        </w:tc>
        <w:tc>
          <w:tcPr>
            <w:tcW w:w="870" w:type="dxa"/>
          </w:tcPr>
          <w:p w14:paraId="6F0DE9EB" w14:textId="6385A90C" w:rsidR="00095648" w:rsidRPr="001C1141" w:rsidRDefault="00095648" w:rsidP="00740D1C">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sz w:val="18"/>
                <w:szCs w:val="18"/>
              </w:rPr>
            </w:pPr>
            <w:r w:rsidRPr="001C1141">
              <w:rPr>
                <w:rFonts w:ascii="Arial" w:hAnsi="Arial"/>
                <w:sz w:val="18"/>
                <w:szCs w:val="18"/>
              </w:rPr>
              <w:t>-0.7%</w:t>
            </w:r>
          </w:p>
        </w:tc>
        <w:tc>
          <w:tcPr>
            <w:tcW w:w="981" w:type="dxa"/>
          </w:tcPr>
          <w:p w14:paraId="03D3C80C" w14:textId="19B3123F" w:rsidR="00095648" w:rsidRPr="001C1141" w:rsidRDefault="00095648" w:rsidP="00740D1C">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sz w:val="18"/>
                <w:szCs w:val="18"/>
              </w:rPr>
            </w:pPr>
            <w:r w:rsidRPr="001C1141">
              <w:rPr>
                <w:rFonts w:ascii="Arial" w:hAnsi="Arial"/>
                <w:sz w:val="18"/>
                <w:szCs w:val="18"/>
              </w:rPr>
              <w:t>0.0%</w:t>
            </w:r>
          </w:p>
        </w:tc>
        <w:tc>
          <w:tcPr>
            <w:tcW w:w="1134" w:type="dxa"/>
          </w:tcPr>
          <w:p w14:paraId="6EAE2895" w14:textId="05CFA90C" w:rsidR="00095648" w:rsidRPr="001C1141" w:rsidRDefault="00095648" w:rsidP="00740D1C">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sz w:val="18"/>
                <w:szCs w:val="18"/>
              </w:rPr>
            </w:pPr>
            <w:r w:rsidRPr="001C1141">
              <w:rPr>
                <w:rFonts w:ascii="Arial" w:hAnsi="Arial"/>
                <w:sz w:val="18"/>
                <w:szCs w:val="18"/>
              </w:rPr>
              <w:t>0.0%</w:t>
            </w:r>
          </w:p>
        </w:tc>
        <w:tc>
          <w:tcPr>
            <w:tcW w:w="903" w:type="dxa"/>
          </w:tcPr>
          <w:p w14:paraId="2A57CD1F" w14:textId="0A94E0A5" w:rsidR="00095648" w:rsidRPr="001C1141" w:rsidRDefault="00095648" w:rsidP="00740D1C">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sz w:val="18"/>
                <w:szCs w:val="18"/>
              </w:rPr>
            </w:pPr>
            <w:r w:rsidRPr="001C1141">
              <w:rPr>
                <w:rFonts w:ascii="Arial" w:hAnsi="Arial"/>
                <w:sz w:val="18"/>
                <w:szCs w:val="18"/>
              </w:rPr>
              <w:t>0.0%</w:t>
            </w:r>
          </w:p>
        </w:tc>
        <w:tc>
          <w:tcPr>
            <w:tcW w:w="798" w:type="dxa"/>
          </w:tcPr>
          <w:p w14:paraId="0564F4CF" w14:textId="5295FEC2" w:rsidR="00095648" w:rsidRPr="001C1141" w:rsidRDefault="00095648" w:rsidP="00740D1C">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sz w:val="18"/>
                <w:szCs w:val="18"/>
              </w:rPr>
            </w:pPr>
            <w:r w:rsidRPr="001C1141">
              <w:rPr>
                <w:rFonts w:ascii="Arial" w:hAnsi="Arial"/>
                <w:sz w:val="18"/>
                <w:szCs w:val="18"/>
              </w:rPr>
              <w:t>-3</w:t>
            </w:r>
            <w:r w:rsidR="00182A21" w:rsidRPr="001C1141">
              <w:rPr>
                <w:rFonts w:ascii="Arial" w:hAnsi="Arial"/>
                <w:sz w:val="18"/>
                <w:szCs w:val="18"/>
              </w:rPr>
              <w:t>5</w:t>
            </w:r>
          </w:p>
        </w:tc>
        <w:tc>
          <w:tcPr>
            <w:tcW w:w="851" w:type="dxa"/>
          </w:tcPr>
          <w:p w14:paraId="6C4EEDDF" w14:textId="5BF10D05" w:rsidR="00095648" w:rsidRPr="001C1141" w:rsidRDefault="00095648" w:rsidP="00740D1C">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sz w:val="18"/>
                <w:szCs w:val="18"/>
              </w:rPr>
            </w:pPr>
            <w:r w:rsidRPr="001C1141">
              <w:rPr>
                <w:rFonts w:ascii="Arial" w:hAnsi="Arial"/>
                <w:sz w:val="18"/>
                <w:szCs w:val="18"/>
              </w:rPr>
              <w:t>-0.6%</w:t>
            </w:r>
          </w:p>
        </w:tc>
      </w:tr>
      <w:tr w:rsidR="005D7769" w:rsidRPr="001C1141" w14:paraId="322A555B" w14:textId="77777777" w:rsidTr="007B02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 w:type="dxa"/>
            <w:vMerge w:val="restart"/>
            <w:textDirection w:val="btLr"/>
          </w:tcPr>
          <w:p w14:paraId="1E431BB9" w14:textId="16C69523" w:rsidR="005D7769" w:rsidRPr="001C1141" w:rsidRDefault="005D7769" w:rsidP="00740D1C">
            <w:pPr>
              <w:pStyle w:val="PwCNormal"/>
              <w:numPr>
                <w:ilvl w:val="0"/>
                <w:numId w:val="0"/>
              </w:numPr>
              <w:spacing w:before="40" w:after="40"/>
              <w:ind w:left="113" w:right="113"/>
              <w:jc w:val="center"/>
              <w:rPr>
                <w:rFonts w:ascii="Arial" w:hAnsi="Arial"/>
                <w:sz w:val="18"/>
                <w:szCs w:val="18"/>
              </w:rPr>
            </w:pPr>
            <w:r w:rsidRPr="001C1141">
              <w:rPr>
                <w:rFonts w:ascii="Arial" w:hAnsi="Arial"/>
                <w:sz w:val="18"/>
                <w:szCs w:val="18"/>
              </w:rPr>
              <w:t>Economic</w:t>
            </w:r>
          </w:p>
        </w:tc>
        <w:tc>
          <w:tcPr>
            <w:tcW w:w="1397" w:type="dxa"/>
            <w:vMerge w:val="restart"/>
          </w:tcPr>
          <w:p w14:paraId="0F8B5191" w14:textId="5B46F553" w:rsidR="005D7769" w:rsidRPr="001C1141" w:rsidRDefault="005D7769" w:rsidP="00740D1C">
            <w:pPr>
              <w:pStyle w:val="PwCNormal"/>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sz w:val="18"/>
                <w:szCs w:val="18"/>
              </w:rPr>
            </w:pPr>
            <w:r w:rsidRPr="001C1141">
              <w:rPr>
                <w:rFonts w:ascii="Arial" w:hAnsi="Arial"/>
                <w:sz w:val="18"/>
                <w:szCs w:val="18"/>
              </w:rPr>
              <w:t>Discount rate</w:t>
            </w:r>
          </w:p>
        </w:tc>
        <w:tc>
          <w:tcPr>
            <w:tcW w:w="582" w:type="dxa"/>
          </w:tcPr>
          <w:p w14:paraId="6EC4D47B" w14:textId="503DC798" w:rsidR="005D7769" w:rsidRPr="001C1141" w:rsidRDefault="005D7769" w:rsidP="00740D1C">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sz w:val="18"/>
                <w:szCs w:val="18"/>
              </w:rPr>
            </w:pPr>
            <w:r w:rsidRPr="001C1141">
              <w:rPr>
                <w:rFonts w:ascii="Arial" w:hAnsi="Arial"/>
                <w:sz w:val="18"/>
                <w:szCs w:val="18"/>
              </w:rPr>
              <w:t>+1%</w:t>
            </w:r>
          </w:p>
        </w:tc>
        <w:tc>
          <w:tcPr>
            <w:tcW w:w="870" w:type="dxa"/>
          </w:tcPr>
          <w:p w14:paraId="1018645A" w14:textId="46C3AF04" w:rsidR="005D7769" w:rsidRPr="001C1141" w:rsidRDefault="005D7769" w:rsidP="00740D1C">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olor w:val="000000"/>
                <w:sz w:val="18"/>
                <w:szCs w:val="18"/>
              </w:rPr>
            </w:pPr>
            <w:r w:rsidRPr="001C1141">
              <w:rPr>
                <w:rFonts w:ascii="Arial" w:hAnsi="Arial"/>
                <w:color w:val="000000"/>
                <w:sz w:val="18"/>
                <w:szCs w:val="18"/>
              </w:rPr>
              <w:t>-17.1%</w:t>
            </w:r>
          </w:p>
        </w:tc>
        <w:tc>
          <w:tcPr>
            <w:tcW w:w="981" w:type="dxa"/>
          </w:tcPr>
          <w:p w14:paraId="12CE994E" w14:textId="5C1E01B8" w:rsidR="005D7769" w:rsidRPr="001C1141" w:rsidRDefault="005D7769" w:rsidP="00740D1C">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olor w:val="000000"/>
                <w:sz w:val="18"/>
                <w:szCs w:val="18"/>
              </w:rPr>
            </w:pPr>
            <w:r w:rsidRPr="001C1141">
              <w:rPr>
                <w:rFonts w:ascii="Arial" w:hAnsi="Arial"/>
                <w:color w:val="000000"/>
                <w:sz w:val="18"/>
                <w:szCs w:val="18"/>
              </w:rPr>
              <w:t>-4.5%</w:t>
            </w:r>
          </w:p>
        </w:tc>
        <w:tc>
          <w:tcPr>
            <w:tcW w:w="1134" w:type="dxa"/>
          </w:tcPr>
          <w:p w14:paraId="1ADBF930" w14:textId="0634E4D0" w:rsidR="005D7769" w:rsidRPr="001C1141" w:rsidRDefault="005D7769" w:rsidP="00740D1C">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olor w:val="000000"/>
                <w:sz w:val="18"/>
                <w:szCs w:val="18"/>
              </w:rPr>
            </w:pPr>
            <w:r w:rsidRPr="001C1141">
              <w:rPr>
                <w:rFonts w:ascii="Arial" w:hAnsi="Arial"/>
                <w:color w:val="000000"/>
                <w:sz w:val="18"/>
                <w:szCs w:val="18"/>
              </w:rPr>
              <w:t>-1.4%</w:t>
            </w:r>
          </w:p>
        </w:tc>
        <w:tc>
          <w:tcPr>
            <w:tcW w:w="903" w:type="dxa"/>
          </w:tcPr>
          <w:p w14:paraId="03F37497" w14:textId="363AA16E" w:rsidR="005D7769" w:rsidRPr="001C1141" w:rsidRDefault="005D7769" w:rsidP="00740D1C">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olor w:val="000000"/>
                <w:sz w:val="18"/>
                <w:szCs w:val="18"/>
              </w:rPr>
            </w:pPr>
            <w:r w:rsidRPr="001C1141">
              <w:rPr>
                <w:rFonts w:ascii="Arial" w:hAnsi="Arial"/>
                <w:color w:val="000000"/>
                <w:sz w:val="18"/>
                <w:szCs w:val="18"/>
              </w:rPr>
              <w:t>-1.7%</w:t>
            </w:r>
          </w:p>
        </w:tc>
        <w:tc>
          <w:tcPr>
            <w:tcW w:w="798" w:type="dxa"/>
          </w:tcPr>
          <w:p w14:paraId="2DCC89A4" w14:textId="024FD6B3" w:rsidR="005D7769" w:rsidRPr="001C1141" w:rsidRDefault="005D7769" w:rsidP="00740D1C">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olor w:val="000000"/>
                <w:sz w:val="18"/>
                <w:szCs w:val="18"/>
              </w:rPr>
            </w:pPr>
            <w:r w:rsidRPr="001C1141">
              <w:rPr>
                <w:rFonts w:ascii="Arial" w:hAnsi="Arial"/>
                <w:color w:val="000000"/>
                <w:sz w:val="18"/>
                <w:szCs w:val="18"/>
              </w:rPr>
              <w:t xml:space="preserve">-1,353 </w:t>
            </w:r>
          </w:p>
        </w:tc>
        <w:tc>
          <w:tcPr>
            <w:tcW w:w="851" w:type="dxa"/>
          </w:tcPr>
          <w:p w14:paraId="1AC928AE" w14:textId="7A8D38BD" w:rsidR="005D7769" w:rsidRPr="001C1141" w:rsidRDefault="005D7769" w:rsidP="00740D1C">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olor w:val="000000"/>
                <w:sz w:val="18"/>
                <w:szCs w:val="18"/>
              </w:rPr>
            </w:pPr>
            <w:r w:rsidRPr="001C1141">
              <w:rPr>
                <w:rFonts w:ascii="Arial" w:hAnsi="Arial"/>
                <w:color w:val="000000"/>
                <w:sz w:val="18"/>
                <w:szCs w:val="18"/>
              </w:rPr>
              <w:t>-24.7%</w:t>
            </w:r>
          </w:p>
        </w:tc>
      </w:tr>
      <w:tr w:rsidR="005D7769" w:rsidRPr="001C1141" w14:paraId="35544624" w14:textId="77777777" w:rsidTr="007B022E">
        <w:tc>
          <w:tcPr>
            <w:cnfStyle w:val="001000000000" w:firstRow="0" w:lastRow="0" w:firstColumn="1" w:lastColumn="0" w:oddVBand="0" w:evenVBand="0" w:oddHBand="0" w:evenHBand="0" w:firstRowFirstColumn="0" w:firstRowLastColumn="0" w:lastRowFirstColumn="0" w:lastRowLastColumn="0"/>
            <w:tcW w:w="701" w:type="dxa"/>
            <w:vMerge/>
            <w:textDirection w:val="btLr"/>
          </w:tcPr>
          <w:p w14:paraId="0FF940C7" w14:textId="05066E76" w:rsidR="005D7769" w:rsidRPr="001C1141" w:rsidRDefault="005D7769" w:rsidP="00740D1C">
            <w:pPr>
              <w:pStyle w:val="PwCNormal"/>
              <w:spacing w:before="40" w:after="40"/>
              <w:ind w:left="113" w:right="113"/>
              <w:jc w:val="center"/>
              <w:rPr>
                <w:rFonts w:ascii="Arial" w:hAnsi="Arial"/>
                <w:sz w:val="18"/>
                <w:szCs w:val="18"/>
              </w:rPr>
            </w:pPr>
          </w:p>
        </w:tc>
        <w:tc>
          <w:tcPr>
            <w:tcW w:w="1397" w:type="dxa"/>
            <w:vMerge/>
          </w:tcPr>
          <w:p w14:paraId="6836BDAD" w14:textId="52F63FC9" w:rsidR="005D7769" w:rsidRPr="001C1141" w:rsidRDefault="005D7769" w:rsidP="00740D1C">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82" w:type="dxa"/>
          </w:tcPr>
          <w:p w14:paraId="17177635" w14:textId="2927E51C" w:rsidR="005D7769" w:rsidRPr="001C1141" w:rsidRDefault="005D7769" w:rsidP="00740D1C">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sz w:val="18"/>
                <w:szCs w:val="18"/>
              </w:rPr>
            </w:pPr>
            <w:r w:rsidRPr="001C1141">
              <w:rPr>
                <w:rFonts w:ascii="Arial" w:hAnsi="Arial"/>
                <w:sz w:val="18"/>
                <w:szCs w:val="18"/>
              </w:rPr>
              <w:t>-1%</w:t>
            </w:r>
          </w:p>
        </w:tc>
        <w:tc>
          <w:tcPr>
            <w:tcW w:w="870" w:type="dxa"/>
          </w:tcPr>
          <w:p w14:paraId="7A1E995B" w14:textId="44E3E327" w:rsidR="005D7769" w:rsidRPr="001C1141" w:rsidRDefault="005D7769" w:rsidP="00740D1C">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rPr>
            </w:pPr>
            <w:r w:rsidRPr="001C1141">
              <w:rPr>
                <w:rFonts w:ascii="Arial" w:hAnsi="Arial"/>
                <w:color w:val="000000"/>
                <w:sz w:val="18"/>
                <w:szCs w:val="18"/>
              </w:rPr>
              <w:t>29.2%</w:t>
            </w:r>
          </w:p>
        </w:tc>
        <w:tc>
          <w:tcPr>
            <w:tcW w:w="981" w:type="dxa"/>
          </w:tcPr>
          <w:p w14:paraId="02EE2A8E" w14:textId="758E1A8B" w:rsidR="005D7769" w:rsidRPr="001C1141" w:rsidRDefault="005D7769" w:rsidP="00740D1C">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rPr>
            </w:pPr>
            <w:r w:rsidRPr="001C1141">
              <w:rPr>
                <w:rFonts w:ascii="Arial" w:hAnsi="Arial"/>
                <w:color w:val="000000"/>
                <w:sz w:val="18"/>
                <w:szCs w:val="18"/>
              </w:rPr>
              <w:t>6.8%</w:t>
            </w:r>
          </w:p>
        </w:tc>
        <w:tc>
          <w:tcPr>
            <w:tcW w:w="1134" w:type="dxa"/>
          </w:tcPr>
          <w:p w14:paraId="05E32BAF" w14:textId="679D3C5B" w:rsidR="005D7769" w:rsidRPr="001C1141" w:rsidRDefault="005D7769" w:rsidP="00740D1C">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rPr>
            </w:pPr>
            <w:r w:rsidRPr="001C1141">
              <w:rPr>
                <w:rFonts w:ascii="Arial" w:hAnsi="Arial"/>
                <w:color w:val="000000"/>
                <w:sz w:val="18"/>
                <w:szCs w:val="18"/>
              </w:rPr>
              <w:t>1.7%</w:t>
            </w:r>
          </w:p>
        </w:tc>
        <w:tc>
          <w:tcPr>
            <w:tcW w:w="903" w:type="dxa"/>
          </w:tcPr>
          <w:p w14:paraId="770F7E7D" w14:textId="162164A0" w:rsidR="005D7769" w:rsidRPr="001C1141" w:rsidRDefault="005D7769" w:rsidP="00740D1C">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rPr>
            </w:pPr>
            <w:r w:rsidRPr="001C1141">
              <w:rPr>
                <w:rFonts w:ascii="Arial" w:hAnsi="Arial"/>
                <w:color w:val="000000"/>
                <w:sz w:val="18"/>
                <w:szCs w:val="18"/>
              </w:rPr>
              <w:t>2.6%</w:t>
            </w:r>
          </w:p>
        </w:tc>
        <w:tc>
          <w:tcPr>
            <w:tcW w:w="798" w:type="dxa"/>
          </w:tcPr>
          <w:p w14:paraId="28746ECC" w14:textId="1A1E0161" w:rsidR="005D7769" w:rsidRPr="001C1141" w:rsidRDefault="005D7769" w:rsidP="00740D1C">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rPr>
            </w:pPr>
            <w:r w:rsidRPr="001C1141">
              <w:rPr>
                <w:rFonts w:ascii="Arial" w:hAnsi="Arial"/>
                <w:color w:val="000000"/>
                <w:sz w:val="18"/>
                <w:szCs w:val="18"/>
              </w:rPr>
              <w:t xml:space="preserve"> 2,209 </w:t>
            </w:r>
          </w:p>
        </w:tc>
        <w:tc>
          <w:tcPr>
            <w:tcW w:w="851" w:type="dxa"/>
          </w:tcPr>
          <w:p w14:paraId="15CB5A4F" w14:textId="43C64A94" w:rsidR="005D7769" w:rsidRPr="001C1141" w:rsidRDefault="005D7769" w:rsidP="00740D1C">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rPr>
            </w:pPr>
            <w:r w:rsidRPr="001C1141">
              <w:rPr>
                <w:rFonts w:ascii="Arial" w:hAnsi="Arial"/>
                <w:color w:val="000000"/>
                <w:sz w:val="18"/>
                <w:szCs w:val="18"/>
              </w:rPr>
              <w:t>40.3%</w:t>
            </w:r>
          </w:p>
        </w:tc>
      </w:tr>
      <w:tr w:rsidR="005D7769" w:rsidRPr="001C1141" w14:paraId="54D2D8AE" w14:textId="2B086BA4" w:rsidTr="007B02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 w:type="dxa"/>
            <w:vMerge/>
            <w:textDirection w:val="btLr"/>
          </w:tcPr>
          <w:p w14:paraId="2F2D5918" w14:textId="11564864" w:rsidR="006D748D" w:rsidRPr="001C1141" w:rsidRDefault="006D748D" w:rsidP="00740D1C">
            <w:pPr>
              <w:pStyle w:val="PwCNormal"/>
              <w:numPr>
                <w:ilvl w:val="0"/>
                <w:numId w:val="0"/>
              </w:numPr>
              <w:spacing w:before="40" w:after="40"/>
              <w:ind w:left="113" w:right="113"/>
              <w:jc w:val="center"/>
              <w:rPr>
                <w:rFonts w:ascii="Arial" w:hAnsi="Arial"/>
                <w:sz w:val="18"/>
                <w:szCs w:val="18"/>
              </w:rPr>
            </w:pPr>
          </w:p>
        </w:tc>
        <w:tc>
          <w:tcPr>
            <w:tcW w:w="1397" w:type="dxa"/>
            <w:vMerge w:val="restart"/>
          </w:tcPr>
          <w:p w14:paraId="17FA22B1" w14:textId="530B4ED3" w:rsidR="006D748D" w:rsidRPr="001C1141" w:rsidRDefault="006D748D" w:rsidP="00740D1C">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sz w:val="18"/>
                <w:szCs w:val="18"/>
              </w:rPr>
            </w:pPr>
            <w:r w:rsidRPr="001C1141">
              <w:rPr>
                <w:rFonts w:ascii="Arial" w:hAnsi="Arial"/>
                <w:sz w:val="18"/>
                <w:szCs w:val="18"/>
              </w:rPr>
              <w:t>CPI</w:t>
            </w:r>
          </w:p>
        </w:tc>
        <w:tc>
          <w:tcPr>
            <w:tcW w:w="582" w:type="dxa"/>
          </w:tcPr>
          <w:p w14:paraId="365E9C4C" w14:textId="4D91CFF0" w:rsidR="006D748D" w:rsidRPr="001C1141" w:rsidRDefault="006D748D" w:rsidP="00740D1C">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sz w:val="18"/>
                <w:szCs w:val="18"/>
              </w:rPr>
            </w:pPr>
            <w:r w:rsidRPr="001C1141">
              <w:rPr>
                <w:rFonts w:ascii="Arial" w:hAnsi="Arial"/>
                <w:sz w:val="18"/>
                <w:szCs w:val="18"/>
              </w:rPr>
              <w:t>+1%</w:t>
            </w:r>
          </w:p>
        </w:tc>
        <w:tc>
          <w:tcPr>
            <w:tcW w:w="870" w:type="dxa"/>
          </w:tcPr>
          <w:p w14:paraId="79BFCADA" w14:textId="60E64007" w:rsidR="006D748D" w:rsidRPr="001C1141" w:rsidRDefault="006D748D" w:rsidP="00740D1C">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sz w:val="18"/>
                <w:szCs w:val="18"/>
              </w:rPr>
            </w:pPr>
            <w:r w:rsidRPr="001C1141">
              <w:rPr>
                <w:rFonts w:ascii="Arial" w:hAnsi="Arial"/>
                <w:color w:val="000000"/>
                <w:sz w:val="18"/>
                <w:szCs w:val="18"/>
              </w:rPr>
              <w:t>0.0%</w:t>
            </w:r>
          </w:p>
        </w:tc>
        <w:tc>
          <w:tcPr>
            <w:tcW w:w="981" w:type="dxa"/>
          </w:tcPr>
          <w:p w14:paraId="4DD604EE" w14:textId="6006EB87" w:rsidR="006D748D" w:rsidRPr="001C1141" w:rsidRDefault="006D748D" w:rsidP="00740D1C">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sz w:val="18"/>
                <w:szCs w:val="18"/>
              </w:rPr>
            </w:pPr>
            <w:r w:rsidRPr="001C1141">
              <w:rPr>
                <w:rFonts w:ascii="Arial" w:hAnsi="Arial"/>
                <w:color w:val="000000"/>
                <w:sz w:val="18"/>
                <w:szCs w:val="18"/>
              </w:rPr>
              <w:t>1.2%</w:t>
            </w:r>
          </w:p>
        </w:tc>
        <w:tc>
          <w:tcPr>
            <w:tcW w:w="1134" w:type="dxa"/>
          </w:tcPr>
          <w:p w14:paraId="2688027E" w14:textId="2A482267" w:rsidR="006D748D" w:rsidRPr="001C1141" w:rsidRDefault="006D748D" w:rsidP="00740D1C">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sz w:val="18"/>
                <w:szCs w:val="18"/>
              </w:rPr>
            </w:pPr>
            <w:r w:rsidRPr="001C1141">
              <w:rPr>
                <w:rFonts w:ascii="Arial" w:hAnsi="Arial"/>
                <w:color w:val="000000"/>
                <w:sz w:val="18"/>
                <w:szCs w:val="18"/>
              </w:rPr>
              <w:t>1.5%</w:t>
            </w:r>
          </w:p>
        </w:tc>
        <w:tc>
          <w:tcPr>
            <w:tcW w:w="903" w:type="dxa"/>
          </w:tcPr>
          <w:p w14:paraId="4AD4620E" w14:textId="2C5C8B95" w:rsidR="006D748D" w:rsidRPr="001C1141" w:rsidRDefault="006D748D" w:rsidP="00740D1C">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sz w:val="18"/>
                <w:szCs w:val="18"/>
              </w:rPr>
            </w:pPr>
            <w:r w:rsidRPr="001C1141">
              <w:rPr>
                <w:rFonts w:ascii="Arial" w:hAnsi="Arial"/>
                <w:color w:val="000000"/>
                <w:sz w:val="18"/>
                <w:szCs w:val="18"/>
              </w:rPr>
              <w:t>2.4%</w:t>
            </w:r>
          </w:p>
        </w:tc>
        <w:tc>
          <w:tcPr>
            <w:tcW w:w="798" w:type="dxa"/>
          </w:tcPr>
          <w:p w14:paraId="50C29B76" w14:textId="5F5B3F5A" w:rsidR="006D748D" w:rsidRPr="001C1141" w:rsidRDefault="006D748D" w:rsidP="00740D1C">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sz w:val="18"/>
                <w:szCs w:val="18"/>
              </w:rPr>
            </w:pPr>
            <w:r w:rsidRPr="001C1141">
              <w:rPr>
                <w:rFonts w:ascii="Arial" w:hAnsi="Arial"/>
                <w:color w:val="000000"/>
                <w:sz w:val="18"/>
                <w:szCs w:val="18"/>
              </w:rPr>
              <w:t>281</w:t>
            </w:r>
          </w:p>
        </w:tc>
        <w:tc>
          <w:tcPr>
            <w:tcW w:w="851" w:type="dxa"/>
          </w:tcPr>
          <w:p w14:paraId="7D162E25" w14:textId="1CB9B543" w:rsidR="006D748D" w:rsidRPr="001C1141" w:rsidRDefault="006D748D" w:rsidP="00740D1C">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sz w:val="18"/>
                <w:szCs w:val="18"/>
              </w:rPr>
            </w:pPr>
            <w:r w:rsidRPr="001C1141">
              <w:rPr>
                <w:rFonts w:ascii="Arial" w:hAnsi="Arial"/>
                <w:color w:val="000000"/>
                <w:sz w:val="18"/>
                <w:szCs w:val="18"/>
              </w:rPr>
              <w:t>5.1%</w:t>
            </w:r>
          </w:p>
        </w:tc>
      </w:tr>
      <w:tr w:rsidR="005D7769" w:rsidRPr="001C1141" w14:paraId="07188268" w14:textId="56F52ACA" w:rsidTr="007B022E">
        <w:tc>
          <w:tcPr>
            <w:cnfStyle w:val="001000000000" w:firstRow="0" w:lastRow="0" w:firstColumn="1" w:lastColumn="0" w:oddVBand="0" w:evenVBand="0" w:oddHBand="0" w:evenHBand="0" w:firstRowFirstColumn="0" w:firstRowLastColumn="0" w:lastRowFirstColumn="0" w:lastRowLastColumn="0"/>
            <w:tcW w:w="701" w:type="dxa"/>
            <w:vMerge/>
          </w:tcPr>
          <w:p w14:paraId="37CF6ABF" w14:textId="77777777" w:rsidR="006D748D" w:rsidRPr="001C1141" w:rsidRDefault="006D748D" w:rsidP="00740D1C">
            <w:pPr>
              <w:pStyle w:val="PwCNormal"/>
              <w:numPr>
                <w:ilvl w:val="0"/>
                <w:numId w:val="0"/>
              </w:numPr>
              <w:spacing w:before="40" w:after="40"/>
              <w:jc w:val="center"/>
              <w:rPr>
                <w:rFonts w:ascii="Arial" w:hAnsi="Arial"/>
                <w:sz w:val="18"/>
                <w:szCs w:val="18"/>
              </w:rPr>
            </w:pPr>
          </w:p>
        </w:tc>
        <w:tc>
          <w:tcPr>
            <w:tcW w:w="1397" w:type="dxa"/>
            <w:vMerge/>
          </w:tcPr>
          <w:p w14:paraId="005B467C" w14:textId="3A3E3C74" w:rsidR="006D748D" w:rsidRPr="001C1141" w:rsidRDefault="006D748D" w:rsidP="00740D1C">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82" w:type="dxa"/>
          </w:tcPr>
          <w:p w14:paraId="677F0756" w14:textId="1DBFD758" w:rsidR="006D748D" w:rsidRPr="001C1141" w:rsidRDefault="006D748D" w:rsidP="00740D1C">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sz w:val="18"/>
                <w:szCs w:val="18"/>
              </w:rPr>
            </w:pPr>
            <w:r w:rsidRPr="001C1141">
              <w:rPr>
                <w:rFonts w:ascii="Arial" w:hAnsi="Arial"/>
                <w:sz w:val="18"/>
                <w:szCs w:val="18"/>
              </w:rPr>
              <w:t>-1%</w:t>
            </w:r>
          </w:p>
        </w:tc>
        <w:tc>
          <w:tcPr>
            <w:tcW w:w="870" w:type="dxa"/>
          </w:tcPr>
          <w:p w14:paraId="2B3EEB91" w14:textId="014FD4E9" w:rsidR="006D748D" w:rsidRPr="001C1141" w:rsidRDefault="006D748D" w:rsidP="00740D1C">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sz w:val="18"/>
                <w:szCs w:val="18"/>
                <w:highlight w:val="yellow"/>
              </w:rPr>
            </w:pPr>
            <w:r w:rsidRPr="001C1141">
              <w:rPr>
                <w:rFonts w:ascii="Arial" w:hAnsi="Arial"/>
                <w:color w:val="000000"/>
                <w:sz w:val="18"/>
                <w:szCs w:val="18"/>
              </w:rPr>
              <w:t>0.0%</w:t>
            </w:r>
          </w:p>
        </w:tc>
        <w:tc>
          <w:tcPr>
            <w:tcW w:w="981" w:type="dxa"/>
          </w:tcPr>
          <w:p w14:paraId="27DFECC6" w14:textId="1ED91B46" w:rsidR="006D748D" w:rsidRPr="001C1141" w:rsidRDefault="006D748D" w:rsidP="00740D1C">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sz w:val="18"/>
                <w:szCs w:val="18"/>
              </w:rPr>
            </w:pPr>
            <w:r w:rsidRPr="001C1141">
              <w:rPr>
                <w:rFonts w:ascii="Arial" w:hAnsi="Arial"/>
                <w:color w:val="000000"/>
                <w:sz w:val="18"/>
                <w:szCs w:val="18"/>
              </w:rPr>
              <w:t>-0.9%</w:t>
            </w:r>
          </w:p>
        </w:tc>
        <w:tc>
          <w:tcPr>
            <w:tcW w:w="1134" w:type="dxa"/>
          </w:tcPr>
          <w:p w14:paraId="548B2C43" w14:textId="5DEC19F3" w:rsidR="006D748D" w:rsidRPr="001C1141" w:rsidRDefault="006D748D" w:rsidP="00740D1C">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sz w:val="18"/>
                <w:szCs w:val="18"/>
              </w:rPr>
            </w:pPr>
            <w:r w:rsidRPr="001C1141">
              <w:rPr>
                <w:rFonts w:ascii="Arial" w:hAnsi="Arial"/>
                <w:color w:val="000000"/>
                <w:sz w:val="18"/>
                <w:szCs w:val="18"/>
              </w:rPr>
              <w:t>-1.2%</w:t>
            </w:r>
          </w:p>
        </w:tc>
        <w:tc>
          <w:tcPr>
            <w:tcW w:w="903" w:type="dxa"/>
          </w:tcPr>
          <w:p w14:paraId="7A2DF95A" w14:textId="25EE20CC" w:rsidR="006D748D" w:rsidRPr="001C1141" w:rsidRDefault="006D748D" w:rsidP="00740D1C">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sz w:val="18"/>
                <w:szCs w:val="18"/>
              </w:rPr>
            </w:pPr>
            <w:r w:rsidRPr="001C1141">
              <w:rPr>
                <w:rFonts w:ascii="Arial" w:hAnsi="Arial"/>
                <w:color w:val="000000"/>
                <w:sz w:val="18"/>
                <w:szCs w:val="18"/>
              </w:rPr>
              <w:t>-1.6%</w:t>
            </w:r>
          </w:p>
        </w:tc>
        <w:tc>
          <w:tcPr>
            <w:tcW w:w="798" w:type="dxa"/>
          </w:tcPr>
          <w:p w14:paraId="50C3EAEE" w14:textId="4A9A4898" w:rsidR="006D748D" w:rsidRPr="001C1141" w:rsidRDefault="006D748D" w:rsidP="00740D1C">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sz w:val="18"/>
                <w:szCs w:val="18"/>
              </w:rPr>
            </w:pPr>
            <w:r w:rsidRPr="001C1141">
              <w:rPr>
                <w:rFonts w:ascii="Arial" w:hAnsi="Arial"/>
                <w:color w:val="000000"/>
                <w:sz w:val="18"/>
                <w:szCs w:val="18"/>
              </w:rPr>
              <w:t>-202</w:t>
            </w:r>
          </w:p>
        </w:tc>
        <w:tc>
          <w:tcPr>
            <w:tcW w:w="851" w:type="dxa"/>
          </w:tcPr>
          <w:p w14:paraId="16777036" w14:textId="1DF4C0C6" w:rsidR="006D748D" w:rsidRPr="001C1141" w:rsidRDefault="006D748D" w:rsidP="00740D1C">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sz w:val="18"/>
                <w:szCs w:val="18"/>
              </w:rPr>
            </w:pPr>
            <w:r w:rsidRPr="001C1141">
              <w:rPr>
                <w:rFonts w:ascii="Arial" w:hAnsi="Arial"/>
                <w:color w:val="000000"/>
                <w:sz w:val="18"/>
                <w:szCs w:val="18"/>
              </w:rPr>
              <w:t>-3.7%</w:t>
            </w:r>
          </w:p>
        </w:tc>
      </w:tr>
      <w:tr w:rsidR="005D7769" w:rsidRPr="001C1141" w14:paraId="17F34655" w14:textId="77777777" w:rsidTr="007B02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 w:type="dxa"/>
            <w:vMerge/>
          </w:tcPr>
          <w:p w14:paraId="38A8856B" w14:textId="77777777" w:rsidR="006D748D" w:rsidRPr="001C1141" w:rsidRDefault="006D748D" w:rsidP="00740D1C">
            <w:pPr>
              <w:pStyle w:val="PwCNormal"/>
              <w:numPr>
                <w:ilvl w:val="0"/>
                <w:numId w:val="0"/>
              </w:numPr>
              <w:spacing w:before="40" w:after="40"/>
              <w:jc w:val="center"/>
              <w:rPr>
                <w:rFonts w:ascii="Arial" w:hAnsi="Arial"/>
                <w:sz w:val="18"/>
                <w:szCs w:val="18"/>
              </w:rPr>
            </w:pPr>
          </w:p>
        </w:tc>
        <w:tc>
          <w:tcPr>
            <w:tcW w:w="1397" w:type="dxa"/>
            <w:vMerge w:val="restart"/>
          </w:tcPr>
          <w:p w14:paraId="34133117" w14:textId="02032E87" w:rsidR="006D748D" w:rsidRPr="001C1141" w:rsidRDefault="006D748D" w:rsidP="00740D1C">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sz w:val="18"/>
                <w:szCs w:val="18"/>
              </w:rPr>
            </w:pPr>
            <w:r w:rsidRPr="001C1141">
              <w:rPr>
                <w:rFonts w:ascii="Arial" w:hAnsi="Arial"/>
                <w:sz w:val="18"/>
                <w:szCs w:val="18"/>
              </w:rPr>
              <w:t>MTAWE</w:t>
            </w:r>
          </w:p>
        </w:tc>
        <w:tc>
          <w:tcPr>
            <w:tcW w:w="582" w:type="dxa"/>
          </w:tcPr>
          <w:p w14:paraId="5F4F0350" w14:textId="29BFA51F" w:rsidR="006D748D" w:rsidRPr="001C1141" w:rsidRDefault="006D748D" w:rsidP="00740D1C">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sz w:val="18"/>
                <w:szCs w:val="18"/>
              </w:rPr>
            </w:pPr>
            <w:r w:rsidRPr="001C1141">
              <w:rPr>
                <w:rFonts w:ascii="Arial" w:hAnsi="Arial"/>
                <w:sz w:val="18"/>
                <w:szCs w:val="18"/>
              </w:rPr>
              <w:t>+1%</w:t>
            </w:r>
          </w:p>
        </w:tc>
        <w:tc>
          <w:tcPr>
            <w:tcW w:w="870" w:type="dxa"/>
          </w:tcPr>
          <w:p w14:paraId="753F0A99" w14:textId="06900CAB" w:rsidR="006D748D" w:rsidRPr="001C1141" w:rsidRDefault="006D748D" w:rsidP="00740D1C">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sz w:val="18"/>
                <w:szCs w:val="18"/>
              </w:rPr>
            </w:pPr>
            <w:r w:rsidRPr="001C1141">
              <w:rPr>
                <w:rFonts w:ascii="Arial" w:hAnsi="Arial"/>
                <w:color w:val="000000"/>
                <w:sz w:val="18"/>
                <w:szCs w:val="18"/>
              </w:rPr>
              <w:t>28.8%</w:t>
            </w:r>
          </w:p>
        </w:tc>
        <w:tc>
          <w:tcPr>
            <w:tcW w:w="981" w:type="dxa"/>
          </w:tcPr>
          <w:p w14:paraId="0E867710" w14:textId="5F42BEE1" w:rsidR="006D748D" w:rsidRPr="001C1141" w:rsidRDefault="006D748D" w:rsidP="00740D1C">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sz w:val="18"/>
                <w:szCs w:val="18"/>
              </w:rPr>
            </w:pPr>
            <w:r w:rsidRPr="001C1141">
              <w:rPr>
                <w:rFonts w:ascii="Arial" w:hAnsi="Arial"/>
                <w:color w:val="000000"/>
                <w:sz w:val="18"/>
                <w:szCs w:val="18"/>
              </w:rPr>
              <w:t>5.6%</w:t>
            </w:r>
          </w:p>
        </w:tc>
        <w:tc>
          <w:tcPr>
            <w:tcW w:w="1134" w:type="dxa"/>
          </w:tcPr>
          <w:p w14:paraId="57924E71" w14:textId="1EA1B7E0" w:rsidR="006D748D" w:rsidRPr="001C1141" w:rsidRDefault="006D748D" w:rsidP="00740D1C">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sz w:val="18"/>
                <w:szCs w:val="18"/>
              </w:rPr>
            </w:pPr>
            <w:r w:rsidRPr="001C1141">
              <w:rPr>
                <w:rFonts w:ascii="Arial" w:hAnsi="Arial"/>
                <w:color w:val="000000"/>
                <w:sz w:val="18"/>
                <w:szCs w:val="18"/>
              </w:rPr>
              <w:t>0.0%</w:t>
            </w:r>
          </w:p>
        </w:tc>
        <w:tc>
          <w:tcPr>
            <w:tcW w:w="903" w:type="dxa"/>
          </w:tcPr>
          <w:p w14:paraId="22D836A5" w14:textId="3D17C2B3" w:rsidR="006D748D" w:rsidRPr="001C1141" w:rsidRDefault="006D748D" w:rsidP="00740D1C">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sz w:val="18"/>
                <w:szCs w:val="18"/>
              </w:rPr>
            </w:pPr>
            <w:r w:rsidRPr="001C1141">
              <w:rPr>
                <w:rFonts w:ascii="Arial" w:hAnsi="Arial"/>
                <w:color w:val="000000"/>
                <w:sz w:val="18"/>
                <w:szCs w:val="18"/>
              </w:rPr>
              <w:t>0.0%</w:t>
            </w:r>
          </w:p>
        </w:tc>
        <w:tc>
          <w:tcPr>
            <w:tcW w:w="798" w:type="dxa"/>
          </w:tcPr>
          <w:p w14:paraId="5BB51981" w14:textId="1BDFD473" w:rsidR="006D748D" w:rsidRPr="001C1141" w:rsidRDefault="006D748D" w:rsidP="00740D1C">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sz w:val="18"/>
                <w:szCs w:val="18"/>
              </w:rPr>
            </w:pPr>
            <w:r w:rsidRPr="001C1141">
              <w:rPr>
                <w:rFonts w:ascii="Arial" w:hAnsi="Arial"/>
                <w:color w:val="000000"/>
                <w:sz w:val="18"/>
                <w:szCs w:val="18"/>
              </w:rPr>
              <w:t>1,882</w:t>
            </w:r>
          </w:p>
        </w:tc>
        <w:tc>
          <w:tcPr>
            <w:tcW w:w="851" w:type="dxa"/>
          </w:tcPr>
          <w:p w14:paraId="4DA0413B" w14:textId="1A37D8E3" w:rsidR="006D748D" w:rsidRPr="001C1141" w:rsidRDefault="006D748D" w:rsidP="00740D1C">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sz w:val="18"/>
                <w:szCs w:val="18"/>
              </w:rPr>
            </w:pPr>
            <w:r w:rsidRPr="001C1141">
              <w:rPr>
                <w:rFonts w:ascii="Arial" w:hAnsi="Arial"/>
                <w:color w:val="000000"/>
                <w:sz w:val="18"/>
                <w:szCs w:val="18"/>
              </w:rPr>
              <w:t>34.4%</w:t>
            </w:r>
          </w:p>
        </w:tc>
      </w:tr>
      <w:tr w:rsidR="005D7769" w:rsidRPr="001C1141" w14:paraId="3617A9D2" w14:textId="77777777" w:rsidTr="007B022E">
        <w:tc>
          <w:tcPr>
            <w:cnfStyle w:val="001000000000" w:firstRow="0" w:lastRow="0" w:firstColumn="1" w:lastColumn="0" w:oddVBand="0" w:evenVBand="0" w:oddHBand="0" w:evenHBand="0" w:firstRowFirstColumn="0" w:firstRowLastColumn="0" w:lastRowFirstColumn="0" w:lastRowLastColumn="0"/>
            <w:tcW w:w="701" w:type="dxa"/>
            <w:vMerge/>
          </w:tcPr>
          <w:p w14:paraId="6ADDF2CF" w14:textId="77777777" w:rsidR="006D748D" w:rsidRPr="001C1141" w:rsidRDefault="006D748D" w:rsidP="00740D1C">
            <w:pPr>
              <w:pStyle w:val="PwCNormal"/>
              <w:numPr>
                <w:ilvl w:val="0"/>
                <w:numId w:val="0"/>
              </w:numPr>
              <w:spacing w:before="40" w:after="40"/>
              <w:jc w:val="center"/>
              <w:rPr>
                <w:rFonts w:ascii="Arial" w:hAnsi="Arial"/>
                <w:sz w:val="18"/>
                <w:szCs w:val="18"/>
              </w:rPr>
            </w:pPr>
          </w:p>
        </w:tc>
        <w:tc>
          <w:tcPr>
            <w:tcW w:w="1397" w:type="dxa"/>
            <w:vMerge/>
          </w:tcPr>
          <w:p w14:paraId="5FB8D76C" w14:textId="77777777" w:rsidR="006D748D" w:rsidRPr="001C1141" w:rsidRDefault="006D748D" w:rsidP="00740D1C">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82" w:type="dxa"/>
          </w:tcPr>
          <w:p w14:paraId="512D3D8C" w14:textId="42EF48EC" w:rsidR="006D748D" w:rsidRPr="001C1141" w:rsidRDefault="006D748D" w:rsidP="00740D1C">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sz w:val="18"/>
                <w:szCs w:val="18"/>
              </w:rPr>
            </w:pPr>
            <w:r w:rsidRPr="001C1141">
              <w:rPr>
                <w:rFonts w:ascii="Arial" w:hAnsi="Arial"/>
                <w:sz w:val="18"/>
                <w:szCs w:val="18"/>
              </w:rPr>
              <w:t>-1%</w:t>
            </w:r>
          </w:p>
        </w:tc>
        <w:tc>
          <w:tcPr>
            <w:tcW w:w="870" w:type="dxa"/>
          </w:tcPr>
          <w:p w14:paraId="4F9F129A" w14:textId="4D0B3EA6" w:rsidR="006D748D" w:rsidRPr="001C1141" w:rsidRDefault="006D748D" w:rsidP="00740D1C">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sz w:val="18"/>
                <w:szCs w:val="18"/>
              </w:rPr>
            </w:pPr>
            <w:r w:rsidRPr="001C1141">
              <w:rPr>
                <w:rFonts w:ascii="Arial" w:hAnsi="Arial"/>
                <w:color w:val="000000"/>
                <w:sz w:val="18"/>
                <w:szCs w:val="18"/>
              </w:rPr>
              <w:t>-17.2%</w:t>
            </w:r>
          </w:p>
        </w:tc>
        <w:tc>
          <w:tcPr>
            <w:tcW w:w="981" w:type="dxa"/>
          </w:tcPr>
          <w:p w14:paraId="2499899F" w14:textId="436F4324" w:rsidR="006D748D" w:rsidRPr="001C1141" w:rsidRDefault="006D748D" w:rsidP="00740D1C">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sz w:val="18"/>
                <w:szCs w:val="18"/>
              </w:rPr>
            </w:pPr>
            <w:r w:rsidRPr="001C1141">
              <w:rPr>
                <w:rFonts w:ascii="Arial" w:hAnsi="Arial"/>
                <w:color w:val="000000"/>
                <w:sz w:val="18"/>
                <w:szCs w:val="18"/>
              </w:rPr>
              <w:t>-3.6%</w:t>
            </w:r>
          </w:p>
        </w:tc>
        <w:tc>
          <w:tcPr>
            <w:tcW w:w="1134" w:type="dxa"/>
          </w:tcPr>
          <w:p w14:paraId="31414CEA" w14:textId="1E6F97F1" w:rsidR="006D748D" w:rsidRPr="001C1141" w:rsidRDefault="006D748D" w:rsidP="00740D1C">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sz w:val="18"/>
                <w:szCs w:val="18"/>
              </w:rPr>
            </w:pPr>
            <w:r w:rsidRPr="001C1141">
              <w:rPr>
                <w:rFonts w:ascii="Arial" w:hAnsi="Arial"/>
                <w:color w:val="000000"/>
                <w:sz w:val="18"/>
                <w:szCs w:val="18"/>
              </w:rPr>
              <w:t>0.0%</w:t>
            </w:r>
          </w:p>
        </w:tc>
        <w:tc>
          <w:tcPr>
            <w:tcW w:w="903" w:type="dxa"/>
          </w:tcPr>
          <w:p w14:paraId="313070AB" w14:textId="3A24C68D" w:rsidR="006D748D" w:rsidRPr="001C1141" w:rsidRDefault="006D748D" w:rsidP="00740D1C">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sz w:val="18"/>
                <w:szCs w:val="18"/>
              </w:rPr>
            </w:pPr>
            <w:r w:rsidRPr="001C1141">
              <w:rPr>
                <w:rFonts w:ascii="Arial" w:hAnsi="Arial"/>
                <w:color w:val="000000"/>
                <w:sz w:val="18"/>
                <w:szCs w:val="18"/>
              </w:rPr>
              <w:t>0.0%</w:t>
            </w:r>
          </w:p>
        </w:tc>
        <w:tc>
          <w:tcPr>
            <w:tcW w:w="798" w:type="dxa"/>
          </w:tcPr>
          <w:p w14:paraId="2A5F2AC9" w14:textId="36F95C08" w:rsidR="006D748D" w:rsidRPr="001C1141" w:rsidRDefault="006D748D" w:rsidP="00740D1C">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sz w:val="18"/>
                <w:szCs w:val="18"/>
              </w:rPr>
            </w:pPr>
            <w:r w:rsidRPr="001C1141">
              <w:rPr>
                <w:rFonts w:ascii="Arial" w:hAnsi="Arial"/>
                <w:color w:val="000000"/>
                <w:sz w:val="18"/>
                <w:szCs w:val="18"/>
              </w:rPr>
              <w:t>-1,138</w:t>
            </w:r>
          </w:p>
        </w:tc>
        <w:tc>
          <w:tcPr>
            <w:tcW w:w="851" w:type="dxa"/>
          </w:tcPr>
          <w:p w14:paraId="1FF9329E" w14:textId="2888719C" w:rsidR="006D748D" w:rsidRPr="001C1141" w:rsidRDefault="006D748D" w:rsidP="00740D1C">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sz w:val="18"/>
                <w:szCs w:val="18"/>
              </w:rPr>
            </w:pPr>
            <w:r w:rsidRPr="001C1141">
              <w:rPr>
                <w:rFonts w:ascii="Arial" w:hAnsi="Arial"/>
                <w:color w:val="000000"/>
                <w:sz w:val="18"/>
                <w:szCs w:val="18"/>
              </w:rPr>
              <w:t>-20.8%</w:t>
            </w:r>
          </w:p>
        </w:tc>
      </w:tr>
      <w:tr w:rsidR="005D7769" w:rsidRPr="001C1141" w14:paraId="7192FF25" w14:textId="7F187F83" w:rsidTr="007B02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 w:type="dxa"/>
            <w:vMerge/>
          </w:tcPr>
          <w:p w14:paraId="56249D3A" w14:textId="77777777" w:rsidR="006D748D" w:rsidRPr="001C1141" w:rsidRDefault="006D748D" w:rsidP="00740D1C">
            <w:pPr>
              <w:pStyle w:val="PwCNormal"/>
              <w:numPr>
                <w:ilvl w:val="0"/>
                <w:numId w:val="0"/>
              </w:numPr>
              <w:spacing w:before="40" w:after="40"/>
              <w:jc w:val="center"/>
              <w:rPr>
                <w:rFonts w:ascii="Arial" w:hAnsi="Arial"/>
                <w:sz w:val="18"/>
                <w:szCs w:val="18"/>
              </w:rPr>
            </w:pPr>
          </w:p>
        </w:tc>
        <w:tc>
          <w:tcPr>
            <w:tcW w:w="1397" w:type="dxa"/>
            <w:vMerge w:val="restart"/>
          </w:tcPr>
          <w:p w14:paraId="6BE357F5" w14:textId="7A6C1040" w:rsidR="006D748D" w:rsidRPr="001C1141" w:rsidRDefault="006D748D" w:rsidP="00740D1C">
            <w:pPr>
              <w:pStyle w:val="PwCNormal"/>
              <w:numPr>
                <w:ilvl w:val="0"/>
                <w:numId w:val="0"/>
              </w:numPr>
              <w:spacing w:before="40" w:after="40"/>
              <w:cnfStyle w:val="000000100000" w:firstRow="0" w:lastRow="0" w:firstColumn="0" w:lastColumn="0" w:oddVBand="0" w:evenVBand="0" w:oddHBand="1" w:evenHBand="0" w:firstRowFirstColumn="0" w:firstRowLastColumn="0" w:lastRowFirstColumn="0" w:lastRowLastColumn="0"/>
              <w:rPr>
                <w:rFonts w:ascii="Arial" w:hAnsi="Arial"/>
                <w:sz w:val="18"/>
                <w:szCs w:val="18"/>
              </w:rPr>
            </w:pPr>
            <w:r w:rsidRPr="001C1141">
              <w:rPr>
                <w:rFonts w:ascii="Arial" w:hAnsi="Arial"/>
                <w:sz w:val="18"/>
                <w:szCs w:val="18"/>
              </w:rPr>
              <w:t>Long term unemployment rate</w:t>
            </w:r>
          </w:p>
        </w:tc>
        <w:tc>
          <w:tcPr>
            <w:tcW w:w="582" w:type="dxa"/>
          </w:tcPr>
          <w:p w14:paraId="5C0C5E20" w14:textId="77472B39" w:rsidR="006D748D" w:rsidRPr="001C1141" w:rsidRDefault="006D748D" w:rsidP="00740D1C">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sz w:val="18"/>
                <w:szCs w:val="18"/>
              </w:rPr>
            </w:pPr>
            <w:r w:rsidRPr="001C1141">
              <w:rPr>
                <w:rFonts w:ascii="Arial" w:hAnsi="Arial"/>
                <w:sz w:val="18"/>
                <w:szCs w:val="18"/>
              </w:rPr>
              <w:t>+2%</w:t>
            </w:r>
          </w:p>
        </w:tc>
        <w:tc>
          <w:tcPr>
            <w:tcW w:w="870" w:type="dxa"/>
          </w:tcPr>
          <w:p w14:paraId="55B09362" w14:textId="24977660" w:rsidR="006D748D" w:rsidRPr="001C1141" w:rsidRDefault="006D748D" w:rsidP="00740D1C">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sz w:val="18"/>
                <w:szCs w:val="18"/>
              </w:rPr>
            </w:pPr>
            <w:r w:rsidRPr="001C1141">
              <w:rPr>
                <w:rFonts w:ascii="Arial" w:hAnsi="Arial"/>
                <w:color w:val="000000"/>
                <w:sz w:val="18"/>
                <w:szCs w:val="18"/>
              </w:rPr>
              <w:t>2.4%</w:t>
            </w:r>
          </w:p>
        </w:tc>
        <w:tc>
          <w:tcPr>
            <w:tcW w:w="981" w:type="dxa"/>
          </w:tcPr>
          <w:p w14:paraId="72130438" w14:textId="61A50D86" w:rsidR="006D748D" w:rsidRPr="001C1141" w:rsidRDefault="006D748D" w:rsidP="00740D1C">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sz w:val="18"/>
                <w:szCs w:val="18"/>
              </w:rPr>
            </w:pPr>
            <w:r w:rsidRPr="001C1141">
              <w:rPr>
                <w:rFonts w:ascii="Arial" w:hAnsi="Arial"/>
                <w:color w:val="000000"/>
                <w:sz w:val="18"/>
                <w:szCs w:val="18"/>
              </w:rPr>
              <w:t>4.4%</w:t>
            </w:r>
          </w:p>
        </w:tc>
        <w:tc>
          <w:tcPr>
            <w:tcW w:w="1134" w:type="dxa"/>
          </w:tcPr>
          <w:p w14:paraId="5E95CE94" w14:textId="1404C6EB" w:rsidR="006D748D" w:rsidRPr="001C1141" w:rsidRDefault="006D748D" w:rsidP="00740D1C">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sz w:val="18"/>
                <w:szCs w:val="18"/>
              </w:rPr>
            </w:pPr>
            <w:r w:rsidRPr="001C1141">
              <w:rPr>
                <w:rFonts w:ascii="Arial" w:hAnsi="Arial"/>
                <w:color w:val="000000"/>
                <w:sz w:val="18"/>
                <w:szCs w:val="18"/>
              </w:rPr>
              <w:t>0.2%</w:t>
            </w:r>
          </w:p>
        </w:tc>
        <w:tc>
          <w:tcPr>
            <w:tcW w:w="903" w:type="dxa"/>
          </w:tcPr>
          <w:p w14:paraId="3422F5E2" w14:textId="164FD4CE" w:rsidR="006D748D" w:rsidRPr="001C1141" w:rsidRDefault="006D748D" w:rsidP="00740D1C">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sz w:val="18"/>
                <w:szCs w:val="18"/>
              </w:rPr>
            </w:pPr>
            <w:r w:rsidRPr="001C1141">
              <w:rPr>
                <w:rFonts w:ascii="Arial" w:hAnsi="Arial"/>
                <w:color w:val="000000"/>
                <w:sz w:val="18"/>
                <w:szCs w:val="18"/>
              </w:rPr>
              <w:t>0.7%</w:t>
            </w:r>
          </w:p>
        </w:tc>
        <w:tc>
          <w:tcPr>
            <w:tcW w:w="798" w:type="dxa"/>
          </w:tcPr>
          <w:p w14:paraId="3C3FAB14" w14:textId="6CCF3CE6" w:rsidR="006D748D" w:rsidRPr="001C1141" w:rsidRDefault="006D748D" w:rsidP="00740D1C">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sz w:val="18"/>
                <w:szCs w:val="18"/>
              </w:rPr>
            </w:pPr>
            <w:r w:rsidRPr="001C1141">
              <w:rPr>
                <w:rFonts w:ascii="Arial" w:hAnsi="Arial"/>
                <w:color w:val="000000"/>
                <w:sz w:val="18"/>
                <w:szCs w:val="18"/>
              </w:rPr>
              <w:t>419</w:t>
            </w:r>
          </w:p>
        </w:tc>
        <w:tc>
          <w:tcPr>
            <w:tcW w:w="851" w:type="dxa"/>
          </w:tcPr>
          <w:p w14:paraId="69E0B1C2" w14:textId="11AAAE29" w:rsidR="006D748D" w:rsidRPr="001C1141" w:rsidRDefault="006D748D" w:rsidP="00740D1C">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sz w:val="18"/>
                <w:szCs w:val="18"/>
              </w:rPr>
            </w:pPr>
            <w:r w:rsidRPr="001C1141">
              <w:rPr>
                <w:rFonts w:ascii="Arial" w:hAnsi="Arial"/>
                <w:color w:val="000000"/>
                <w:sz w:val="18"/>
                <w:szCs w:val="18"/>
              </w:rPr>
              <w:t>7.7%</w:t>
            </w:r>
          </w:p>
        </w:tc>
      </w:tr>
      <w:tr w:rsidR="005D7769" w:rsidRPr="001C1141" w14:paraId="344B0DB0" w14:textId="6C105257" w:rsidTr="007B022E">
        <w:tc>
          <w:tcPr>
            <w:cnfStyle w:val="001000000000" w:firstRow="0" w:lastRow="0" w:firstColumn="1" w:lastColumn="0" w:oddVBand="0" w:evenVBand="0" w:oddHBand="0" w:evenHBand="0" w:firstRowFirstColumn="0" w:firstRowLastColumn="0" w:lastRowFirstColumn="0" w:lastRowLastColumn="0"/>
            <w:tcW w:w="701" w:type="dxa"/>
            <w:vMerge/>
          </w:tcPr>
          <w:p w14:paraId="07A1EE39" w14:textId="77777777" w:rsidR="006D748D" w:rsidRPr="001C1141" w:rsidRDefault="006D748D" w:rsidP="00740D1C">
            <w:pPr>
              <w:pStyle w:val="PwCNormal"/>
              <w:numPr>
                <w:ilvl w:val="0"/>
                <w:numId w:val="0"/>
              </w:numPr>
              <w:spacing w:before="40" w:after="40"/>
              <w:jc w:val="center"/>
              <w:rPr>
                <w:rFonts w:ascii="Arial" w:hAnsi="Arial"/>
                <w:sz w:val="18"/>
                <w:szCs w:val="18"/>
              </w:rPr>
            </w:pPr>
          </w:p>
        </w:tc>
        <w:tc>
          <w:tcPr>
            <w:tcW w:w="1397" w:type="dxa"/>
            <w:vMerge/>
          </w:tcPr>
          <w:p w14:paraId="73E65DFD" w14:textId="143D16E2" w:rsidR="006D748D" w:rsidRPr="001C1141" w:rsidRDefault="006D748D" w:rsidP="00740D1C">
            <w:pPr>
              <w:pStyle w:val="PwCNormal"/>
              <w:numPr>
                <w:ilvl w:val="0"/>
                <w:numId w:val="0"/>
              </w:numPr>
              <w:spacing w:before="40" w:after="40"/>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82" w:type="dxa"/>
          </w:tcPr>
          <w:p w14:paraId="3C2EDE7F" w14:textId="75727535" w:rsidR="006D748D" w:rsidRPr="001C1141" w:rsidRDefault="006D748D" w:rsidP="00740D1C">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sz w:val="18"/>
                <w:szCs w:val="18"/>
              </w:rPr>
            </w:pPr>
            <w:r w:rsidRPr="001C1141">
              <w:rPr>
                <w:rFonts w:ascii="Arial" w:hAnsi="Arial"/>
                <w:sz w:val="18"/>
                <w:szCs w:val="18"/>
              </w:rPr>
              <w:t>+1%</w:t>
            </w:r>
          </w:p>
        </w:tc>
        <w:tc>
          <w:tcPr>
            <w:tcW w:w="870" w:type="dxa"/>
          </w:tcPr>
          <w:p w14:paraId="6A3CC677" w14:textId="501FBB60" w:rsidR="006D748D" w:rsidRPr="001C1141" w:rsidRDefault="006D748D" w:rsidP="00740D1C">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sz w:val="18"/>
                <w:szCs w:val="18"/>
              </w:rPr>
            </w:pPr>
            <w:r w:rsidRPr="001C1141">
              <w:rPr>
                <w:rFonts w:ascii="Arial" w:hAnsi="Arial"/>
                <w:color w:val="000000"/>
                <w:sz w:val="18"/>
                <w:szCs w:val="18"/>
              </w:rPr>
              <w:t>1.2%</w:t>
            </w:r>
          </w:p>
        </w:tc>
        <w:tc>
          <w:tcPr>
            <w:tcW w:w="981" w:type="dxa"/>
          </w:tcPr>
          <w:p w14:paraId="3896A131" w14:textId="6C641FB9" w:rsidR="006D748D" w:rsidRPr="001C1141" w:rsidRDefault="006D748D" w:rsidP="00740D1C">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sz w:val="18"/>
                <w:szCs w:val="18"/>
              </w:rPr>
            </w:pPr>
            <w:r w:rsidRPr="001C1141">
              <w:rPr>
                <w:rFonts w:ascii="Arial" w:hAnsi="Arial"/>
                <w:color w:val="000000"/>
                <w:sz w:val="18"/>
                <w:szCs w:val="18"/>
              </w:rPr>
              <w:t>1.9%</w:t>
            </w:r>
          </w:p>
        </w:tc>
        <w:tc>
          <w:tcPr>
            <w:tcW w:w="1134" w:type="dxa"/>
          </w:tcPr>
          <w:p w14:paraId="05B2A61A" w14:textId="5821F1D8" w:rsidR="006D748D" w:rsidRPr="001C1141" w:rsidRDefault="006D748D" w:rsidP="00740D1C">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sz w:val="18"/>
                <w:szCs w:val="18"/>
              </w:rPr>
            </w:pPr>
            <w:r w:rsidRPr="001C1141">
              <w:rPr>
                <w:rFonts w:ascii="Arial" w:hAnsi="Arial"/>
                <w:color w:val="000000"/>
                <w:sz w:val="18"/>
                <w:szCs w:val="18"/>
              </w:rPr>
              <w:t>0.1%</w:t>
            </w:r>
          </w:p>
        </w:tc>
        <w:tc>
          <w:tcPr>
            <w:tcW w:w="903" w:type="dxa"/>
          </w:tcPr>
          <w:p w14:paraId="319AE9FF" w14:textId="2947CC34" w:rsidR="006D748D" w:rsidRPr="001C1141" w:rsidRDefault="006D748D" w:rsidP="00740D1C">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sz w:val="18"/>
                <w:szCs w:val="18"/>
              </w:rPr>
            </w:pPr>
            <w:r w:rsidRPr="001C1141">
              <w:rPr>
                <w:rFonts w:ascii="Arial" w:hAnsi="Arial"/>
                <w:color w:val="000000"/>
                <w:sz w:val="18"/>
                <w:szCs w:val="18"/>
              </w:rPr>
              <w:t>0.3%</w:t>
            </w:r>
          </w:p>
        </w:tc>
        <w:tc>
          <w:tcPr>
            <w:tcW w:w="798" w:type="dxa"/>
          </w:tcPr>
          <w:p w14:paraId="1F0F981B" w14:textId="38734277" w:rsidR="006D748D" w:rsidRPr="001C1141" w:rsidRDefault="006D748D" w:rsidP="00740D1C">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sz w:val="18"/>
                <w:szCs w:val="18"/>
              </w:rPr>
            </w:pPr>
            <w:r w:rsidRPr="001C1141">
              <w:rPr>
                <w:rFonts w:ascii="Arial" w:hAnsi="Arial"/>
                <w:color w:val="000000"/>
                <w:sz w:val="18"/>
                <w:szCs w:val="18"/>
              </w:rPr>
              <w:t>193</w:t>
            </w:r>
          </w:p>
        </w:tc>
        <w:tc>
          <w:tcPr>
            <w:tcW w:w="851" w:type="dxa"/>
          </w:tcPr>
          <w:p w14:paraId="4933BEE7" w14:textId="1E18D8D8" w:rsidR="006D748D" w:rsidRPr="001C1141" w:rsidRDefault="006D748D" w:rsidP="00740D1C">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sz w:val="18"/>
                <w:szCs w:val="18"/>
              </w:rPr>
            </w:pPr>
            <w:r w:rsidRPr="001C1141">
              <w:rPr>
                <w:rFonts w:ascii="Arial" w:hAnsi="Arial"/>
                <w:color w:val="000000"/>
                <w:sz w:val="18"/>
                <w:szCs w:val="18"/>
              </w:rPr>
              <w:t>3.5%</w:t>
            </w:r>
          </w:p>
        </w:tc>
      </w:tr>
      <w:tr w:rsidR="005D7769" w:rsidRPr="001C1141" w14:paraId="27F6343B" w14:textId="612F81F4" w:rsidTr="007B02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 w:type="dxa"/>
            <w:vMerge/>
          </w:tcPr>
          <w:p w14:paraId="37A9F090" w14:textId="77777777" w:rsidR="006D748D" w:rsidRPr="001C1141" w:rsidRDefault="006D748D" w:rsidP="00740D1C">
            <w:pPr>
              <w:pStyle w:val="PwCNormal"/>
              <w:numPr>
                <w:ilvl w:val="0"/>
                <w:numId w:val="0"/>
              </w:numPr>
              <w:spacing w:before="40" w:after="40"/>
              <w:jc w:val="center"/>
              <w:rPr>
                <w:rFonts w:ascii="Arial" w:hAnsi="Arial"/>
                <w:sz w:val="18"/>
                <w:szCs w:val="18"/>
              </w:rPr>
            </w:pPr>
          </w:p>
        </w:tc>
        <w:tc>
          <w:tcPr>
            <w:tcW w:w="1397" w:type="dxa"/>
            <w:vMerge/>
          </w:tcPr>
          <w:p w14:paraId="2F339FE6" w14:textId="24942771" w:rsidR="006D748D" w:rsidRPr="001C1141" w:rsidRDefault="006D748D" w:rsidP="00740D1C">
            <w:pPr>
              <w:pStyle w:val="PwCNormal"/>
              <w:numPr>
                <w:ilvl w:val="0"/>
                <w:numId w:val="0"/>
              </w:numPr>
              <w:spacing w:before="40" w:after="40"/>
              <w:cnfStyle w:val="000000100000" w:firstRow="0" w:lastRow="0" w:firstColumn="0" w:lastColumn="0" w:oddVBand="0" w:evenVBand="0" w:oddHBand="1" w:evenHBand="0" w:firstRowFirstColumn="0" w:firstRowLastColumn="0" w:lastRowFirstColumn="0" w:lastRowLastColumn="0"/>
              <w:rPr>
                <w:rFonts w:ascii="Arial" w:hAnsi="Arial"/>
                <w:sz w:val="18"/>
                <w:szCs w:val="18"/>
              </w:rPr>
            </w:pPr>
          </w:p>
        </w:tc>
        <w:tc>
          <w:tcPr>
            <w:tcW w:w="582" w:type="dxa"/>
          </w:tcPr>
          <w:p w14:paraId="11B985BF" w14:textId="7E1D3421" w:rsidR="006D748D" w:rsidRPr="001C1141" w:rsidRDefault="006D748D" w:rsidP="00740D1C">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sz w:val="18"/>
                <w:szCs w:val="18"/>
              </w:rPr>
            </w:pPr>
            <w:r w:rsidRPr="001C1141">
              <w:rPr>
                <w:rFonts w:ascii="Arial" w:hAnsi="Arial"/>
                <w:sz w:val="18"/>
                <w:szCs w:val="18"/>
              </w:rPr>
              <w:t>-1%</w:t>
            </w:r>
          </w:p>
        </w:tc>
        <w:tc>
          <w:tcPr>
            <w:tcW w:w="870" w:type="dxa"/>
          </w:tcPr>
          <w:p w14:paraId="0D7EA7AC" w14:textId="3DA7AD53" w:rsidR="006D748D" w:rsidRPr="001C1141" w:rsidRDefault="006D748D" w:rsidP="00740D1C">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sz w:val="18"/>
                <w:szCs w:val="18"/>
              </w:rPr>
            </w:pPr>
            <w:r w:rsidRPr="001C1141">
              <w:rPr>
                <w:rFonts w:ascii="Arial" w:hAnsi="Arial"/>
                <w:color w:val="000000"/>
                <w:sz w:val="18"/>
                <w:szCs w:val="18"/>
              </w:rPr>
              <w:t>-1.2%</w:t>
            </w:r>
          </w:p>
        </w:tc>
        <w:tc>
          <w:tcPr>
            <w:tcW w:w="981" w:type="dxa"/>
          </w:tcPr>
          <w:p w14:paraId="4EF31F6A" w14:textId="64B11F8C" w:rsidR="006D748D" w:rsidRPr="001C1141" w:rsidRDefault="006D748D" w:rsidP="00740D1C">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sz w:val="18"/>
                <w:szCs w:val="18"/>
              </w:rPr>
            </w:pPr>
            <w:r w:rsidRPr="001C1141">
              <w:rPr>
                <w:rFonts w:ascii="Arial" w:hAnsi="Arial"/>
                <w:color w:val="000000"/>
                <w:sz w:val="18"/>
                <w:szCs w:val="18"/>
              </w:rPr>
              <w:t>-1.5%</w:t>
            </w:r>
          </w:p>
        </w:tc>
        <w:tc>
          <w:tcPr>
            <w:tcW w:w="1134" w:type="dxa"/>
          </w:tcPr>
          <w:p w14:paraId="60090C9C" w14:textId="7A1418E5" w:rsidR="006D748D" w:rsidRPr="001C1141" w:rsidRDefault="006D748D" w:rsidP="00740D1C">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sz w:val="18"/>
                <w:szCs w:val="18"/>
              </w:rPr>
            </w:pPr>
            <w:r w:rsidRPr="001C1141">
              <w:rPr>
                <w:rFonts w:ascii="Arial" w:hAnsi="Arial"/>
                <w:color w:val="000000"/>
                <w:sz w:val="18"/>
                <w:szCs w:val="18"/>
              </w:rPr>
              <w:t>0.0%</w:t>
            </w:r>
          </w:p>
        </w:tc>
        <w:tc>
          <w:tcPr>
            <w:tcW w:w="903" w:type="dxa"/>
          </w:tcPr>
          <w:p w14:paraId="5635941D" w14:textId="5677C3D0" w:rsidR="006D748D" w:rsidRPr="001C1141" w:rsidRDefault="006D748D" w:rsidP="00740D1C">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sz w:val="18"/>
                <w:szCs w:val="18"/>
              </w:rPr>
            </w:pPr>
            <w:r w:rsidRPr="001C1141">
              <w:rPr>
                <w:rFonts w:ascii="Arial" w:hAnsi="Arial"/>
                <w:color w:val="000000"/>
                <w:sz w:val="18"/>
                <w:szCs w:val="18"/>
              </w:rPr>
              <w:t>-0.3%</w:t>
            </w:r>
          </w:p>
        </w:tc>
        <w:tc>
          <w:tcPr>
            <w:tcW w:w="798" w:type="dxa"/>
          </w:tcPr>
          <w:p w14:paraId="607FF566" w14:textId="2C78FCED" w:rsidR="006D748D" w:rsidRPr="001C1141" w:rsidRDefault="006D748D" w:rsidP="00740D1C">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sz w:val="18"/>
                <w:szCs w:val="18"/>
              </w:rPr>
            </w:pPr>
            <w:r w:rsidRPr="001C1141">
              <w:rPr>
                <w:rFonts w:ascii="Arial" w:hAnsi="Arial"/>
                <w:color w:val="000000"/>
                <w:sz w:val="18"/>
                <w:szCs w:val="18"/>
              </w:rPr>
              <w:t>-164</w:t>
            </w:r>
          </w:p>
        </w:tc>
        <w:tc>
          <w:tcPr>
            <w:tcW w:w="851" w:type="dxa"/>
          </w:tcPr>
          <w:p w14:paraId="769945E7" w14:textId="0C694D29" w:rsidR="006D748D" w:rsidRPr="001C1141" w:rsidRDefault="006D748D" w:rsidP="00740D1C">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sz w:val="18"/>
                <w:szCs w:val="18"/>
              </w:rPr>
            </w:pPr>
            <w:r w:rsidRPr="001C1141">
              <w:rPr>
                <w:rFonts w:ascii="Arial" w:hAnsi="Arial"/>
                <w:color w:val="000000"/>
                <w:sz w:val="18"/>
                <w:szCs w:val="18"/>
              </w:rPr>
              <w:t>-3.0%</w:t>
            </w:r>
          </w:p>
        </w:tc>
      </w:tr>
      <w:tr w:rsidR="005D7769" w:rsidRPr="001C1141" w14:paraId="40B30614" w14:textId="502504B0" w:rsidTr="007B022E">
        <w:tc>
          <w:tcPr>
            <w:cnfStyle w:val="001000000000" w:firstRow="0" w:lastRow="0" w:firstColumn="1" w:lastColumn="0" w:oddVBand="0" w:evenVBand="0" w:oddHBand="0" w:evenHBand="0" w:firstRowFirstColumn="0" w:firstRowLastColumn="0" w:lastRowFirstColumn="0" w:lastRowLastColumn="0"/>
            <w:tcW w:w="701" w:type="dxa"/>
            <w:vMerge w:val="restart"/>
            <w:textDirection w:val="btLr"/>
          </w:tcPr>
          <w:p w14:paraId="4A1D08AA" w14:textId="4EDACB84" w:rsidR="006D748D" w:rsidRPr="001C1141" w:rsidRDefault="006D748D" w:rsidP="00740D1C">
            <w:pPr>
              <w:pStyle w:val="PwCNormal"/>
              <w:numPr>
                <w:ilvl w:val="0"/>
                <w:numId w:val="0"/>
              </w:numPr>
              <w:spacing w:before="40" w:after="40"/>
              <w:ind w:left="113" w:right="113"/>
              <w:jc w:val="center"/>
              <w:rPr>
                <w:rFonts w:ascii="Arial" w:hAnsi="Arial"/>
                <w:sz w:val="18"/>
                <w:szCs w:val="18"/>
              </w:rPr>
            </w:pPr>
            <w:r w:rsidRPr="001C1141">
              <w:rPr>
                <w:rFonts w:ascii="Arial" w:hAnsi="Arial"/>
                <w:sz w:val="18"/>
                <w:szCs w:val="18"/>
              </w:rPr>
              <w:t>Welfare Utilisation</w:t>
            </w:r>
          </w:p>
        </w:tc>
        <w:tc>
          <w:tcPr>
            <w:tcW w:w="1979" w:type="dxa"/>
            <w:gridSpan w:val="2"/>
          </w:tcPr>
          <w:p w14:paraId="55F1DA9C" w14:textId="763AA2A2" w:rsidR="006D748D" w:rsidRPr="001C1141" w:rsidRDefault="006D748D" w:rsidP="00740D1C">
            <w:pPr>
              <w:pStyle w:val="PwCNormal"/>
              <w:numPr>
                <w:ilvl w:val="0"/>
                <w:numId w:val="0"/>
              </w:numPr>
              <w:spacing w:before="40" w:after="40"/>
              <w:cnfStyle w:val="000000000000" w:firstRow="0" w:lastRow="0" w:firstColumn="0" w:lastColumn="0" w:oddVBand="0" w:evenVBand="0" w:oddHBand="0" w:evenHBand="0" w:firstRowFirstColumn="0" w:firstRowLastColumn="0" w:lastRowFirstColumn="0" w:lastRowLastColumn="0"/>
              <w:rPr>
                <w:rFonts w:ascii="Arial" w:hAnsi="Arial"/>
                <w:sz w:val="18"/>
                <w:szCs w:val="18"/>
              </w:rPr>
            </w:pPr>
            <w:r w:rsidRPr="001C1141">
              <w:rPr>
                <w:rFonts w:ascii="Arial" w:hAnsi="Arial"/>
                <w:sz w:val="18"/>
                <w:szCs w:val="18"/>
              </w:rPr>
              <w:t>Overall entry rates into welfare from non-welfare: +10%</w:t>
            </w:r>
          </w:p>
        </w:tc>
        <w:tc>
          <w:tcPr>
            <w:tcW w:w="870" w:type="dxa"/>
          </w:tcPr>
          <w:p w14:paraId="56E24410" w14:textId="07E95CD5" w:rsidR="006D748D" w:rsidRPr="001C1141" w:rsidRDefault="006D748D" w:rsidP="00740D1C">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sz w:val="18"/>
                <w:szCs w:val="18"/>
              </w:rPr>
            </w:pPr>
            <w:r w:rsidRPr="001C1141">
              <w:rPr>
                <w:rFonts w:ascii="Arial" w:hAnsi="Arial"/>
                <w:color w:val="000000"/>
                <w:sz w:val="18"/>
                <w:szCs w:val="18"/>
              </w:rPr>
              <w:t>2.1%</w:t>
            </w:r>
          </w:p>
        </w:tc>
        <w:tc>
          <w:tcPr>
            <w:tcW w:w="981" w:type="dxa"/>
          </w:tcPr>
          <w:p w14:paraId="4159FFA4" w14:textId="1E9B0FCD" w:rsidR="006D748D" w:rsidRPr="001C1141" w:rsidRDefault="006D748D" w:rsidP="00740D1C">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sz w:val="18"/>
                <w:szCs w:val="18"/>
              </w:rPr>
            </w:pPr>
            <w:r w:rsidRPr="001C1141">
              <w:rPr>
                <w:rFonts w:ascii="Arial" w:hAnsi="Arial"/>
                <w:color w:val="000000"/>
                <w:sz w:val="18"/>
                <w:szCs w:val="18"/>
              </w:rPr>
              <w:t>1.0%</w:t>
            </w:r>
          </w:p>
        </w:tc>
        <w:tc>
          <w:tcPr>
            <w:tcW w:w="1134" w:type="dxa"/>
          </w:tcPr>
          <w:p w14:paraId="34B10AA6" w14:textId="3DB9FCB2" w:rsidR="006D748D" w:rsidRPr="001C1141" w:rsidRDefault="006D748D" w:rsidP="00740D1C">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sz w:val="18"/>
                <w:szCs w:val="18"/>
              </w:rPr>
            </w:pPr>
            <w:r w:rsidRPr="001C1141">
              <w:rPr>
                <w:rFonts w:ascii="Arial" w:hAnsi="Arial"/>
                <w:color w:val="000000"/>
                <w:sz w:val="18"/>
                <w:szCs w:val="18"/>
              </w:rPr>
              <w:t>0.4%</w:t>
            </w:r>
          </w:p>
        </w:tc>
        <w:tc>
          <w:tcPr>
            <w:tcW w:w="903" w:type="dxa"/>
          </w:tcPr>
          <w:p w14:paraId="06F25481" w14:textId="23200E9C" w:rsidR="006D748D" w:rsidRPr="001C1141" w:rsidRDefault="006D748D" w:rsidP="00740D1C">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sz w:val="18"/>
                <w:szCs w:val="18"/>
              </w:rPr>
            </w:pPr>
            <w:r w:rsidRPr="001C1141">
              <w:rPr>
                <w:rFonts w:ascii="Arial" w:hAnsi="Arial"/>
                <w:color w:val="000000"/>
                <w:sz w:val="18"/>
                <w:szCs w:val="18"/>
              </w:rPr>
              <w:t>0.3%</w:t>
            </w:r>
          </w:p>
        </w:tc>
        <w:tc>
          <w:tcPr>
            <w:tcW w:w="798" w:type="dxa"/>
          </w:tcPr>
          <w:p w14:paraId="19A0964F" w14:textId="388BE19F" w:rsidR="006D748D" w:rsidRPr="001C1141" w:rsidRDefault="006D748D" w:rsidP="00740D1C">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sz w:val="18"/>
                <w:szCs w:val="18"/>
              </w:rPr>
            </w:pPr>
            <w:r w:rsidRPr="001C1141">
              <w:rPr>
                <w:rFonts w:ascii="Arial" w:hAnsi="Arial"/>
                <w:color w:val="000000"/>
                <w:sz w:val="18"/>
                <w:szCs w:val="18"/>
              </w:rPr>
              <w:t>210</w:t>
            </w:r>
          </w:p>
        </w:tc>
        <w:tc>
          <w:tcPr>
            <w:tcW w:w="851" w:type="dxa"/>
          </w:tcPr>
          <w:p w14:paraId="3731C621" w14:textId="049DCED9" w:rsidR="006D748D" w:rsidRPr="001C1141" w:rsidRDefault="006D748D" w:rsidP="00740D1C">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sz w:val="18"/>
                <w:szCs w:val="18"/>
              </w:rPr>
            </w:pPr>
            <w:r w:rsidRPr="001C1141">
              <w:rPr>
                <w:rFonts w:ascii="Arial" w:hAnsi="Arial"/>
                <w:color w:val="000000"/>
                <w:sz w:val="18"/>
                <w:szCs w:val="18"/>
              </w:rPr>
              <w:t>3.8%</w:t>
            </w:r>
          </w:p>
        </w:tc>
      </w:tr>
      <w:tr w:rsidR="005D7769" w:rsidRPr="001C1141" w14:paraId="415A5E8C" w14:textId="0B8AB2F0" w:rsidTr="007B02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 w:type="dxa"/>
            <w:vMerge/>
          </w:tcPr>
          <w:p w14:paraId="526FAF4B" w14:textId="77777777" w:rsidR="006D748D" w:rsidRPr="001C1141" w:rsidRDefault="006D748D" w:rsidP="00740D1C">
            <w:pPr>
              <w:pStyle w:val="PwCNormal"/>
              <w:numPr>
                <w:ilvl w:val="0"/>
                <w:numId w:val="0"/>
              </w:numPr>
              <w:spacing w:before="40" w:after="40"/>
              <w:rPr>
                <w:rFonts w:ascii="Arial" w:hAnsi="Arial"/>
                <w:sz w:val="18"/>
                <w:szCs w:val="18"/>
              </w:rPr>
            </w:pPr>
          </w:p>
        </w:tc>
        <w:tc>
          <w:tcPr>
            <w:tcW w:w="1979" w:type="dxa"/>
            <w:gridSpan w:val="2"/>
          </w:tcPr>
          <w:p w14:paraId="55D92A15" w14:textId="37338C47" w:rsidR="006D748D" w:rsidRPr="001C1141" w:rsidRDefault="006D748D" w:rsidP="00740D1C">
            <w:pPr>
              <w:pStyle w:val="PwCNormal"/>
              <w:numPr>
                <w:ilvl w:val="0"/>
                <w:numId w:val="0"/>
              </w:numPr>
              <w:spacing w:before="40" w:after="40"/>
              <w:cnfStyle w:val="000000100000" w:firstRow="0" w:lastRow="0" w:firstColumn="0" w:lastColumn="0" w:oddVBand="0" w:evenVBand="0" w:oddHBand="1" w:evenHBand="0" w:firstRowFirstColumn="0" w:firstRowLastColumn="0" w:lastRowFirstColumn="0" w:lastRowLastColumn="0"/>
              <w:rPr>
                <w:rFonts w:ascii="Arial" w:hAnsi="Arial"/>
                <w:sz w:val="18"/>
                <w:szCs w:val="18"/>
              </w:rPr>
            </w:pPr>
            <w:r w:rsidRPr="001C1141">
              <w:rPr>
                <w:rFonts w:ascii="Arial" w:hAnsi="Arial"/>
                <w:sz w:val="18"/>
                <w:szCs w:val="18"/>
              </w:rPr>
              <w:t>Overall entry rates into welfare from non-welfare: -10%</w:t>
            </w:r>
          </w:p>
        </w:tc>
        <w:tc>
          <w:tcPr>
            <w:tcW w:w="870" w:type="dxa"/>
          </w:tcPr>
          <w:p w14:paraId="21A4B939" w14:textId="1BC7B03E" w:rsidR="006D748D" w:rsidRPr="001C1141" w:rsidRDefault="006D748D" w:rsidP="00740D1C">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sz w:val="18"/>
                <w:szCs w:val="18"/>
              </w:rPr>
            </w:pPr>
            <w:r w:rsidRPr="001C1141">
              <w:rPr>
                <w:rFonts w:ascii="Arial" w:hAnsi="Arial"/>
                <w:color w:val="000000"/>
                <w:sz w:val="18"/>
                <w:szCs w:val="18"/>
              </w:rPr>
              <w:t>-2.6%</w:t>
            </w:r>
          </w:p>
        </w:tc>
        <w:tc>
          <w:tcPr>
            <w:tcW w:w="981" w:type="dxa"/>
          </w:tcPr>
          <w:p w14:paraId="4762858A" w14:textId="56C100A8" w:rsidR="006D748D" w:rsidRPr="001C1141" w:rsidRDefault="006D748D" w:rsidP="00740D1C">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sz w:val="18"/>
                <w:szCs w:val="18"/>
              </w:rPr>
            </w:pPr>
            <w:r w:rsidRPr="001C1141">
              <w:rPr>
                <w:rFonts w:ascii="Arial" w:hAnsi="Arial"/>
                <w:color w:val="000000"/>
                <w:sz w:val="18"/>
                <w:szCs w:val="18"/>
              </w:rPr>
              <w:t>-0.8%</w:t>
            </w:r>
          </w:p>
        </w:tc>
        <w:tc>
          <w:tcPr>
            <w:tcW w:w="1134" w:type="dxa"/>
          </w:tcPr>
          <w:p w14:paraId="29A9E410" w14:textId="45430778" w:rsidR="006D748D" w:rsidRPr="001C1141" w:rsidRDefault="006D748D" w:rsidP="00740D1C">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sz w:val="18"/>
                <w:szCs w:val="18"/>
              </w:rPr>
            </w:pPr>
            <w:r w:rsidRPr="001C1141">
              <w:rPr>
                <w:rFonts w:ascii="Arial" w:hAnsi="Arial"/>
                <w:color w:val="000000"/>
                <w:sz w:val="18"/>
                <w:szCs w:val="18"/>
              </w:rPr>
              <w:t>-0.4%</w:t>
            </w:r>
          </w:p>
        </w:tc>
        <w:tc>
          <w:tcPr>
            <w:tcW w:w="903" w:type="dxa"/>
          </w:tcPr>
          <w:p w14:paraId="759F06FC" w14:textId="1ED75D4D" w:rsidR="006D748D" w:rsidRPr="001C1141" w:rsidRDefault="006D748D" w:rsidP="00740D1C">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sz w:val="18"/>
                <w:szCs w:val="18"/>
              </w:rPr>
            </w:pPr>
            <w:r w:rsidRPr="001C1141">
              <w:rPr>
                <w:rFonts w:ascii="Arial" w:hAnsi="Arial"/>
                <w:color w:val="000000"/>
                <w:sz w:val="18"/>
                <w:szCs w:val="18"/>
              </w:rPr>
              <w:t>-0.3%</w:t>
            </w:r>
          </w:p>
        </w:tc>
        <w:tc>
          <w:tcPr>
            <w:tcW w:w="798" w:type="dxa"/>
          </w:tcPr>
          <w:p w14:paraId="70DBF531" w14:textId="695B5C36" w:rsidR="006D748D" w:rsidRPr="001C1141" w:rsidRDefault="006D748D" w:rsidP="00740D1C">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sz w:val="18"/>
                <w:szCs w:val="18"/>
              </w:rPr>
            </w:pPr>
            <w:r w:rsidRPr="001C1141">
              <w:rPr>
                <w:rFonts w:ascii="Arial" w:hAnsi="Arial"/>
                <w:color w:val="000000"/>
                <w:sz w:val="18"/>
                <w:szCs w:val="18"/>
              </w:rPr>
              <w:t>-227</w:t>
            </w:r>
          </w:p>
        </w:tc>
        <w:tc>
          <w:tcPr>
            <w:tcW w:w="851" w:type="dxa"/>
          </w:tcPr>
          <w:p w14:paraId="62FF5795" w14:textId="460A1794" w:rsidR="006D748D" w:rsidRPr="001C1141" w:rsidRDefault="006D748D" w:rsidP="00740D1C">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sz w:val="18"/>
                <w:szCs w:val="18"/>
              </w:rPr>
            </w:pPr>
            <w:r w:rsidRPr="001C1141">
              <w:rPr>
                <w:rFonts w:ascii="Arial" w:hAnsi="Arial"/>
                <w:color w:val="000000"/>
                <w:sz w:val="18"/>
                <w:szCs w:val="18"/>
              </w:rPr>
              <w:t>-4.1%</w:t>
            </w:r>
          </w:p>
        </w:tc>
      </w:tr>
      <w:tr w:rsidR="005D7769" w:rsidRPr="001C1141" w14:paraId="44499168" w14:textId="78CFEA62" w:rsidTr="007B022E">
        <w:tc>
          <w:tcPr>
            <w:cnfStyle w:val="001000000000" w:firstRow="0" w:lastRow="0" w:firstColumn="1" w:lastColumn="0" w:oddVBand="0" w:evenVBand="0" w:oddHBand="0" w:evenHBand="0" w:firstRowFirstColumn="0" w:firstRowLastColumn="0" w:lastRowFirstColumn="0" w:lastRowLastColumn="0"/>
            <w:tcW w:w="701" w:type="dxa"/>
            <w:vMerge/>
          </w:tcPr>
          <w:p w14:paraId="796E32B4" w14:textId="77777777" w:rsidR="006D748D" w:rsidRPr="001C1141" w:rsidRDefault="006D748D" w:rsidP="00740D1C">
            <w:pPr>
              <w:pStyle w:val="PwCNormal"/>
              <w:numPr>
                <w:ilvl w:val="0"/>
                <w:numId w:val="0"/>
              </w:numPr>
              <w:spacing w:before="40" w:after="40"/>
              <w:rPr>
                <w:rFonts w:ascii="Arial" w:hAnsi="Arial"/>
                <w:sz w:val="18"/>
                <w:szCs w:val="18"/>
              </w:rPr>
            </w:pPr>
          </w:p>
        </w:tc>
        <w:tc>
          <w:tcPr>
            <w:tcW w:w="1979" w:type="dxa"/>
            <w:gridSpan w:val="2"/>
          </w:tcPr>
          <w:p w14:paraId="139C0A92" w14:textId="27282DC8" w:rsidR="006D748D" w:rsidRPr="001C1141" w:rsidRDefault="006D748D" w:rsidP="00740D1C">
            <w:pPr>
              <w:pStyle w:val="PwCNormal"/>
              <w:numPr>
                <w:ilvl w:val="0"/>
                <w:numId w:val="0"/>
              </w:numPr>
              <w:spacing w:before="40" w:after="40"/>
              <w:cnfStyle w:val="000000000000" w:firstRow="0" w:lastRow="0" w:firstColumn="0" w:lastColumn="0" w:oddVBand="0" w:evenVBand="0" w:oddHBand="0" w:evenHBand="0" w:firstRowFirstColumn="0" w:firstRowLastColumn="0" w:lastRowFirstColumn="0" w:lastRowLastColumn="0"/>
              <w:rPr>
                <w:rFonts w:ascii="Arial" w:hAnsi="Arial"/>
                <w:sz w:val="18"/>
                <w:szCs w:val="18"/>
              </w:rPr>
            </w:pPr>
            <w:r w:rsidRPr="001C1141">
              <w:rPr>
                <w:rFonts w:ascii="Arial" w:hAnsi="Arial"/>
                <w:sz w:val="18"/>
                <w:szCs w:val="18"/>
              </w:rPr>
              <w:t xml:space="preserve">Overall exit rates from welfare to </w:t>
            </w:r>
            <w:r w:rsidR="00951C8B">
              <w:rPr>
                <w:rFonts w:ascii="Arial" w:hAnsi="Arial"/>
                <w:sz w:val="18"/>
                <w:szCs w:val="18"/>
              </w:rPr>
              <w:t>non-</w:t>
            </w:r>
            <w:r w:rsidRPr="001C1141">
              <w:rPr>
                <w:rFonts w:ascii="Arial" w:hAnsi="Arial"/>
                <w:sz w:val="18"/>
                <w:szCs w:val="18"/>
              </w:rPr>
              <w:t>welfare: +10%</w:t>
            </w:r>
          </w:p>
        </w:tc>
        <w:tc>
          <w:tcPr>
            <w:tcW w:w="870" w:type="dxa"/>
          </w:tcPr>
          <w:p w14:paraId="644E3B29" w14:textId="3164A16B" w:rsidR="006D748D" w:rsidRPr="001C1141" w:rsidRDefault="006D748D" w:rsidP="00740D1C">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sz w:val="18"/>
                <w:szCs w:val="18"/>
              </w:rPr>
            </w:pPr>
            <w:r w:rsidRPr="001C1141">
              <w:rPr>
                <w:rFonts w:ascii="Arial" w:hAnsi="Arial"/>
                <w:color w:val="000000"/>
                <w:sz w:val="18"/>
                <w:szCs w:val="18"/>
              </w:rPr>
              <w:t>-0.2%</w:t>
            </w:r>
          </w:p>
        </w:tc>
        <w:tc>
          <w:tcPr>
            <w:tcW w:w="981" w:type="dxa"/>
          </w:tcPr>
          <w:p w14:paraId="28406F9C" w14:textId="7C9166AD" w:rsidR="006D748D" w:rsidRPr="001C1141" w:rsidRDefault="006D748D" w:rsidP="00740D1C">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sz w:val="18"/>
                <w:szCs w:val="18"/>
              </w:rPr>
            </w:pPr>
            <w:r w:rsidRPr="001C1141">
              <w:rPr>
                <w:rFonts w:ascii="Arial" w:hAnsi="Arial"/>
                <w:color w:val="000000"/>
                <w:sz w:val="18"/>
                <w:szCs w:val="18"/>
              </w:rPr>
              <w:t>-0.4%</w:t>
            </w:r>
          </w:p>
        </w:tc>
        <w:tc>
          <w:tcPr>
            <w:tcW w:w="1134" w:type="dxa"/>
          </w:tcPr>
          <w:p w14:paraId="4B0673BC" w14:textId="711CEEC2" w:rsidR="006D748D" w:rsidRPr="001C1141" w:rsidRDefault="006D748D" w:rsidP="00740D1C">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sz w:val="18"/>
                <w:szCs w:val="18"/>
              </w:rPr>
            </w:pPr>
            <w:r w:rsidRPr="001C1141">
              <w:rPr>
                <w:rFonts w:ascii="Arial" w:hAnsi="Arial"/>
                <w:color w:val="000000"/>
                <w:sz w:val="18"/>
                <w:szCs w:val="18"/>
              </w:rPr>
              <w:t>-0.1%</w:t>
            </w:r>
          </w:p>
        </w:tc>
        <w:tc>
          <w:tcPr>
            <w:tcW w:w="903" w:type="dxa"/>
          </w:tcPr>
          <w:p w14:paraId="5192D8C0" w14:textId="08A42F6F" w:rsidR="006D748D" w:rsidRPr="001C1141" w:rsidRDefault="006D748D" w:rsidP="00740D1C">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sz w:val="18"/>
                <w:szCs w:val="18"/>
              </w:rPr>
            </w:pPr>
            <w:r w:rsidRPr="001C1141">
              <w:rPr>
                <w:rFonts w:ascii="Arial" w:hAnsi="Arial"/>
                <w:color w:val="000000"/>
                <w:sz w:val="18"/>
                <w:szCs w:val="18"/>
              </w:rPr>
              <w:t>-0.1%</w:t>
            </w:r>
          </w:p>
        </w:tc>
        <w:tc>
          <w:tcPr>
            <w:tcW w:w="798" w:type="dxa"/>
          </w:tcPr>
          <w:p w14:paraId="09921558" w14:textId="626586C7" w:rsidR="006D748D" w:rsidRPr="001C1141" w:rsidRDefault="006D748D" w:rsidP="00740D1C">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sz w:val="18"/>
                <w:szCs w:val="18"/>
              </w:rPr>
            </w:pPr>
            <w:r w:rsidRPr="001C1141">
              <w:rPr>
                <w:rFonts w:ascii="Arial" w:hAnsi="Arial"/>
                <w:color w:val="000000"/>
                <w:sz w:val="18"/>
                <w:szCs w:val="18"/>
              </w:rPr>
              <w:t>-42</w:t>
            </w:r>
          </w:p>
        </w:tc>
        <w:tc>
          <w:tcPr>
            <w:tcW w:w="851" w:type="dxa"/>
          </w:tcPr>
          <w:p w14:paraId="5B5FAA16" w14:textId="08FD3371" w:rsidR="006D748D" w:rsidRPr="001C1141" w:rsidRDefault="006D748D" w:rsidP="00740D1C">
            <w:pPr>
              <w:pStyle w:val="PwCNormal"/>
              <w:numPr>
                <w:ilvl w:val="0"/>
                <w:numId w:val="0"/>
              </w:num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sz w:val="18"/>
                <w:szCs w:val="18"/>
              </w:rPr>
            </w:pPr>
            <w:r w:rsidRPr="001C1141">
              <w:rPr>
                <w:rFonts w:ascii="Arial" w:hAnsi="Arial"/>
                <w:color w:val="000000"/>
                <w:sz w:val="18"/>
                <w:szCs w:val="18"/>
              </w:rPr>
              <w:t>-0.8%</w:t>
            </w:r>
          </w:p>
        </w:tc>
      </w:tr>
      <w:tr w:rsidR="005D7769" w:rsidRPr="001C1141" w14:paraId="4FF82304" w14:textId="000CEAD5" w:rsidTr="007B02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 w:type="dxa"/>
            <w:vMerge/>
          </w:tcPr>
          <w:p w14:paraId="27AF18A1" w14:textId="77777777" w:rsidR="006D748D" w:rsidRPr="001C1141" w:rsidRDefault="006D748D" w:rsidP="00740D1C">
            <w:pPr>
              <w:pStyle w:val="PwCNormal"/>
              <w:numPr>
                <w:ilvl w:val="0"/>
                <w:numId w:val="0"/>
              </w:numPr>
              <w:spacing w:before="40" w:after="40"/>
              <w:rPr>
                <w:rFonts w:ascii="Arial" w:hAnsi="Arial"/>
                <w:sz w:val="18"/>
                <w:szCs w:val="18"/>
              </w:rPr>
            </w:pPr>
          </w:p>
        </w:tc>
        <w:tc>
          <w:tcPr>
            <w:tcW w:w="1979" w:type="dxa"/>
            <w:gridSpan w:val="2"/>
          </w:tcPr>
          <w:p w14:paraId="0350B375" w14:textId="4B712666" w:rsidR="006D748D" w:rsidRPr="001C1141" w:rsidRDefault="006D748D" w:rsidP="00740D1C">
            <w:pPr>
              <w:pStyle w:val="PwCNormal"/>
              <w:numPr>
                <w:ilvl w:val="0"/>
                <w:numId w:val="0"/>
              </w:numPr>
              <w:spacing w:before="40" w:after="40"/>
              <w:cnfStyle w:val="000000100000" w:firstRow="0" w:lastRow="0" w:firstColumn="0" w:lastColumn="0" w:oddVBand="0" w:evenVBand="0" w:oddHBand="1" w:evenHBand="0" w:firstRowFirstColumn="0" w:firstRowLastColumn="0" w:lastRowFirstColumn="0" w:lastRowLastColumn="0"/>
              <w:rPr>
                <w:rFonts w:ascii="Arial" w:hAnsi="Arial"/>
                <w:sz w:val="18"/>
                <w:szCs w:val="18"/>
              </w:rPr>
            </w:pPr>
            <w:r w:rsidRPr="001C1141">
              <w:rPr>
                <w:rFonts w:ascii="Arial" w:hAnsi="Arial"/>
                <w:sz w:val="18"/>
                <w:szCs w:val="18"/>
              </w:rPr>
              <w:t xml:space="preserve">Overall exit rates from welfare to </w:t>
            </w:r>
            <w:r w:rsidR="00951C8B">
              <w:rPr>
                <w:rFonts w:ascii="Arial" w:hAnsi="Arial"/>
                <w:sz w:val="18"/>
                <w:szCs w:val="18"/>
              </w:rPr>
              <w:t>non-</w:t>
            </w:r>
            <w:r w:rsidRPr="001C1141">
              <w:rPr>
                <w:rFonts w:ascii="Arial" w:hAnsi="Arial"/>
                <w:sz w:val="18"/>
                <w:szCs w:val="18"/>
              </w:rPr>
              <w:t>welfare: -10%</w:t>
            </w:r>
          </w:p>
        </w:tc>
        <w:tc>
          <w:tcPr>
            <w:tcW w:w="870" w:type="dxa"/>
          </w:tcPr>
          <w:p w14:paraId="4A01303F" w14:textId="19EF980A" w:rsidR="006D748D" w:rsidRPr="001C1141" w:rsidRDefault="006D748D" w:rsidP="00740D1C">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sz w:val="18"/>
                <w:szCs w:val="18"/>
              </w:rPr>
            </w:pPr>
            <w:r w:rsidRPr="001C1141">
              <w:rPr>
                <w:rFonts w:ascii="Arial" w:hAnsi="Arial"/>
                <w:color w:val="000000"/>
                <w:sz w:val="18"/>
                <w:szCs w:val="18"/>
              </w:rPr>
              <w:t>0.2%</w:t>
            </w:r>
          </w:p>
        </w:tc>
        <w:tc>
          <w:tcPr>
            <w:tcW w:w="981" w:type="dxa"/>
          </w:tcPr>
          <w:p w14:paraId="2AA4C931" w14:textId="17A872C1" w:rsidR="006D748D" w:rsidRPr="001C1141" w:rsidRDefault="006D748D" w:rsidP="00740D1C">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sz w:val="18"/>
                <w:szCs w:val="18"/>
              </w:rPr>
            </w:pPr>
            <w:r w:rsidRPr="001C1141">
              <w:rPr>
                <w:rFonts w:ascii="Arial" w:hAnsi="Arial"/>
                <w:color w:val="000000"/>
                <w:sz w:val="18"/>
                <w:szCs w:val="18"/>
              </w:rPr>
              <w:t>0.7%</w:t>
            </w:r>
          </w:p>
        </w:tc>
        <w:tc>
          <w:tcPr>
            <w:tcW w:w="1134" w:type="dxa"/>
          </w:tcPr>
          <w:p w14:paraId="0EC7214A" w14:textId="344715A7" w:rsidR="006D748D" w:rsidRPr="001C1141" w:rsidRDefault="006D748D" w:rsidP="00740D1C">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sz w:val="18"/>
                <w:szCs w:val="18"/>
              </w:rPr>
            </w:pPr>
            <w:r w:rsidRPr="001C1141">
              <w:rPr>
                <w:rFonts w:ascii="Arial" w:hAnsi="Arial"/>
                <w:color w:val="000000"/>
                <w:sz w:val="18"/>
                <w:szCs w:val="18"/>
              </w:rPr>
              <w:t>0.2%</w:t>
            </w:r>
          </w:p>
        </w:tc>
        <w:tc>
          <w:tcPr>
            <w:tcW w:w="903" w:type="dxa"/>
          </w:tcPr>
          <w:p w14:paraId="0854C81D" w14:textId="261682B5" w:rsidR="006D748D" w:rsidRPr="001C1141" w:rsidRDefault="006D748D" w:rsidP="00740D1C">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sz w:val="18"/>
                <w:szCs w:val="18"/>
              </w:rPr>
            </w:pPr>
            <w:r w:rsidRPr="001C1141">
              <w:rPr>
                <w:rFonts w:ascii="Arial" w:hAnsi="Arial"/>
                <w:color w:val="000000"/>
                <w:sz w:val="18"/>
                <w:szCs w:val="18"/>
              </w:rPr>
              <w:t>0.1%</w:t>
            </w:r>
          </w:p>
        </w:tc>
        <w:tc>
          <w:tcPr>
            <w:tcW w:w="798" w:type="dxa"/>
          </w:tcPr>
          <w:p w14:paraId="378DA4CD" w14:textId="037BA574" w:rsidR="006D748D" w:rsidRPr="001C1141" w:rsidRDefault="006D748D" w:rsidP="00740D1C">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sz w:val="18"/>
                <w:szCs w:val="18"/>
              </w:rPr>
            </w:pPr>
            <w:r w:rsidRPr="001C1141">
              <w:rPr>
                <w:rFonts w:ascii="Arial" w:hAnsi="Arial"/>
                <w:color w:val="000000"/>
                <w:sz w:val="18"/>
                <w:szCs w:val="18"/>
              </w:rPr>
              <w:t>66</w:t>
            </w:r>
          </w:p>
        </w:tc>
        <w:tc>
          <w:tcPr>
            <w:tcW w:w="851" w:type="dxa"/>
          </w:tcPr>
          <w:p w14:paraId="0A99A2E2" w14:textId="6981D431" w:rsidR="006D748D" w:rsidRPr="001C1141" w:rsidRDefault="006D748D" w:rsidP="00740D1C">
            <w:pPr>
              <w:pStyle w:val="PwCNormal"/>
              <w:numPr>
                <w:ilvl w:val="0"/>
                <w:numId w:val="0"/>
              </w:num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sz w:val="18"/>
                <w:szCs w:val="18"/>
              </w:rPr>
            </w:pPr>
            <w:r w:rsidRPr="001C1141">
              <w:rPr>
                <w:rFonts w:ascii="Arial" w:hAnsi="Arial"/>
                <w:color w:val="000000"/>
                <w:sz w:val="18"/>
                <w:szCs w:val="18"/>
              </w:rPr>
              <w:t>1.2%</w:t>
            </w:r>
          </w:p>
        </w:tc>
      </w:tr>
    </w:tbl>
    <w:p w14:paraId="1CFDDFE6" w14:textId="01052F1A" w:rsidR="009A4DAD" w:rsidRDefault="009A4DAD" w:rsidP="004069C4">
      <w:pPr>
        <w:pStyle w:val="PwCNormal"/>
        <w:keepNext/>
        <w:keepLines/>
        <w:numPr>
          <w:ilvl w:val="0"/>
          <w:numId w:val="0"/>
        </w:numPr>
        <w:spacing w:before="0" w:after="0"/>
      </w:pPr>
    </w:p>
    <w:p w14:paraId="7E5D22B9" w14:textId="4EDB019A" w:rsidR="00E5575F" w:rsidRPr="005F1C01" w:rsidRDefault="00FB3AB7" w:rsidP="006C46CC">
      <w:pPr>
        <w:pStyle w:val="OutlineNumbered1"/>
      </w:pPr>
      <w:r w:rsidRPr="005F1C01">
        <w:t xml:space="preserve">Changes in mortality improvements </w:t>
      </w:r>
      <w:r w:rsidR="00136876" w:rsidRPr="005F1C01">
        <w:t xml:space="preserve">primarily impact </w:t>
      </w:r>
      <w:r w:rsidR="005B7866">
        <w:t>the A</w:t>
      </w:r>
      <w:r w:rsidR="00136876" w:rsidRPr="005F1C01">
        <w:t xml:space="preserve">ge </w:t>
      </w:r>
      <w:r w:rsidR="005B7866">
        <w:t>P</w:t>
      </w:r>
      <w:r w:rsidR="009F022F" w:rsidRPr="005F1C01">
        <w:t>ension</w:t>
      </w:r>
      <w:r w:rsidR="00136876" w:rsidRPr="005F1C01">
        <w:t xml:space="preserve"> and </w:t>
      </w:r>
      <w:r w:rsidR="005825D0">
        <w:t>d</w:t>
      </w:r>
      <w:r w:rsidR="009F022F" w:rsidRPr="005F1C01">
        <w:t>isability</w:t>
      </w:r>
      <w:r w:rsidR="00136876" w:rsidRPr="005F1C01">
        <w:t xml:space="preserve"> payments. </w:t>
      </w:r>
      <w:r w:rsidR="009F022F" w:rsidRPr="005F1C01">
        <w:t xml:space="preserve">The greater the future improvement in mortality, then the higher the life expectancy in the future, and longer duration of payments that results. </w:t>
      </w:r>
      <w:r w:rsidR="00136876" w:rsidRPr="005F1C01">
        <w:t>The 1</w:t>
      </w:r>
      <w:r w:rsidRPr="005F1C01">
        <w:t xml:space="preserve">0% </w:t>
      </w:r>
      <w:r w:rsidR="00136876" w:rsidRPr="005F1C01">
        <w:t xml:space="preserve">movements </w:t>
      </w:r>
      <w:r w:rsidR="009F022F" w:rsidRPr="005F1C01">
        <w:t>in future mortality improvements have an impact of approximately 1% on the Lifetime Cost</w:t>
      </w:r>
      <w:r w:rsidR="00136876" w:rsidRPr="005F1C01">
        <w:t xml:space="preserve">.  </w:t>
      </w:r>
    </w:p>
    <w:p w14:paraId="2626CCD2" w14:textId="42D95606" w:rsidR="000B1806" w:rsidRDefault="00C64A4D" w:rsidP="006C46CC">
      <w:pPr>
        <w:pStyle w:val="OutlineNumbered1"/>
      </w:pPr>
      <w:r w:rsidRPr="000B1806">
        <w:t>The discounting assumptions have a large impact on the lifetime cost results. Many of the payments</w:t>
      </w:r>
      <w:r w:rsidR="00391AF5" w:rsidRPr="000B1806">
        <w:t xml:space="preserve">, particularly the Age Pension, </w:t>
      </w:r>
      <w:r w:rsidRPr="000B1806">
        <w:t>are not received until many years into the future and</w:t>
      </w:r>
      <w:r w:rsidR="005825D0">
        <w:t>,</w:t>
      </w:r>
      <w:r w:rsidRPr="000B1806">
        <w:t xml:space="preserve"> for some of the population</w:t>
      </w:r>
      <w:r w:rsidR="005825D0">
        <w:t>,</w:t>
      </w:r>
      <w:r w:rsidRPr="000B1806">
        <w:t xml:space="preserve"> are concentrated in the latter part of people’s lives. This means small changes in the discount rates can </w:t>
      </w:r>
      <w:r w:rsidRPr="000B1806">
        <w:lastRenderedPageBreak/>
        <w:t xml:space="preserve">have a large impact on the </w:t>
      </w:r>
      <w:r w:rsidR="000B1806" w:rsidRPr="000B1806">
        <w:t>L</w:t>
      </w:r>
      <w:r w:rsidRPr="000B1806">
        <w:t xml:space="preserve">ifetime </w:t>
      </w:r>
      <w:r w:rsidR="000B1806" w:rsidRPr="000B1806">
        <w:t>C</w:t>
      </w:r>
      <w:r w:rsidRPr="000B1806">
        <w:t xml:space="preserve">ost. </w:t>
      </w:r>
      <w:r w:rsidR="000B1806" w:rsidRPr="000B1806">
        <w:t>Note that the change in discount rate has no impact on future cashflows</w:t>
      </w:r>
      <w:r w:rsidR="005825D0">
        <w:t>;</w:t>
      </w:r>
      <w:r w:rsidR="000B1806" w:rsidRPr="000B1806">
        <w:t xml:space="preserve"> it only impacts the net present value of these cashflows and, therefore, the estimated lifetime cost. </w:t>
      </w:r>
    </w:p>
    <w:p w14:paraId="17654CC8" w14:textId="26C5FF4B" w:rsidR="00C64A4D" w:rsidRPr="000B1806" w:rsidRDefault="00391AF5" w:rsidP="006C46CC">
      <w:pPr>
        <w:pStyle w:val="OutlineNumbered1"/>
      </w:pPr>
      <w:r w:rsidRPr="000B1806">
        <w:t xml:space="preserve">Indexation and discount rates both </w:t>
      </w:r>
      <w:r w:rsidR="000B1806">
        <w:t>impact</w:t>
      </w:r>
      <w:r w:rsidRPr="000B1806">
        <w:t xml:space="preserve"> </w:t>
      </w:r>
      <w:r w:rsidR="006D080F">
        <w:t xml:space="preserve">on </w:t>
      </w:r>
      <w:r w:rsidRPr="000B1806">
        <w:t xml:space="preserve">the </w:t>
      </w:r>
      <w:r w:rsidR="0002710F">
        <w:t>Lifetime Cost. T</w:t>
      </w:r>
      <w:r w:rsidRPr="000B1806">
        <w:t>he i</w:t>
      </w:r>
      <w:r w:rsidR="00C64A4D" w:rsidRPr="000B1806">
        <w:t xml:space="preserve">mpact </w:t>
      </w:r>
      <w:r w:rsidRPr="000B1806">
        <w:t xml:space="preserve">to the Lifetime Cost </w:t>
      </w:r>
      <w:r w:rsidR="00C64A4D" w:rsidRPr="000B1806">
        <w:t xml:space="preserve">is greatest for changes to the discount rate </w:t>
      </w:r>
      <w:r w:rsidR="006D080F">
        <w:t xml:space="preserve">(assuming indexation remains constant) </w:t>
      </w:r>
      <w:r w:rsidR="00C64A4D" w:rsidRPr="000B1806">
        <w:t xml:space="preserve">as this impacts all future payments over all timeframes. </w:t>
      </w:r>
      <w:r w:rsidR="0002710F">
        <w:t xml:space="preserve">Changes to </w:t>
      </w:r>
      <w:r w:rsidR="00C64A4D" w:rsidRPr="000B1806">
        <w:t xml:space="preserve">AWE </w:t>
      </w:r>
      <w:r w:rsidR="006D080F">
        <w:t xml:space="preserve">have a greater impact </w:t>
      </w:r>
      <w:r w:rsidR="00C64A4D" w:rsidRPr="000B1806">
        <w:t>than changes in the CPI</w:t>
      </w:r>
      <w:r w:rsidR="006D080F">
        <w:t xml:space="preserve"> (assuming a constant discount rate)</w:t>
      </w:r>
      <w:r w:rsidR="00C64A4D" w:rsidRPr="000B1806">
        <w:t xml:space="preserve"> as the payments that occur later i</w:t>
      </w:r>
      <w:r w:rsidRPr="000B1806">
        <w:t xml:space="preserve">n people’s lives benefit from </w:t>
      </w:r>
      <w:r w:rsidR="00C64A4D" w:rsidRPr="000B1806">
        <w:t xml:space="preserve">AWE benchmarking and have a longer average duration. </w:t>
      </w:r>
    </w:p>
    <w:p w14:paraId="789E1B91" w14:textId="708C8E49" w:rsidR="00544C39" w:rsidRPr="00544C39" w:rsidRDefault="00136876" w:rsidP="006C46CC">
      <w:pPr>
        <w:pStyle w:val="OutlineNumbered1"/>
        <w:rPr>
          <w:color w:val="auto"/>
        </w:rPr>
      </w:pPr>
      <w:r w:rsidRPr="00544C39">
        <w:rPr>
          <w:color w:val="auto"/>
        </w:rPr>
        <w:t xml:space="preserve">The AWE assumptions </w:t>
      </w:r>
      <w:r w:rsidR="005B7866" w:rsidRPr="00544C39">
        <w:rPr>
          <w:color w:val="auto"/>
        </w:rPr>
        <w:t xml:space="preserve">directly </w:t>
      </w:r>
      <w:r w:rsidRPr="00544C39">
        <w:rPr>
          <w:color w:val="auto"/>
        </w:rPr>
        <w:t>impact the size of payments</w:t>
      </w:r>
      <w:r w:rsidR="005B7866" w:rsidRPr="00544C39">
        <w:rPr>
          <w:color w:val="auto"/>
        </w:rPr>
        <w:t xml:space="preserve"> made</w:t>
      </w:r>
      <w:r w:rsidR="005825D0">
        <w:rPr>
          <w:color w:val="auto"/>
        </w:rPr>
        <w:t>,</w:t>
      </w:r>
      <w:r w:rsidR="005B7866" w:rsidRPr="00544C39">
        <w:rPr>
          <w:color w:val="auto"/>
        </w:rPr>
        <w:t xml:space="preserve"> which for the Age Pension</w:t>
      </w:r>
      <w:r w:rsidR="00265B36">
        <w:rPr>
          <w:color w:val="auto"/>
        </w:rPr>
        <w:t xml:space="preserve">, and Disability </w:t>
      </w:r>
      <w:r w:rsidR="005825D0">
        <w:rPr>
          <w:color w:val="auto"/>
        </w:rPr>
        <w:t xml:space="preserve">Support </w:t>
      </w:r>
      <w:r w:rsidR="00265B36">
        <w:rPr>
          <w:color w:val="auto"/>
        </w:rPr>
        <w:t>Pension</w:t>
      </w:r>
      <w:r w:rsidR="005B7866" w:rsidRPr="00544C39">
        <w:rPr>
          <w:color w:val="auto"/>
        </w:rPr>
        <w:t xml:space="preserve"> ha</w:t>
      </w:r>
      <w:r w:rsidR="00265B36">
        <w:rPr>
          <w:color w:val="auto"/>
        </w:rPr>
        <w:t>ve</w:t>
      </w:r>
      <w:r w:rsidR="005B7866" w:rsidRPr="00544C39">
        <w:rPr>
          <w:color w:val="auto"/>
        </w:rPr>
        <w:t xml:space="preserve"> </w:t>
      </w:r>
      <w:r w:rsidR="00C22B82">
        <w:rPr>
          <w:color w:val="auto"/>
        </w:rPr>
        <w:t>the most</w:t>
      </w:r>
      <w:r w:rsidR="005B7866" w:rsidRPr="00544C39">
        <w:rPr>
          <w:color w:val="auto"/>
        </w:rPr>
        <w:t xml:space="preserve"> significant effect on the Lifetime Cost</w:t>
      </w:r>
      <w:r w:rsidRPr="00544C39">
        <w:rPr>
          <w:color w:val="auto"/>
        </w:rPr>
        <w:t xml:space="preserve">. </w:t>
      </w:r>
      <w:r w:rsidR="005B7866" w:rsidRPr="00544C39">
        <w:rPr>
          <w:color w:val="auto"/>
        </w:rPr>
        <w:t xml:space="preserve">To highlight the impact of increasing the AWE assumption, a 1% increase to the base </w:t>
      </w:r>
      <w:r w:rsidR="00EA3238">
        <w:rPr>
          <w:color w:val="auto"/>
        </w:rPr>
        <w:t xml:space="preserve">4% </w:t>
      </w:r>
      <w:r w:rsidR="005B7866" w:rsidRPr="00544C39">
        <w:rPr>
          <w:color w:val="auto"/>
        </w:rPr>
        <w:t xml:space="preserve">assumption </w:t>
      </w:r>
      <w:r w:rsidR="00EA3238">
        <w:rPr>
          <w:color w:val="auto"/>
        </w:rPr>
        <w:t>represents a 25% proportional increase</w:t>
      </w:r>
      <w:r w:rsidR="00544C39" w:rsidRPr="00544C39">
        <w:rPr>
          <w:color w:val="auto"/>
        </w:rPr>
        <w:t xml:space="preserve">. </w:t>
      </w:r>
      <w:r w:rsidR="00C22B82">
        <w:rPr>
          <w:color w:val="auto"/>
        </w:rPr>
        <w:t>The</w:t>
      </w:r>
      <w:r w:rsidR="00544C39" w:rsidRPr="00544C39">
        <w:rPr>
          <w:color w:val="auto"/>
        </w:rPr>
        <w:t xml:space="preserve"> CPI assumption</w:t>
      </w:r>
      <w:r w:rsidR="00C22B82">
        <w:rPr>
          <w:color w:val="auto"/>
        </w:rPr>
        <w:t>s directly impact the size of some income support and non-income support payments.</w:t>
      </w:r>
      <w:r w:rsidR="00265B36">
        <w:rPr>
          <w:color w:val="auto"/>
        </w:rPr>
        <w:t xml:space="preserve"> These payment categories have smaller future Lifetime Costs than Age Pension and Disability</w:t>
      </w:r>
      <w:r w:rsidR="005825D0">
        <w:rPr>
          <w:color w:val="auto"/>
        </w:rPr>
        <w:t xml:space="preserve"> Support Pension</w:t>
      </w:r>
      <w:r w:rsidR="00265B36">
        <w:rPr>
          <w:color w:val="auto"/>
        </w:rPr>
        <w:t xml:space="preserve"> so the sensitivity impact is smaller.</w:t>
      </w:r>
    </w:p>
    <w:p w14:paraId="1612F576" w14:textId="1CFB010E" w:rsidR="00E60D5B" w:rsidRPr="007444D4" w:rsidRDefault="00544C39" w:rsidP="006C46CC">
      <w:pPr>
        <w:pStyle w:val="OutlineNumbered1"/>
        <w:rPr>
          <w:color w:val="auto"/>
        </w:rPr>
      </w:pPr>
      <w:r w:rsidRPr="007444D4">
        <w:rPr>
          <w:color w:val="auto"/>
        </w:rPr>
        <w:t>Changes in the u</w:t>
      </w:r>
      <w:r w:rsidR="00E60D5B" w:rsidRPr="007444D4">
        <w:rPr>
          <w:color w:val="auto"/>
        </w:rPr>
        <w:t xml:space="preserve">nemployment rate affect the number of people </w:t>
      </w:r>
      <w:r w:rsidRPr="007444D4">
        <w:rPr>
          <w:color w:val="auto"/>
        </w:rPr>
        <w:t xml:space="preserve">both </w:t>
      </w:r>
      <w:r w:rsidR="00E60D5B" w:rsidRPr="007444D4">
        <w:rPr>
          <w:color w:val="auto"/>
        </w:rPr>
        <w:t>entering and exiting welfare</w:t>
      </w:r>
      <w:r w:rsidRPr="007444D4">
        <w:rPr>
          <w:color w:val="auto"/>
        </w:rPr>
        <w:t>.</w:t>
      </w:r>
      <w:r w:rsidR="00E60D5B" w:rsidRPr="007444D4">
        <w:rPr>
          <w:color w:val="auto"/>
        </w:rPr>
        <w:t xml:space="preserve"> Job</w:t>
      </w:r>
      <w:r w:rsidR="006A0BD0">
        <w:rPr>
          <w:color w:val="auto"/>
        </w:rPr>
        <w:t>S</w:t>
      </w:r>
      <w:r w:rsidR="00E60D5B" w:rsidRPr="007444D4">
        <w:rPr>
          <w:color w:val="auto"/>
        </w:rPr>
        <w:t xml:space="preserve">eeker </w:t>
      </w:r>
      <w:r w:rsidR="007444D4" w:rsidRPr="007444D4">
        <w:rPr>
          <w:color w:val="auto"/>
        </w:rPr>
        <w:t>is</w:t>
      </w:r>
      <w:r w:rsidR="00E60D5B" w:rsidRPr="007444D4">
        <w:rPr>
          <w:color w:val="auto"/>
        </w:rPr>
        <w:t xml:space="preserve"> one of </w:t>
      </w:r>
      <w:r w:rsidR="00EA3238">
        <w:rPr>
          <w:color w:val="auto"/>
        </w:rPr>
        <w:t xml:space="preserve">the </w:t>
      </w:r>
      <w:r w:rsidR="00E60D5B" w:rsidRPr="007444D4">
        <w:rPr>
          <w:color w:val="auto"/>
        </w:rPr>
        <w:t>main pay</w:t>
      </w:r>
      <w:r w:rsidR="000E4312" w:rsidRPr="007444D4">
        <w:rPr>
          <w:color w:val="auto"/>
        </w:rPr>
        <w:t>ment</w:t>
      </w:r>
      <w:r w:rsidR="00E60D5B" w:rsidRPr="007444D4">
        <w:rPr>
          <w:color w:val="auto"/>
        </w:rPr>
        <w:t xml:space="preserve"> categories </w:t>
      </w:r>
      <w:r w:rsidR="007444D4" w:rsidRPr="007444D4">
        <w:rPr>
          <w:color w:val="auto"/>
        </w:rPr>
        <w:t xml:space="preserve">that is directly </w:t>
      </w:r>
      <w:r w:rsidR="00E60D5B" w:rsidRPr="007444D4">
        <w:rPr>
          <w:color w:val="auto"/>
        </w:rPr>
        <w:t>impacted</w:t>
      </w:r>
      <w:r w:rsidR="007444D4" w:rsidRPr="007444D4">
        <w:rPr>
          <w:color w:val="auto"/>
        </w:rPr>
        <w:t>, but a range of impacts are also evident across the spectrum of payment categories</w:t>
      </w:r>
      <w:r w:rsidR="00E60D5B" w:rsidRPr="007444D4">
        <w:rPr>
          <w:color w:val="auto"/>
        </w:rPr>
        <w:t>.</w:t>
      </w:r>
      <w:r w:rsidR="007444D4" w:rsidRPr="007444D4">
        <w:rPr>
          <w:color w:val="auto"/>
        </w:rPr>
        <w:t xml:space="preserve"> </w:t>
      </w:r>
      <w:r w:rsidR="00265B36">
        <w:rPr>
          <w:color w:val="auto"/>
        </w:rPr>
        <w:t>Some of the impacts are downstream</w:t>
      </w:r>
      <w:r w:rsidR="00FF49A6">
        <w:rPr>
          <w:color w:val="auto"/>
        </w:rPr>
        <w:t>;</w:t>
      </w:r>
      <w:r w:rsidR="00265B36">
        <w:rPr>
          <w:color w:val="auto"/>
        </w:rPr>
        <w:t xml:space="preserve"> for example</w:t>
      </w:r>
      <w:r w:rsidR="00FF49A6">
        <w:rPr>
          <w:color w:val="auto"/>
        </w:rPr>
        <w:t>,</w:t>
      </w:r>
      <w:r w:rsidR="00265B36">
        <w:rPr>
          <w:color w:val="auto"/>
        </w:rPr>
        <w:t xml:space="preserve"> a rising unemployment rate may lead to more people entering Job</w:t>
      </w:r>
      <w:r w:rsidR="006A0BD0">
        <w:rPr>
          <w:color w:val="auto"/>
        </w:rPr>
        <w:t>S</w:t>
      </w:r>
      <w:r w:rsidR="00265B36">
        <w:rPr>
          <w:color w:val="auto"/>
        </w:rPr>
        <w:t>eeker, w</w:t>
      </w:r>
      <w:r w:rsidR="00450AFB">
        <w:rPr>
          <w:color w:val="auto"/>
        </w:rPr>
        <w:t>hich will then increase their propensity for future Age Pension usage.</w:t>
      </w:r>
    </w:p>
    <w:p w14:paraId="0DF8FD35" w14:textId="4B718A1A" w:rsidR="00136876" w:rsidRPr="00686102" w:rsidRDefault="00E60D5B" w:rsidP="006C46CC">
      <w:pPr>
        <w:pStyle w:val="OutlineNumbered1"/>
        <w:rPr>
          <w:color w:val="auto"/>
        </w:rPr>
      </w:pPr>
      <w:r w:rsidRPr="00686102">
        <w:rPr>
          <w:color w:val="auto"/>
        </w:rPr>
        <w:t>Adjusting entry and exit rates impact</w:t>
      </w:r>
      <w:r w:rsidR="00686102">
        <w:rPr>
          <w:color w:val="auto"/>
        </w:rPr>
        <w:t>s</w:t>
      </w:r>
      <w:r w:rsidRPr="00686102">
        <w:rPr>
          <w:color w:val="auto"/>
        </w:rPr>
        <w:t xml:space="preserve"> all payment categories</w:t>
      </w:r>
      <w:r w:rsidR="007444D4" w:rsidRPr="00686102">
        <w:rPr>
          <w:color w:val="auto"/>
        </w:rPr>
        <w:t xml:space="preserve">, as would be expected, as this directly </w:t>
      </w:r>
      <w:r w:rsidR="009F1E33" w:rsidRPr="00686102">
        <w:rPr>
          <w:color w:val="auto"/>
        </w:rPr>
        <w:t>chang</w:t>
      </w:r>
      <w:r w:rsidR="007444D4" w:rsidRPr="00686102">
        <w:rPr>
          <w:color w:val="auto"/>
        </w:rPr>
        <w:t xml:space="preserve">es </w:t>
      </w:r>
      <w:r w:rsidR="009F1E33" w:rsidRPr="00686102">
        <w:rPr>
          <w:color w:val="auto"/>
        </w:rPr>
        <w:t xml:space="preserve">the number of people in welfare. </w:t>
      </w:r>
      <w:r w:rsidR="000F03A9">
        <w:rPr>
          <w:color w:val="auto"/>
        </w:rPr>
        <w:t>T</w:t>
      </w:r>
      <w:r w:rsidR="00C95071" w:rsidRPr="00686102">
        <w:rPr>
          <w:color w:val="auto"/>
        </w:rPr>
        <w:t xml:space="preserve">he Lifetime Cost is far more sensitive to changes in entry rates from non-welfare into welfare, than exit rates from welfare to non-welfare. </w:t>
      </w:r>
      <w:r w:rsidR="000F03A9">
        <w:rPr>
          <w:color w:val="auto"/>
        </w:rPr>
        <w:t>Two drivers of this effect are [1] the relative size of the non-welfare population means that small changes result in large movements of people, and [2]</w:t>
      </w:r>
      <w:r w:rsidR="00C95071" w:rsidRPr="00686102">
        <w:rPr>
          <w:color w:val="auto"/>
        </w:rPr>
        <w:t xml:space="preserve"> someone who exit</w:t>
      </w:r>
      <w:r w:rsidR="00F4448B" w:rsidRPr="00686102">
        <w:rPr>
          <w:color w:val="auto"/>
        </w:rPr>
        <w:t>s</w:t>
      </w:r>
      <w:r w:rsidR="00C95071" w:rsidRPr="00686102">
        <w:rPr>
          <w:color w:val="auto"/>
        </w:rPr>
        <w:t xml:space="preserve"> from welfare is more likely to re-enter welfare than someone who has never previously been in welfare. </w:t>
      </w:r>
      <w:r w:rsidR="00686102">
        <w:rPr>
          <w:color w:val="auto"/>
        </w:rPr>
        <w:t>As</w:t>
      </w:r>
      <w:r w:rsidR="00F4448B" w:rsidRPr="00686102">
        <w:rPr>
          <w:color w:val="auto"/>
        </w:rPr>
        <w:t xml:space="preserve"> an increase in new entrants brings someone into welfare who was not previously in the system, </w:t>
      </w:r>
      <w:r w:rsidR="00686102">
        <w:rPr>
          <w:color w:val="auto"/>
        </w:rPr>
        <w:t xml:space="preserve">this </w:t>
      </w:r>
      <w:r w:rsidR="00F4448B" w:rsidRPr="00686102">
        <w:rPr>
          <w:color w:val="auto"/>
        </w:rPr>
        <w:t>increas</w:t>
      </w:r>
      <w:r w:rsidR="00686102">
        <w:rPr>
          <w:color w:val="auto"/>
        </w:rPr>
        <w:t>es both</w:t>
      </w:r>
      <w:r w:rsidR="00F4448B" w:rsidRPr="00686102">
        <w:rPr>
          <w:color w:val="auto"/>
        </w:rPr>
        <w:t xml:space="preserve"> the immediate cost and </w:t>
      </w:r>
      <w:r w:rsidR="00686102">
        <w:rPr>
          <w:color w:val="auto"/>
        </w:rPr>
        <w:t xml:space="preserve">the </w:t>
      </w:r>
      <w:r w:rsidR="00F4448B" w:rsidRPr="00686102">
        <w:rPr>
          <w:color w:val="auto"/>
        </w:rPr>
        <w:t xml:space="preserve">associated costs of greater connection with the welfare system in the longer term. </w:t>
      </w:r>
      <w:r w:rsidR="00686102">
        <w:rPr>
          <w:color w:val="auto"/>
        </w:rPr>
        <w:t>Those</w:t>
      </w:r>
      <w:r w:rsidR="00F4448B" w:rsidRPr="00686102">
        <w:rPr>
          <w:color w:val="auto"/>
        </w:rPr>
        <w:t xml:space="preserve"> leaving welfare </w:t>
      </w:r>
      <w:r w:rsidR="00686102">
        <w:rPr>
          <w:color w:val="auto"/>
        </w:rPr>
        <w:t>are</w:t>
      </w:r>
      <w:r w:rsidR="00F4448B" w:rsidRPr="00686102">
        <w:rPr>
          <w:color w:val="auto"/>
        </w:rPr>
        <w:t xml:space="preserve"> likely to have a continuing connection with welfare at some stage, so the proportionate increase in Lifetime cost is less with lower exits, than it is with higher entries.</w:t>
      </w:r>
    </w:p>
    <w:p w14:paraId="560A204C" w14:textId="037E22BA" w:rsidR="00E5575F" w:rsidRPr="00187EC8" w:rsidRDefault="001C1141" w:rsidP="00A733BD">
      <w:pPr>
        <w:pStyle w:val="Heading3"/>
      </w:pPr>
      <w:r>
        <w:t xml:space="preserve">Adverse </w:t>
      </w:r>
      <w:r w:rsidR="00890CAA">
        <w:t>s</w:t>
      </w:r>
      <w:r w:rsidR="00D63688">
        <w:t>cenarios</w:t>
      </w:r>
    </w:p>
    <w:p w14:paraId="001E0619" w14:textId="67CC0034" w:rsidR="00D63688" w:rsidRPr="00D65F50" w:rsidRDefault="00D63688" w:rsidP="006C46CC">
      <w:pPr>
        <w:pStyle w:val="OutlineNumbered1"/>
        <w:rPr>
          <w:color w:val="auto"/>
        </w:rPr>
      </w:pPr>
      <w:r w:rsidRPr="00D65F50">
        <w:rPr>
          <w:color w:val="auto"/>
        </w:rPr>
        <w:t xml:space="preserve">The </w:t>
      </w:r>
      <w:r w:rsidR="00FF49A6">
        <w:rPr>
          <w:color w:val="auto"/>
        </w:rPr>
        <w:t>sensitivity</w:t>
      </w:r>
      <w:r w:rsidR="00FF49A6" w:rsidRPr="00D65F50">
        <w:rPr>
          <w:color w:val="auto"/>
        </w:rPr>
        <w:t xml:space="preserve"> </w:t>
      </w:r>
      <w:r w:rsidRPr="00D65F50">
        <w:rPr>
          <w:color w:val="auto"/>
        </w:rPr>
        <w:t xml:space="preserve">analysis considers each area of uncertainty independently from another. In reality, there is dependence between one item of experience </w:t>
      </w:r>
      <w:r w:rsidRPr="00D65F50">
        <w:rPr>
          <w:color w:val="auto"/>
        </w:rPr>
        <w:lastRenderedPageBreak/>
        <w:t xml:space="preserve">changing, and another. </w:t>
      </w:r>
      <w:r w:rsidR="00F6658F" w:rsidRPr="00D65F50">
        <w:t xml:space="preserve">For example, </w:t>
      </w:r>
      <w:r w:rsidR="00F6658F">
        <w:t xml:space="preserve">the sensitivity analysis looks at an unemployment </w:t>
      </w:r>
      <w:r w:rsidR="00F6658F" w:rsidRPr="00AE1ABE">
        <w:t xml:space="preserve">increase of 1% in isolation and </w:t>
      </w:r>
      <w:r w:rsidR="00F6658F">
        <w:t xml:space="preserve">does </w:t>
      </w:r>
      <w:r w:rsidR="00F6658F" w:rsidRPr="00AE1ABE">
        <w:t xml:space="preserve">not </w:t>
      </w:r>
      <w:r w:rsidR="00F6658F">
        <w:t xml:space="preserve">consider </w:t>
      </w:r>
      <w:r w:rsidR="00F6658F" w:rsidRPr="00AE1ABE">
        <w:t>an</w:t>
      </w:r>
      <w:r w:rsidR="00F6658F">
        <w:t xml:space="preserve">y related changes </w:t>
      </w:r>
      <w:r w:rsidR="00F6658F" w:rsidRPr="00AE1ABE">
        <w:t xml:space="preserve">in </w:t>
      </w:r>
      <w:r w:rsidR="00F6658F">
        <w:t>AWE</w:t>
      </w:r>
      <w:r w:rsidR="00F6658F" w:rsidRPr="00AE1ABE">
        <w:t xml:space="preserve"> that may happen</w:t>
      </w:r>
      <w:r w:rsidR="00F6658F">
        <w:t xml:space="preserve">. It is likely that </w:t>
      </w:r>
      <w:r w:rsidR="005538B2">
        <w:t>an</w:t>
      </w:r>
      <w:r w:rsidRPr="00D65F50">
        <w:rPr>
          <w:color w:val="auto"/>
        </w:rPr>
        <w:t xml:space="preserve"> economic shock would not only </w:t>
      </w:r>
      <w:r w:rsidR="00D65F50" w:rsidRPr="00D65F50">
        <w:rPr>
          <w:color w:val="auto"/>
        </w:rPr>
        <w:t xml:space="preserve">have an immediate impact on </w:t>
      </w:r>
      <w:r w:rsidRPr="00D65F50">
        <w:rPr>
          <w:color w:val="auto"/>
        </w:rPr>
        <w:t>unemployment, but subsequent government responses would impact inflation, welfare policy would likely change, individuals would change their circumstances and plans to adjust, and so on. In an extreme economic shock, aggregate mortality would also be impacted.</w:t>
      </w:r>
    </w:p>
    <w:p w14:paraId="50839A62" w14:textId="4930042D" w:rsidR="002F1817" w:rsidRDefault="00D63688" w:rsidP="006C46CC">
      <w:pPr>
        <w:pStyle w:val="OutlineNumbered1"/>
      </w:pPr>
      <w:r w:rsidRPr="00261657">
        <w:rPr>
          <w:color w:val="auto"/>
        </w:rPr>
        <w:t>The recent COVID-19 pandemic</w:t>
      </w:r>
      <w:r w:rsidR="00261657">
        <w:rPr>
          <w:color w:val="auto"/>
        </w:rPr>
        <w:t>,</w:t>
      </w:r>
      <w:r w:rsidRPr="00261657">
        <w:rPr>
          <w:color w:val="auto"/>
        </w:rPr>
        <w:t xml:space="preserve"> </w:t>
      </w:r>
      <w:r w:rsidR="00261657" w:rsidRPr="00261657">
        <w:rPr>
          <w:color w:val="auto"/>
        </w:rPr>
        <w:t>occurring after the valuation date of 30</w:t>
      </w:r>
      <w:r w:rsidR="008C791B">
        <w:rPr>
          <w:color w:val="auto"/>
        </w:rPr>
        <w:t> </w:t>
      </w:r>
      <w:r w:rsidR="00261657" w:rsidRPr="00261657">
        <w:rPr>
          <w:color w:val="auto"/>
        </w:rPr>
        <w:t>June</w:t>
      </w:r>
      <w:r w:rsidR="008C791B">
        <w:rPr>
          <w:color w:val="auto"/>
        </w:rPr>
        <w:t> </w:t>
      </w:r>
      <w:r w:rsidR="00261657" w:rsidRPr="00261657">
        <w:rPr>
          <w:color w:val="auto"/>
        </w:rPr>
        <w:t>2019</w:t>
      </w:r>
      <w:r w:rsidR="00261657">
        <w:rPr>
          <w:color w:val="auto"/>
        </w:rPr>
        <w:t xml:space="preserve">, </w:t>
      </w:r>
      <w:r w:rsidR="002F1817">
        <w:rPr>
          <w:color w:val="auto"/>
        </w:rPr>
        <w:t>highlights the above point</w:t>
      </w:r>
      <w:r w:rsidR="00D65F50" w:rsidRPr="00261657">
        <w:rPr>
          <w:color w:val="auto"/>
        </w:rPr>
        <w:t xml:space="preserve">. </w:t>
      </w:r>
      <w:r w:rsidR="002F1817" w:rsidRPr="002F1817">
        <w:rPr>
          <w:rFonts w:cs="Arial"/>
        </w:rPr>
        <w:t>It</w:t>
      </w:r>
      <w:r w:rsidR="00AC1A50" w:rsidRPr="002F1817">
        <w:rPr>
          <w:rFonts w:cs="Arial"/>
        </w:rPr>
        <w:t xml:space="preserve"> will clearly have a widespread</w:t>
      </w:r>
      <w:r w:rsidR="002F1817">
        <w:rPr>
          <w:rFonts w:cs="Arial"/>
        </w:rPr>
        <w:t xml:space="preserve"> and</w:t>
      </w:r>
      <w:r w:rsidR="00AC1A50" w:rsidRPr="002F1817">
        <w:rPr>
          <w:rFonts w:cs="Arial"/>
        </w:rPr>
        <w:t xml:space="preserve"> significant</w:t>
      </w:r>
      <w:r w:rsidR="002F1817">
        <w:rPr>
          <w:rFonts w:cs="Arial"/>
        </w:rPr>
        <w:t xml:space="preserve"> </w:t>
      </w:r>
      <w:r w:rsidR="00AC1A50" w:rsidRPr="002F1817">
        <w:rPr>
          <w:rFonts w:cs="Arial"/>
        </w:rPr>
        <w:t xml:space="preserve">impact </w:t>
      </w:r>
      <w:r w:rsidR="00977725">
        <w:rPr>
          <w:rFonts w:cs="Arial"/>
        </w:rPr>
        <w:t>on a range of welfare policies, payments and services</w:t>
      </w:r>
      <w:r w:rsidR="00AC1A50" w:rsidRPr="002F1817">
        <w:rPr>
          <w:rFonts w:cs="Arial"/>
        </w:rPr>
        <w:t xml:space="preserve">, and will </w:t>
      </w:r>
      <w:r w:rsidR="00261657">
        <w:t>adversely impact the result of the next valuation.</w:t>
      </w:r>
      <w:r w:rsidR="00AC1A50">
        <w:t xml:space="preserve"> </w:t>
      </w:r>
    </w:p>
    <w:p w14:paraId="6812A77F" w14:textId="1CD3CDCD" w:rsidR="00261657" w:rsidRDefault="002F1817" w:rsidP="006C46CC">
      <w:pPr>
        <w:pStyle w:val="OutlineNumbered1"/>
      </w:pPr>
      <w:r w:rsidRPr="00E95524">
        <w:rPr>
          <w:color w:val="auto"/>
        </w:rPr>
        <w:t xml:space="preserve">The 2020 valuation will be required to account for </w:t>
      </w:r>
      <w:r w:rsidR="00AC1A50">
        <w:t>the direct costs of short</w:t>
      </w:r>
      <w:r w:rsidR="00FF49A6">
        <w:t>-</w:t>
      </w:r>
      <w:r w:rsidR="00AC1A50">
        <w:t>term support provided, the impact on unemployment</w:t>
      </w:r>
      <w:r w:rsidR="00E95524">
        <w:t xml:space="preserve">, </w:t>
      </w:r>
      <w:r w:rsidR="00AC1A50">
        <w:t xml:space="preserve">the time taken for employment to recover, and longer term impacts on retirement savings </w:t>
      </w:r>
      <w:r w:rsidR="00E95524">
        <w:t>that will likely eventuate due to</w:t>
      </w:r>
      <w:r w:rsidR="00AC1A50">
        <w:t xml:space="preserve"> periods of lower contributions and asset volatility.</w:t>
      </w:r>
      <w:r w:rsidR="00E95524">
        <w:t xml:space="preserve"> </w:t>
      </w:r>
      <w:r w:rsidR="00AC1A50" w:rsidRPr="005E6EB6">
        <w:t xml:space="preserve">The </w:t>
      </w:r>
      <w:r w:rsidR="00937AF1">
        <w:t>2019-</w:t>
      </w:r>
      <w:r w:rsidR="00AC1A50" w:rsidRPr="005E6EB6">
        <w:t xml:space="preserve">20 financial year data will </w:t>
      </w:r>
      <w:r w:rsidR="00937AF1">
        <w:t>provide information on the first few months of COVID-19 related welfare usage</w:t>
      </w:r>
      <w:r w:rsidR="00AC1A50">
        <w:t>.</w:t>
      </w:r>
    </w:p>
    <w:p w14:paraId="0906D41A" w14:textId="6517D758" w:rsidR="008F7491" w:rsidRPr="00A84C6D" w:rsidRDefault="008F7491" w:rsidP="00A733BD">
      <w:pPr>
        <w:pStyle w:val="Heading3"/>
        <w:sectPr w:rsidR="008F7491" w:rsidRPr="00A84C6D" w:rsidSect="008E6BEA">
          <w:footerReference w:type="first" r:id="rId67"/>
          <w:type w:val="oddPage"/>
          <w:pgSz w:w="11906" w:h="16838" w:code="9"/>
          <w:pgMar w:top="2466" w:right="2098" w:bottom="2466" w:left="2098" w:header="1899" w:footer="1899" w:gutter="0"/>
          <w:cols w:space="708"/>
          <w:titlePg/>
          <w:docGrid w:linePitch="360"/>
        </w:sectPr>
      </w:pPr>
    </w:p>
    <w:p w14:paraId="66038FCE" w14:textId="6CE4401C" w:rsidR="008F7491" w:rsidRPr="000168AF" w:rsidRDefault="008F7491" w:rsidP="00E006C1">
      <w:pPr>
        <w:pStyle w:val="AppendixHeading"/>
      </w:pPr>
      <w:bookmarkStart w:id="294" w:name="_Toc36555811"/>
      <w:bookmarkStart w:id="295" w:name="_Toc36563910"/>
      <w:bookmarkStart w:id="296" w:name="_Toc36655881"/>
      <w:bookmarkStart w:id="297" w:name="_Toc37931091"/>
      <w:bookmarkStart w:id="298" w:name="_Toc38007035"/>
      <w:bookmarkStart w:id="299" w:name="_Toc38458560"/>
      <w:bookmarkStart w:id="300" w:name="_Toc39071816"/>
      <w:bookmarkStart w:id="301" w:name="_Toc39243446"/>
      <w:bookmarkStart w:id="302" w:name="_Toc100131571"/>
      <w:bookmarkStart w:id="303" w:name="_Toc425348054"/>
      <w:r w:rsidRPr="000168AF">
        <w:lastRenderedPageBreak/>
        <w:t xml:space="preserve">Appendix </w:t>
      </w:r>
      <w:r w:rsidR="00844854">
        <w:t>A</w:t>
      </w:r>
      <w:r w:rsidRPr="000168AF">
        <w:t xml:space="preserve">: </w:t>
      </w:r>
      <w:r w:rsidR="00E75456">
        <w:t>G</w:t>
      </w:r>
      <w:r w:rsidR="00124301">
        <w:t>lossary</w:t>
      </w:r>
      <w:bookmarkEnd w:id="294"/>
      <w:bookmarkEnd w:id="295"/>
      <w:bookmarkEnd w:id="296"/>
      <w:bookmarkEnd w:id="297"/>
      <w:bookmarkEnd w:id="298"/>
      <w:bookmarkEnd w:id="299"/>
      <w:bookmarkEnd w:id="300"/>
      <w:bookmarkEnd w:id="301"/>
      <w:bookmarkEnd w:id="302"/>
    </w:p>
    <w:p w14:paraId="1E9873AD" w14:textId="77777777" w:rsidR="004A5231" w:rsidRDefault="00844854" w:rsidP="004A5231">
      <w:pPr>
        <w:pStyle w:val="Glossaryterm"/>
      </w:pPr>
      <w:r w:rsidRPr="00B752A1">
        <w:t>Actuarial valuation</w:t>
      </w:r>
    </w:p>
    <w:p w14:paraId="6C0C2AA6" w14:textId="1C0FA0CC" w:rsidR="00844854" w:rsidRPr="00D626EA" w:rsidRDefault="00844854" w:rsidP="004A5231">
      <w:pPr>
        <w:rPr>
          <w:color w:val="000000" w:themeColor="text1"/>
        </w:rPr>
      </w:pPr>
      <w:r w:rsidRPr="001078D0">
        <w:t xml:space="preserve">Estimation of the </w:t>
      </w:r>
      <w:r w:rsidR="002A2F33" w:rsidRPr="001078D0">
        <w:t>Lifetime Cost</w:t>
      </w:r>
      <w:r w:rsidRPr="001078D0">
        <w:t xml:space="preserve"> of future social security payments </w:t>
      </w:r>
      <w:r w:rsidR="00D8356B" w:rsidRPr="001078D0">
        <w:t xml:space="preserve">to the Australian Government </w:t>
      </w:r>
      <w:r w:rsidRPr="001078D0">
        <w:t>using generally accepted actuarial principles.</w:t>
      </w:r>
    </w:p>
    <w:p w14:paraId="5CDCF7BF" w14:textId="77777777" w:rsidR="004A5231" w:rsidRDefault="00844854" w:rsidP="004A5231">
      <w:pPr>
        <w:pStyle w:val="Glossaryterm"/>
      </w:pPr>
      <w:r w:rsidRPr="00B752A1">
        <w:t>Allowances</w:t>
      </w:r>
    </w:p>
    <w:p w14:paraId="29CD1925" w14:textId="0BF54ECE" w:rsidR="00844854" w:rsidRPr="00D626EA" w:rsidRDefault="00844854" w:rsidP="004A5231">
      <w:pPr>
        <w:rPr>
          <w:color w:val="000000" w:themeColor="text1"/>
        </w:rPr>
      </w:pPr>
      <w:r w:rsidRPr="00D626EA">
        <w:rPr>
          <w:color w:val="000000" w:themeColor="text1"/>
        </w:rPr>
        <w:t xml:space="preserve">Allowances provide income support and access to a range of concessions for eligible Australians. The term Allowance is used by </w:t>
      </w:r>
      <w:r w:rsidR="00A85BE0">
        <w:rPr>
          <w:color w:val="000000" w:themeColor="text1"/>
        </w:rPr>
        <w:t>DSS</w:t>
      </w:r>
      <w:r w:rsidRPr="00D626EA">
        <w:rPr>
          <w:color w:val="000000" w:themeColor="text1"/>
        </w:rPr>
        <w:t xml:space="preserve"> to refer to income support payments that are generally at lower payment levels than Pensions.</w:t>
      </w:r>
    </w:p>
    <w:p w14:paraId="59F6B0DC" w14:textId="77777777" w:rsidR="004A5231" w:rsidRDefault="00844854" w:rsidP="004A5231">
      <w:pPr>
        <w:pStyle w:val="Glossaryterm"/>
      </w:pPr>
      <w:r w:rsidRPr="00B752A1">
        <w:t>Assumptions</w:t>
      </w:r>
    </w:p>
    <w:p w14:paraId="3C4A5737" w14:textId="794B5487" w:rsidR="00844854" w:rsidRPr="00D626EA" w:rsidRDefault="00844854" w:rsidP="004A5231">
      <w:pPr>
        <w:rPr>
          <w:color w:val="000000" w:themeColor="text1"/>
        </w:rPr>
      </w:pPr>
      <w:r w:rsidRPr="00D626EA">
        <w:rPr>
          <w:color w:val="000000" w:themeColor="text1"/>
        </w:rPr>
        <w:t>Assumptions are the parameters that guide the model - these include ‘macro’ assumptions such as economic forecasts and demographic assumptions; and ‘micro’ assumptions such as probabilities of individuals moving into and through the welfare system based on various risk factors.</w:t>
      </w:r>
    </w:p>
    <w:p w14:paraId="08DFBB99" w14:textId="77777777" w:rsidR="004A5231" w:rsidRDefault="00844854" w:rsidP="004A5231">
      <w:pPr>
        <w:pStyle w:val="Glossaryterm"/>
      </w:pPr>
      <w:r w:rsidRPr="00B752A1">
        <w:t xml:space="preserve">Average </w:t>
      </w:r>
      <w:r w:rsidR="002A2F33" w:rsidRPr="00B752A1">
        <w:t>Lifetime Cost</w:t>
      </w:r>
      <w:r w:rsidR="004A5231">
        <w:t xml:space="preserve"> (future)</w:t>
      </w:r>
    </w:p>
    <w:p w14:paraId="0B00AA5B" w14:textId="363E235F" w:rsidR="00844854" w:rsidRPr="00D626EA" w:rsidRDefault="00844854" w:rsidP="004A5231">
      <w:pPr>
        <w:rPr>
          <w:color w:val="000000" w:themeColor="text1"/>
        </w:rPr>
      </w:pPr>
      <w:r w:rsidRPr="00D626EA">
        <w:rPr>
          <w:color w:val="000000" w:themeColor="text1"/>
        </w:rPr>
        <w:t>The net present value of the payments that we expect to be made to an individual over their future lifetime. Note that these will be assessed for groups of similar individuals, not for specific people.</w:t>
      </w:r>
    </w:p>
    <w:p w14:paraId="37111CAB" w14:textId="77777777" w:rsidR="004A5231" w:rsidRDefault="00844854" w:rsidP="004A5231">
      <w:pPr>
        <w:pStyle w:val="Glossaryterm"/>
      </w:pPr>
      <w:r w:rsidRPr="00B752A1">
        <w:t>Data</w:t>
      </w:r>
    </w:p>
    <w:p w14:paraId="33942293" w14:textId="1EF4F96A" w:rsidR="00844854" w:rsidRPr="00D626EA" w:rsidRDefault="00844854" w:rsidP="004A5231">
      <w:pPr>
        <w:rPr>
          <w:color w:val="000000" w:themeColor="text1"/>
        </w:rPr>
      </w:pPr>
      <w:r w:rsidRPr="00D626EA">
        <w:rPr>
          <w:color w:val="000000" w:themeColor="text1"/>
        </w:rPr>
        <w:t>Data</w:t>
      </w:r>
      <w:r w:rsidRPr="00D626EA">
        <w:rPr>
          <w:b/>
          <w:color w:val="000000" w:themeColor="text1"/>
        </w:rPr>
        <w:t xml:space="preserve"> </w:t>
      </w:r>
      <w:r w:rsidRPr="00D626EA">
        <w:rPr>
          <w:color w:val="000000" w:themeColor="text1"/>
        </w:rPr>
        <w:t>refers to sets of information that are being used to inform the project.</w:t>
      </w:r>
    </w:p>
    <w:p w14:paraId="5424E9BE" w14:textId="77777777" w:rsidR="004A5231" w:rsidRDefault="00844854" w:rsidP="004A5231">
      <w:pPr>
        <w:pStyle w:val="Glossaryterm"/>
      </w:pPr>
      <w:r w:rsidRPr="00B752A1">
        <w:t>Datasets</w:t>
      </w:r>
    </w:p>
    <w:p w14:paraId="54FF401C" w14:textId="7F78B0D5" w:rsidR="00844854" w:rsidRPr="00D626EA" w:rsidRDefault="00844854" w:rsidP="004A5231">
      <w:pPr>
        <w:rPr>
          <w:color w:val="000000" w:themeColor="text1"/>
        </w:rPr>
      </w:pPr>
      <w:r w:rsidRPr="00D626EA">
        <w:rPr>
          <w:color w:val="000000" w:themeColor="text1"/>
        </w:rPr>
        <w:t>A set of values of qualitative (characters) or quantitative (numbers) variables that is data coded in a form suitable for using in analysis.</w:t>
      </w:r>
    </w:p>
    <w:p w14:paraId="71CECE6C" w14:textId="77777777" w:rsidR="004A5231" w:rsidRDefault="00844854" w:rsidP="004A5231">
      <w:pPr>
        <w:pStyle w:val="Glossaryterm"/>
      </w:pPr>
      <w:r w:rsidRPr="00B752A1">
        <w:t>Data maturity</w:t>
      </w:r>
    </w:p>
    <w:p w14:paraId="5F4B62CA" w14:textId="3DCB71BC" w:rsidR="00844854" w:rsidRPr="00D626EA" w:rsidRDefault="00844854" w:rsidP="004A5231">
      <w:pPr>
        <w:rPr>
          <w:color w:val="000000" w:themeColor="text1"/>
        </w:rPr>
      </w:pPr>
      <w:r w:rsidRPr="00D626EA">
        <w:rPr>
          <w:color w:val="000000" w:themeColor="text1"/>
        </w:rPr>
        <w:t>The model data is built by attributing payment information into the year in which a welfare recipient was entitled to a payment (which may differ in some cases from the year when the payment was actually received). The data includes all information known and recorded up to 3 months after the valuation date</w:t>
      </w:r>
      <w:r w:rsidR="00D8356B">
        <w:rPr>
          <w:color w:val="000000" w:themeColor="text1"/>
        </w:rPr>
        <w:t>,</w:t>
      </w:r>
      <w:r w:rsidR="002B012E">
        <w:rPr>
          <w:color w:val="000000" w:themeColor="text1"/>
        </w:rPr>
        <w:t xml:space="preserve"> </w:t>
      </w:r>
      <w:r w:rsidR="00C76ABB">
        <w:rPr>
          <w:color w:val="000000" w:themeColor="text1"/>
        </w:rPr>
        <w:t>i.e.</w:t>
      </w:r>
      <w:r w:rsidRPr="00D626EA">
        <w:rPr>
          <w:color w:val="000000" w:themeColor="text1"/>
        </w:rPr>
        <w:t xml:space="preserve"> 30</w:t>
      </w:r>
      <w:r w:rsidR="008C791B">
        <w:rPr>
          <w:color w:val="000000" w:themeColor="text1"/>
        </w:rPr>
        <w:t> </w:t>
      </w:r>
      <w:r w:rsidRPr="00D626EA">
        <w:rPr>
          <w:color w:val="000000" w:themeColor="text1"/>
        </w:rPr>
        <w:t>September, which is also the ‘as known at’ date for the data. In some cases</w:t>
      </w:r>
      <w:r w:rsidR="00D8356B">
        <w:rPr>
          <w:color w:val="000000" w:themeColor="text1"/>
        </w:rPr>
        <w:t>,</w:t>
      </w:r>
      <w:r w:rsidRPr="00D626EA">
        <w:rPr>
          <w:color w:val="000000" w:themeColor="text1"/>
        </w:rPr>
        <w:t xml:space="preserve"> further information about a previous entitlement year will only be known at a later date, and the currently known data is said to be immature in these cases. The main maturity issues noted in the valuation relate to the latest entitlement year and a key example is FTB</w:t>
      </w:r>
      <w:r w:rsidR="00D8356B">
        <w:rPr>
          <w:color w:val="000000" w:themeColor="text1"/>
        </w:rPr>
        <w:t>,</w:t>
      </w:r>
      <w:r w:rsidRPr="00D626EA">
        <w:rPr>
          <w:color w:val="000000" w:themeColor="text1"/>
        </w:rPr>
        <w:t xml:space="preserve"> which is received through the tax system and is often only claimed after the end of the year of entitlement. The model makes various adjustments to allow for the impact of data maturity. </w:t>
      </w:r>
    </w:p>
    <w:p w14:paraId="6511CAAF" w14:textId="77777777" w:rsidR="004A5231" w:rsidRDefault="00844854" w:rsidP="004A5231">
      <w:pPr>
        <w:pStyle w:val="Glossaryterm"/>
      </w:pPr>
      <w:r w:rsidRPr="00B752A1">
        <w:t>Discounting</w:t>
      </w:r>
    </w:p>
    <w:p w14:paraId="6A19B972" w14:textId="6A9B5B7D" w:rsidR="00844854" w:rsidRPr="00D626EA" w:rsidRDefault="00844854" w:rsidP="004A5231">
      <w:pPr>
        <w:rPr>
          <w:color w:val="000000" w:themeColor="text1"/>
        </w:rPr>
      </w:pPr>
      <w:r w:rsidRPr="00D626EA">
        <w:rPr>
          <w:color w:val="000000" w:themeColor="text1"/>
        </w:rPr>
        <w:t>The process of determining the present value of a payment or a stream of payments that is to be received in the future. Given the time value of money, a dollar is worth more today than it would be worth tomorrow given its capacity to earn interest.</w:t>
      </w:r>
    </w:p>
    <w:p w14:paraId="79642F05" w14:textId="77777777" w:rsidR="004A5231" w:rsidRDefault="00844854" w:rsidP="004A5231">
      <w:pPr>
        <w:pStyle w:val="Glossaryterm"/>
      </w:pPr>
      <w:r w:rsidRPr="00B752A1">
        <w:lastRenderedPageBreak/>
        <w:t>Duration on welfare</w:t>
      </w:r>
    </w:p>
    <w:p w14:paraId="77EC30FD" w14:textId="2671DE26" w:rsidR="00844854" w:rsidRPr="00D626EA" w:rsidRDefault="00844854" w:rsidP="004A5231">
      <w:r w:rsidRPr="00D626EA">
        <w:t>The number of financial years in which an individual has received a welfare payment. This includes income support payments</w:t>
      </w:r>
      <w:r w:rsidR="00D8356B">
        <w:t>,</w:t>
      </w:r>
      <w:r w:rsidRPr="00D626EA">
        <w:t xml:space="preserve"> as well as </w:t>
      </w:r>
      <w:r w:rsidR="00621A46">
        <w:t>non-income</w:t>
      </w:r>
      <w:r w:rsidRPr="00D626EA">
        <w:t xml:space="preserve"> support payments.</w:t>
      </w:r>
    </w:p>
    <w:p w14:paraId="1BD14C0F" w14:textId="77777777" w:rsidR="004A5231" w:rsidRDefault="00844854" w:rsidP="004A5231">
      <w:pPr>
        <w:pStyle w:val="Glossaryterm"/>
      </w:pPr>
      <w:r w:rsidRPr="00B752A1">
        <w:t>Dynamic</w:t>
      </w:r>
    </w:p>
    <w:p w14:paraId="3B204D4D" w14:textId="60B85CE9" w:rsidR="00844854" w:rsidRPr="00D626EA" w:rsidRDefault="00844854" w:rsidP="004A5231">
      <w:pPr>
        <w:rPr>
          <w:color w:val="000000" w:themeColor="text1"/>
        </w:rPr>
      </w:pPr>
      <w:r w:rsidRPr="00D626EA">
        <w:rPr>
          <w:color w:val="000000" w:themeColor="text1"/>
        </w:rPr>
        <w:t>A term we are using to describe information or data variables that change with the progression of time (e.g. a person’s partner status).</w:t>
      </w:r>
    </w:p>
    <w:p w14:paraId="08923843" w14:textId="77777777" w:rsidR="004A5231" w:rsidRDefault="00844854" w:rsidP="004A5231">
      <w:pPr>
        <w:pStyle w:val="Glossaryterm"/>
      </w:pPr>
      <w:r w:rsidRPr="00B752A1">
        <w:t>Flow assumptions</w:t>
      </w:r>
    </w:p>
    <w:p w14:paraId="61425252" w14:textId="5289B930" w:rsidR="00844854" w:rsidRPr="00D626EA" w:rsidRDefault="00844854" w:rsidP="004A5231">
      <w:pPr>
        <w:rPr>
          <w:color w:val="000000" w:themeColor="text1"/>
        </w:rPr>
      </w:pPr>
      <w:r w:rsidRPr="00D626EA">
        <w:rPr>
          <w:color w:val="000000" w:themeColor="text1"/>
        </w:rPr>
        <w:t>This comprises the set of assumptions used to ascertain how each person’s individual demographic and risk characteristics change as time progresses.</w:t>
      </w:r>
    </w:p>
    <w:p w14:paraId="35725C66" w14:textId="77777777" w:rsidR="004A5231" w:rsidRDefault="00844854" w:rsidP="004A5231">
      <w:pPr>
        <w:pStyle w:val="Glossaryterm"/>
      </w:pPr>
      <w:r w:rsidRPr="00B752A1">
        <w:t>Group</w:t>
      </w:r>
    </w:p>
    <w:p w14:paraId="485CFB57" w14:textId="112E39F6" w:rsidR="00844854" w:rsidRPr="00D626EA" w:rsidRDefault="00844854" w:rsidP="004A5231">
      <w:pPr>
        <w:rPr>
          <w:color w:val="000000" w:themeColor="text1"/>
        </w:rPr>
      </w:pPr>
      <w:r w:rsidRPr="00D626EA">
        <w:rPr>
          <w:color w:val="000000" w:themeColor="text1"/>
        </w:rPr>
        <w:t xml:space="preserve">In this report we have used the term group to refer to a group of people defined by a set of common characteristics in the model - for example , a group could be "females aged 20 to 24 who were in welfare </w:t>
      </w:r>
      <w:r w:rsidR="00895D81">
        <w:rPr>
          <w:color w:val="000000" w:themeColor="text1"/>
        </w:rPr>
        <w:t>class</w:t>
      </w:r>
      <w:r w:rsidRPr="00D626EA">
        <w:rPr>
          <w:color w:val="000000" w:themeColor="text1"/>
        </w:rPr>
        <w:t xml:space="preserve"> ‘Studying’ in 2014/15" or could be "male carers". Generally, groups will be defined by the model structure and individuals</w:t>
      </w:r>
      <w:r w:rsidR="00D8356B">
        <w:rPr>
          <w:color w:val="000000" w:themeColor="text1"/>
        </w:rPr>
        <w:t>’</w:t>
      </w:r>
      <w:r w:rsidRPr="00D626EA">
        <w:rPr>
          <w:color w:val="000000" w:themeColor="text1"/>
        </w:rPr>
        <w:t xml:space="preserve"> characteristics.</w:t>
      </w:r>
    </w:p>
    <w:p w14:paraId="71420E43" w14:textId="77777777" w:rsidR="004A5231" w:rsidRDefault="00844854" w:rsidP="004A5231">
      <w:pPr>
        <w:pStyle w:val="Glossaryterm"/>
      </w:pPr>
      <w:r w:rsidRPr="00B752A1">
        <w:t>Income support paymen</w:t>
      </w:r>
      <w:r w:rsidR="004A5231">
        <w:t>ts</w:t>
      </w:r>
    </w:p>
    <w:p w14:paraId="3223137F" w14:textId="29F9DA8D" w:rsidR="00844854" w:rsidRPr="00D626EA" w:rsidRDefault="00844854" w:rsidP="004A5231">
      <w:r w:rsidRPr="00174595">
        <w:t xml:space="preserve">Income support payments provide for the basic living costs of adults, and are paid on a fortnightly basis. Income support payments are the primary form of financial assistance for individuals who are unable, or not expected, to fully support themselves. Examples include </w:t>
      </w:r>
      <w:r w:rsidR="001F0FCC" w:rsidRPr="00174595">
        <w:t>Age Pension</w:t>
      </w:r>
      <w:r w:rsidRPr="00174595">
        <w:t xml:space="preserve">, </w:t>
      </w:r>
      <w:r w:rsidR="00556EE5" w:rsidRPr="00174595">
        <w:t>Job</w:t>
      </w:r>
      <w:r w:rsidR="006A0BD0" w:rsidRPr="00174595">
        <w:t>S</w:t>
      </w:r>
      <w:r w:rsidR="00556EE5" w:rsidRPr="00174595">
        <w:t xml:space="preserve">eeker </w:t>
      </w:r>
      <w:r w:rsidR="006A0BD0" w:rsidRPr="00174595">
        <w:t xml:space="preserve">Payment </w:t>
      </w:r>
      <w:r w:rsidR="00556EE5" w:rsidRPr="00174595">
        <w:t xml:space="preserve">(formerly </w:t>
      </w:r>
      <w:r w:rsidRPr="00174595">
        <w:t>Newstart</w:t>
      </w:r>
      <w:r w:rsidR="006A0BD0" w:rsidRPr="00174595">
        <w:t xml:space="preserve"> Allowance</w:t>
      </w:r>
      <w:r w:rsidR="00556EE5" w:rsidRPr="00174595">
        <w:t>)</w:t>
      </w:r>
      <w:r w:rsidRPr="00174595">
        <w:t xml:space="preserve">, Disability Support Pension, Carer Payment and Parenting Payment. Other supplementary payments are also available to assist people with other specific costs. For example, Family Tax Benefit Part A is provided for the direct costs of raising children and child care assistance is provided to assist with the costs of child care. For the purposes of this </w:t>
      </w:r>
      <w:r w:rsidR="00871674" w:rsidRPr="00174595">
        <w:t>document</w:t>
      </w:r>
      <w:r w:rsidR="00D8356B" w:rsidRPr="00174595">
        <w:t>,</w:t>
      </w:r>
      <w:r w:rsidRPr="00174595">
        <w:t xml:space="preserve"> these payments are referred to as </w:t>
      </w:r>
      <w:r w:rsidR="00621A46" w:rsidRPr="00174595">
        <w:t>non-income</w:t>
      </w:r>
      <w:r w:rsidRPr="00174595">
        <w:t xml:space="preserve"> support payments.</w:t>
      </w:r>
    </w:p>
    <w:p w14:paraId="3387E138" w14:textId="77777777" w:rsidR="004A5231" w:rsidRDefault="00844854" w:rsidP="004A5231">
      <w:pPr>
        <w:pStyle w:val="Glossaryterm"/>
      </w:pPr>
      <w:r w:rsidRPr="00B752A1">
        <w:t>Indexation</w:t>
      </w:r>
    </w:p>
    <w:p w14:paraId="06AFAF47" w14:textId="1F3446AB" w:rsidR="00844854" w:rsidRPr="00D626EA" w:rsidRDefault="00844854" w:rsidP="004A5231">
      <w:pPr>
        <w:rPr>
          <w:color w:val="000000" w:themeColor="text1"/>
        </w:rPr>
      </w:pPr>
      <w:r w:rsidRPr="00D626EA">
        <w:rPr>
          <w:color w:val="000000" w:themeColor="text1"/>
        </w:rPr>
        <w:t>Indexation is a technique to adjust payments by means of an index, in order to maintain an equivalence in values across years. For example, indexing in line with price inflation will maintain an equivalence of payments after indexation relative to purchasing power; while indexing in line with wage inflation will maintain an equivalence of payments after indexation relative to community living standards.</w:t>
      </w:r>
    </w:p>
    <w:p w14:paraId="4056EB35" w14:textId="77777777" w:rsidR="004A5231" w:rsidRDefault="00844854" w:rsidP="004A5231">
      <w:pPr>
        <w:pStyle w:val="Glossaryterm"/>
      </w:pPr>
      <w:r w:rsidRPr="00B752A1">
        <w:t>Liability</w:t>
      </w:r>
    </w:p>
    <w:p w14:paraId="1CE3FCDA" w14:textId="4376D1AE" w:rsidR="00844854" w:rsidRPr="00D626EA" w:rsidRDefault="00844854" w:rsidP="004A5231">
      <w:pPr>
        <w:rPr>
          <w:color w:val="000000" w:themeColor="text1"/>
        </w:rPr>
      </w:pPr>
      <w:r w:rsidRPr="00D626EA">
        <w:rPr>
          <w:color w:val="000000" w:themeColor="text1"/>
        </w:rPr>
        <w:t>In finance, the term liability is used to refer to general obligations to make future payments. The specific meaning varies depending on the person using the term and context of its use. Actuaries may also use this term to describe the net present value of the cashflows arising from future obligations.</w:t>
      </w:r>
    </w:p>
    <w:p w14:paraId="3EDD881D" w14:textId="77777777" w:rsidR="004A5231" w:rsidRDefault="002A2F33" w:rsidP="004A5231">
      <w:pPr>
        <w:pStyle w:val="Glossaryterm"/>
      </w:pPr>
      <w:r w:rsidRPr="00B752A1">
        <w:t>Lifetime Cost</w:t>
      </w:r>
    </w:p>
    <w:p w14:paraId="71680AAA" w14:textId="0DEFAD71" w:rsidR="00844854" w:rsidRPr="00D626EA" w:rsidRDefault="00132E8E" w:rsidP="004A5231">
      <w:pPr>
        <w:rPr>
          <w:color w:val="000000" w:themeColor="text1"/>
        </w:rPr>
      </w:pPr>
      <w:r>
        <w:rPr>
          <w:color w:val="000000" w:themeColor="text1"/>
        </w:rPr>
        <w:t>Th</w:t>
      </w:r>
      <w:r w:rsidR="00844854" w:rsidRPr="00D626EA">
        <w:rPr>
          <w:color w:val="000000" w:themeColor="text1"/>
        </w:rPr>
        <w:t xml:space="preserve">e </w:t>
      </w:r>
      <w:r w:rsidR="002A2F33">
        <w:rPr>
          <w:color w:val="000000" w:themeColor="text1"/>
        </w:rPr>
        <w:t>Lifetime Cost</w:t>
      </w:r>
      <w:r w:rsidR="00844854" w:rsidRPr="00D626EA">
        <w:rPr>
          <w:color w:val="000000" w:themeColor="text1"/>
        </w:rPr>
        <w:t xml:space="preserve"> </w:t>
      </w:r>
      <w:r>
        <w:rPr>
          <w:color w:val="000000" w:themeColor="text1"/>
        </w:rPr>
        <w:t xml:space="preserve">is </w:t>
      </w:r>
      <w:r w:rsidR="00844854" w:rsidRPr="00D626EA">
        <w:rPr>
          <w:color w:val="000000" w:themeColor="text1"/>
        </w:rPr>
        <w:t>the net present value of all future welfare payments (to the in-scope population).</w:t>
      </w:r>
    </w:p>
    <w:p w14:paraId="0BB18DEB" w14:textId="77777777" w:rsidR="004A5231" w:rsidRDefault="00844854" w:rsidP="004A5231">
      <w:pPr>
        <w:pStyle w:val="Glossaryterm"/>
      </w:pPr>
      <w:r w:rsidRPr="00B752A1">
        <w:lastRenderedPageBreak/>
        <w:t>Method</w:t>
      </w:r>
    </w:p>
    <w:p w14:paraId="3F6E02EF" w14:textId="025ED8D8" w:rsidR="00844854" w:rsidRPr="00D626EA" w:rsidRDefault="00844854" w:rsidP="004A5231">
      <w:pPr>
        <w:rPr>
          <w:color w:val="000000" w:themeColor="text1"/>
        </w:rPr>
      </w:pPr>
      <w:r w:rsidRPr="00D626EA">
        <w:rPr>
          <w:color w:val="000000" w:themeColor="text1"/>
        </w:rPr>
        <w:t>The method refers to the description or specification of the process for selecting modelling techniques, taking the data, analysing it, developing or incorporating assumptions about the future, and projecting forward and summarising the expected welfare payments for each individual within the model population.</w:t>
      </w:r>
    </w:p>
    <w:p w14:paraId="504F70D5" w14:textId="77777777" w:rsidR="004A5231" w:rsidRDefault="00844854" w:rsidP="004A5231">
      <w:pPr>
        <w:pStyle w:val="Glossaryterm"/>
      </w:pPr>
      <w:r w:rsidRPr="00B752A1">
        <w:t>Model</w:t>
      </w:r>
    </w:p>
    <w:p w14:paraId="7A73694E" w14:textId="5CE82139" w:rsidR="00844854" w:rsidRPr="00D626EA" w:rsidRDefault="00844854" w:rsidP="004A5231">
      <w:pPr>
        <w:rPr>
          <w:color w:val="000000" w:themeColor="text1"/>
        </w:rPr>
      </w:pPr>
      <w:r w:rsidRPr="00D626EA">
        <w:rPr>
          <w:color w:val="000000" w:themeColor="text1"/>
        </w:rPr>
        <w:t xml:space="preserve">The model refers to the set of computer programs, spreadsheets, formulae, techniques and tools that are built </w:t>
      </w:r>
      <w:r w:rsidR="00D8356B">
        <w:rPr>
          <w:color w:val="000000" w:themeColor="text1"/>
        </w:rPr>
        <w:t xml:space="preserve">in order </w:t>
      </w:r>
      <w:r w:rsidRPr="00D626EA">
        <w:rPr>
          <w:color w:val="000000" w:themeColor="text1"/>
        </w:rPr>
        <w:t>to apply the method. In a sense, the model is intended to represent, in a mathematical way, what happens to people as they move in, through and out of the social support system based on various assumptions. The model is a collection of modules and sub-components that fit together in applying the method.</w:t>
      </w:r>
    </w:p>
    <w:p w14:paraId="06A3A502" w14:textId="77777777" w:rsidR="004A5231" w:rsidRDefault="004A5231" w:rsidP="004A5231">
      <w:pPr>
        <w:pStyle w:val="Glossaryterm"/>
      </w:pPr>
      <w:r>
        <w:t>Model population</w:t>
      </w:r>
    </w:p>
    <w:p w14:paraId="389BD76A" w14:textId="243E5730" w:rsidR="00844854" w:rsidRPr="00D626EA" w:rsidRDefault="00844854" w:rsidP="004A5231">
      <w:pPr>
        <w:rPr>
          <w:color w:val="000000" w:themeColor="text1"/>
        </w:rPr>
      </w:pPr>
      <w:r w:rsidRPr="00D626EA">
        <w:rPr>
          <w:color w:val="000000" w:themeColor="text1"/>
        </w:rPr>
        <w:t>The model population is the set of individual person records used in the model. The model design allows the model to be run for either a sample of the population or the whole population. Where the model is run for the entire model population, and not a sample, we refer to this as the full population.</w:t>
      </w:r>
    </w:p>
    <w:p w14:paraId="484F3CE6" w14:textId="77777777" w:rsidR="004A5231" w:rsidRDefault="004A5231" w:rsidP="004A5231">
      <w:pPr>
        <w:pStyle w:val="Glossaryterm"/>
      </w:pPr>
      <w:r>
        <w:t>Model (Australian) population</w:t>
      </w:r>
    </w:p>
    <w:p w14:paraId="4DA3BD92" w14:textId="16FECEC6" w:rsidR="00844854" w:rsidRPr="00D626EA" w:rsidRDefault="00844854" w:rsidP="004A5231">
      <w:r w:rsidRPr="00D626EA">
        <w:t>The set of individual person records used in the model, representing the Australian resident population together with current overseas welfare recipients.</w:t>
      </w:r>
    </w:p>
    <w:p w14:paraId="46BBD292" w14:textId="77777777" w:rsidR="004A5231" w:rsidRDefault="004A5231" w:rsidP="00694356">
      <w:pPr>
        <w:pStyle w:val="Glossaryterm"/>
      </w:pPr>
      <w:r>
        <w:t>Mutual obligation requirements</w:t>
      </w:r>
    </w:p>
    <w:p w14:paraId="1DAC6F7F" w14:textId="4AF8D2CD" w:rsidR="00844854" w:rsidRPr="00D626EA" w:rsidRDefault="00844854" w:rsidP="004A5231">
      <w:pPr>
        <w:rPr>
          <w:color w:val="000000" w:themeColor="text1"/>
        </w:rPr>
      </w:pPr>
      <w:r w:rsidRPr="00D626EA">
        <w:rPr>
          <w:color w:val="000000" w:themeColor="text1"/>
        </w:rPr>
        <w:t xml:space="preserve">A set of activities that must be completed by an individual in order to receive </w:t>
      </w:r>
      <w:r w:rsidR="00556EE5" w:rsidRPr="00FA5074">
        <w:rPr>
          <w:color w:val="000000" w:themeColor="text1"/>
        </w:rPr>
        <w:t>Job</w:t>
      </w:r>
      <w:r w:rsidR="006A0BD0">
        <w:rPr>
          <w:color w:val="000000" w:themeColor="text1"/>
        </w:rPr>
        <w:t>S</w:t>
      </w:r>
      <w:r w:rsidR="00556EE5" w:rsidRPr="00FA5074">
        <w:rPr>
          <w:color w:val="000000" w:themeColor="text1"/>
        </w:rPr>
        <w:t>eeker</w:t>
      </w:r>
      <w:r w:rsidR="00556EE5" w:rsidRPr="00556EE5">
        <w:rPr>
          <w:color w:val="000000" w:themeColor="text1"/>
        </w:rPr>
        <w:t xml:space="preserve"> </w:t>
      </w:r>
      <w:r w:rsidR="006A0BD0">
        <w:rPr>
          <w:color w:val="000000" w:themeColor="text1"/>
        </w:rPr>
        <w:t xml:space="preserve">Payment </w:t>
      </w:r>
      <w:r w:rsidR="00556EE5" w:rsidRPr="00556EE5">
        <w:rPr>
          <w:color w:val="000000" w:themeColor="text1"/>
        </w:rPr>
        <w:t xml:space="preserve">(formerly </w:t>
      </w:r>
      <w:r w:rsidRPr="00556EE5">
        <w:rPr>
          <w:color w:val="000000" w:themeColor="text1"/>
        </w:rPr>
        <w:t>Newstart</w:t>
      </w:r>
      <w:r w:rsidR="006A0BD0">
        <w:rPr>
          <w:color w:val="000000" w:themeColor="text1"/>
        </w:rPr>
        <w:t xml:space="preserve"> Allowance</w:t>
      </w:r>
      <w:r w:rsidR="00556EE5" w:rsidRPr="00556EE5">
        <w:rPr>
          <w:color w:val="000000" w:themeColor="text1"/>
        </w:rPr>
        <w:t>)</w:t>
      </w:r>
      <w:r w:rsidRPr="00D626EA">
        <w:rPr>
          <w:color w:val="000000" w:themeColor="text1"/>
        </w:rPr>
        <w:t>, Youth Allowance as a job seeker, Parenting Payment Single after the recipient’s youngest child turns 6, and some types of Special Benefit. Welfare recipients may be granted either a permanent or a short-term exemption from these obligations in some situations</w:t>
      </w:r>
      <w:r w:rsidR="00184B47">
        <w:rPr>
          <w:color w:val="000000" w:themeColor="text1"/>
        </w:rPr>
        <w:t>;</w:t>
      </w:r>
      <w:r w:rsidRPr="00D626EA">
        <w:rPr>
          <w:color w:val="000000" w:themeColor="text1"/>
        </w:rPr>
        <w:t xml:space="preserve"> for example</w:t>
      </w:r>
      <w:r w:rsidR="00184B47">
        <w:rPr>
          <w:color w:val="000000" w:themeColor="text1"/>
        </w:rPr>
        <w:t>,</w:t>
      </w:r>
      <w:r w:rsidRPr="00D626EA">
        <w:rPr>
          <w:color w:val="000000" w:themeColor="text1"/>
        </w:rPr>
        <w:t xml:space="preserve"> due to disability or a personal crisis.</w:t>
      </w:r>
    </w:p>
    <w:p w14:paraId="1BEB3FD3" w14:textId="77777777" w:rsidR="004A5231" w:rsidRDefault="004A5231" w:rsidP="00694356">
      <w:pPr>
        <w:pStyle w:val="Glossaryterm"/>
      </w:pPr>
      <w:r>
        <w:t xml:space="preserve">Net Present Value </w:t>
      </w:r>
    </w:p>
    <w:p w14:paraId="2AF9E321" w14:textId="3E8553C3" w:rsidR="00056686" w:rsidRDefault="00844854" w:rsidP="004A5231">
      <w:pPr>
        <w:rPr>
          <w:color w:val="000000" w:themeColor="text1"/>
        </w:rPr>
      </w:pPr>
      <w:r w:rsidRPr="00D626EA">
        <w:rPr>
          <w:color w:val="000000" w:themeColor="text1"/>
        </w:rPr>
        <w:t>The sum of the present value of incoming and outgoing cashflows over a period of time.</w:t>
      </w:r>
    </w:p>
    <w:p w14:paraId="0E2F4256" w14:textId="77777777" w:rsidR="004A5231" w:rsidRDefault="004A5231" w:rsidP="00694356">
      <w:pPr>
        <w:pStyle w:val="Glossaryterm"/>
      </w:pPr>
      <w:r>
        <w:t>Neural Network</w:t>
      </w:r>
    </w:p>
    <w:p w14:paraId="7B3E0C5C" w14:textId="71596973" w:rsidR="00844854" w:rsidRPr="004A5231" w:rsidRDefault="000C358F" w:rsidP="004A5231">
      <w:r w:rsidRPr="000C358F">
        <w:rPr>
          <w:color w:val="000000" w:themeColor="text1"/>
        </w:rPr>
        <w:t>Neural Networks</w:t>
      </w:r>
      <w:r>
        <w:rPr>
          <w:color w:val="000000" w:themeColor="text1"/>
        </w:rPr>
        <w:t xml:space="preserve"> (or artificial neural networks to differentiate them from biological brains) are</w:t>
      </w:r>
      <w:r w:rsidRPr="000C358F">
        <w:rPr>
          <w:color w:val="000000" w:themeColor="text1"/>
        </w:rPr>
        <w:t xml:space="preserve"> a machine learning algorithm originally inspired by biological brains, that can automatically identify patterns in data and then make predictions based on those patterns.</w:t>
      </w:r>
      <w:r>
        <w:rPr>
          <w:color w:val="000000" w:themeColor="text1"/>
        </w:rPr>
        <w:t xml:space="preserve"> </w:t>
      </w:r>
      <w:r w:rsidR="0079124B">
        <w:rPr>
          <w:color w:val="000000" w:themeColor="text1"/>
        </w:rPr>
        <w:t xml:space="preserve">For the 2019 valuation they have replaced the </w:t>
      </w:r>
      <w:r>
        <w:rPr>
          <w:color w:val="000000" w:themeColor="text1"/>
        </w:rPr>
        <w:t xml:space="preserve">Generalised Linear Models (GLMs) </w:t>
      </w:r>
      <w:r w:rsidR="0079124B">
        <w:rPr>
          <w:color w:val="000000" w:themeColor="text1"/>
        </w:rPr>
        <w:t xml:space="preserve">used in previous valuations as </w:t>
      </w:r>
      <w:r>
        <w:rPr>
          <w:color w:val="000000" w:themeColor="text1"/>
        </w:rPr>
        <w:t xml:space="preserve">they require less manual fitting and are more able to identify complex patterns in the data such as interactions between predictors.  </w:t>
      </w:r>
    </w:p>
    <w:p w14:paraId="1E164791" w14:textId="77777777" w:rsidR="004A5231" w:rsidRDefault="00844854" w:rsidP="00694356">
      <w:pPr>
        <w:pStyle w:val="Glossaryterm"/>
      </w:pPr>
      <w:r w:rsidRPr="00B752A1">
        <w:t>Parental welfare dependence</w:t>
      </w:r>
    </w:p>
    <w:p w14:paraId="166D3297" w14:textId="7E6259A7" w:rsidR="00844854" w:rsidRPr="00D626EA" w:rsidRDefault="00844854" w:rsidP="004A5231">
      <w:r w:rsidRPr="00D626EA">
        <w:t xml:space="preserve">A measure of the level of welfare dependence of a person’s parents / guardians during the course of that person’s childhood (up to the age of 15). For the purposes of this </w:t>
      </w:r>
      <w:r w:rsidR="00871674">
        <w:lastRenderedPageBreak/>
        <w:t xml:space="preserve">document, </w:t>
      </w:r>
      <w:r w:rsidRPr="00D626EA">
        <w:t xml:space="preserve">we have only considered the use of income support payments (excluding the </w:t>
      </w:r>
      <w:r w:rsidR="001F0FCC">
        <w:t>Age Pension</w:t>
      </w:r>
      <w:r w:rsidRPr="00D626EA">
        <w:t>) by a person’s parents / guardians.</w:t>
      </w:r>
    </w:p>
    <w:p w14:paraId="73CBC95C" w14:textId="77777777" w:rsidR="004A5231" w:rsidRDefault="00844854" w:rsidP="00694356">
      <w:pPr>
        <w:pStyle w:val="Glossaryterm"/>
      </w:pPr>
      <w:r w:rsidRPr="00B752A1">
        <w:t>Payment</w:t>
      </w:r>
    </w:p>
    <w:p w14:paraId="763A866C" w14:textId="118343C6" w:rsidR="00844854" w:rsidRPr="00D626EA" w:rsidRDefault="00844854" w:rsidP="004A5231">
      <w:pPr>
        <w:rPr>
          <w:color w:val="000000" w:themeColor="text1"/>
        </w:rPr>
      </w:pPr>
      <w:r w:rsidRPr="00D626EA">
        <w:rPr>
          <w:color w:val="000000" w:themeColor="text1"/>
        </w:rPr>
        <w:t xml:space="preserve">A generic term used to describe all the different types of benefits an individual can be paid. </w:t>
      </w:r>
      <w:r w:rsidR="00871674">
        <w:rPr>
          <w:color w:val="000000" w:themeColor="text1"/>
        </w:rPr>
        <w:t>This i</w:t>
      </w:r>
      <w:r w:rsidRPr="00D626EA">
        <w:rPr>
          <w:color w:val="000000" w:themeColor="text1"/>
        </w:rPr>
        <w:t xml:space="preserve">ncludes </w:t>
      </w:r>
      <w:r w:rsidR="00871674">
        <w:rPr>
          <w:color w:val="000000" w:themeColor="text1"/>
        </w:rPr>
        <w:t>p</w:t>
      </w:r>
      <w:r w:rsidRPr="00D626EA">
        <w:rPr>
          <w:color w:val="000000" w:themeColor="text1"/>
        </w:rPr>
        <w:t xml:space="preserve">ensions, </w:t>
      </w:r>
      <w:r w:rsidR="00871674">
        <w:rPr>
          <w:color w:val="000000" w:themeColor="text1"/>
        </w:rPr>
        <w:t>a</w:t>
      </w:r>
      <w:r w:rsidRPr="00D626EA">
        <w:rPr>
          <w:color w:val="000000" w:themeColor="text1"/>
        </w:rPr>
        <w:t xml:space="preserve">llowances, </w:t>
      </w:r>
      <w:r w:rsidR="00871674">
        <w:rPr>
          <w:color w:val="000000" w:themeColor="text1"/>
        </w:rPr>
        <w:t>e</w:t>
      </w:r>
      <w:r w:rsidRPr="00D626EA">
        <w:rPr>
          <w:color w:val="000000" w:themeColor="text1"/>
        </w:rPr>
        <w:t>ntitlements etc.</w:t>
      </w:r>
    </w:p>
    <w:p w14:paraId="73310881" w14:textId="77777777" w:rsidR="00694356" w:rsidRDefault="00694356" w:rsidP="00694356">
      <w:pPr>
        <w:pStyle w:val="Glossaryterm"/>
      </w:pPr>
      <w:r>
        <w:t>Payment assumptions</w:t>
      </w:r>
    </w:p>
    <w:p w14:paraId="3E43C696" w14:textId="5967839D" w:rsidR="00844854" w:rsidRPr="00D626EA" w:rsidRDefault="00844854" w:rsidP="004A5231">
      <w:pPr>
        <w:rPr>
          <w:color w:val="000000" w:themeColor="text1"/>
        </w:rPr>
      </w:pPr>
      <w:r w:rsidRPr="00D626EA">
        <w:rPr>
          <w:color w:val="000000" w:themeColor="text1"/>
        </w:rPr>
        <w:t xml:space="preserve">The assumptions </w:t>
      </w:r>
      <w:r w:rsidR="00871674">
        <w:rPr>
          <w:color w:val="000000" w:themeColor="text1"/>
        </w:rPr>
        <w:t>that</w:t>
      </w:r>
      <w:r w:rsidR="00871674" w:rsidRPr="00D626EA">
        <w:rPr>
          <w:color w:val="000000" w:themeColor="text1"/>
        </w:rPr>
        <w:t xml:space="preserve"> </w:t>
      </w:r>
      <w:r w:rsidRPr="00D626EA">
        <w:rPr>
          <w:color w:val="000000" w:themeColor="text1"/>
        </w:rPr>
        <w:t xml:space="preserve">describe the payments which individuals receive given that they use a specific </w:t>
      </w:r>
      <w:r w:rsidR="00871674">
        <w:rPr>
          <w:color w:val="000000" w:themeColor="text1"/>
        </w:rPr>
        <w:t>p</w:t>
      </w:r>
      <w:r w:rsidRPr="00D626EA">
        <w:rPr>
          <w:color w:val="000000" w:themeColor="text1"/>
        </w:rPr>
        <w:t>ayment category.</w:t>
      </w:r>
    </w:p>
    <w:p w14:paraId="348C4758" w14:textId="77777777" w:rsidR="00694356" w:rsidRDefault="00844854" w:rsidP="0058734D">
      <w:pPr>
        <w:pStyle w:val="Glossaryterm"/>
      </w:pPr>
      <w:r w:rsidRPr="00B752A1">
        <w:t>Payment categories</w:t>
      </w:r>
    </w:p>
    <w:p w14:paraId="49262AF4" w14:textId="56F949AD" w:rsidR="00844854" w:rsidRPr="00D626EA" w:rsidRDefault="00844854" w:rsidP="004A5231">
      <w:pPr>
        <w:rPr>
          <w:color w:val="000000" w:themeColor="text1"/>
        </w:rPr>
      </w:pPr>
      <w:r w:rsidRPr="00D626EA">
        <w:rPr>
          <w:color w:val="000000" w:themeColor="text1"/>
        </w:rPr>
        <w:t>The groupings of individual payment types used for modelling purposes.</w:t>
      </w:r>
    </w:p>
    <w:p w14:paraId="68290C36" w14:textId="77777777" w:rsidR="00694356" w:rsidRDefault="00694356" w:rsidP="0058734D">
      <w:pPr>
        <w:pStyle w:val="Glossaryterm"/>
      </w:pPr>
      <w:r>
        <w:t>Payment types</w:t>
      </w:r>
    </w:p>
    <w:p w14:paraId="584AB0E6" w14:textId="20A1543B" w:rsidR="00844854" w:rsidRPr="00D626EA" w:rsidRDefault="00844854" w:rsidP="004A5231">
      <w:pPr>
        <w:rPr>
          <w:color w:val="000000" w:themeColor="text1"/>
        </w:rPr>
      </w:pPr>
      <w:r w:rsidRPr="00D626EA">
        <w:rPr>
          <w:color w:val="000000" w:themeColor="text1"/>
        </w:rPr>
        <w:t>A term used to describe the labels assigned to all the underlying payments so they can be considered for modelling purposes. The assignation has been through a mapping process</w:t>
      </w:r>
      <w:r w:rsidR="00871674">
        <w:rPr>
          <w:color w:val="000000" w:themeColor="text1"/>
        </w:rPr>
        <w:t>,</w:t>
      </w:r>
      <w:r w:rsidRPr="00D626EA">
        <w:rPr>
          <w:color w:val="000000" w:themeColor="text1"/>
        </w:rPr>
        <w:t xml:space="preserve"> with around 2,000 underlying payments</w:t>
      </w:r>
      <w:r w:rsidR="00871674">
        <w:rPr>
          <w:color w:val="000000" w:themeColor="text1"/>
        </w:rPr>
        <w:t xml:space="preserve"> </w:t>
      </w:r>
      <w:r w:rsidRPr="00D626EA">
        <w:rPr>
          <w:color w:val="000000" w:themeColor="text1"/>
        </w:rPr>
        <w:t>identified by codes and mapped to around 100 payment types.</w:t>
      </w:r>
    </w:p>
    <w:p w14:paraId="692AC446" w14:textId="77777777" w:rsidR="00694356" w:rsidRDefault="00844854" w:rsidP="0058734D">
      <w:pPr>
        <w:pStyle w:val="Glossaryterm"/>
      </w:pPr>
      <w:r w:rsidRPr="00B752A1">
        <w:t>Payment utilisation assumptions</w:t>
      </w:r>
    </w:p>
    <w:p w14:paraId="447154BA" w14:textId="6FA6B2EB" w:rsidR="00844854" w:rsidRPr="00D626EA" w:rsidRDefault="00844854" w:rsidP="004A5231">
      <w:pPr>
        <w:rPr>
          <w:color w:val="000000" w:themeColor="text1"/>
        </w:rPr>
      </w:pPr>
      <w:r w:rsidRPr="00D626EA">
        <w:rPr>
          <w:color w:val="000000" w:themeColor="text1"/>
        </w:rPr>
        <w:t xml:space="preserve">The assumptions </w:t>
      </w:r>
      <w:r w:rsidR="00871674">
        <w:rPr>
          <w:color w:val="000000" w:themeColor="text1"/>
        </w:rPr>
        <w:t>that</w:t>
      </w:r>
      <w:r w:rsidR="00871674" w:rsidRPr="00D626EA">
        <w:rPr>
          <w:color w:val="000000" w:themeColor="text1"/>
        </w:rPr>
        <w:t xml:space="preserve"> </w:t>
      </w:r>
      <w:r w:rsidRPr="00D626EA">
        <w:rPr>
          <w:color w:val="000000" w:themeColor="text1"/>
        </w:rPr>
        <w:t xml:space="preserve">describe the probabilities with which individuals use different </w:t>
      </w:r>
      <w:r w:rsidR="00871674">
        <w:rPr>
          <w:color w:val="000000" w:themeColor="text1"/>
        </w:rPr>
        <w:t>p</w:t>
      </w:r>
      <w:r w:rsidRPr="00D626EA">
        <w:rPr>
          <w:color w:val="000000" w:themeColor="text1"/>
        </w:rPr>
        <w:t>ayment categories.</w:t>
      </w:r>
    </w:p>
    <w:p w14:paraId="467CDA27" w14:textId="77777777" w:rsidR="00694356" w:rsidRDefault="00844854" w:rsidP="0058734D">
      <w:pPr>
        <w:pStyle w:val="Glossaryterm"/>
      </w:pPr>
      <w:r w:rsidRPr="00B752A1">
        <w:t>Pensions</w:t>
      </w:r>
    </w:p>
    <w:p w14:paraId="4ACC2FFF" w14:textId="024259D4" w:rsidR="00844854" w:rsidRPr="00D626EA" w:rsidRDefault="00844854" w:rsidP="004A5231">
      <w:pPr>
        <w:rPr>
          <w:color w:val="000000" w:themeColor="text1"/>
        </w:rPr>
      </w:pPr>
      <w:r w:rsidRPr="00D626EA">
        <w:rPr>
          <w:color w:val="000000" w:themeColor="text1"/>
        </w:rPr>
        <w:t xml:space="preserve">Pensions provide income support and access to a range of concessions for eligible Australians. The term Pension is used by </w:t>
      </w:r>
      <w:r w:rsidR="00A85BE0">
        <w:rPr>
          <w:color w:val="000000" w:themeColor="text1"/>
        </w:rPr>
        <w:t>DSS</w:t>
      </w:r>
      <w:r w:rsidRPr="00D626EA">
        <w:rPr>
          <w:color w:val="000000" w:themeColor="text1"/>
        </w:rPr>
        <w:t xml:space="preserve"> to refer to income support payments that are generally at higher payment levels than </w:t>
      </w:r>
      <w:r w:rsidR="00871674">
        <w:rPr>
          <w:color w:val="000000" w:themeColor="text1"/>
        </w:rPr>
        <w:t>a</w:t>
      </w:r>
      <w:r w:rsidRPr="00D626EA">
        <w:rPr>
          <w:color w:val="000000" w:themeColor="text1"/>
        </w:rPr>
        <w:t>llowances.</w:t>
      </w:r>
    </w:p>
    <w:p w14:paraId="690E39C0" w14:textId="77777777" w:rsidR="00694356" w:rsidRDefault="00844854" w:rsidP="0058734D">
      <w:pPr>
        <w:pStyle w:val="Glossaryterm"/>
      </w:pPr>
      <w:r w:rsidRPr="00B752A1">
        <w:t>Present Value</w:t>
      </w:r>
    </w:p>
    <w:p w14:paraId="165A2DF8" w14:textId="62F4EBFD" w:rsidR="00844854" w:rsidRPr="00D626EA" w:rsidRDefault="00844854" w:rsidP="004A5231">
      <w:pPr>
        <w:rPr>
          <w:color w:val="000000" w:themeColor="text1"/>
        </w:rPr>
      </w:pPr>
      <w:r w:rsidRPr="00D626EA">
        <w:rPr>
          <w:color w:val="000000" w:themeColor="text1"/>
        </w:rPr>
        <w:t>The present value is the value of an expected income stream determined as of the date of valuation. The present value is always less than or equal to the future value because money has interest-earning potential, a characteristic referred to as the time value of money.</w:t>
      </w:r>
    </w:p>
    <w:p w14:paraId="2DA9FADA" w14:textId="77777777" w:rsidR="00694356" w:rsidRDefault="00844854" w:rsidP="0058734D">
      <w:pPr>
        <w:pStyle w:val="Glossaryterm"/>
      </w:pPr>
      <w:r w:rsidRPr="00B752A1">
        <w:t>Probability</w:t>
      </w:r>
    </w:p>
    <w:p w14:paraId="1CA23EE4" w14:textId="5D735C54" w:rsidR="00844854" w:rsidRPr="00D626EA" w:rsidRDefault="00844854" w:rsidP="004A5231">
      <w:pPr>
        <w:rPr>
          <w:color w:val="000000" w:themeColor="text1"/>
        </w:rPr>
      </w:pPr>
      <w:r w:rsidRPr="00D626EA">
        <w:rPr>
          <w:color w:val="000000" w:themeColor="text1"/>
        </w:rPr>
        <w:t>Probability is the measure of the likelihood that an event will occur. Probability is quantified as a number between 0 and 1 (where 0 indicates impossibility and 1 indicates certainty). The higher the probability of an event, the more certain we are that the event will occur.</w:t>
      </w:r>
    </w:p>
    <w:p w14:paraId="64FB1544" w14:textId="77777777" w:rsidR="00694356" w:rsidRDefault="00844854" w:rsidP="0058734D">
      <w:pPr>
        <w:pStyle w:val="Glossaryterm"/>
      </w:pPr>
      <w:r w:rsidRPr="00B752A1">
        <w:t>Projection</w:t>
      </w:r>
    </w:p>
    <w:p w14:paraId="1753625C" w14:textId="623D4E8B" w:rsidR="00844854" w:rsidRPr="00D626EA" w:rsidRDefault="00844854" w:rsidP="004A5231">
      <w:pPr>
        <w:rPr>
          <w:color w:val="000000" w:themeColor="text1"/>
        </w:rPr>
      </w:pPr>
      <w:r w:rsidRPr="00D626EA">
        <w:rPr>
          <w:color w:val="000000" w:themeColor="text1"/>
        </w:rPr>
        <w:t>The use of the model to forecast the future payment experience of the population based on current statistics and trends.</w:t>
      </w:r>
    </w:p>
    <w:p w14:paraId="2A6D4311" w14:textId="77777777" w:rsidR="0058734D" w:rsidRDefault="0058734D" w:rsidP="0058734D">
      <w:pPr>
        <w:pStyle w:val="Glossaryterm"/>
      </w:pPr>
    </w:p>
    <w:p w14:paraId="280AED30" w14:textId="6ABB31AA" w:rsidR="00694356" w:rsidRDefault="00844854" w:rsidP="0058734D">
      <w:pPr>
        <w:pStyle w:val="Glossaryterm"/>
      </w:pPr>
      <w:r w:rsidRPr="00B752A1">
        <w:lastRenderedPageBreak/>
        <w:t>Rebased June 2018 valuation results</w:t>
      </w:r>
    </w:p>
    <w:p w14:paraId="74F1195E" w14:textId="45B25C04" w:rsidR="00844854" w:rsidRPr="00D626EA" w:rsidRDefault="00844854" w:rsidP="004A5231">
      <w:pPr>
        <w:rPr>
          <w:color w:val="000000" w:themeColor="text1"/>
        </w:rPr>
      </w:pPr>
      <w:r w:rsidRPr="00D626EA">
        <w:rPr>
          <w:color w:val="000000" w:themeColor="text1"/>
        </w:rPr>
        <w:t>The results from the June 2018 valuation, adjusted to allow for the updated modelling approach and use of more recent demographic data. Rebasing the June 2018 valuation results allows an analysis between June 2018 and June 2019 valuation results that depends only on relevant movements in experience between 1</w:t>
      </w:r>
      <w:r w:rsidR="00986C32">
        <w:rPr>
          <w:color w:val="000000" w:themeColor="text1"/>
        </w:rPr>
        <w:t> </w:t>
      </w:r>
      <w:r w:rsidRPr="00D626EA">
        <w:rPr>
          <w:color w:val="000000" w:themeColor="text1"/>
        </w:rPr>
        <w:t>July</w:t>
      </w:r>
      <w:r w:rsidR="00986C32">
        <w:rPr>
          <w:color w:val="000000" w:themeColor="text1"/>
        </w:rPr>
        <w:t> </w:t>
      </w:r>
      <w:r w:rsidRPr="00D626EA">
        <w:rPr>
          <w:color w:val="000000" w:themeColor="text1"/>
        </w:rPr>
        <w:t>2018 and 30</w:t>
      </w:r>
      <w:r w:rsidR="00986C32">
        <w:rPr>
          <w:color w:val="000000" w:themeColor="text1"/>
        </w:rPr>
        <w:t> </w:t>
      </w:r>
      <w:r w:rsidRPr="00D626EA">
        <w:rPr>
          <w:color w:val="000000" w:themeColor="text1"/>
        </w:rPr>
        <w:t>June</w:t>
      </w:r>
      <w:r w:rsidR="00986C32">
        <w:rPr>
          <w:color w:val="000000" w:themeColor="text1"/>
        </w:rPr>
        <w:t> </w:t>
      </w:r>
      <w:r w:rsidRPr="00D626EA">
        <w:rPr>
          <w:color w:val="000000" w:themeColor="text1"/>
        </w:rPr>
        <w:t>2019.</w:t>
      </w:r>
    </w:p>
    <w:p w14:paraId="07A8C915" w14:textId="77777777" w:rsidR="00694356" w:rsidRDefault="00844854" w:rsidP="0058734D">
      <w:pPr>
        <w:pStyle w:val="Glossaryterm"/>
      </w:pPr>
      <w:r w:rsidRPr="00B752A1">
        <w:t>Risk characteristics</w:t>
      </w:r>
    </w:p>
    <w:p w14:paraId="606722F5" w14:textId="2E2CCC5D" w:rsidR="00844854" w:rsidRPr="00D626EA" w:rsidRDefault="00844854" w:rsidP="004A5231">
      <w:pPr>
        <w:rPr>
          <w:color w:val="000000" w:themeColor="text1"/>
        </w:rPr>
      </w:pPr>
      <w:r w:rsidRPr="00D626EA">
        <w:rPr>
          <w:color w:val="000000" w:themeColor="text1"/>
        </w:rPr>
        <w:t xml:space="preserve">Measurable or observable factors or characteristics used to assign each individual to one of the risk </w:t>
      </w:r>
      <w:r w:rsidR="00895D81">
        <w:rPr>
          <w:color w:val="000000" w:themeColor="text1"/>
        </w:rPr>
        <w:t>class</w:t>
      </w:r>
      <w:r w:rsidRPr="00D626EA">
        <w:rPr>
          <w:color w:val="000000" w:themeColor="text1"/>
        </w:rPr>
        <w:t xml:space="preserve">es of a risk </w:t>
      </w:r>
      <w:r w:rsidR="00895D81">
        <w:rPr>
          <w:color w:val="000000" w:themeColor="text1"/>
        </w:rPr>
        <w:t>class</w:t>
      </w:r>
      <w:r w:rsidRPr="00D626EA">
        <w:rPr>
          <w:color w:val="000000" w:themeColor="text1"/>
        </w:rPr>
        <w:t>ification system. Examples of risk characteristics in the context of the actuarial valuation model include age, gender, family situation and education status.</w:t>
      </w:r>
    </w:p>
    <w:p w14:paraId="2C7AEE9B" w14:textId="77777777" w:rsidR="00694356" w:rsidRDefault="00844854" w:rsidP="0058734D">
      <w:pPr>
        <w:pStyle w:val="Glossaryterm"/>
      </w:pPr>
      <w:r w:rsidRPr="00B752A1">
        <w:t xml:space="preserve">Risk </w:t>
      </w:r>
      <w:r w:rsidR="00895D81" w:rsidRPr="00B752A1">
        <w:t>class</w:t>
      </w:r>
      <w:r w:rsidRPr="00B752A1">
        <w:t>es</w:t>
      </w:r>
    </w:p>
    <w:p w14:paraId="6FB4FBED" w14:textId="45FA4020" w:rsidR="00844854" w:rsidRPr="00D626EA" w:rsidRDefault="00844854" w:rsidP="004A5231">
      <w:pPr>
        <w:rPr>
          <w:color w:val="000000" w:themeColor="text1"/>
        </w:rPr>
      </w:pPr>
      <w:r w:rsidRPr="00D626EA">
        <w:rPr>
          <w:color w:val="000000" w:themeColor="text1"/>
        </w:rPr>
        <w:t xml:space="preserve">A set of risks grouped together under a risk </w:t>
      </w:r>
      <w:r w:rsidR="00895D81">
        <w:rPr>
          <w:color w:val="000000" w:themeColor="text1"/>
        </w:rPr>
        <w:t>class</w:t>
      </w:r>
      <w:r w:rsidRPr="00D626EA">
        <w:rPr>
          <w:color w:val="000000" w:themeColor="text1"/>
        </w:rPr>
        <w:t>ification system.</w:t>
      </w:r>
    </w:p>
    <w:p w14:paraId="369B49F0" w14:textId="77777777" w:rsidR="00694356" w:rsidRDefault="00844854" w:rsidP="0058734D">
      <w:pPr>
        <w:pStyle w:val="Glossaryterm"/>
      </w:pPr>
      <w:r w:rsidRPr="00B752A1">
        <w:t xml:space="preserve">Risk </w:t>
      </w:r>
      <w:r w:rsidR="00895D81" w:rsidRPr="00B752A1">
        <w:t>class</w:t>
      </w:r>
      <w:r w:rsidRPr="00B752A1">
        <w:t>ification system</w:t>
      </w:r>
    </w:p>
    <w:p w14:paraId="0D3194A8" w14:textId="4174BD9F" w:rsidR="00844854" w:rsidRPr="00D626EA" w:rsidRDefault="00844854" w:rsidP="004A5231">
      <w:pPr>
        <w:rPr>
          <w:color w:val="000000" w:themeColor="text1"/>
        </w:rPr>
      </w:pPr>
      <w:r w:rsidRPr="00D626EA">
        <w:rPr>
          <w:color w:val="000000" w:themeColor="text1"/>
        </w:rPr>
        <w:t>The process of systematically arranging risks into groups or categories according to similar risk characteristics.</w:t>
      </w:r>
    </w:p>
    <w:p w14:paraId="38782A25" w14:textId="77777777" w:rsidR="00694356" w:rsidRDefault="00844854" w:rsidP="0058734D">
      <w:pPr>
        <w:pStyle w:val="Glossaryterm"/>
      </w:pPr>
      <w:r w:rsidRPr="00B752A1">
        <w:t>Risk factors</w:t>
      </w:r>
    </w:p>
    <w:p w14:paraId="4220B7B0" w14:textId="4950B68D" w:rsidR="00844854" w:rsidRPr="00D626EA" w:rsidRDefault="00844854" w:rsidP="004A5231">
      <w:pPr>
        <w:rPr>
          <w:color w:val="000000" w:themeColor="text1"/>
        </w:rPr>
      </w:pPr>
      <w:r w:rsidRPr="00D626EA">
        <w:rPr>
          <w:color w:val="000000" w:themeColor="text1"/>
        </w:rPr>
        <w:t xml:space="preserve">See </w:t>
      </w:r>
      <w:r w:rsidR="00D64075">
        <w:rPr>
          <w:color w:val="000000" w:themeColor="text1"/>
        </w:rPr>
        <w:t>‘R</w:t>
      </w:r>
      <w:r w:rsidRPr="00D626EA">
        <w:rPr>
          <w:color w:val="000000" w:themeColor="text1"/>
        </w:rPr>
        <w:t>isk characteristics</w:t>
      </w:r>
      <w:r w:rsidR="00D64075">
        <w:rPr>
          <w:color w:val="000000" w:themeColor="text1"/>
        </w:rPr>
        <w:t>’</w:t>
      </w:r>
      <w:r w:rsidRPr="00D626EA">
        <w:rPr>
          <w:color w:val="000000" w:themeColor="text1"/>
        </w:rPr>
        <w:t>.</w:t>
      </w:r>
    </w:p>
    <w:p w14:paraId="3BFE9822" w14:textId="77777777" w:rsidR="00694356" w:rsidRDefault="00844854" w:rsidP="0058734D">
      <w:pPr>
        <w:pStyle w:val="Glossaryterm"/>
      </w:pPr>
      <w:r w:rsidRPr="00B752A1">
        <w:t>SEIFA</w:t>
      </w:r>
    </w:p>
    <w:p w14:paraId="7C33BFCA" w14:textId="69BABD57" w:rsidR="00844854" w:rsidRPr="00D626EA" w:rsidRDefault="00844854" w:rsidP="004A5231">
      <w:pPr>
        <w:rPr>
          <w:color w:val="000000" w:themeColor="text1"/>
        </w:rPr>
      </w:pPr>
      <w:r w:rsidRPr="00D626EA">
        <w:rPr>
          <w:color w:val="000000" w:themeColor="text1"/>
        </w:rPr>
        <w:t>Socio-</w:t>
      </w:r>
      <w:r w:rsidR="00D64075">
        <w:rPr>
          <w:color w:val="000000" w:themeColor="text1"/>
        </w:rPr>
        <w:t>E</w:t>
      </w:r>
      <w:r w:rsidRPr="00D626EA">
        <w:rPr>
          <w:color w:val="000000" w:themeColor="text1"/>
        </w:rPr>
        <w:t>conomic Index</w:t>
      </w:r>
      <w:r w:rsidR="00D64075">
        <w:rPr>
          <w:color w:val="000000" w:themeColor="text1"/>
        </w:rPr>
        <w:t>es</w:t>
      </w:r>
      <w:r w:rsidRPr="00D626EA">
        <w:rPr>
          <w:color w:val="000000" w:themeColor="text1"/>
        </w:rPr>
        <w:t xml:space="preserve"> for Areas. A product developed by the A</w:t>
      </w:r>
      <w:r w:rsidR="00D64075">
        <w:rPr>
          <w:color w:val="000000" w:themeColor="text1"/>
        </w:rPr>
        <w:t xml:space="preserve">ustralian </w:t>
      </w:r>
      <w:r w:rsidRPr="00D626EA">
        <w:rPr>
          <w:color w:val="000000" w:themeColor="text1"/>
        </w:rPr>
        <w:t>B</w:t>
      </w:r>
      <w:r w:rsidR="00D64075">
        <w:rPr>
          <w:color w:val="000000" w:themeColor="text1"/>
        </w:rPr>
        <w:t xml:space="preserve">ureau of </w:t>
      </w:r>
      <w:r w:rsidRPr="00D626EA">
        <w:rPr>
          <w:color w:val="000000" w:themeColor="text1"/>
        </w:rPr>
        <w:t>S</w:t>
      </w:r>
      <w:r w:rsidR="00D64075">
        <w:rPr>
          <w:color w:val="000000" w:themeColor="text1"/>
        </w:rPr>
        <w:t>tatistics</w:t>
      </w:r>
      <w:r w:rsidRPr="00D626EA">
        <w:rPr>
          <w:color w:val="000000" w:themeColor="text1"/>
        </w:rPr>
        <w:t xml:space="preserve"> that ranks areas in Australia according to relative socio-economic advantage and disadvantage.</w:t>
      </w:r>
    </w:p>
    <w:p w14:paraId="185F35D5" w14:textId="77777777" w:rsidR="00694356" w:rsidRDefault="00844854" w:rsidP="0058734D">
      <w:pPr>
        <w:pStyle w:val="Glossaryterm"/>
      </w:pPr>
      <w:r w:rsidRPr="00B752A1">
        <w:t>Simulation</w:t>
      </w:r>
    </w:p>
    <w:p w14:paraId="685194F4" w14:textId="5B4F9DA2" w:rsidR="00844854" w:rsidRPr="00D626EA" w:rsidRDefault="00844854" w:rsidP="004A5231">
      <w:pPr>
        <w:rPr>
          <w:color w:val="000000" w:themeColor="text1"/>
        </w:rPr>
      </w:pPr>
      <w:r w:rsidRPr="00D626EA">
        <w:rPr>
          <w:color w:val="000000" w:themeColor="text1"/>
        </w:rPr>
        <w:t>Simulation is the imitation of the operation of a real-world process or system over time. In the context of the actuarial valuation model, we will simulate how the payment system operates. Where the system is stochastic, multiple simulations may be used to show the range of possible outcomes.</w:t>
      </w:r>
    </w:p>
    <w:p w14:paraId="7E6A5FC2" w14:textId="77777777" w:rsidR="00694356" w:rsidRDefault="00844854" w:rsidP="0058734D">
      <w:pPr>
        <w:pStyle w:val="Glossaryterm"/>
      </w:pPr>
      <w:r w:rsidRPr="00B752A1">
        <w:t>Static</w:t>
      </w:r>
    </w:p>
    <w:p w14:paraId="1CCC3620" w14:textId="323D8D81" w:rsidR="00844854" w:rsidRPr="00D626EA" w:rsidRDefault="00844854" w:rsidP="004A5231">
      <w:pPr>
        <w:rPr>
          <w:color w:val="000000" w:themeColor="text1"/>
        </w:rPr>
      </w:pPr>
      <w:r w:rsidRPr="00D626EA">
        <w:rPr>
          <w:color w:val="000000" w:themeColor="text1"/>
        </w:rPr>
        <w:t xml:space="preserve">A term we are using to describe information or data variables that do not change over time. </w:t>
      </w:r>
      <w:r w:rsidR="00D64075">
        <w:rPr>
          <w:color w:val="000000" w:themeColor="text1"/>
        </w:rPr>
        <w:t>For example,</w:t>
      </w:r>
      <w:r w:rsidRPr="00D626EA">
        <w:rPr>
          <w:color w:val="000000" w:themeColor="text1"/>
        </w:rPr>
        <w:t xml:space="preserve"> a person’s date of birth or country of birth.</w:t>
      </w:r>
    </w:p>
    <w:p w14:paraId="362F61F1" w14:textId="77777777" w:rsidR="00694356" w:rsidRDefault="00844854" w:rsidP="0058734D">
      <w:pPr>
        <w:pStyle w:val="Glossaryterm"/>
      </w:pPr>
      <w:r w:rsidRPr="00B752A1">
        <w:t>Statistics</w:t>
      </w:r>
    </w:p>
    <w:p w14:paraId="6145292A" w14:textId="3847D126" w:rsidR="00844854" w:rsidRPr="00D626EA" w:rsidRDefault="00844854" w:rsidP="004A5231">
      <w:pPr>
        <w:rPr>
          <w:color w:val="000000" w:themeColor="text1"/>
        </w:rPr>
      </w:pPr>
      <w:r w:rsidRPr="00D626EA">
        <w:rPr>
          <w:color w:val="000000" w:themeColor="text1"/>
        </w:rPr>
        <w:t>The study of the collection, analysis, interpretation, presentation, and organisation of data.</w:t>
      </w:r>
    </w:p>
    <w:p w14:paraId="62D592AF" w14:textId="77777777" w:rsidR="00694356" w:rsidRDefault="00844854" w:rsidP="0058734D">
      <w:pPr>
        <w:pStyle w:val="Glossaryterm"/>
      </w:pPr>
      <w:r w:rsidRPr="00B752A1">
        <w:t>Stochastic</w:t>
      </w:r>
    </w:p>
    <w:p w14:paraId="35490B4C" w14:textId="5685B74B" w:rsidR="00844854" w:rsidRPr="00D626EA" w:rsidRDefault="00844854" w:rsidP="004A5231">
      <w:pPr>
        <w:rPr>
          <w:color w:val="000000" w:themeColor="text1"/>
        </w:rPr>
      </w:pPr>
      <w:r w:rsidRPr="00D626EA">
        <w:rPr>
          <w:color w:val="000000" w:themeColor="text1"/>
        </w:rPr>
        <w:t>The term stochastic describes events or systems that are unpredictable due to the influence of random variables. A stochastic model will not produce the same output from a given starting condition or initial state even if run in the same way.</w:t>
      </w:r>
    </w:p>
    <w:p w14:paraId="2FF6F9C6" w14:textId="77777777" w:rsidR="00694356" w:rsidRDefault="00844854" w:rsidP="0058734D">
      <w:pPr>
        <w:pStyle w:val="Glossaryterm"/>
      </w:pPr>
      <w:r w:rsidRPr="00B752A1">
        <w:lastRenderedPageBreak/>
        <w:t>Valuation</w:t>
      </w:r>
    </w:p>
    <w:p w14:paraId="4E4330AF" w14:textId="41DBFFF4" w:rsidR="00844854" w:rsidRPr="00D626EA" w:rsidRDefault="00844854" w:rsidP="004A5231">
      <w:pPr>
        <w:rPr>
          <w:color w:val="000000" w:themeColor="text1"/>
        </w:rPr>
      </w:pPr>
      <w:r w:rsidRPr="00D626EA">
        <w:rPr>
          <w:color w:val="000000" w:themeColor="text1"/>
        </w:rPr>
        <w:t>See Actuarial valuation</w:t>
      </w:r>
    </w:p>
    <w:p w14:paraId="076EEB6A" w14:textId="77777777" w:rsidR="00694356" w:rsidRDefault="00844854" w:rsidP="0058734D">
      <w:pPr>
        <w:pStyle w:val="Glossaryterm"/>
      </w:pPr>
      <w:r w:rsidRPr="00B752A1">
        <w:t>Valuation Date</w:t>
      </w:r>
    </w:p>
    <w:p w14:paraId="02AF8DC2" w14:textId="3E0CADA8" w:rsidR="00844854" w:rsidRPr="00D626EA" w:rsidRDefault="00844854" w:rsidP="004A5231">
      <w:pPr>
        <w:rPr>
          <w:color w:val="000000" w:themeColor="text1"/>
        </w:rPr>
      </w:pPr>
      <w:r w:rsidRPr="00D626EA">
        <w:rPr>
          <w:color w:val="000000" w:themeColor="text1"/>
        </w:rPr>
        <w:t xml:space="preserve">The reference date for the actuarial valuation. The valuation will consider the </w:t>
      </w:r>
      <w:r w:rsidR="002A2F33">
        <w:rPr>
          <w:color w:val="000000" w:themeColor="text1"/>
        </w:rPr>
        <w:t>Lifetime Cost</w:t>
      </w:r>
      <w:r w:rsidRPr="00D626EA">
        <w:rPr>
          <w:color w:val="000000" w:themeColor="text1"/>
        </w:rPr>
        <w:t xml:space="preserve"> as at the valuation date for all payments after the valuation date.</w:t>
      </w:r>
    </w:p>
    <w:p w14:paraId="0BAC82D4" w14:textId="77777777" w:rsidR="00694356" w:rsidRDefault="00694356" w:rsidP="0058734D">
      <w:pPr>
        <w:pStyle w:val="Glossaryterm"/>
      </w:pPr>
      <w:r>
        <w:t>Valuation Results</w:t>
      </w:r>
    </w:p>
    <w:p w14:paraId="23DDF956" w14:textId="72E9BAB4" w:rsidR="00844854" w:rsidRPr="00D626EA" w:rsidRDefault="00844854" w:rsidP="004A5231">
      <w:pPr>
        <w:rPr>
          <w:color w:val="000000" w:themeColor="text1"/>
        </w:rPr>
      </w:pPr>
      <w:r w:rsidRPr="00D626EA">
        <w:rPr>
          <w:color w:val="000000" w:themeColor="text1"/>
        </w:rPr>
        <w:t>The summarised outputs from the model, in aggregate for the entire model population as well as population subgroups of interest.</w:t>
      </w:r>
    </w:p>
    <w:p w14:paraId="6BCD918C" w14:textId="77777777" w:rsidR="00694356" w:rsidRDefault="00844854" w:rsidP="0058734D">
      <w:pPr>
        <w:pStyle w:val="Glossaryterm"/>
        <w:rPr>
          <w:color w:val="E0301E"/>
        </w:rPr>
      </w:pPr>
      <w:r w:rsidRPr="00B752A1">
        <w:t>Work capacity assessment</w:t>
      </w:r>
    </w:p>
    <w:p w14:paraId="15B31204" w14:textId="08381D6D" w:rsidR="00844854" w:rsidRPr="00D626EA" w:rsidRDefault="00844854" w:rsidP="004A5231">
      <w:r w:rsidRPr="00D626EA">
        <w:t>An assessment of an individual’s level of functional impairment and work capacity. This is expressed in the data as the number of hours in a week they are capable of working.</w:t>
      </w:r>
    </w:p>
    <w:p w14:paraId="520AF7E5" w14:textId="77777777" w:rsidR="00694356" w:rsidRDefault="00844854" w:rsidP="0058734D">
      <w:pPr>
        <w:pStyle w:val="Glossaryterm"/>
      </w:pPr>
      <w:r w:rsidRPr="00B752A1">
        <w:t xml:space="preserve">Welfare </w:t>
      </w:r>
      <w:r w:rsidR="00895D81" w:rsidRPr="00B752A1">
        <w:t>class</w:t>
      </w:r>
    </w:p>
    <w:p w14:paraId="11C6EFA9" w14:textId="39CE8385" w:rsidR="00844854" w:rsidRPr="00D626EA" w:rsidRDefault="00844854" w:rsidP="004A5231">
      <w:pPr>
        <w:rPr>
          <w:color w:val="auto"/>
        </w:rPr>
      </w:pPr>
      <w:r w:rsidRPr="00D626EA">
        <w:rPr>
          <w:color w:val="auto"/>
        </w:rPr>
        <w:t>Unique segments within the model which each person is assigned to. There are 12</w:t>
      </w:r>
      <w:r w:rsidR="00811738">
        <w:rPr>
          <w:color w:val="auto"/>
        </w:rPr>
        <w:t> </w:t>
      </w:r>
      <w:r w:rsidR="00895D81">
        <w:rPr>
          <w:color w:val="auto"/>
        </w:rPr>
        <w:t>class</w:t>
      </w:r>
      <w:r w:rsidRPr="00D626EA">
        <w:rPr>
          <w:color w:val="auto"/>
        </w:rPr>
        <w:t xml:space="preserve">es: 6 for income support recipients, 3 for </w:t>
      </w:r>
      <w:r w:rsidR="00621A46">
        <w:rPr>
          <w:color w:val="auto"/>
        </w:rPr>
        <w:t>non-income</w:t>
      </w:r>
      <w:r w:rsidRPr="00D626EA">
        <w:rPr>
          <w:color w:val="auto"/>
        </w:rPr>
        <w:t xml:space="preserve"> support recipients, and 3</w:t>
      </w:r>
      <w:r w:rsidR="00811738">
        <w:rPr>
          <w:color w:val="auto"/>
        </w:rPr>
        <w:t> </w:t>
      </w:r>
      <w:r w:rsidRPr="00D626EA">
        <w:rPr>
          <w:color w:val="auto"/>
        </w:rPr>
        <w:t xml:space="preserve">for the rest of population. Each person is assigned to the single most appropriate category for each financial year, and can move between </w:t>
      </w:r>
      <w:r w:rsidR="00895D81">
        <w:rPr>
          <w:color w:val="auto"/>
        </w:rPr>
        <w:t>class</w:t>
      </w:r>
      <w:r w:rsidRPr="00D626EA">
        <w:rPr>
          <w:color w:val="auto"/>
        </w:rPr>
        <w:t xml:space="preserve">es in future years. </w:t>
      </w:r>
    </w:p>
    <w:p w14:paraId="275C4422" w14:textId="77777777" w:rsidR="00694356" w:rsidRDefault="00844854" w:rsidP="0058734D">
      <w:pPr>
        <w:pStyle w:val="Glossaryterm"/>
      </w:pPr>
      <w:r w:rsidRPr="00B752A1">
        <w:t xml:space="preserve">Welfare </w:t>
      </w:r>
      <w:r w:rsidR="00895D81" w:rsidRPr="00B752A1">
        <w:t>class</w:t>
      </w:r>
      <w:r w:rsidRPr="00B752A1">
        <w:t xml:space="preserve"> assumptions</w:t>
      </w:r>
    </w:p>
    <w:p w14:paraId="17E4CF75" w14:textId="17EE2DB5" w:rsidR="00844854" w:rsidRPr="00D626EA" w:rsidRDefault="00844854" w:rsidP="004A5231">
      <w:pPr>
        <w:rPr>
          <w:color w:val="000000" w:themeColor="text1"/>
        </w:rPr>
      </w:pPr>
      <w:r w:rsidRPr="00D626EA">
        <w:rPr>
          <w:color w:val="000000" w:themeColor="text1"/>
        </w:rPr>
        <w:t xml:space="preserve">The assumptions </w:t>
      </w:r>
      <w:r w:rsidR="00D64075">
        <w:rPr>
          <w:color w:val="000000" w:themeColor="text1"/>
        </w:rPr>
        <w:t>that</w:t>
      </w:r>
      <w:r w:rsidR="00D64075" w:rsidRPr="00D626EA">
        <w:rPr>
          <w:color w:val="000000" w:themeColor="text1"/>
        </w:rPr>
        <w:t xml:space="preserve"> </w:t>
      </w:r>
      <w:r w:rsidRPr="00D626EA">
        <w:rPr>
          <w:color w:val="000000" w:themeColor="text1"/>
        </w:rPr>
        <w:t xml:space="preserve">describe the probabilities with which individuals move between welfare </w:t>
      </w:r>
      <w:r w:rsidR="00895D81">
        <w:rPr>
          <w:color w:val="000000" w:themeColor="text1"/>
        </w:rPr>
        <w:t>class</w:t>
      </w:r>
      <w:r w:rsidRPr="00D626EA">
        <w:rPr>
          <w:color w:val="000000" w:themeColor="text1"/>
        </w:rPr>
        <w:t>es.</w:t>
      </w:r>
    </w:p>
    <w:p w14:paraId="3D5F95EB" w14:textId="77777777" w:rsidR="0058734D" w:rsidRDefault="00844854" w:rsidP="0058734D">
      <w:pPr>
        <w:pStyle w:val="Glossaryterm"/>
        <w:rPr>
          <w:color w:val="E0301E"/>
        </w:rPr>
      </w:pPr>
      <w:r w:rsidRPr="00B752A1">
        <w:t>Welfare dependence</w:t>
      </w:r>
    </w:p>
    <w:p w14:paraId="3FF783A9" w14:textId="3ED99CC2" w:rsidR="00844854" w:rsidRPr="00D626EA" w:rsidRDefault="00844854" w:rsidP="004A5231">
      <w:r w:rsidRPr="00D626EA">
        <w:t>Welfare dependence is used to describe the historical and / or expected future level of welfare use for a group of people. A group with high welfare dependence would either have high historical welfare use or high expected future welfare use.</w:t>
      </w:r>
    </w:p>
    <w:p w14:paraId="66D1868A" w14:textId="77777777" w:rsidR="0058734D" w:rsidRDefault="00844854" w:rsidP="0058734D">
      <w:pPr>
        <w:pStyle w:val="Glossaryterm"/>
        <w:rPr>
          <w:color w:val="E0301E"/>
        </w:rPr>
      </w:pPr>
      <w:r w:rsidRPr="00B752A1">
        <w:t>Welfare system interaction</w:t>
      </w:r>
    </w:p>
    <w:p w14:paraId="1582C12A" w14:textId="18C2089F" w:rsidR="00844854" w:rsidRPr="00D626EA" w:rsidRDefault="00844854" w:rsidP="004A5231">
      <w:r w:rsidRPr="00D626EA">
        <w:t xml:space="preserve">The receipt of a welfare payment (including both income support and </w:t>
      </w:r>
      <w:r w:rsidR="00621A46">
        <w:t>non-income</w:t>
      </w:r>
      <w:r w:rsidRPr="00D626EA">
        <w:t xml:space="preserve"> support payments) by an individual.</w:t>
      </w:r>
    </w:p>
    <w:p w14:paraId="2283F4CB" w14:textId="77777777" w:rsidR="0058734D" w:rsidRDefault="00844854" w:rsidP="0058734D">
      <w:pPr>
        <w:pStyle w:val="Glossaryterm"/>
      </w:pPr>
      <w:r w:rsidRPr="00B752A1">
        <w:t>Welfare utilisation assumptions</w:t>
      </w:r>
    </w:p>
    <w:p w14:paraId="543928C5" w14:textId="4DD5EA22" w:rsidR="00844854" w:rsidRPr="00D626EA" w:rsidRDefault="00844854" w:rsidP="004A5231">
      <w:pPr>
        <w:rPr>
          <w:color w:val="000000" w:themeColor="text1"/>
        </w:rPr>
      </w:pPr>
      <w:r w:rsidRPr="00D626EA">
        <w:rPr>
          <w:color w:val="000000" w:themeColor="text1"/>
        </w:rPr>
        <w:t xml:space="preserve">A term covering both the </w:t>
      </w:r>
      <w:r w:rsidR="00D647B0">
        <w:rPr>
          <w:color w:val="000000" w:themeColor="text1"/>
        </w:rPr>
        <w:t>w</w:t>
      </w:r>
      <w:r w:rsidRPr="00D626EA">
        <w:rPr>
          <w:color w:val="000000" w:themeColor="text1"/>
        </w:rPr>
        <w:t xml:space="preserve">elfare </w:t>
      </w:r>
      <w:r w:rsidR="00895D81">
        <w:rPr>
          <w:color w:val="000000" w:themeColor="text1"/>
        </w:rPr>
        <w:t>class</w:t>
      </w:r>
      <w:r w:rsidRPr="00D626EA">
        <w:rPr>
          <w:color w:val="000000" w:themeColor="text1"/>
        </w:rPr>
        <w:t xml:space="preserve"> and </w:t>
      </w:r>
      <w:r w:rsidR="00D647B0">
        <w:rPr>
          <w:color w:val="000000" w:themeColor="text1"/>
        </w:rPr>
        <w:t>p</w:t>
      </w:r>
      <w:r w:rsidRPr="00D626EA">
        <w:rPr>
          <w:color w:val="000000" w:themeColor="text1"/>
        </w:rPr>
        <w:t>ayment utilisation assumptions.</w:t>
      </w:r>
    </w:p>
    <w:p w14:paraId="61C5E3D3" w14:textId="273D0361" w:rsidR="00E006C1" w:rsidRPr="00467904" w:rsidRDefault="00E006C1" w:rsidP="00E006C1">
      <w:pPr>
        <w:rPr>
          <w:highlight w:val="yellow"/>
        </w:rPr>
      </w:pPr>
    </w:p>
    <w:p w14:paraId="7FC1FA47" w14:textId="77777777" w:rsidR="00E006C1" w:rsidRPr="00467904" w:rsidRDefault="00E006C1" w:rsidP="00E006C1">
      <w:pPr>
        <w:rPr>
          <w:highlight w:val="yellow"/>
        </w:rPr>
        <w:sectPr w:rsidR="00E006C1" w:rsidRPr="00467904" w:rsidSect="008E6BEA">
          <w:headerReference w:type="default" r:id="rId68"/>
          <w:headerReference w:type="first" r:id="rId69"/>
          <w:footerReference w:type="first" r:id="rId70"/>
          <w:pgSz w:w="11906" w:h="16838" w:code="9"/>
          <w:pgMar w:top="2466" w:right="2098" w:bottom="2466" w:left="2098" w:header="1899" w:footer="1899" w:gutter="0"/>
          <w:cols w:space="708"/>
          <w:titlePg/>
          <w:docGrid w:linePitch="360"/>
        </w:sectPr>
      </w:pPr>
    </w:p>
    <w:p w14:paraId="2C4C3F89" w14:textId="2765339E" w:rsidR="004269DD" w:rsidRPr="004269DD" w:rsidRDefault="008F7491" w:rsidP="004269DD">
      <w:pPr>
        <w:pStyle w:val="AppendixHeading"/>
        <w:numPr>
          <w:ilvl w:val="0"/>
          <w:numId w:val="0"/>
        </w:numPr>
      </w:pPr>
      <w:bookmarkStart w:id="304" w:name="_Toc36555812"/>
      <w:bookmarkStart w:id="305" w:name="_Toc36563911"/>
      <w:bookmarkStart w:id="306" w:name="_Toc36655882"/>
      <w:bookmarkStart w:id="307" w:name="_Toc37931092"/>
      <w:bookmarkStart w:id="308" w:name="_Toc38007036"/>
      <w:bookmarkStart w:id="309" w:name="_Toc38458561"/>
      <w:bookmarkStart w:id="310" w:name="_Toc39071817"/>
      <w:bookmarkStart w:id="311" w:name="_Toc39243447"/>
      <w:bookmarkStart w:id="312" w:name="_Toc100131572"/>
      <w:r w:rsidRPr="00E83D93">
        <w:lastRenderedPageBreak/>
        <w:t xml:space="preserve">Appendix </w:t>
      </w:r>
      <w:r w:rsidR="002B0D81">
        <w:t>B</w:t>
      </w:r>
      <w:r w:rsidRPr="00E83D93">
        <w:t xml:space="preserve">: </w:t>
      </w:r>
      <w:r w:rsidR="00EB1A07">
        <w:t>P</w:t>
      </w:r>
      <w:r w:rsidR="00124301">
        <w:t>olicy and operational changes</w:t>
      </w:r>
      <w:bookmarkEnd w:id="304"/>
      <w:bookmarkEnd w:id="305"/>
      <w:bookmarkEnd w:id="306"/>
      <w:bookmarkEnd w:id="307"/>
      <w:bookmarkEnd w:id="308"/>
      <w:bookmarkEnd w:id="309"/>
      <w:bookmarkEnd w:id="310"/>
      <w:bookmarkEnd w:id="311"/>
      <w:bookmarkEnd w:id="312"/>
    </w:p>
    <w:p w14:paraId="21B9EE24" w14:textId="6C269621" w:rsidR="00314DF2" w:rsidRDefault="002B0D81" w:rsidP="00314DF2">
      <w:pPr>
        <w:pStyle w:val="AppendixParagraph"/>
        <w:numPr>
          <w:ilvl w:val="0"/>
          <w:numId w:val="0"/>
        </w:numPr>
        <w:ind w:left="720" w:hanging="720"/>
      </w:pPr>
      <w:r>
        <w:rPr>
          <w:lang w:val="en-AU"/>
        </w:rPr>
        <w:t>B</w:t>
      </w:r>
      <w:r w:rsidR="004269DD">
        <w:rPr>
          <w:lang w:val="en-AU"/>
        </w:rPr>
        <w:t>.1</w:t>
      </w:r>
      <w:r w:rsidR="004269DD">
        <w:rPr>
          <w:lang w:val="en-AU"/>
        </w:rPr>
        <w:tab/>
      </w:r>
      <w:r w:rsidR="006F28AC">
        <w:t>The following table summarise</w:t>
      </w:r>
      <w:r w:rsidR="009F6BBB">
        <w:t>s</w:t>
      </w:r>
      <w:r w:rsidR="006F28AC">
        <w:t xml:space="preserve"> the list of policy changes</w:t>
      </w:r>
      <w:r w:rsidR="009F6BBB">
        <w:t xml:space="preserve"> </w:t>
      </w:r>
      <w:r w:rsidR="006F28AC">
        <w:t xml:space="preserve">provided </w:t>
      </w:r>
      <w:r w:rsidR="009F6BBB">
        <w:t xml:space="preserve">by </w:t>
      </w:r>
      <w:r w:rsidR="00A85BE0">
        <w:t>DSS</w:t>
      </w:r>
      <w:r w:rsidR="009F6BBB">
        <w:t xml:space="preserve"> in respect of earlier years’ model development. This includes </w:t>
      </w:r>
      <w:r w:rsidR="006F28AC">
        <w:t xml:space="preserve">policy changes </w:t>
      </w:r>
      <w:r w:rsidR="00D64075">
        <w:t xml:space="preserve">that </w:t>
      </w:r>
      <w:r w:rsidR="009A0970">
        <w:t xml:space="preserve">[1] </w:t>
      </w:r>
      <w:r w:rsidR="006F28AC">
        <w:t>took effect prior to the previous valuation</w:t>
      </w:r>
      <w:r w:rsidR="00314DF2">
        <w:t xml:space="preserve"> of 30</w:t>
      </w:r>
      <w:r w:rsidR="008C791B">
        <w:t> </w:t>
      </w:r>
      <w:r w:rsidR="00314DF2">
        <w:t>June</w:t>
      </w:r>
      <w:r w:rsidR="008C791B">
        <w:t> </w:t>
      </w:r>
      <w:r w:rsidR="00314DF2">
        <w:t>2018</w:t>
      </w:r>
      <w:r w:rsidR="006F28AC">
        <w:t xml:space="preserve">, </w:t>
      </w:r>
      <w:r w:rsidR="009A0970">
        <w:t>[2]</w:t>
      </w:r>
      <w:r w:rsidR="00314DF2">
        <w:t xml:space="preserve"> took effect subsequent to the previous valuation date of 30</w:t>
      </w:r>
      <w:r w:rsidR="008C791B">
        <w:t> </w:t>
      </w:r>
      <w:r w:rsidR="00314DF2">
        <w:t>June</w:t>
      </w:r>
      <w:r w:rsidR="008C791B">
        <w:t> </w:t>
      </w:r>
      <w:r w:rsidR="00314DF2">
        <w:t>2018</w:t>
      </w:r>
      <w:r w:rsidR="009A0970">
        <w:t xml:space="preserve"> but prior to the </w:t>
      </w:r>
      <w:r w:rsidR="00D41D51">
        <w:t>current model’s census date of 30</w:t>
      </w:r>
      <w:r w:rsidR="008C791B">
        <w:t> </w:t>
      </w:r>
      <w:r w:rsidR="00D41D51">
        <w:t>September</w:t>
      </w:r>
      <w:r w:rsidR="008C791B">
        <w:t> </w:t>
      </w:r>
      <w:r w:rsidR="00D41D51">
        <w:t>2019</w:t>
      </w:r>
      <w:r w:rsidR="009A0970">
        <w:t>, and</w:t>
      </w:r>
      <w:r w:rsidR="00D41D51">
        <w:t xml:space="preserve"> [3]</w:t>
      </w:r>
      <w:r w:rsidR="009A0970">
        <w:t xml:space="preserve"> will take effect beyond</w:t>
      </w:r>
      <w:r w:rsidR="009C0517">
        <w:t xml:space="preserve"> the current model’s census date of</w:t>
      </w:r>
      <w:r w:rsidR="009A0970">
        <w:t xml:space="preserve"> 30</w:t>
      </w:r>
      <w:r w:rsidR="008C791B">
        <w:t> </w:t>
      </w:r>
      <w:r w:rsidR="009A0970">
        <w:t>September</w:t>
      </w:r>
      <w:r w:rsidR="008C791B">
        <w:t> </w:t>
      </w:r>
      <w:r w:rsidR="009A0970">
        <w:t>2019</w:t>
      </w:r>
      <w:r w:rsidR="00314DF2">
        <w:t>.</w:t>
      </w:r>
    </w:p>
    <w:p w14:paraId="5EBDF17B" w14:textId="766761C5" w:rsidR="00314DF2" w:rsidRDefault="002B0D81" w:rsidP="00314DF2">
      <w:pPr>
        <w:pStyle w:val="AppendixParagraph"/>
        <w:numPr>
          <w:ilvl w:val="0"/>
          <w:numId w:val="0"/>
        </w:numPr>
        <w:spacing w:after="0"/>
        <w:ind w:left="720" w:hanging="720"/>
      </w:pPr>
      <w:r>
        <w:t>B</w:t>
      </w:r>
      <w:r w:rsidR="00314DF2">
        <w:t>.2</w:t>
      </w:r>
      <w:r w:rsidR="00314DF2">
        <w:tab/>
        <w:t xml:space="preserve">Adjustments made in the </w:t>
      </w:r>
      <w:r w:rsidR="005D6F27">
        <w:t>previous</w:t>
      </w:r>
      <w:r w:rsidR="00314DF2">
        <w:t xml:space="preserve"> model to account for potential impacts of policy changes given below, were reviewed and </w:t>
      </w:r>
      <w:r w:rsidR="00803937">
        <w:t>then u</w:t>
      </w:r>
      <w:r w:rsidR="009A0970">
        <w:t>pdated if required</w:t>
      </w:r>
      <w:r w:rsidR="00314DF2">
        <w:t xml:space="preserve">. </w:t>
      </w:r>
    </w:p>
    <w:p w14:paraId="41154F15" w14:textId="01BD879A" w:rsidR="006F28AC" w:rsidRDefault="006F28AC" w:rsidP="009F6BBB">
      <w:pPr>
        <w:pStyle w:val="AppendixParagraph"/>
        <w:numPr>
          <w:ilvl w:val="0"/>
          <w:numId w:val="0"/>
        </w:numPr>
        <w:spacing w:after="0"/>
        <w:rPr>
          <w:lang w:val="en-AU"/>
        </w:rPr>
      </w:pPr>
    </w:p>
    <w:p w14:paraId="6987BEE7" w14:textId="21C3F373" w:rsidR="006F28AC" w:rsidRPr="00F029F9" w:rsidRDefault="006F28AC" w:rsidP="000B1493">
      <w:pPr>
        <w:pStyle w:val="Caption"/>
      </w:pPr>
      <w:r w:rsidRPr="00F029F9">
        <w:t xml:space="preserve">Table </w:t>
      </w:r>
      <w:r w:rsidR="00215A2C">
        <w:fldChar w:fldCharType="begin"/>
      </w:r>
      <w:r w:rsidR="00215A2C">
        <w:instrText xml:space="preserve"> SEQ Table \* ARABIC </w:instrText>
      </w:r>
      <w:r w:rsidR="00215A2C">
        <w:fldChar w:fldCharType="separate"/>
      </w:r>
      <w:r w:rsidR="00751625">
        <w:rPr>
          <w:noProof/>
        </w:rPr>
        <w:t>12</w:t>
      </w:r>
      <w:r w:rsidR="00215A2C">
        <w:rPr>
          <w:noProof/>
        </w:rPr>
        <w:fldChar w:fldCharType="end"/>
      </w:r>
      <w:r w:rsidRPr="00F029F9">
        <w:t xml:space="preserve">: </w:t>
      </w:r>
      <w:r w:rsidR="00D41D51" w:rsidRPr="00F029F9">
        <w:t>P</w:t>
      </w:r>
      <w:r w:rsidRPr="00F029F9">
        <w:t>olicy changes</w:t>
      </w:r>
      <w:r w:rsidR="00D41D51" w:rsidRPr="00F029F9">
        <w:t xml:space="preserve"> advised prior to 30 June 2018</w:t>
      </w:r>
    </w:p>
    <w:tbl>
      <w:tblPr>
        <w:tblStyle w:val="ListTable3-Accent1"/>
        <w:tblW w:w="8647" w:type="dxa"/>
        <w:tblLayout w:type="fixed"/>
        <w:tblLook w:val="04A0" w:firstRow="1" w:lastRow="0" w:firstColumn="1" w:lastColumn="0" w:noHBand="0" w:noVBand="1"/>
        <w:tblCaption w:val=" Policy changes which have taken effect prior to the valuation date"/>
        <w:tblDescription w:val="This table lists policy changes which may have impacted past experience. It has three columns: the amendment, the year it was introduced, and a short description of the change and its impact. &#10;"/>
      </w:tblPr>
      <w:tblGrid>
        <w:gridCol w:w="3222"/>
        <w:gridCol w:w="46"/>
        <w:gridCol w:w="874"/>
        <w:gridCol w:w="106"/>
        <w:gridCol w:w="4373"/>
        <w:gridCol w:w="26"/>
      </w:tblGrid>
      <w:tr w:rsidR="006F28AC" w14:paraId="7836F1EB" w14:textId="77777777" w:rsidTr="00EB5BD4">
        <w:trPr>
          <w:gridAfter w:val="1"/>
          <w:cnfStyle w:val="100000000000" w:firstRow="1" w:lastRow="0" w:firstColumn="0" w:lastColumn="0" w:oddVBand="0" w:evenVBand="0" w:oddHBand="0" w:evenHBand="0" w:firstRowFirstColumn="0" w:firstRowLastColumn="0" w:lastRowFirstColumn="0" w:lastRowLastColumn="0"/>
          <w:wAfter w:w="26" w:type="dxa"/>
          <w:trHeight w:val="283"/>
        </w:trPr>
        <w:tc>
          <w:tcPr>
            <w:cnfStyle w:val="001000000100" w:firstRow="0" w:lastRow="0" w:firstColumn="1" w:lastColumn="0" w:oddVBand="0" w:evenVBand="0" w:oddHBand="0" w:evenHBand="0" w:firstRowFirstColumn="1" w:firstRowLastColumn="0" w:lastRowFirstColumn="0" w:lastRowLastColumn="0"/>
            <w:tcW w:w="3268" w:type="dxa"/>
            <w:gridSpan w:val="2"/>
            <w:hideMark/>
          </w:tcPr>
          <w:p w14:paraId="17B3A1CD" w14:textId="77777777" w:rsidR="006F28AC" w:rsidRPr="005B1751" w:rsidRDefault="006F28AC" w:rsidP="0075468D">
            <w:pPr>
              <w:pStyle w:val="TableColumnHeadingLeft"/>
              <w:rPr>
                <w:b/>
              </w:rPr>
            </w:pPr>
            <w:r w:rsidRPr="005B1751">
              <w:rPr>
                <w:b/>
              </w:rPr>
              <w:t>Amendment</w:t>
            </w:r>
          </w:p>
        </w:tc>
        <w:tc>
          <w:tcPr>
            <w:tcW w:w="980" w:type="dxa"/>
            <w:gridSpan w:val="2"/>
            <w:hideMark/>
          </w:tcPr>
          <w:p w14:paraId="6152EEF1" w14:textId="7F53FEF5" w:rsidR="006F28AC" w:rsidRPr="005B1751" w:rsidRDefault="006F28AC" w:rsidP="0075468D">
            <w:pPr>
              <w:pStyle w:val="TableColumnHeadingLeft"/>
              <w:cnfStyle w:val="100000000000" w:firstRow="1" w:lastRow="0" w:firstColumn="0" w:lastColumn="0" w:oddVBand="0" w:evenVBand="0" w:oddHBand="0" w:evenHBand="0" w:firstRowFirstColumn="0" w:firstRowLastColumn="0" w:lastRowFirstColumn="0" w:lastRowLastColumn="0"/>
              <w:rPr>
                <w:b/>
              </w:rPr>
            </w:pPr>
            <w:r w:rsidRPr="005B1751">
              <w:rPr>
                <w:b/>
              </w:rPr>
              <w:t>Year Effective</w:t>
            </w:r>
          </w:p>
        </w:tc>
        <w:tc>
          <w:tcPr>
            <w:tcW w:w="4373" w:type="dxa"/>
            <w:hideMark/>
          </w:tcPr>
          <w:p w14:paraId="45A5799A" w14:textId="77777777" w:rsidR="006F28AC" w:rsidRPr="005B1751" w:rsidRDefault="006F28AC" w:rsidP="0075468D">
            <w:pPr>
              <w:pStyle w:val="TableColumnHeadingLeft"/>
              <w:cnfStyle w:val="100000000000" w:firstRow="1" w:lastRow="0" w:firstColumn="0" w:lastColumn="0" w:oddVBand="0" w:evenVBand="0" w:oddHBand="0" w:evenHBand="0" w:firstRowFirstColumn="0" w:firstRowLastColumn="0" w:lastRowFirstColumn="0" w:lastRowLastColumn="0"/>
              <w:rPr>
                <w:b/>
              </w:rPr>
            </w:pPr>
            <w:r w:rsidRPr="005B1751">
              <w:rPr>
                <w:b/>
              </w:rPr>
              <w:t>Description</w:t>
            </w:r>
          </w:p>
        </w:tc>
      </w:tr>
      <w:tr w:rsidR="006F28AC" w14:paraId="334CBA15" w14:textId="77777777" w:rsidTr="00EB5BD4">
        <w:trPr>
          <w:gridAfter w:val="1"/>
          <w:cnfStyle w:val="000000100000" w:firstRow="0" w:lastRow="0" w:firstColumn="0" w:lastColumn="0" w:oddVBand="0" w:evenVBand="0" w:oddHBand="1" w:evenHBand="0" w:firstRowFirstColumn="0" w:firstRowLastColumn="0" w:lastRowFirstColumn="0" w:lastRowLastColumn="0"/>
          <w:wAfter w:w="26" w:type="dxa"/>
        </w:trPr>
        <w:tc>
          <w:tcPr>
            <w:cnfStyle w:val="001000000000" w:firstRow="0" w:lastRow="0" w:firstColumn="1" w:lastColumn="0" w:oddVBand="0" w:evenVBand="0" w:oddHBand="0" w:evenHBand="0" w:firstRowFirstColumn="0" w:firstRowLastColumn="0" w:lastRowFirstColumn="0" w:lastRowLastColumn="0"/>
            <w:tcW w:w="3268" w:type="dxa"/>
            <w:gridSpan w:val="2"/>
            <w:hideMark/>
          </w:tcPr>
          <w:p w14:paraId="6EEBB091" w14:textId="77777777" w:rsidR="006F28AC" w:rsidRPr="00D06FD5" w:rsidRDefault="006F28AC">
            <w:pPr>
              <w:pStyle w:val="TableTextSmalltopic"/>
              <w:rPr>
                <w:rFonts w:ascii="Arial" w:hAnsi="Arial"/>
                <w:b/>
                <w:sz w:val="18"/>
              </w:rPr>
            </w:pPr>
            <w:r w:rsidRPr="00D06FD5">
              <w:rPr>
                <w:rFonts w:ascii="Arial" w:hAnsi="Arial"/>
                <w:b/>
                <w:sz w:val="18"/>
              </w:rPr>
              <w:t>Parenting Payment transitional arrangement</w:t>
            </w:r>
          </w:p>
          <w:p w14:paraId="62E18F9A" w14:textId="77777777" w:rsidR="006F28AC" w:rsidRPr="00D06FD5" w:rsidRDefault="006F28AC">
            <w:pPr>
              <w:pStyle w:val="TableTextSmall"/>
              <w:rPr>
                <w:rFonts w:ascii="Arial" w:hAnsi="Arial"/>
                <w:sz w:val="18"/>
              </w:rPr>
            </w:pPr>
            <w:r w:rsidRPr="00D06FD5">
              <w:rPr>
                <w:rFonts w:ascii="Arial" w:hAnsi="Arial"/>
                <w:sz w:val="18"/>
              </w:rPr>
              <w:t>Social Security Amendment (Parenting Payment Transitional Arrangement) Act 2011</w:t>
            </w:r>
          </w:p>
        </w:tc>
        <w:tc>
          <w:tcPr>
            <w:tcW w:w="874" w:type="dxa"/>
            <w:hideMark/>
          </w:tcPr>
          <w:p w14:paraId="024EFA90" w14:textId="77777777" w:rsidR="006F28AC" w:rsidRPr="00262211" w:rsidRDefault="006F28AC">
            <w:pPr>
              <w:pStyle w:val="TableTextSmall"/>
              <w:cnfStyle w:val="000000100000" w:firstRow="0" w:lastRow="0" w:firstColumn="0" w:lastColumn="0" w:oddVBand="0" w:evenVBand="0" w:oddHBand="1" w:evenHBand="0" w:firstRowFirstColumn="0" w:firstRowLastColumn="0" w:lastRowFirstColumn="0" w:lastRowLastColumn="0"/>
              <w:rPr>
                <w:rFonts w:ascii="Arial" w:hAnsi="Arial"/>
                <w:sz w:val="18"/>
              </w:rPr>
            </w:pPr>
            <w:r w:rsidRPr="00262211">
              <w:rPr>
                <w:rFonts w:ascii="Arial" w:hAnsi="Arial"/>
                <w:sz w:val="18"/>
              </w:rPr>
              <w:t>2011</w:t>
            </w:r>
          </w:p>
        </w:tc>
        <w:tc>
          <w:tcPr>
            <w:tcW w:w="4479" w:type="dxa"/>
            <w:gridSpan w:val="2"/>
            <w:hideMark/>
          </w:tcPr>
          <w:p w14:paraId="2AEF2434" w14:textId="77777777" w:rsidR="006F28AC" w:rsidRPr="00262211" w:rsidRDefault="006F28AC">
            <w:pPr>
              <w:pStyle w:val="TableTextSmall"/>
              <w:cnfStyle w:val="000000100000" w:firstRow="0" w:lastRow="0" w:firstColumn="0" w:lastColumn="0" w:oddVBand="0" w:evenVBand="0" w:oddHBand="1" w:evenHBand="0" w:firstRowFirstColumn="0" w:firstRowLastColumn="0" w:lastRowFirstColumn="0" w:lastRowLastColumn="0"/>
              <w:rPr>
                <w:rFonts w:ascii="Arial" w:hAnsi="Arial"/>
                <w:sz w:val="18"/>
              </w:rPr>
            </w:pPr>
            <w:r w:rsidRPr="00262211">
              <w:rPr>
                <w:rFonts w:ascii="Arial" w:hAnsi="Arial"/>
                <w:sz w:val="18"/>
              </w:rPr>
              <w:t>Changed ability to access transitional arrangements.</w:t>
            </w:r>
          </w:p>
        </w:tc>
      </w:tr>
      <w:tr w:rsidR="006F28AC" w14:paraId="4739571C" w14:textId="77777777" w:rsidTr="00EB5BD4">
        <w:trPr>
          <w:gridAfter w:val="1"/>
          <w:wAfter w:w="26" w:type="dxa"/>
        </w:trPr>
        <w:tc>
          <w:tcPr>
            <w:cnfStyle w:val="001000000000" w:firstRow="0" w:lastRow="0" w:firstColumn="1" w:lastColumn="0" w:oddVBand="0" w:evenVBand="0" w:oddHBand="0" w:evenHBand="0" w:firstRowFirstColumn="0" w:firstRowLastColumn="0" w:lastRowFirstColumn="0" w:lastRowLastColumn="0"/>
            <w:tcW w:w="3268" w:type="dxa"/>
            <w:gridSpan w:val="2"/>
            <w:hideMark/>
          </w:tcPr>
          <w:p w14:paraId="218B8448" w14:textId="77777777" w:rsidR="006F28AC" w:rsidRPr="00D06FD5" w:rsidRDefault="006F28AC">
            <w:pPr>
              <w:pStyle w:val="TableTextSmalltopic"/>
              <w:rPr>
                <w:rFonts w:ascii="Arial" w:hAnsi="Arial"/>
                <w:b/>
                <w:sz w:val="18"/>
              </w:rPr>
            </w:pPr>
            <w:r w:rsidRPr="00D06FD5">
              <w:rPr>
                <w:rFonts w:ascii="Arial" w:hAnsi="Arial"/>
                <w:b/>
                <w:sz w:val="18"/>
              </w:rPr>
              <w:t>Work rule for Disability Support Pension</w:t>
            </w:r>
          </w:p>
          <w:p w14:paraId="005E9108" w14:textId="77777777" w:rsidR="006F28AC" w:rsidRPr="00D06FD5" w:rsidRDefault="006F28AC">
            <w:pPr>
              <w:pStyle w:val="TableTextSmall"/>
              <w:rPr>
                <w:rFonts w:ascii="Arial" w:hAnsi="Arial"/>
                <w:sz w:val="18"/>
              </w:rPr>
            </w:pPr>
            <w:r w:rsidRPr="00D06FD5">
              <w:rPr>
                <w:rFonts w:ascii="Arial" w:hAnsi="Arial"/>
                <w:sz w:val="18"/>
              </w:rPr>
              <w:t>Social Security and Other Legislation Amendment (Disability Support Pension Participation Reforms) Act 2012</w:t>
            </w:r>
          </w:p>
        </w:tc>
        <w:tc>
          <w:tcPr>
            <w:tcW w:w="874" w:type="dxa"/>
            <w:hideMark/>
          </w:tcPr>
          <w:p w14:paraId="46EE8F56" w14:textId="77777777" w:rsidR="006F28AC" w:rsidRPr="00262211" w:rsidRDefault="006F28AC">
            <w:pPr>
              <w:pStyle w:val="TableTextSmall"/>
              <w:cnfStyle w:val="000000000000" w:firstRow="0" w:lastRow="0" w:firstColumn="0" w:lastColumn="0" w:oddVBand="0" w:evenVBand="0" w:oddHBand="0" w:evenHBand="0" w:firstRowFirstColumn="0" w:firstRowLastColumn="0" w:lastRowFirstColumn="0" w:lastRowLastColumn="0"/>
              <w:rPr>
                <w:rFonts w:ascii="Arial" w:hAnsi="Arial"/>
                <w:sz w:val="18"/>
              </w:rPr>
            </w:pPr>
            <w:r w:rsidRPr="00262211">
              <w:rPr>
                <w:rFonts w:ascii="Arial" w:hAnsi="Arial"/>
                <w:sz w:val="18"/>
              </w:rPr>
              <w:t>2012</w:t>
            </w:r>
          </w:p>
        </w:tc>
        <w:tc>
          <w:tcPr>
            <w:tcW w:w="4479" w:type="dxa"/>
            <w:gridSpan w:val="2"/>
            <w:hideMark/>
          </w:tcPr>
          <w:p w14:paraId="48FDAF42" w14:textId="77777777" w:rsidR="006F28AC" w:rsidRPr="00262211" w:rsidRDefault="006F28AC">
            <w:pPr>
              <w:pStyle w:val="TableTextSmall"/>
              <w:cnfStyle w:val="000000000000" w:firstRow="0" w:lastRow="0" w:firstColumn="0" w:lastColumn="0" w:oddVBand="0" w:evenVBand="0" w:oddHBand="0" w:evenHBand="0" w:firstRowFirstColumn="0" w:firstRowLastColumn="0" w:lastRowFirstColumn="0" w:lastRowLastColumn="0"/>
              <w:rPr>
                <w:rFonts w:ascii="Arial" w:hAnsi="Arial"/>
                <w:b/>
                <w:sz w:val="18"/>
              </w:rPr>
            </w:pPr>
            <w:r w:rsidRPr="00262211">
              <w:rPr>
                <w:rFonts w:ascii="Arial" w:hAnsi="Arial"/>
                <w:sz w:val="18"/>
              </w:rPr>
              <w:t>From 1 July 2012, all Disability Support Pension recipients can work up to 30 hours a week without having their payment suspended or cancelled.</w:t>
            </w:r>
          </w:p>
        </w:tc>
      </w:tr>
      <w:tr w:rsidR="006F28AC" w14:paraId="20C619D6" w14:textId="77777777" w:rsidTr="00EB5BD4">
        <w:trPr>
          <w:gridAfter w:val="1"/>
          <w:cnfStyle w:val="000000100000" w:firstRow="0" w:lastRow="0" w:firstColumn="0" w:lastColumn="0" w:oddVBand="0" w:evenVBand="0" w:oddHBand="1" w:evenHBand="0" w:firstRowFirstColumn="0" w:firstRowLastColumn="0" w:lastRowFirstColumn="0" w:lastRowLastColumn="0"/>
          <w:wAfter w:w="26" w:type="dxa"/>
        </w:trPr>
        <w:tc>
          <w:tcPr>
            <w:cnfStyle w:val="001000000000" w:firstRow="0" w:lastRow="0" w:firstColumn="1" w:lastColumn="0" w:oddVBand="0" w:evenVBand="0" w:oddHBand="0" w:evenHBand="0" w:firstRowFirstColumn="0" w:firstRowLastColumn="0" w:lastRowFirstColumn="0" w:lastRowLastColumn="0"/>
            <w:tcW w:w="3268" w:type="dxa"/>
            <w:gridSpan w:val="2"/>
            <w:hideMark/>
          </w:tcPr>
          <w:p w14:paraId="7DCFA8BB" w14:textId="77777777" w:rsidR="006F28AC" w:rsidRPr="00D06FD5" w:rsidRDefault="006F28AC">
            <w:pPr>
              <w:pStyle w:val="TableTextSmalltopic"/>
              <w:rPr>
                <w:rFonts w:ascii="Arial" w:hAnsi="Arial"/>
                <w:b/>
                <w:sz w:val="18"/>
              </w:rPr>
            </w:pPr>
            <w:r w:rsidRPr="00D06FD5">
              <w:rPr>
                <w:rFonts w:ascii="Arial" w:hAnsi="Arial"/>
                <w:b/>
                <w:sz w:val="18"/>
              </w:rPr>
              <w:t>Changes to the eligibility criteria for Youth Allowance (Other) and Newstart Allowance</w:t>
            </w:r>
          </w:p>
          <w:p w14:paraId="22890CCA" w14:textId="77777777" w:rsidR="006F28AC" w:rsidRPr="00D06FD5" w:rsidRDefault="006F28AC">
            <w:pPr>
              <w:pStyle w:val="TableTextSmall"/>
              <w:rPr>
                <w:rFonts w:ascii="Arial" w:hAnsi="Arial"/>
                <w:sz w:val="18"/>
              </w:rPr>
            </w:pPr>
            <w:r w:rsidRPr="00D06FD5">
              <w:rPr>
                <w:rFonts w:ascii="Arial" w:hAnsi="Arial"/>
                <w:sz w:val="18"/>
              </w:rPr>
              <w:t>Social Security and Other Legislation Amendment (Income Support and Other Measures) Act 2012</w:t>
            </w:r>
          </w:p>
        </w:tc>
        <w:tc>
          <w:tcPr>
            <w:tcW w:w="874" w:type="dxa"/>
            <w:hideMark/>
          </w:tcPr>
          <w:p w14:paraId="7EBC68C9" w14:textId="77777777" w:rsidR="006F28AC" w:rsidRPr="00262211" w:rsidRDefault="006F28AC">
            <w:pPr>
              <w:pStyle w:val="TableTextSmall"/>
              <w:cnfStyle w:val="000000100000" w:firstRow="0" w:lastRow="0" w:firstColumn="0" w:lastColumn="0" w:oddVBand="0" w:evenVBand="0" w:oddHBand="1" w:evenHBand="0" w:firstRowFirstColumn="0" w:firstRowLastColumn="0" w:lastRowFirstColumn="0" w:lastRowLastColumn="0"/>
              <w:rPr>
                <w:rFonts w:ascii="Arial" w:hAnsi="Arial"/>
                <w:sz w:val="18"/>
              </w:rPr>
            </w:pPr>
            <w:r w:rsidRPr="00262211">
              <w:rPr>
                <w:rFonts w:ascii="Arial" w:hAnsi="Arial"/>
                <w:sz w:val="18"/>
              </w:rPr>
              <w:t>2012</w:t>
            </w:r>
          </w:p>
        </w:tc>
        <w:tc>
          <w:tcPr>
            <w:tcW w:w="4479" w:type="dxa"/>
            <w:gridSpan w:val="2"/>
            <w:hideMark/>
          </w:tcPr>
          <w:p w14:paraId="1D0CEB32" w14:textId="77777777" w:rsidR="006F28AC" w:rsidRPr="00262211" w:rsidRDefault="006F28AC">
            <w:pPr>
              <w:pStyle w:val="TableTextSmall"/>
              <w:cnfStyle w:val="000000100000" w:firstRow="0" w:lastRow="0" w:firstColumn="0" w:lastColumn="0" w:oddVBand="0" w:evenVBand="0" w:oddHBand="1" w:evenHBand="0" w:firstRowFirstColumn="0" w:firstRowLastColumn="0" w:lastRowFirstColumn="0" w:lastRowLastColumn="0"/>
              <w:rPr>
                <w:rFonts w:ascii="Arial" w:hAnsi="Arial"/>
                <w:sz w:val="18"/>
              </w:rPr>
            </w:pPr>
            <w:r w:rsidRPr="00262211">
              <w:rPr>
                <w:rFonts w:ascii="Arial" w:hAnsi="Arial"/>
                <w:sz w:val="18"/>
              </w:rPr>
              <w:t>The maximum age for Youth Allowance for non-students and the minimum qualification age for Newstart Allowance increased from 21 to 22 years.</w:t>
            </w:r>
          </w:p>
          <w:p w14:paraId="13A7A087" w14:textId="704886B9" w:rsidR="006F28AC" w:rsidRPr="00262211" w:rsidRDefault="006F28AC">
            <w:pPr>
              <w:pStyle w:val="TableTextSmall"/>
              <w:cnfStyle w:val="000000100000" w:firstRow="0" w:lastRow="0" w:firstColumn="0" w:lastColumn="0" w:oddVBand="0" w:evenVBand="0" w:oddHBand="1" w:evenHBand="0" w:firstRowFirstColumn="0" w:firstRowLastColumn="0" w:lastRowFirstColumn="0" w:lastRowLastColumn="0"/>
              <w:rPr>
                <w:rFonts w:ascii="Arial" w:hAnsi="Arial"/>
                <w:b/>
                <w:sz w:val="18"/>
              </w:rPr>
            </w:pPr>
            <w:r w:rsidRPr="00262211">
              <w:rPr>
                <w:rFonts w:ascii="Arial" w:hAnsi="Arial"/>
                <w:sz w:val="18"/>
              </w:rPr>
              <w:t xml:space="preserve">The income free area value was increased from $62 </w:t>
            </w:r>
            <w:r w:rsidR="000A3BE7">
              <w:rPr>
                <w:rFonts w:ascii="Arial" w:hAnsi="Arial"/>
                <w:sz w:val="18"/>
              </w:rPr>
              <w:t>per</w:t>
            </w:r>
            <w:r w:rsidRPr="00262211">
              <w:rPr>
                <w:rFonts w:ascii="Arial" w:hAnsi="Arial"/>
                <w:sz w:val="18"/>
              </w:rPr>
              <w:t xml:space="preserve"> fortnight to $143 </w:t>
            </w:r>
            <w:r w:rsidR="000A3BE7">
              <w:rPr>
                <w:rFonts w:ascii="Arial" w:hAnsi="Arial"/>
                <w:sz w:val="18"/>
              </w:rPr>
              <w:t>per</w:t>
            </w:r>
            <w:r w:rsidRPr="00262211">
              <w:rPr>
                <w:rFonts w:ascii="Arial" w:hAnsi="Arial"/>
                <w:sz w:val="18"/>
              </w:rPr>
              <w:t xml:space="preserve"> fortnight and the working credit limit value was increased from $1000 to $3500 for all Youth Allowance (Other) recipients.</w:t>
            </w:r>
          </w:p>
        </w:tc>
      </w:tr>
      <w:tr w:rsidR="006F28AC" w14:paraId="05DCB501" w14:textId="77777777" w:rsidTr="00EB5BD4">
        <w:trPr>
          <w:gridAfter w:val="1"/>
          <w:wAfter w:w="26" w:type="dxa"/>
        </w:trPr>
        <w:tc>
          <w:tcPr>
            <w:cnfStyle w:val="001000000000" w:firstRow="0" w:lastRow="0" w:firstColumn="1" w:lastColumn="0" w:oddVBand="0" w:evenVBand="0" w:oddHBand="0" w:evenHBand="0" w:firstRowFirstColumn="0" w:firstRowLastColumn="0" w:lastRowFirstColumn="0" w:lastRowLastColumn="0"/>
            <w:tcW w:w="3268" w:type="dxa"/>
            <w:gridSpan w:val="2"/>
            <w:hideMark/>
          </w:tcPr>
          <w:p w14:paraId="6AD9E275" w14:textId="77777777" w:rsidR="006F28AC" w:rsidRPr="00D06FD5" w:rsidRDefault="006F28AC">
            <w:pPr>
              <w:pStyle w:val="TableTextSmalltopic"/>
              <w:rPr>
                <w:rFonts w:ascii="Arial" w:hAnsi="Arial"/>
                <w:b/>
                <w:sz w:val="18"/>
              </w:rPr>
            </w:pPr>
            <w:r w:rsidRPr="00D06FD5">
              <w:rPr>
                <w:rFonts w:ascii="Arial" w:hAnsi="Arial"/>
                <w:b/>
                <w:sz w:val="18"/>
              </w:rPr>
              <w:t>Clean Energy Advance (CEA)</w:t>
            </w:r>
          </w:p>
        </w:tc>
        <w:tc>
          <w:tcPr>
            <w:tcW w:w="874" w:type="dxa"/>
            <w:hideMark/>
          </w:tcPr>
          <w:p w14:paraId="43D199CA" w14:textId="77777777" w:rsidR="006F28AC" w:rsidRPr="00262211" w:rsidRDefault="006F28AC">
            <w:pPr>
              <w:pStyle w:val="TableTextSmall"/>
              <w:cnfStyle w:val="000000000000" w:firstRow="0" w:lastRow="0" w:firstColumn="0" w:lastColumn="0" w:oddVBand="0" w:evenVBand="0" w:oddHBand="0" w:evenHBand="0" w:firstRowFirstColumn="0" w:firstRowLastColumn="0" w:lastRowFirstColumn="0" w:lastRowLastColumn="0"/>
              <w:rPr>
                <w:rFonts w:ascii="Arial" w:hAnsi="Arial"/>
                <w:sz w:val="18"/>
              </w:rPr>
            </w:pPr>
            <w:r w:rsidRPr="00262211">
              <w:rPr>
                <w:rFonts w:ascii="Arial" w:hAnsi="Arial"/>
                <w:sz w:val="18"/>
              </w:rPr>
              <w:t>2012</w:t>
            </w:r>
          </w:p>
        </w:tc>
        <w:tc>
          <w:tcPr>
            <w:tcW w:w="4479" w:type="dxa"/>
            <w:gridSpan w:val="2"/>
            <w:hideMark/>
          </w:tcPr>
          <w:p w14:paraId="5B05BAD0" w14:textId="77777777" w:rsidR="006F28AC" w:rsidRPr="00262211" w:rsidRDefault="006F28AC">
            <w:pPr>
              <w:pStyle w:val="TableTextSmall"/>
              <w:cnfStyle w:val="000000000000" w:firstRow="0" w:lastRow="0" w:firstColumn="0" w:lastColumn="0" w:oddVBand="0" w:evenVBand="0" w:oddHBand="0" w:evenHBand="0" w:firstRowFirstColumn="0" w:firstRowLastColumn="0" w:lastRowFirstColumn="0" w:lastRowLastColumn="0"/>
              <w:rPr>
                <w:rFonts w:ascii="Arial" w:hAnsi="Arial"/>
                <w:sz w:val="18"/>
              </w:rPr>
            </w:pPr>
            <w:r w:rsidRPr="00262211">
              <w:rPr>
                <w:rFonts w:ascii="Arial" w:hAnsi="Arial"/>
                <w:sz w:val="18"/>
              </w:rPr>
              <w:t>The Clean Energy Advance (CEA) was introduced in May 2012.</w:t>
            </w:r>
          </w:p>
        </w:tc>
      </w:tr>
      <w:tr w:rsidR="006F28AC" w14:paraId="5D03EC93" w14:textId="77777777" w:rsidTr="00EB5BD4">
        <w:trPr>
          <w:gridAfter w:val="1"/>
          <w:cnfStyle w:val="000000100000" w:firstRow="0" w:lastRow="0" w:firstColumn="0" w:lastColumn="0" w:oddVBand="0" w:evenVBand="0" w:oddHBand="1" w:evenHBand="0" w:firstRowFirstColumn="0" w:firstRowLastColumn="0" w:lastRowFirstColumn="0" w:lastRowLastColumn="0"/>
          <w:wAfter w:w="26" w:type="dxa"/>
        </w:trPr>
        <w:tc>
          <w:tcPr>
            <w:cnfStyle w:val="001000000000" w:firstRow="0" w:lastRow="0" w:firstColumn="1" w:lastColumn="0" w:oddVBand="0" w:evenVBand="0" w:oddHBand="0" w:evenHBand="0" w:firstRowFirstColumn="0" w:firstRowLastColumn="0" w:lastRowFirstColumn="0" w:lastRowLastColumn="0"/>
            <w:tcW w:w="3268" w:type="dxa"/>
            <w:gridSpan w:val="2"/>
          </w:tcPr>
          <w:p w14:paraId="7F188901" w14:textId="77777777" w:rsidR="006F28AC" w:rsidRPr="00D06FD5" w:rsidRDefault="006F28AC">
            <w:pPr>
              <w:pStyle w:val="TableTextSmalltopic"/>
              <w:rPr>
                <w:rFonts w:ascii="Arial" w:hAnsi="Arial"/>
                <w:b/>
                <w:sz w:val="18"/>
              </w:rPr>
            </w:pPr>
            <w:r w:rsidRPr="00D06FD5">
              <w:rPr>
                <w:rFonts w:ascii="Arial" w:hAnsi="Arial"/>
                <w:b/>
                <w:sz w:val="18"/>
              </w:rPr>
              <w:t>Clean Energy Supplement and other measures</w:t>
            </w:r>
          </w:p>
          <w:p w14:paraId="6B4CDA8E" w14:textId="77777777" w:rsidR="006F28AC" w:rsidRPr="00D06FD5" w:rsidRDefault="006F28AC">
            <w:pPr>
              <w:pStyle w:val="TableTextSmall"/>
              <w:rPr>
                <w:rFonts w:ascii="Arial" w:hAnsi="Arial"/>
                <w:sz w:val="18"/>
              </w:rPr>
            </w:pPr>
            <w:r w:rsidRPr="00D06FD5">
              <w:rPr>
                <w:rFonts w:ascii="Arial" w:hAnsi="Arial"/>
                <w:sz w:val="18"/>
              </w:rPr>
              <w:t>Clean Energy (Household Assistance Amendments) Act 2011</w:t>
            </w:r>
          </w:p>
          <w:p w14:paraId="7E6968B3" w14:textId="77777777" w:rsidR="006F28AC" w:rsidRPr="00D06FD5" w:rsidRDefault="006F28AC">
            <w:pPr>
              <w:pStyle w:val="TableTextSmall"/>
              <w:rPr>
                <w:rFonts w:ascii="Arial" w:hAnsi="Arial"/>
                <w:sz w:val="18"/>
              </w:rPr>
            </w:pPr>
          </w:p>
        </w:tc>
        <w:tc>
          <w:tcPr>
            <w:tcW w:w="874" w:type="dxa"/>
            <w:hideMark/>
          </w:tcPr>
          <w:p w14:paraId="2CE2A99E" w14:textId="77777777" w:rsidR="006F28AC" w:rsidRPr="00262211" w:rsidRDefault="006F28AC">
            <w:pPr>
              <w:pStyle w:val="TableTextSmall"/>
              <w:cnfStyle w:val="000000100000" w:firstRow="0" w:lastRow="0" w:firstColumn="0" w:lastColumn="0" w:oddVBand="0" w:evenVBand="0" w:oddHBand="1" w:evenHBand="0" w:firstRowFirstColumn="0" w:firstRowLastColumn="0" w:lastRowFirstColumn="0" w:lastRowLastColumn="0"/>
              <w:rPr>
                <w:rFonts w:ascii="Arial" w:hAnsi="Arial"/>
                <w:sz w:val="18"/>
              </w:rPr>
            </w:pPr>
            <w:r w:rsidRPr="00262211">
              <w:rPr>
                <w:rFonts w:ascii="Arial" w:hAnsi="Arial"/>
                <w:sz w:val="18"/>
              </w:rPr>
              <w:t>2012-2013</w:t>
            </w:r>
          </w:p>
        </w:tc>
        <w:tc>
          <w:tcPr>
            <w:tcW w:w="4479" w:type="dxa"/>
            <w:gridSpan w:val="2"/>
            <w:hideMark/>
          </w:tcPr>
          <w:p w14:paraId="0E91DF5A" w14:textId="77777777" w:rsidR="006F28AC" w:rsidRPr="00262211" w:rsidRDefault="006F28AC">
            <w:pPr>
              <w:pStyle w:val="TableTextSmall"/>
              <w:cnfStyle w:val="000000100000" w:firstRow="0" w:lastRow="0" w:firstColumn="0" w:lastColumn="0" w:oddVBand="0" w:evenVBand="0" w:oddHBand="1" w:evenHBand="0" w:firstRowFirstColumn="0" w:firstRowLastColumn="0" w:lastRowFirstColumn="0" w:lastRowLastColumn="0"/>
              <w:rPr>
                <w:rFonts w:ascii="Arial" w:hAnsi="Arial"/>
                <w:sz w:val="18"/>
              </w:rPr>
            </w:pPr>
            <w:r w:rsidRPr="00262211">
              <w:rPr>
                <w:rFonts w:ascii="Arial" w:hAnsi="Arial"/>
                <w:sz w:val="18"/>
              </w:rPr>
              <w:t>From 1 July 2013, the normal payment indexing arrangements and the Clean Energy Supplement (CES) began to deliver assistance related to carbon pricing.</w:t>
            </w:r>
          </w:p>
          <w:p w14:paraId="0D324814" w14:textId="77777777" w:rsidR="006F28AC" w:rsidRPr="00262211" w:rsidRDefault="006F28AC">
            <w:pPr>
              <w:pStyle w:val="TableTextSmall"/>
              <w:cnfStyle w:val="000000100000" w:firstRow="0" w:lastRow="0" w:firstColumn="0" w:lastColumn="0" w:oddVBand="0" w:evenVBand="0" w:oddHBand="1" w:evenHBand="0" w:firstRowFirstColumn="0" w:firstRowLastColumn="0" w:lastRowFirstColumn="0" w:lastRowLastColumn="0"/>
              <w:rPr>
                <w:rFonts w:ascii="Arial" w:hAnsi="Arial"/>
                <w:sz w:val="18"/>
              </w:rPr>
            </w:pPr>
            <w:r w:rsidRPr="00262211">
              <w:rPr>
                <w:rFonts w:ascii="Arial" w:hAnsi="Arial"/>
                <w:sz w:val="18"/>
              </w:rPr>
              <w:t>In addition, amendments were introduced for the Low Income Supplement, Essential Medical Equipment Payment, Single Income Family Supplement and aged care.</w:t>
            </w:r>
          </w:p>
        </w:tc>
      </w:tr>
      <w:tr w:rsidR="006F28AC" w14:paraId="770D9CAC" w14:textId="77777777" w:rsidTr="00EB5BD4">
        <w:trPr>
          <w:gridAfter w:val="1"/>
          <w:wAfter w:w="26" w:type="dxa"/>
        </w:trPr>
        <w:tc>
          <w:tcPr>
            <w:cnfStyle w:val="001000000000" w:firstRow="0" w:lastRow="0" w:firstColumn="1" w:lastColumn="0" w:oddVBand="0" w:evenVBand="0" w:oddHBand="0" w:evenHBand="0" w:firstRowFirstColumn="0" w:firstRowLastColumn="0" w:lastRowFirstColumn="0" w:lastRowLastColumn="0"/>
            <w:tcW w:w="3268" w:type="dxa"/>
            <w:gridSpan w:val="2"/>
            <w:hideMark/>
          </w:tcPr>
          <w:p w14:paraId="7A979DEA" w14:textId="77777777" w:rsidR="006F28AC" w:rsidRPr="00D06FD5" w:rsidRDefault="006F28AC">
            <w:pPr>
              <w:pStyle w:val="TableTextSmalltopic"/>
              <w:rPr>
                <w:rFonts w:ascii="Arial" w:hAnsi="Arial"/>
                <w:b/>
                <w:sz w:val="18"/>
              </w:rPr>
            </w:pPr>
            <w:r w:rsidRPr="00D06FD5">
              <w:rPr>
                <w:rFonts w:ascii="Arial" w:hAnsi="Arial"/>
                <w:b/>
                <w:sz w:val="18"/>
              </w:rPr>
              <w:t>Family Tax Benefit and Youth Allowance</w:t>
            </w:r>
          </w:p>
          <w:p w14:paraId="25920409" w14:textId="77777777" w:rsidR="006F28AC" w:rsidRPr="00D06FD5" w:rsidRDefault="006F28AC">
            <w:pPr>
              <w:pStyle w:val="TableTextSmalltopic"/>
              <w:rPr>
                <w:rFonts w:ascii="Arial" w:hAnsi="Arial"/>
                <w:b/>
                <w:sz w:val="18"/>
              </w:rPr>
            </w:pPr>
            <w:r w:rsidRPr="00D06FD5">
              <w:rPr>
                <w:rFonts w:ascii="Arial" w:hAnsi="Arial"/>
                <w:b/>
                <w:sz w:val="18"/>
              </w:rPr>
              <w:lastRenderedPageBreak/>
              <w:t>Family Assistance and Other Legislation Amendment Act 2011</w:t>
            </w:r>
          </w:p>
        </w:tc>
        <w:tc>
          <w:tcPr>
            <w:tcW w:w="874" w:type="dxa"/>
            <w:hideMark/>
          </w:tcPr>
          <w:p w14:paraId="6DB181A4" w14:textId="77777777" w:rsidR="006F28AC" w:rsidRPr="00262211" w:rsidRDefault="006F28AC">
            <w:pPr>
              <w:pStyle w:val="TableTextSmall"/>
              <w:cnfStyle w:val="000000000000" w:firstRow="0" w:lastRow="0" w:firstColumn="0" w:lastColumn="0" w:oddVBand="0" w:evenVBand="0" w:oddHBand="0" w:evenHBand="0" w:firstRowFirstColumn="0" w:firstRowLastColumn="0" w:lastRowFirstColumn="0" w:lastRowLastColumn="0"/>
              <w:rPr>
                <w:rFonts w:ascii="Arial" w:hAnsi="Arial"/>
                <w:sz w:val="18"/>
              </w:rPr>
            </w:pPr>
            <w:r w:rsidRPr="00262211">
              <w:rPr>
                <w:rFonts w:ascii="Arial" w:hAnsi="Arial"/>
                <w:sz w:val="18"/>
              </w:rPr>
              <w:lastRenderedPageBreak/>
              <w:t>2012</w:t>
            </w:r>
          </w:p>
        </w:tc>
        <w:tc>
          <w:tcPr>
            <w:tcW w:w="4479" w:type="dxa"/>
            <w:gridSpan w:val="2"/>
            <w:hideMark/>
          </w:tcPr>
          <w:p w14:paraId="4DC76F82" w14:textId="365BFAA6" w:rsidR="006F28AC" w:rsidRPr="00262211" w:rsidRDefault="006F28AC">
            <w:pPr>
              <w:pStyle w:val="TableTextSmall"/>
              <w:cnfStyle w:val="000000000000" w:firstRow="0" w:lastRow="0" w:firstColumn="0" w:lastColumn="0" w:oddVBand="0" w:evenVBand="0" w:oddHBand="0" w:evenHBand="0" w:firstRowFirstColumn="0" w:firstRowLastColumn="0" w:lastRowFirstColumn="0" w:lastRowLastColumn="0"/>
              <w:rPr>
                <w:rFonts w:ascii="Arial" w:hAnsi="Arial"/>
                <w:b/>
                <w:sz w:val="18"/>
              </w:rPr>
            </w:pPr>
            <w:r w:rsidRPr="00262211">
              <w:rPr>
                <w:rFonts w:ascii="Arial" w:hAnsi="Arial"/>
                <w:sz w:val="18"/>
              </w:rPr>
              <w:t xml:space="preserve">The maximum age limit for a young person to qualify as a dependent child for Family Tax Benefit Part A (FTB-A) changed from aged under 25 to aged 21. </w:t>
            </w:r>
            <w:r w:rsidRPr="00262211">
              <w:rPr>
                <w:rFonts w:ascii="Arial" w:hAnsi="Arial"/>
                <w:sz w:val="18"/>
              </w:rPr>
              <w:lastRenderedPageBreak/>
              <w:t>This change aligns with the age of independence recognised in Youth Allowance. As at 1</w:t>
            </w:r>
            <w:r w:rsidR="00986C32">
              <w:rPr>
                <w:rFonts w:ascii="Arial" w:hAnsi="Arial"/>
                <w:sz w:val="18"/>
              </w:rPr>
              <w:t> </w:t>
            </w:r>
            <w:r w:rsidRPr="00262211">
              <w:rPr>
                <w:rFonts w:ascii="Arial" w:hAnsi="Arial"/>
                <w:sz w:val="18"/>
              </w:rPr>
              <w:t>January</w:t>
            </w:r>
            <w:r w:rsidR="00986C32">
              <w:rPr>
                <w:rFonts w:ascii="Arial" w:hAnsi="Arial"/>
                <w:sz w:val="18"/>
              </w:rPr>
              <w:t> </w:t>
            </w:r>
            <w:r w:rsidRPr="00262211">
              <w:rPr>
                <w:rFonts w:ascii="Arial" w:hAnsi="Arial"/>
                <w:sz w:val="18"/>
              </w:rPr>
              <w:t>2012, a young person is considered independent for Youth Allowance purposes once they turn 22.</w:t>
            </w:r>
          </w:p>
        </w:tc>
      </w:tr>
      <w:tr w:rsidR="006F28AC" w14:paraId="32DBEF5F" w14:textId="77777777" w:rsidTr="00EB5BD4">
        <w:trPr>
          <w:gridAfter w:val="1"/>
          <w:cnfStyle w:val="000000100000" w:firstRow="0" w:lastRow="0" w:firstColumn="0" w:lastColumn="0" w:oddVBand="0" w:evenVBand="0" w:oddHBand="1" w:evenHBand="0" w:firstRowFirstColumn="0" w:firstRowLastColumn="0" w:lastRowFirstColumn="0" w:lastRowLastColumn="0"/>
          <w:wAfter w:w="26" w:type="dxa"/>
        </w:trPr>
        <w:tc>
          <w:tcPr>
            <w:cnfStyle w:val="001000000000" w:firstRow="0" w:lastRow="0" w:firstColumn="1" w:lastColumn="0" w:oddVBand="0" w:evenVBand="0" w:oddHBand="0" w:evenHBand="0" w:firstRowFirstColumn="0" w:firstRowLastColumn="0" w:lastRowFirstColumn="0" w:lastRowLastColumn="0"/>
            <w:tcW w:w="3268" w:type="dxa"/>
            <w:gridSpan w:val="2"/>
          </w:tcPr>
          <w:p w14:paraId="60407981" w14:textId="77777777" w:rsidR="006F28AC" w:rsidRPr="00D06FD5" w:rsidRDefault="006F28AC">
            <w:pPr>
              <w:pStyle w:val="TableTextSmalltopic"/>
              <w:rPr>
                <w:rFonts w:ascii="Arial" w:hAnsi="Arial"/>
                <w:b/>
                <w:sz w:val="18"/>
              </w:rPr>
            </w:pPr>
            <w:r w:rsidRPr="00D06FD5">
              <w:rPr>
                <w:rFonts w:ascii="Arial" w:hAnsi="Arial"/>
                <w:b/>
                <w:sz w:val="18"/>
              </w:rPr>
              <w:lastRenderedPageBreak/>
              <w:t>Supporting Families with Teenagers</w:t>
            </w:r>
          </w:p>
          <w:p w14:paraId="24822FFE" w14:textId="77777777" w:rsidR="006F28AC" w:rsidRPr="00D06FD5" w:rsidRDefault="006F28AC">
            <w:pPr>
              <w:pStyle w:val="TableTextSmalltopic"/>
              <w:rPr>
                <w:rFonts w:ascii="Arial" w:hAnsi="Arial"/>
                <w:b/>
                <w:sz w:val="18"/>
              </w:rPr>
            </w:pPr>
          </w:p>
        </w:tc>
        <w:tc>
          <w:tcPr>
            <w:tcW w:w="874" w:type="dxa"/>
            <w:hideMark/>
          </w:tcPr>
          <w:p w14:paraId="3177ECDB" w14:textId="77777777" w:rsidR="006F28AC" w:rsidRPr="00262211" w:rsidRDefault="006F28AC">
            <w:pPr>
              <w:pStyle w:val="TableTextSmall"/>
              <w:cnfStyle w:val="000000100000" w:firstRow="0" w:lastRow="0" w:firstColumn="0" w:lastColumn="0" w:oddVBand="0" w:evenVBand="0" w:oddHBand="1" w:evenHBand="0" w:firstRowFirstColumn="0" w:firstRowLastColumn="0" w:lastRowFirstColumn="0" w:lastRowLastColumn="0"/>
              <w:rPr>
                <w:rFonts w:ascii="Arial" w:hAnsi="Arial"/>
                <w:sz w:val="18"/>
              </w:rPr>
            </w:pPr>
            <w:r w:rsidRPr="00262211">
              <w:rPr>
                <w:rFonts w:ascii="Arial" w:hAnsi="Arial"/>
                <w:sz w:val="18"/>
              </w:rPr>
              <w:t>2012</w:t>
            </w:r>
          </w:p>
        </w:tc>
        <w:tc>
          <w:tcPr>
            <w:tcW w:w="4479" w:type="dxa"/>
            <w:gridSpan w:val="2"/>
            <w:hideMark/>
          </w:tcPr>
          <w:p w14:paraId="60C64F45" w14:textId="77777777" w:rsidR="006F28AC" w:rsidRPr="00262211" w:rsidRDefault="006F28AC">
            <w:pPr>
              <w:pStyle w:val="TableTextSmall"/>
              <w:cnfStyle w:val="000000100000" w:firstRow="0" w:lastRow="0" w:firstColumn="0" w:lastColumn="0" w:oddVBand="0" w:evenVBand="0" w:oddHBand="1" w:evenHBand="0" w:firstRowFirstColumn="0" w:firstRowLastColumn="0" w:lastRowFirstColumn="0" w:lastRowLastColumn="0"/>
              <w:rPr>
                <w:rFonts w:ascii="Arial" w:hAnsi="Arial"/>
                <w:sz w:val="18"/>
              </w:rPr>
            </w:pPr>
            <w:r w:rsidRPr="00262211">
              <w:rPr>
                <w:rFonts w:ascii="Arial" w:hAnsi="Arial"/>
                <w:sz w:val="18"/>
              </w:rPr>
              <w:t>From 1 January 2012, Family Tax Benefit Part A increased for eligible families with dependent 16</w:t>
            </w:r>
            <w:r w:rsidRPr="00262211">
              <w:rPr>
                <w:rFonts w:ascii="Arial" w:hAnsi="Arial"/>
                <w:sz w:val="18"/>
              </w:rPr>
              <w:noBreakHyphen/>
              <w:t>19 year olds who are undertaking full-time secondary study. The maximum rate increased by up to $161.42 per child per fortnight, to $214.06.</w:t>
            </w:r>
          </w:p>
        </w:tc>
      </w:tr>
      <w:tr w:rsidR="006F28AC" w14:paraId="2367A189" w14:textId="77777777" w:rsidTr="00EB5BD4">
        <w:trPr>
          <w:gridAfter w:val="1"/>
          <w:wAfter w:w="26" w:type="dxa"/>
        </w:trPr>
        <w:tc>
          <w:tcPr>
            <w:cnfStyle w:val="001000000000" w:firstRow="0" w:lastRow="0" w:firstColumn="1" w:lastColumn="0" w:oddVBand="0" w:evenVBand="0" w:oddHBand="0" w:evenHBand="0" w:firstRowFirstColumn="0" w:firstRowLastColumn="0" w:lastRowFirstColumn="0" w:lastRowLastColumn="0"/>
            <w:tcW w:w="3268" w:type="dxa"/>
            <w:gridSpan w:val="2"/>
            <w:hideMark/>
          </w:tcPr>
          <w:p w14:paraId="3A7AD92B" w14:textId="77777777" w:rsidR="006F28AC" w:rsidRPr="00D06FD5" w:rsidRDefault="006F28AC">
            <w:pPr>
              <w:pStyle w:val="TableTextSmalltopic"/>
              <w:rPr>
                <w:rFonts w:ascii="Arial" w:hAnsi="Arial"/>
                <w:b/>
                <w:sz w:val="18"/>
              </w:rPr>
            </w:pPr>
            <w:r w:rsidRPr="00D06FD5">
              <w:rPr>
                <w:rFonts w:ascii="Arial" w:hAnsi="Arial"/>
                <w:b/>
                <w:sz w:val="18"/>
              </w:rPr>
              <w:t>Removal of the grandfathering provisions and other measures</w:t>
            </w:r>
          </w:p>
          <w:p w14:paraId="15EA0F4E" w14:textId="77777777" w:rsidR="006F28AC" w:rsidRPr="00D06FD5" w:rsidRDefault="006F28AC">
            <w:pPr>
              <w:pStyle w:val="TableTextSmall"/>
              <w:rPr>
                <w:rFonts w:ascii="Arial" w:hAnsi="Arial"/>
                <w:sz w:val="18"/>
              </w:rPr>
            </w:pPr>
            <w:r w:rsidRPr="00D06FD5">
              <w:rPr>
                <w:rFonts w:ascii="Arial" w:hAnsi="Arial"/>
                <w:sz w:val="18"/>
              </w:rPr>
              <w:t>Social Security Legislation Amendment (Fair Incentives to Work) Act 2012</w:t>
            </w:r>
          </w:p>
        </w:tc>
        <w:tc>
          <w:tcPr>
            <w:tcW w:w="874" w:type="dxa"/>
            <w:hideMark/>
          </w:tcPr>
          <w:p w14:paraId="4F59DE27" w14:textId="77777777" w:rsidR="006F28AC" w:rsidRPr="00262211" w:rsidRDefault="006F28AC">
            <w:pPr>
              <w:pStyle w:val="TableTextSmall"/>
              <w:cnfStyle w:val="000000000000" w:firstRow="0" w:lastRow="0" w:firstColumn="0" w:lastColumn="0" w:oddVBand="0" w:evenVBand="0" w:oddHBand="0" w:evenHBand="0" w:firstRowFirstColumn="0" w:firstRowLastColumn="0" w:lastRowFirstColumn="0" w:lastRowLastColumn="0"/>
              <w:rPr>
                <w:rFonts w:ascii="Arial" w:hAnsi="Arial"/>
                <w:sz w:val="18"/>
              </w:rPr>
            </w:pPr>
            <w:r w:rsidRPr="00262211">
              <w:rPr>
                <w:rFonts w:ascii="Arial" w:hAnsi="Arial"/>
                <w:sz w:val="18"/>
              </w:rPr>
              <w:t>2013</w:t>
            </w:r>
          </w:p>
        </w:tc>
        <w:tc>
          <w:tcPr>
            <w:tcW w:w="4479" w:type="dxa"/>
            <w:gridSpan w:val="2"/>
            <w:hideMark/>
          </w:tcPr>
          <w:p w14:paraId="45AC6E8F" w14:textId="77777777" w:rsidR="006F28AC" w:rsidRPr="00262211" w:rsidRDefault="006F28AC">
            <w:pPr>
              <w:pStyle w:val="TableTextSmall"/>
              <w:cnfStyle w:val="000000000000" w:firstRow="0" w:lastRow="0" w:firstColumn="0" w:lastColumn="0" w:oddVBand="0" w:evenVBand="0" w:oddHBand="0" w:evenHBand="0" w:firstRowFirstColumn="0" w:firstRowLastColumn="0" w:lastRowFirstColumn="0" w:lastRowLastColumn="0"/>
              <w:rPr>
                <w:rFonts w:ascii="Arial" w:hAnsi="Arial"/>
                <w:sz w:val="18"/>
              </w:rPr>
            </w:pPr>
            <w:r w:rsidRPr="00262211">
              <w:rPr>
                <w:rFonts w:ascii="Arial" w:hAnsi="Arial"/>
                <w:sz w:val="18"/>
              </w:rPr>
              <w:t>Grandfathering provisions for some Parenting Payment recipients were removed.</w:t>
            </w:r>
          </w:p>
          <w:p w14:paraId="031A4F7A" w14:textId="29656A68" w:rsidR="006F28AC" w:rsidRPr="00262211" w:rsidRDefault="006F28AC">
            <w:pPr>
              <w:pStyle w:val="TableTextSmall"/>
              <w:cnfStyle w:val="000000000000" w:firstRow="0" w:lastRow="0" w:firstColumn="0" w:lastColumn="0" w:oddVBand="0" w:evenVBand="0" w:oddHBand="0" w:evenHBand="0" w:firstRowFirstColumn="0" w:firstRowLastColumn="0" w:lastRowFirstColumn="0" w:lastRowLastColumn="0"/>
              <w:rPr>
                <w:rFonts w:ascii="Arial" w:hAnsi="Arial"/>
                <w:sz w:val="18"/>
              </w:rPr>
            </w:pPr>
            <w:r w:rsidRPr="00262211">
              <w:rPr>
                <w:rFonts w:ascii="Arial" w:hAnsi="Arial"/>
                <w:sz w:val="18"/>
              </w:rPr>
              <w:t>For certain Newstart recipients</w:t>
            </w:r>
            <w:r w:rsidR="000A3BE7">
              <w:rPr>
                <w:rFonts w:ascii="Arial" w:hAnsi="Arial"/>
                <w:sz w:val="18"/>
              </w:rPr>
              <w:t>,</w:t>
            </w:r>
            <w:r w:rsidRPr="00262211">
              <w:rPr>
                <w:rFonts w:ascii="Arial" w:hAnsi="Arial"/>
                <w:sz w:val="18"/>
              </w:rPr>
              <w:t xml:space="preserve"> there were changes to the eligibility for certain supplements and allowances and to income taper rates.</w:t>
            </w:r>
          </w:p>
        </w:tc>
      </w:tr>
      <w:tr w:rsidR="006F28AC" w14:paraId="187E451D" w14:textId="77777777" w:rsidTr="00EB5BD4">
        <w:trPr>
          <w:gridAfter w:val="1"/>
          <w:cnfStyle w:val="000000100000" w:firstRow="0" w:lastRow="0" w:firstColumn="0" w:lastColumn="0" w:oddVBand="0" w:evenVBand="0" w:oddHBand="1" w:evenHBand="0" w:firstRowFirstColumn="0" w:firstRowLastColumn="0" w:lastRowFirstColumn="0" w:lastRowLastColumn="0"/>
          <w:wAfter w:w="26" w:type="dxa"/>
        </w:trPr>
        <w:tc>
          <w:tcPr>
            <w:cnfStyle w:val="001000000000" w:firstRow="0" w:lastRow="0" w:firstColumn="1" w:lastColumn="0" w:oddVBand="0" w:evenVBand="0" w:oddHBand="0" w:evenHBand="0" w:firstRowFirstColumn="0" w:firstRowLastColumn="0" w:lastRowFirstColumn="0" w:lastRowLastColumn="0"/>
            <w:tcW w:w="3268" w:type="dxa"/>
            <w:gridSpan w:val="2"/>
            <w:hideMark/>
          </w:tcPr>
          <w:p w14:paraId="59ACD0AC" w14:textId="77777777" w:rsidR="006F28AC" w:rsidRPr="00D06FD5" w:rsidRDefault="006F28AC">
            <w:pPr>
              <w:pStyle w:val="TableTextSmalltopic"/>
              <w:rPr>
                <w:rFonts w:ascii="Arial" w:hAnsi="Arial"/>
                <w:b/>
                <w:sz w:val="18"/>
              </w:rPr>
            </w:pPr>
            <w:r w:rsidRPr="00D06FD5">
              <w:rPr>
                <w:rFonts w:ascii="Arial" w:hAnsi="Arial"/>
                <w:b/>
                <w:sz w:val="18"/>
              </w:rPr>
              <w:t>New Income Support Bonus</w:t>
            </w:r>
          </w:p>
          <w:p w14:paraId="55CE4766" w14:textId="77777777" w:rsidR="006F28AC" w:rsidRPr="00D06FD5" w:rsidRDefault="006F28AC">
            <w:pPr>
              <w:pStyle w:val="TableTextSmall"/>
              <w:rPr>
                <w:rFonts w:ascii="Arial" w:hAnsi="Arial"/>
                <w:sz w:val="18"/>
              </w:rPr>
            </w:pPr>
            <w:r w:rsidRPr="00D06FD5">
              <w:rPr>
                <w:rFonts w:ascii="Arial" w:hAnsi="Arial"/>
                <w:sz w:val="18"/>
              </w:rPr>
              <w:t>Social Security and Other Legislation Amendment (Income Support Bonus) Act 2013</w:t>
            </w:r>
          </w:p>
        </w:tc>
        <w:tc>
          <w:tcPr>
            <w:tcW w:w="874" w:type="dxa"/>
            <w:hideMark/>
          </w:tcPr>
          <w:p w14:paraId="659609FD" w14:textId="77777777" w:rsidR="006F28AC" w:rsidRPr="00262211" w:rsidRDefault="006F28AC">
            <w:pPr>
              <w:pStyle w:val="TableTextSmall"/>
              <w:cnfStyle w:val="000000100000" w:firstRow="0" w:lastRow="0" w:firstColumn="0" w:lastColumn="0" w:oddVBand="0" w:evenVBand="0" w:oddHBand="1" w:evenHBand="0" w:firstRowFirstColumn="0" w:firstRowLastColumn="0" w:lastRowFirstColumn="0" w:lastRowLastColumn="0"/>
              <w:rPr>
                <w:rFonts w:ascii="Arial" w:hAnsi="Arial"/>
                <w:sz w:val="18"/>
              </w:rPr>
            </w:pPr>
            <w:r w:rsidRPr="00262211">
              <w:rPr>
                <w:rFonts w:ascii="Arial" w:hAnsi="Arial"/>
                <w:sz w:val="18"/>
              </w:rPr>
              <w:t>2013</w:t>
            </w:r>
          </w:p>
        </w:tc>
        <w:tc>
          <w:tcPr>
            <w:tcW w:w="4479" w:type="dxa"/>
            <w:gridSpan w:val="2"/>
            <w:hideMark/>
          </w:tcPr>
          <w:p w14:paraId="492E83AC" w14:textId="77B03AA6" w:rsidR="006F28AC" w:rsidRPr="00262211" w:rsidRDefault="006F28AC">
            <w:pPr>
              <w:pStyle w:val="TableTextSmall"/>
              <w:cnfStyle w:val="000000100000" w:firstRow="0" w:lastRow="0" w:firstColumn="0" w:lastColumn="0" w:oddVBand="0" w:evenVBand="0" w:oddHBand="1" w:evenHBand="0" w:firstRowFirstColumn="0" w:firstRowLastColumn="0" w:lastRowFirstColumn="0" w:lastRowLastColumn="0"/>
              <w:rPr>
                <w:rFonts w:ascii="Arial" w:hAnsi="Arial"/>
                <w:sz w:val="18"/>
              </w:rPr>
            </w:pPr>
            <w:r w:rsidRPr="00262211">
              <w:rPr>
                <w:rFonts w:ascii="Arial" w:hAnsi="Arial"/>
                <w:sz w:val="18"/>
              </w:rPr>
              <w:t>The Act create</w:t>
            </w:r>
            <w:r w:rsidR="000E1030">
              <w:rPr>
                <w:rFonts w:ascii="Arial" w:hAnsi="Arial"/>
                <w:sz w:val="18"/>
              </w:rPr>
              <w:t>d</w:t>
            </w:r>
            <w:r w:rsidRPr="00262211">
              <w:rPr>
                <w:rFonts w:ascii="Arial" w:hAnsi="Arial"/>
                <w:sz w:val="18"/>
              </w:rPr>
              <w:t xml:space="preserve"> a new Income Support Bonus to be paid to recipients of</w:t>
            </w:r>
            <w:r w:rsidR="000A3BE7">
              <w:rPr>
                <w:rFonts w:ascii="Arial" w:hAnsi="Arial"/>
                <w:sz w:val="18"/>
              </w:rPr>
              <w:t xml:space="preserve"> </w:t>
            </w:r>
            <w:r w:rsidR="000A3BE7" w:rsidRPr="00262211">
              <w:rPr>
                <w:rFonts w:ascii="Arial" w:hAnsi="Arial"/>
                <w:sz w:val="18"/>
              </w:rPr>
              <w:t>Newstart Allowance,</w:t>
            </w:r>
            <w:r w:rsidR="000A3BE7">
              <w:rPr>
                <w:rFonts w:ascii="Arial" w:hAnsi="Arial"/>
                <w:sz w:val="18"/>
              </w:rPr>
              <w:t xml:space="preserve"> </w:t>
            </w:r>
            <w:r w:rsidRPr="00262211">
              <w:rPr>
                <w:rFonts w:ascii="Arial" w:hAnsi="Arial"/>
                <w:sz w:val="18"/>
              </w:rPr>
              <w:t xml:space="preserve">Youth Allowance, Parenting Payment, Sickness Allowance, Austudy Payment, Special Benefit, ABSTUDY Living Allowance, Exceptional Circumstances Relief Payment, </w:t>
            </w:r>
            <w:r w:rsidR="000A3BE7">
              <w:rPr>
                <w:rFonts w:ascii="Arial" w:hAnsi="Arial"/>
                <w:sz w:val="18"/>
              </w:rPr>
              <w:t xml:space="preserve">and </w:t>
            </w:r>
            <w:r w:rsidRPr="00262211">
              <w:rPr>
                <w:rFonts w:ascii="Arial" w:hAnsi="Arial"/>
                <w:sz w:val="18"/>
              </w:rPr>
              <w:t>Transitional Farm Family Payment.</w:t>
            </w:r>
          </w:p>
        </w:tc>
      </w:tr>
      <w:tr w:rsidR="006F28AC" w14:paraId="071CAA5C" w14:textId="77777777" w:rsidTr="00EB5BD4">
        <w:trPr>
          <w:gridAfter w:val="1"/>
          <w:wAfter w:w="26" w:type="dxa"/>
        </w:trPr>
        <w:tc>
          <w:tcPr>
            <w:cnfStyle w:val="001000000000" w:firstRow="0" w:lastRow="0" w:firstColumn="1" w:lastColumn="0" w:oddVBand="0" w:evenVBand="0" w:oddHBand="0" w:evenHBand="0" w:firstRowFirstColumn="0" w:firstRowLastColumn="0" w:lastRowFirstColumn="0" w:lastRowLastColumn="0"/>
            <w:tcW w:w="3268" w:type="dxa"/>
            <w:gridSpan w:val="2"/>
            <w:hideMark/>
          </w:tcPr>
          <w:p w14:paraId="3F2E2507" w14:textId="77777777" w:rsidR="006F28AC" w:rsidRPr="00D06FD5" w:rsidRDefault="006F28AC">
            <w:pPr>
              <w:pStyle w:val="TableTextSmalltopic"/>
              <w:rPr>
                <w:rFonts w:ascii="Arial" w:hAnsi="Arial"/>
                <w:b/>
                <w:sz w:val="18"/>
              </w:rPr>
            </w:pPr>
            <w:r w:rsidRPr="00D06FD5">
              <w:rPr>
                <w:rFonts w:ascii="Arial" w:hAnsi="Arial"/>
                <w:b/>
                <w:sz w:val="18"/>
              </w:rPr>
              <w:t>Austudy</w:t>
            </w:r>
          </w:p>
        </w:tc>
        <w:tc>
          <w:tcPr>
            <w:tcW w:w="874" w:type="dxa"/>
            <w:hideMark/>
          </w:tcPr>
          <w:p w14:paraId="684F5FEC" w14:textId="77777777" w:rsidR="006F28AC" w:rsidRPr="00262211" w:rsidRDefault="006F28AC">
            <w:pPr>
              <w:pStyle w:val="TableTextSmall"/>
              <w:cnfStyle w:val="000000000000" w:firstRow="0" w:lastRow="0" w:firstColumn="0" w:lastColumn="0" w:oddVBand="0" w:evenVBand="0" w:oddHBand="0" w:evenHBand="0" w:firstRowFirstColumn="0" w:firstRowLastColumn="0" w:lastRowFirstColumn="0" w:lastRowLastColumn="0"/>
              <w:rPr>
                <w:rFonts w:ascii="Arial" w:hAnsi="Arial"/>
                <w:sz w:val="18"/>
              </w:rPr>
            </w:pPr>
            <w:r w:rsidRPr="00262211">
              <w:rPr>
                <w:rFonts w:ascii="Arial" w:hAnsi="Arial"/>
                <w:sz w:val="18"/>
              </w:rPr>
              <w:t>2013</w:t>
            </w:r>
          </w:p>
        </w:tc>
        <w:tc>
          <w:tcPr>
            <w:tcW w:w="4479" w:type="dxa"/>
            <w:gridSpan w:val="2"/>
            <w:hideMark/>
          </w:tcPr>
          <w:p w14:paraId="481FCD88" w14:textId="77777777" w:rsidR="006F28AC" w:rsidRPr="00262211" w:rsidRDefault="006F28AC">
            <w:pPr>
              <w:pStyle w:val="TableTextSmall"/>
              <w:cnfStyle w:val="000000000000" w:firstRow="0" w:lastRow="0" w:firstColumn="0" w:lastColumn="0" w:oddVBand="0" w:evenVBand="0" w:oddHBand="0" w:evenHBand="0" w:firstRowFirstColumn="0" w:firstRowLastColumn="0" w:lastRowFirstColumn="0" w:lastRowLastColumn="0"/>
              <w:rPr>
                <w:rFonts w:ascii="Arial" w:hAnsi="Arial"/>
                <w:sz w:val="18"/>
              </w:rPr>
            </w:pPr>
            <w:r w:rsidRPr="00262211">
              <w:rPr>
                <w:rFonts w:ascii="Arial" w:hAnsi="Arial"/>
                <w:sz w:val="18"/>
              </w:rPr>
              <w:t>The maximum length of temporary absence was reduced.</w:t>
            </w:r>
          </w:p>
        </w:tc>
      </w:tr>
      <w:tr w:rsidR="006F28AC" w14:paraId="22ADE171" w14:textId="77777777" w:rsidTr="00EB5BD4">
        <w:trPr>
          <w:gridAfter w:val="1"/>
          <w:cnfStyle w:val="000000100000" w:firstRow="0" w:lastRow="0" w:firstColumn="0" w:lastColumn="0" w:oddVBand="0" w:evenVBand="0" w:oddHBand="1" w:evenHBand="0" w:firstRowFirstColumn="0" w:firstRowLastColumn="0" w:lastRowFirstColumn="0" w:lastRowLastColumn="0"/>
          <w:wAfter w:w="26" w:type="dxa"/>
        </w:trPr>
        <w:tc>
          <w:tcPr>
            <w:cnfStyle w:val="001000000000" w:firstRow="0" w:lastRow="0" w:firstColumn="1" w:lastColumn="0" w:oddVBand="0" w:evenVBand="0" w:oddHBand="0" w:evenHBand="0" w:firstRowFirstColumn="0" w:firstRowLastColumn="0" w:lastRowFirstColumn="0" w:lastRowLastColumn="0"/>
            <w:tcW w:w="3268" w:type="dxa"/>
            <w:gridSpan w:val="2"/>
            <w:hideMark/>
          </w:tcPr>
          <w:p w14:paraId="71C037A0" w14:textId="77777777" w:rsidR="006F28AC" w:rsidRPr="00D06FD5" w:rsidRDefault="006F28AC">
            <w:pPr>
              <w:pStyle w:val="TableTextSmalltopic"/>
              <w:rPr>
                <w:rFonts w:ascii="Arial" w:hAnsi="Arial"/>
                <w:b/>
                <w:sz w:val="18"/>
              </w:rPr>
            </w:pPr>
            <w:r w:rsidRPr="00D06FD5">
              <w:rPr>
                <w:rFonts w:ascii="Arial" w:hAnsi="Arial"/>
                <w:b/>
                <w:sz w:val="18"/>
              </w:rPr>
              <w:t>Age / study rules for children for family assistance payments</w:t>
            </w:r>
          </w:p>
          <w:p w14:paraId="7622FBC5" w14:textId="77777777" w:rsidR="006F28AC" w:rsidRPr="00D06FD5" w:rsidRDefault="006F28AC">
            <w:pPr>
              <w:pStyle w:val="TableTextSmall"/>
              <w:rPr>
                <w:rFonts w:ascii="Arial" w:hAnsi="Arial"/>
                <w:sz w:val="18"/>
              </w:rPr>
            </w:pPr>
            <w:r w:rsidRPr="00D06FD5">
              <w:rPr>
                <w:rFonts w:ascii="Arial" w:hAnsi="Arial"/>
                <w:sz w:val="18"/>
              </w:rPr>
              <w:t>Social Security and Other Legislation Amendment (2012 Budget and Other Measures) Act 2012</w:t>
            </w:r>
          </w:p>
        </w:tc>
        <w:tc>
          <w:tcPr>
            <w:tcW w:w="874" w:type="dxa"/>
            <w:hideMark/>
          </w:tcPr>
          <w:p w14:paraId="37219E24" w14:textId="77777777" w:rsidR="006F28AC" w:rsidRPr="00262211" w:rsidRDefault="006F28AC">
            <w:pPr>
              <w:pStyle w:val="TableTextSmall"/>
              <w:cnfStyle w:val="000000100000" w:firstRow="0" w:lastRow="0" w:firstColumn="0" w:lastColumn="0" w:oddVBand="0" w:evenVBand="0" w:oddHBand="1" w:evenHBand="0" w:firstRowFirstColumn="0" w:firstRowLastColumn="0" w:lastRowFirstColumn="0" w:lastRowLastColumn="0"/>
              <w:rPr>
                <w:rFonts w:ascii="Arial" w:hAnsi="Arial"/>
                <w:sz w:val="18"/>
              </w:rPr>
            </w:pPr>
            <w:r w:rsidRPr="00262211">
              <w:rPr>
                <w:rFonts w:ascii="Arial" w:hAnsi="Arial"/>
                <w:sz w:val="18"/>
              </w:rPr>
              <w:t>2013</w:t>
            </w:r>
          </w:p>
        </w:tc>
        <w:tc>
          <w:tcPr>
            <w:tcW w:w="4479" w:type="dxa"/>
            <w:gridSpan w:val="2"/>
            <w:hideMark/>
          </w:tcPr>
          <w:p w14:paraId="1FBCA25F" w14:textId="3EC6F162" w:rsidR="006F28AC" w:rsidRPr="00262211" w:rsidRDefault="006F28AC">
            <w:pPr>
              <w:pStyle w:val="TableTextSmall"/>
              <w:cnfStyle w:val="000000100000" w:firstRow="0" w:lastRow="0" w:firstColumn="0" w:lastColumn="0" w:oddVBand="0" w:evenVBand="0" w:oddHBand="1" w:evenHBand="0" w:firstRowFirstColumn="0" w:firstRowLastColumn="0" w:lastRowFirstColumn="0" w:lastRowLastColumn="0"/>
              <w:rPr>
                <w:rFonts w:ascii="Arial" w:hAnsi="Arial"/>
                <w:sz w:val="18"/>
              </w:rPr>
            </w:pPr>
            <w:r w:rsidRPr="00262211">
              <w:rPr>
                <w:rFonts w:ascii="Arial" w:hAnsi="Arial"/>
                <w:sz w:val="18"/>
              </w:rPr>
              <w:t xml:space="preserve">The maximum age of eligibility for FTB Part A </w:t>
            </w:r>
            <w:r w:rsidR="000A3BE7">
              <w:rPr>
                <w:rFonts w:ascii="Arial" w:hAnsi="Arial"/>
                <w:sz w:val="18"/>
              </w:rPr>
              <w:t>was</w:t>
            </w:r>
            <w:r w:rsidRPr="00262211">
              <w:rPr>
                <w:rFonts w:ascii="Arial" w:hAnsi="Arial"/>
                <w:sz w:val="18"/>
              </w:rPr>
              <w:t xml:space="preserve"> further reduced to 17 for children who have completed secondary education or a vocational equivalent. Children still in secondary study can continue to access FTB Part A until the end of the calendar year they turn 19.</w:t>
            </w:r>
          </w:p>
        </w:tc>
      </w:tr>
      <w:tr w:rsidR="006F28AC" w14:paraId="4A46F4E6" w14:textId="77777777" w:rsidTr="00EB5BD4">
        <w:trPr>
          <w:gridAfter w:val="1"/>
          <w:wAfter w:w="26" w:type="dxa"/>
        </w:trPr>
        <w:tc>
          <w:tcPr>
            <w:cnfStyle w:val="001000000000" w:firstRow="0" w:lastRow="0" w:firstColumn="1" w:lastColumn="0" w:oddVBand="0" w:evenVBand="0" w:oddHBand="0" w:evenHBand="0" w:firstRowFirstColumn="0" w:firstRowLastColumn="0" w:lastRowFirstColumn="0" w:lastRowLastColumn="0"/>
            <w:tcW w:w="3268" w:type="dxa"/>
            <w:gridSpan w:val="2"/>
            <w:hideMark/>
          </w:tcPr>
          <w:p w14:paraId="24938DF2" w14:textId="77777777" w:rsidR="006F28AC" w:rsidRPr="00D06FD5" w:rsidRDefault="006F28AC">
            <w:pPr>
              <w:pStyle w:val="TableTextSmalltopic"/>
              <w:rPr>
                <w:rFonts w:ascii="Arial" w:hAnsi="Arial"/>
                <w:b/>
                <w:sz w:val="18"/>
              </w:rPr>
            </w:pPr>
            <w:r w:rsidRPr="00D06FD5">
              <w:rPr>
                <w:rFonts w:ascii="Arial" w:hAnsi="Arial"/>
                <w:b/>
                <w:sz w:val="18"/>
              </w:rPr>
              <w:t>Child Care Rebate</w:t>
            </w:r>
          </w:p>
        </w:tc>
        <w:tc>
          <w:tcPr>
            <w:tcW w:w="874" w:type="dxa"/>
            <w:hideMark/>
          </w:tcPr>
          <w:p w14:paraId="4BB9425F" w14:textId="77777777" w:rsidR="006F28AC" w:rsidRPr="00262211" w:rsidRDefault="006F28AC">
            <w:pPr>
              <w:pStyle w:val="TableTextSmall"/>
              <w:cnfStyle w:val="000000000000" w:firstRow="0" w:lastRow="0" w:firstColumn="0" w:lastColumn="0" w:oddVBand="0" w:evenVBand="0" w:oddHBand="0" w:evenHBand="0" w:firstRowFirstColumn="0" w:firstRowLastColumn="0" w:lastRowFirstColumn="0" w:lastRowLastColumn="0"/>
              <w:rPr>
                <w:rFonts w:ascii="Arial" w:hAnsi="Arial"/>
                <w:sz w:val="18"/>
              </w:rPr>
            </w:pPr>
            <w:r w:rsidRPr="00262211">
              <w:rPr>
                <w:rFonts w:ascii="Arial" w:hAnsi="Arial"/>
                <w:sz w:val="18"/>
              </w:rPr>
              <w:t>2013</w:t>
            </w:r>
          </w:p>
        </w:tc>
        <w:tc>
          <w:tcPr>
            <w:tcW w:w="4479" w:type="dxa"/>
            <w:gridSpan w:val="2"/>
            <w:hideMark/>
          </w:tcPr>
          <w:p w14:paraId="1D341EF7" w14:textId="5DD9C0F8" w:rsidR="006F28AC" w:rsidRPr="00262211" w:rsidRDefault="006F28AC">
            <w:pPr>
              <w:pStyle w:val="TableTextSmall"/>
              <w:cnfStyle w:val="000000000000" w:firstRow="0" w:lastRow="0" w:firstColumn="0" w:lastColumn="0" w:oddVBand="0" w:evenVBand="0" w:oddHBand="0" w:evenHBand="0" w:firstRowFirstColumn="0" w:firstRowLastColumn="0" w:lastRowFirstColumn="0" w:lastRowLastColumn="0"/>
              <w:rPr>
                <w:rFonts w:ascii="Arial" w:hAnsi="Arial"/>
                <w:sz w:val="18"/>
                <w:lang w:eastAsia="en-AU"/>
              </w:rPr>
            </w:pPr>
            <w:r w:rsidRPr="00262211">
              <w:rPr>
                <w:rFonts w:ascii="Arial" w:hAnsi="Arial"/>
                <w:sz w:val="18"/>
                <w:lang w:eastAsia="en-AU"/>
              </w:rPr>
              <w:t xml:space="preserve">The government changed the eligibility criteria for </w:t>
            </w:r>
            <w:r w:rsidR="000A3BE7">
              <w:rPr>
                <w:rFonts w:ascii="Arial" w:hAnsi="Arial"/>
                <w:sz w:val="18"/>
                <w:lang w:eastAsia="en-AU"/>
              </w:rPr>
              <w:t xml:space="preserve">the </w:t>
            </w:r>
            <w:r w:rsidRPr="00262211">
              <w:rPr>
                <w:rFonts w:ascii="Arial" w:hAnsi="Arial"/>
                <w:sz w:val="18"/>
                <w:lang w:eastAsia="en-AU"/>
              </w:rPr>
              <w:t>Jobs, Education and Training Child Care Fee Assistance (JETCCFA) program.</w:t>
            </w:r>
          </w:p>
          <w:p w14:paraId="7394A525" w14:textId="77777777" w:rsidR="006F28AC" w:rsidRPr="00262211" w:rsidRDefault="006F28AC">
            <w:pPr>
              <w:pStyle w:val="TableTextSmall"/>
              <w:cnfStyle w:val="000000000000" w:firstRow="0" w:lastRow="0" w:firstColumn="0" w:lastColumn="0" w:oddVBand="0" w:evenVBand="0" w:oddHBand="0" w:evenHBand="0" w:firstRowFirstColumn="0" w:firstRowLastColumn="0" w:lastRowFirstColumn="0" w:lastRowLastColumn="0"/>
              <w:rPr>
                <w:rFonts w:ascii="Arial" w:hAnsi="Arial"/>
                <w:sz w:val="18"/>
                <w:lang w:eastAsia="en-AU"/>
              </w:rPr>
            </w:pPr>
            <w:r w:rsidRPr="00262211">
              <w:rPr>
                <w:rFonts w:ascii="Arial" w:hAnsi="Arial"/>
                <w:sz w:val="18"/>
                <w:lang w:eastAsia="en-AU"/>
              </w:rPr>
              <w:t>From 1 July 2013 parents who were studying an enabling course (commonly referred to as bridging or foundation courses) may be eligible for Jobs, Education and Training Child Care Fee Assistance.</w:t>
            </w:r>
          </w:p>
          <w:p w14:paraId="28907E38" w14:textId="77777777" w:rsidR="006F28AC" w:rsidRPr="00262211" w:rsidRDefault="006F28AC">
            <w:pPr>
              <w:pStyle w:val="TableTextSmall"/>
              <w:cnfStyle w:val="000000000000" w:firstRow="0" w:lastRow="0" w:firstColumn="0" w:lastColumn="0" w:oddVBand="0" w:evenVBand="0" w:oddHBand="0" w:evenHBand="0" w:firstRowFirstColumn="0" w:firstRowLastColumn="0" w:lastRowFirstColumn="0" w:lastRowLastColumn="0"/>
              <w:rPr>
                <w:rFonts w:ascii="Arial" w:hAnsi="Arial"/>
                <w:sz w:val="18"/>
              </w:rPr>
            </w:pPr>
            <w:r w:rsidRPr="00262211">
              <w:rPr>
                <w:rFonts w:ascii="Arial" w:hAnsi="Arial"/>
                <w:sz w:val="18"/>
                <w:lang w:eastAsia="en-AU"/>
              </w:rPr>
              <w:t>Changes to the amount of JETCCFA subsidy could impact the amount of CCR that a child is entitled to. There were changes to JETCCFA eligibility and subsidy rules in 2013, 2014 and 2015.</w:t>
            </w:r>
          </w:p>
        </w:tc>
      </w:tr>
      <w:tr w:rsidR="006F28AC" w14:paraId="14B9B1DD" w14:textId="77777777" w:rsidTr="00EB5BD4">
        <w:trPr>
          <w:gridAfter w:val="1"/>
          <w:cnfStyle w:val="000000100000" w:firstRow="0" w:lastRow="0" w:firstColumn="0" w:lastColumn="0" w:oddVBand="0" w:evenVBand="0" w:oddHBand="1" w:evenHBand="0" w:firstRowFirstColumn="0" w:firstRowLastColumn="0" w:lastRowFirstColumn="0" w:lastRowLastColumn="0"/>
          <w:wAfter w:w="26" w:type="dxa"/>
        </w:trPr>
        <w:tc>
          <w:tcPr>
            <w:cnfStyle w:val="001000000000" w:firstRow="0" w:lastRow="0" w:firstColumn="1" w:lastColumn="0" w:oddVBand="0" w:evenVBand="0" w:oddHBand="0" w:evenHBand="0" w:firstRowFirstColumn="0" w:firstRowLastColumn="0" w:lastRowFirstColumn="0" w:lastRowLastColumn="0"/>
            <w:tcW w:w="3268" w:type="dxa"/>
            <w:gridSpan w:val="2"/>
            <w:hideMark/>
          </w:tcPr>
          <w:p w14:paraId="1F2DEB22" w14:textId="77777777" w:rsidR="006F28AC" w:rsidRPr="00D06FD5" w:rsidRDefault="006F28AC">
            <w:pPr>
              <w:pStyle w:val="TableTextSmalltopic"/>
              <w:rPr>
                <w:rFonts w:ascii="Arial" w:hAnsi="Arial"/>
                <w:b/>
                <w:sz w:val="18"/>
              </w:rPr>
            </w:pPr>
            <w:r w:rsidRPr="00D06FD5">
              <w:rPr>
                <w:rFonts w:ascii="Arial" w:hAnsi="Arial"/>
                <w:b/>
                <w:sz w:val="18"/>
              </w:rPr>
              <w:t>Disability Support Pension</w:t>
            </w:r>
          </w:p>
        </w:tc>
        <w:tc>
          <w:tcPr>
            <w:tcW w:w="874" w:type="dxa"/>
          </w:tcPr>
          <w:p w14:paraId="3FA22715" w14:textId="77777777" w:rsidR="006F28AC" w:rsidRPr="00262211" w:rsidRDefault="006F28AC">
            <w:pPr>
              <w:pStyle w:val="TableTextSmall"/>
              <w:cnfStyle w:val="000000100000" w:firstRow="0" w:lastRow="0" w:firstColumn="0" w:lastColumn="0" w:oddVBand="0" w:evenVBand="0" w:oddHBand="1" w:evenHBand="0" w:firstRowFirstColumn="0" w:firstRowLastColumn="0" w:lastRowFirstColumn="0" w:lastRowLastColumn="0"/>
              <w:rPr>
                <w:rFonts w:ascii="Arial" w:hAnsi="Arial"/>
                <w:sz w:val="18"/>
              </w:rPr>
            </w:pPr>
            <w:r w:rsidRPr="00262211">
              <w:rPr>
                <w:rFonts w:ascii="Arial" w:hAnsi="Arial"/>
                <w:sz w:val="18"/>
              </w:rPr>
              <w:t>Various</w:t>
            </w:r>
          </w:p>
          <w:p w14:paraId="4AC21F27" w14:textId="77777777" w:rsidR="006F28AC" w:rsidRPr="00262211" w:rsidRDefault="006F28AC">
            <w:pPr>
              <w:pStyle w:val="TableTextSmall"/>
              <w:cnfStyle w:val="000000100000" w:firstRow="0" w:lastRow="0" w:firstColumn="0" w:lastColumn="0" w:oddVBand="0" w:evenVBand="0" w:oddHBand="1" w:evenHBand="0" w:firstRowFirstColumn="0" w:firstRowLastColumn="0" w:lastRowFirstColumn="0" w:lastRowLastColumn="0"/>
              <w:rPr>
                <w:rFonts w:ascii="Arial" w:hAnsi="Arial"/>
                <w:sz w:val="18"/>
              </w:rPr>
            </w:pPr>
          </w:p>
          <w:p w14:paraId="143202CC" w14:textId="77777777" w:rsidR="006F28AC" w:rsidRPr="00262211" w:rsidRDefault="006F28AC" w:rsidP="002B1B4A">
            <w:pPr>
              <w:pStyle w:val="TableTextSmall"/>
              <w:spacing w:after="180"/>
              <w:cnfStyle w:val="000000100000" w:firstRow="0" w:lastRow="0" w:firstColumn="0" w:lastColumn="0" w:oddVBand="0" w:evenVBand="0" w:oddHBand="1" w:evenHBand="0" w:firstRowFirstColumn="0" w:firstRowLastColumn="0" w:lastRowFirstColumn="0" w:lastRowLastColumn="0"/>
              <w:rPr>
                <w:rFonts w:ascii="Arial" w:hAnsi="Arial"/>
                <w:sz w:val="18"/>
              </w:rPr>
            </w:pPr>
          </w:p>
          <w:p w14:paraId="5DA2079A" w14:textId="23AD20ED" w:rsidR="006F28AC" w:rsidRPr="00262211" w:rsidRDefault="006F28AC">
            <w:pPr>
              <w:pStyle w:val="TableTextSmall"/>
              <w:cnfStyle w:val="000000100000" w:firstRow="0" w:lastRow="0" w:firstColumn="0" w:lastColumn="0" w:oddVBand="0" w:evenVBand="0" w:oddHBand="1" w:evenHBand="0" w:firstRowFirstColumn="0" w:firstRowLastColumn="0" w:lastRowFirstColumn="0" w:lastRowLastColumn="0"/>
              <w:rPr>
                <w:rFonts w:ascii="Arial" w:hAnsi="Arial"/>
                <w:sz w:val="18"/>
              </w:rPr>
            </w:pPr>
            <w:r w:rsidRPr="00262211">
              <w:rPr>
                <w:rFonts w:ascii="Arial" w:hAnsi="Arial"/>
                <w:sz w:val="18"/>
              </w:rPr>
              <w:t>2014</w:t>
            </w:r>
          </w:p>
        </w:tc>
        <w:tc>
          <w:tcPr>
            <w:tcW w:w="4479" w:type="dxa"/>
            <w:gridSpan w:val="2"/>
            <w:hideMark/>
          </w:tcPr>
          <w:p w14:paraId="2C0A8154" w14:textId="77777777" w:rsidR="006F28AC" w:rsidRPr="00262211" w:rsidRDefault="006F28AC">
            <w:pPr>
              <w:pStyle w:val="TableTextSmall"/>
              <w:cnfStyle w:val="000000100000" w:firstRow="0" w:lastRow="0" w:firstColumn="0" w:lastColumn="0" w:oddVBand="0" w:evenVBand="0" w:oddHBand="1" w:evenHBand="0" w:firstRowFirstColumn="0" w:firstRowLastColumn="0" w:lastRowFirstColumn="0" w:lastRowLastColumn="0"/>
              <w:rPr>
                <w:rFonts w:ascii="Arial" w:hAnsi="Arial"/>
                <w:sz w:val="18"/>
              </w:rPr>
            </w:pPr>
            <w:r w:rsidRPr="00262211">
              <w:rPr>
                <w:rFonts w:ascii="Arial" w:hAnsi="Arial"/>
                <w:sz w:val="18"/>
              </w:rPr>
              <w:t>The tightening of eligibility criteria including, but not limited to, the 'Program of Support' rule in September 2011 and the revised Impairment Tables in January 2012.</w:t>
            </w:r>
          </w:p>
          <w:p w14:paraId="2A1039F3" w14:textId="30867939" w:rsidR="006F28AC" w:rsidRPr="00262211" w:rsidRDefault="006F28AC">
            <w:pPr>
              <w:pStyle w:val="TableTextSmall"/>
              <w:cnfStyle w:val="000000100000" w:firstRow="0" w:lastRow="0" w:firstColumn="0" w:lastColumn="0" w:oddVBand="0" w:evenVBand="0" w:oddHBand="1" w:evenHBand="0" w:firstRowFirstColumn="0" w:firstRowLastColumn="0" w:lastRowFirstColumn="0" w:lastRowLastColumn="0"/>
              <w:rPr>
                <w:rFonts w:ascii="Arial" w:hAnsi="Arial"/>
                <w:sz w:val="18"/>
              </w:rPr>
            </w:pPr>
            <w:r w:rsidRPr="00262211">
              <w:rPr>
                <w:rFonts w:ascii="Arial" w:hAnsi="Arial"/>
                <w:sz w:val="18"/>
              </w:rPr>
              <w:t>From 1 July 2014, DSP recipients under age 35 years, granted between 1</w:t>
            </w:r>
            <w:r w:rsidR="009473B0">
              <w:rPr>
                <w:rFonts w:ascii="Arial" w:hAnsi="Arial"/>
                <w:sz w:val="18"/>
              </w:rPr>
              <w:t> </w:t>
            </w:r>
            <w:r w:rsidRPr="00262211">
              <w:rPr>
                <w:rFonts w:ascii="Arial" w:hAnsi="Arial"/>
                <w:sz w:val="18"/>
              </w:rPr>
              <w:t>January</w:t>
            </w:r>
            <w:r w:rsidR="009473B0">
              <w:rPr>
                <w:rFonts w:ascii="Arial" w:hAnsi="Arial"/>
                <w:sz w:val="18"/>
              </w:rPr>
              <w:t> </w:t>
            </w:r>
            <w:r w:rsidRPr="00262211">
              <w:rPr>
                <w:rFonts w:ascii="Arial" w:hAnsi="Arial"/>
                <w:sz w:val="18"/>
              </w:rPr>
              <w:t>2008 and 31</w:t>
            </w:r>
            <w:r w:rsidR="009473B0">
              <w:rPr>
                <w:rFonts w:ascii="Arial" w:hAnsi="Arial"/>
                <w:sz w:val="18"/>
              </w:rPr>
              <w:t> </w:t>
            </w:r>
            <w:r w:rsidRPr="00262211">
              <w:rPr>
                <w:rFonts w:ascii="Arial" w:hAnsi="Arial"/>
                <w:sz w:val="18"/>
              </w:rPr>
              <w:t>December</w:t>
            </w:r>
            <w:r w:rsidR="009473B0">
              <w:rPr>
                <w:rFonts w:ascii="Arial" w:hAnsi="Arial"/>
                <w:sz w:val="18"/>
              </w:rPr>
              <w:t> </w:t>
            </w:r>
            <w:r w:rsidRPr="00262211">
              <w:rPr>
                <w:rFonts w:ascii="Arial" w:hAnsi="Arial"/>
                <w:sz w:val="18"/>
              </w:rPr>
              <w:t xml:space="preserve">2011, </w:t>
            </w:r>
            <w:r w:rsidR="00435BB2">
              <w:rPr>
                <w:rFonts w:ascii="Arial" w:hAnsi="Arial"/>
                <w:sz w:val="18"/>
              </w:rPr>
              <w:t>were</w:t>
            </w:r>
            <w:r w:rsidR="00435BB2" w:rsidRPr="00262211">
              <w:rPr>
                <w:rFonts w:ascii="Arial" w:hAnsi="Arial"/>
                <w:sz w:val="18"/>
              </w:rPr>
              <w:t xml:space="preserve"> </w:t>
            </w:r>
            <w:r w:rsidRPr="00262211">
              <w:rPr>
                <w:rFonts w:ascii="Arial" w:hAnsi="Arial"/>
                <w:sz w:val="18"/>
              </w:rPr>
              <w:t xml:space="preserve">subject to review of their impairment (using the revised Impairment Tables) and capacity to work. People with a severe or manifest disability </w:t>
            </w:r>
            <w:r w:rsidR="00435BB2">
              <w:rPr>
                <w:rFonts w:ascii="Arial" w:hAnsi="Arial"/>
                <w:sz w:val="18"/>
              </w:rPr>
              <w:t xml:space="preserve">were </w:t>
            </w:r>
            <w:r w:rsidRPr="00262211">
              <w:rPr>
                <w:rFonts w:ascii="Arial" w:hAnsi="Arial"/>
                <w:sz w:val="18"/>
              </w:rPr>
              <w:t>not reassessed.</w:t>
            </w:r>
          </w:p>
          <w:p w14:paraId="4B8BEF3A" w14:textId="4A2BBA09" w:rsidR="006F28AC" w:rsidRPr="00262211" w:rsidRDefault="006F28AC">
            <w:pPr>
              <w:pStyle w:val="TableTextSmall"/>
              <w:cnfStyle w:val="000000100000" w:firstRow="0" w:lastRow="0" w:firstColumn="0" w:lastColumn="0" w:oddVBand="0" w:evenVBand="0" w:oddHBand="1" w:evenHBand="0" w:firstRowFirstColumn="0" w:firstRowLastColumn="0" w:lastRowFirstColumn="0" w:lastRowLastColumn="0"/>
              <w:rPr>
                <w:rFonts w:ascii="Arial" w:hAnsi="Arial"/>
                <w:sz w:val="18"/>
              </w:rPr>
            </w:pPr>
            <w:r w:rsidRPr="00262211">
              <w:rPr>
                <w:rFonts w:ascii="Arial" w:hAnsi="Arial"/>
                <w:sz w:val="18"/>
              </w:rPr>
              <w:lastRenderedPageBreak/>
              <w:t>People who have some capacity to work now or in the future will be helped to do this through programs, services and activities.</w:t>
            </w:r>
          </w:p>
          <w:p w14:paraId="526556A4" w14:textId="0A8CD78B" w:rsidR="006F28AC" w:rsidRPr="00262211" w:rsidRDefault="006F28AC" w:rsidP="00435BB2">
            <w:pPr>
              <w:pStyle w:val="TableTextSmall"/>
              <w:cnfStyle w:val="000000100000" w:firstRow="0" w:lastRow="0" w:firstColumn="0" w:lastColumn="0" w:oddVBand="0" w:evenVBand="0" w:oddHBand="1" w:evenHBand="0" w:firstRowFirstColumn="0" w:firstRowLastColumn="0" w:lastRowFirstColumn="0" w:lastRowLastColumn="0"/>
              <w:rPr>
                <w:rFonts w:ascii="Arial" w:hAnsi="Arial"/>
                <w:sz w:val="18"/>
              </w:rPr>
            </w:pPr>
            <w:r w:rsidRPr="00262211">
              <w:rPr>
                <w:rFonts w:ascii="Arial" w:hAnsi="Arial"/>
                <w:sz w:val="18"/>
              </w:rPr>
              <w:t>Under this reform, recipients under 35 have a participation plan which includes activities that will genuinely assist in labour market participation. These activities could include Work for the Dole, job search, work experience, education and training, and connection with Disability Employment Services.</w:t>
            </w:r>
          </w:p>
        </w:tc>
      </w:tr>
      <w:tr w:rsidR="006F28AC" w14:paraId="38CB42FB" w14:textId="77777777" w:rsidTr="00EB5BD4">
        <w:trPr>
          <w:gridAfter w:val="1"/>
          <w:wAfter w:w="26" w:type="dxa"/>
        </w:trPr>
        <w:tc>
          <w:tcPr>
            <w:cnfStyle w:val="001000000000" w:firstRow="0" w:lastRow="0" w:firstColumn="1" w:lastColumn="0" w:oddVBand="0" w:evenVBand="0" w:oddHBand="0" w:evenHBand="0" w:firstRowFirstColumn="0" w:firstRowLastColumn="0" w:lastRowFirstColumn="0" w:lastRowLastColumn="0"/>
            <w:tcW w:w="3268" w:type="dxa"/>
            <w:gridSpan w:val="2"/>
            <w:hideMark/>
          </w:tcPr>
          <w:p w14:paraId="32E92E6C" w14:textId="77777777" w:rsidR="006F28AC" w:rsidRPr="00D06FD5" w:rsidRDefault="006F28AC">
            <w:pPr>
              <w:pStyle w:val="TableTextSmalltopic"/>
              <w:rPr>
                <w:rFonts w:ascii="Arial" w:hAnsi="Arial"/>
                <w:b/>
                <w:sz w:val="18"/>
              </w:rPr>
            </w:pPr>
            <w:r w:rsidRPr="00D06FD5">
              <w:rPr>
                <w:rFonts w:ascii="Arial" w:hAnsi="Arial"/>
                <w:b/>
                <w:sz w:val="18"/>
              </w:rPr>
              <w:lastRenderedPageBreak/>
              <w:t>Seniors Supplement Cessation</w:t>
            </w:r>
          </w:p>
          <w:p w14:paraId="36A6B57C" w14:textId="77777777" w:rsidR="006F28AC" w:rsidRPr="00D06FD5" w:rsidRDefault="006F28AC">
            <w:pPr>
              <w:pStyle w:val="TableTextSmalltopic"/>
              <w:rPr>
                <w:rFonts w:ascii="Arial" w:hAnsi="Arial"/>
                <w:b/>
                <w:sz w:val="18"/>
              </w:rPr>
            </w:pPr>
            <w:r w:rsidRPr="00D06FD5">
              <w:rPr>
                <w:rFonts w:ascii="Arial" w:hAnsi="Arial"/>
                <w:b/>
                <w:sz w:val="18"/>
              </w:rPr>
              <w:t>Social Services and Other Legislation Amendment (Seniors Supplement Cessation) Act 2014</w:t>
            </w:r>
          </w:p>
        </w:tc>
        <w:tc>
          <w:tcPr>
            <w:tcW w:w="874" w:type="dxa"/>
            <w:hideMark/>
          </w:tcPr>
          <w:p w14:paraId="348D1E21" w14:textId="77777777" w:rsidR="006F28AC" w:rsidRPr="00262211" w:rsidRDefault="006F28AC">
            <w:pPr>
              <w:pStyle w:val="TableTextSmall"/>
              <w:cnfStyle w:val="000000000000" w:firstRow="0" w:lastRow="0" w:firstColumn="0" w:lastColumn="0" w:oddVBand="0" w:evenVBand="0" w:oddHBand="0" w:evenHBand="0" w:firstRowFirstColumn="0" w:firstRowLastColumn="0" w:lastRowFirstColumn="0" w:lastRowLastColumn="0"/>
              <w:rPr>
                <w:rFonts w:ascii="Arial" w:hAnsi="Arial"/>
                <w:sz w:val="18"/>
              </w:rPr>
            </w:pPr>
            <w:r w:rsidRPr="00262211">
              <w:rPr>
                <w:rFonts w:ascii="Arial" w:hAnsi="Arial"/>
                <w:sz w:val="18"/>
              </w:rPr>
              <w:t>2014</w:t>
            </w:r>
          </w:p>
        </w:tc>
        <w:tc>
          <w:tcPr>
            <w:tcW w:w="4479" w:type="dxa"/>
            <w:gridSpan w:val="2"/>
            <w:hideMark/>
          </w:tcPr>
          <w:p w14:paraId="24C9A7CA" w14:textId="5835B507" w:rsidR="006F28AC" w:rsidRPr="00262211" w:rsidRDefault="006F28AC">
            <w:pPr>
              <w:pStyle w:val="TableTextSmall"/>
              <w:cnfStyle w:val="000000000000" w:firstRow="0" w:lastRow="0" w:firstColumn="0" w:lastColumn="0" w:oddVBand="0" w:evenVBand="0" w:oddHBand="0" w:evenHBand="0" w:firstRowFirstColumn="0" w:firstRowLastColumn="0" w:lastRowFirstColumn="0" w:lastRowLastColumn="0"/>
              <w:rPr>
                <w:rFonts w:ascii="Arial" w:hAnsi="Arial"/>
                <w:sz w:val="18"/>
              </w:rPr>
            </w:pPr>
            <w:r w:rsidRPr="00262211">
              <w:rPr>
                <w:rFonts w:ascii="Arial" w:hAnsi="Arial"/>
                <w:sz w:val="18"/>
              </w:rPr>
              <w:t xml:space="preserve">The Budget 2014 </w:t>
            </w:r>
            <w:r w:rsidR="000A3BE7">
              <w:rPr>
                <w:rFonts w:ascii="Arial" w:hAnsi="Arial"/>
                <w:sz w:val="18"/>
              </w:rPr>
              <w:t>introduced</w:t>
            </w:r>
            <w:r w:rsidRPr="00262211">
              <w:rPr>
                <w:rFonts w:ascii="Arial" w:hAnsi="Arial"/>
                <w:sz w:val="18"/>
              </w:rPr>
              <w:t xml:space="preserve"> 15 measure</w:t>
            </w:r>
            <w:r w:rsidR="000A3BE7">
              <w:rPr>
                <w:rFonts w:ascii="Arial" w:hAnsi="Arial"/>
                <w:sz w:val="18"/>
              </w:rPr>
              <w:t>s</w:t>
            </w:r>
            <w:r w:rsidRPr="00262211">
              <w:rPr>
                <w:rFonts w:ascii="Arial" w:hAnsi="Arial"/>
                <w:sz w:val="18"/>
              </w:rPr>
              <w:t xml:space="preserve"> on the cessation of the Seniors Supplement – Commonwealth Seniors Health Card holders commenced on 20 June 2015.</w:t>
            </w:r>
          </w:p>
          <w:p w14:paraId="6736B504" w14:textId="76540706" w:rsidR="006F28AC" w:rsidRPr="00262211" w:rsidRDefault="006F28AC" w:rsidP="000A3BE7">
            <w:pPr>
              <w:pStyle w:val="TableTextSmall"/>
              <w:cnfStyle w:val="000000000000" w:firstRow="0" w:lastRow="0" w:firstColumn="0" w:lastColumn="0" w:oddVBand="0" w:evenVBand="0" w:oddHBand="0" w:evenHBand="0" w:firstRowFirstColumn="0" w:firstRowLastColumn="0" w:lastRowFirstColumn="0" w:lastRowLastColumn="0"/>
              <w:rPr>
                <w:rFonts w:ascii="Arial" w:hAnsi="Arial"/>
                <w:sz w:val="18"/>
              </w:rPr>
            </w:pPr>
            <w:r w:rsidRPr="00262211">
              <w:rPr>
                <w:rFonts w:ascii="Arial" w:hAnsi="Arial"/>
                <w:sz w:val="18"/>
              </w:rPr>
              <w:t xml:space="preserve">The Seniors Supplement for Commonwealth Seniors Health Card (CSHC) holders </w:t>
            </w:r>
            <w:r w:rsidR="000A3BE7">
              <w:rPr>
                <w:rFonts w:ascii="Arial" w:hAnsi="Arial"/>
                <w:sz w:val="18"/>
              </w:rPr>
              <w:t>ceased being</w:t>
            </w:r>
            <w:r w:rsidRPr="00262211">
              <w:rPr>
                <w:rFonts w:ascii="Arial" w:hAnsi="Arial"/>
                <w:sz w:val="18"/>
              </w:rPr>
              <w:t xml:space="preserve"> paid beyond the June 2014 quarterly payment. From this date CSHC holders continue</w:t>
            </w:r>
            <w:r w:rsidR="000A3BE7">
              <w:rPr>
                <w:rFonts w:ascii="Arial" w:hAnsi="Arial"/>
                <w:sz w:val="18"/>
              </w:rPr>
              <w:t>d</w:t>
            </w:r>
            <w:r w:rsidRPr="00262211">
              <w:rPr>
                <w:rFonts w:ascii="Arial" w:hAnsi="Arial"/>
                <w:sz w:val="18"/>
              </w:rPr>
              <w:t xml:space="preserve"> to receive only the Energy Supplement each quarter.</w:t>
            </w:r>
          </w:p>
        </w:tc>
      </w:tr>
      <w:tr w:rsidR="006F28AC" w14:paraId="583F017C" w14:textId="77777777" w:rsidTr="00EB5BD4">
        <w:trPr>
          <w:gridAfter w:val="1"/>
          <w:cnfStyle w:val="000000100000" w:firstRow="0" w:lastRow="0" w:firstColumn="0" w:lastColumn="0" w:oddVBand="0" w:evenVBand="0" w:oddHBand="1" w:evenHBand="0" w:firstRowFirstColumn="0" w:firstRowLastColumn="0" w:lastRowFirstColumn="0" w:lastRowLastColumn="0"/>
          <w:wAfter w:w="26" w:type="dxa"/>
        </w:trPr>
        <w:tc>
          <w:tcPr>
            <w:cnfStyle w:val="001000000000" w:firstRow="0" w:lastRow="0" w:firstColumn="1" w:lastColumn="0" w:oddVBand="0" w:evenVBand="0" w:oddHBand="0" w:evenHBand="0" w:firstRowFirstColumn="0" w:firstRowLastColumn="0" w:lastRowFirstColumn="0" w:lastRowLastColumn="0"/>
            <w:tcW w:w="3268" w:type="dxa"/>
            <w:gridSpan w:val="2"/>
            <w:hideMark/>
          </w:tcPr>
          <w:p w14:paraId="68D55991" w14:textId="77777777" w:rsidR="006F28AC" w:rsidRPr="00D06FD5" w:rsidRDefault="006F28AC">
            <w:pPr>
              <w:pStyle w:val="TableTextSmalltopic"/>
              <w:rPr>
                <w:rFonts w:ascii="Arial" w:hAnsi="Arial"/>
                <w:b/>
                <w:sz w:val="18"/>
              </w:rPr>
            </w:pPr>
            <w:r w:rsidRPr="00D06FD5">
              <w:rPr>
                <w:rFonts w:ascii="Arial" w:hAnsi="Arial"/>
                <w:b/>
                <w:sz w:val="18"/>
              </w:rPr>
              <w:t>Child Care Rebate (indexation)</w:t>
            </w:r>
          </w:p>
        </w:tc>
        <w:tc>
          <w:tcPr>
            <w:tcW w:w="874" w:type="dxa"/>
            <w:hideMark/>
          </w:tcPr>
          <w:p w14:paraId="5BDA0D54" w14:textId="77777777" w:rsidR="006F28AC" w:rsidRPr="00262211" w:rsidRDefault="006F28AC">
            <w:pPr>
              <w:pStyle w:val="TableTextSmall"/>
              <w:cnfStyle w:val="000000100000" w:firstRow="0" w:lastRow="0" w:firstColumn="0" w:lastColumn="0" w:oddVBand="0" w:evenVBand="0" w:oddHBand="1" w:evenHBand="0" w:firstRowFirstColumn="0" w:firstRowLastColumn="0" w:lastRowFirstColumn="0" w:lastRowLastColumn="0"/>
              <w:rPr>
                <w:rFonts w:ascii="Arial" w:hAnsi="Arial"/>
                <w:sz w:val="18"/>
              </w:rPr>
            </w:pPr>
            <w:r w:rsidRPr="00262211">
              <w:rPr>
                <w:rFonts w:ascii="Arial" w:hAnsi="Arial"/>
                <w:sz w:val="18"/>
              </w:rPr>
              <w:t>2014</w:t>
            </w:r>
          </w:p>
        </w:tc>
        <w:tc>
          <w:tcPr>
            <w:tcW w:w="4479" w:type="dxa"/>
            <w:gridSpan w:val="2"/>
            <w:hideMark/>
          </w:tcPr>
          <w:p w14:paraId="573E40CE" w14:textId="0F629B2B" w:rsidR="006F28AC" w:rsidRPr="00262211" w:rsidRDefault="006F28AC">
            <w:pPr>
              <w:pStyle w:val="TableTextSmall"/>
              <w:cnfStyle w:val="000000100000" w:firstRow="0" w:lastRow="0" w:firstColumn="0" w:lastColumn="0" w:oddVBand="0" w:evenVBand="0" w:oddHBand="1" w:evenHBand="0" w:firstRowFirstColumn="0" w:firstRowLastColumn="0" w:lastRowFirstColumn="0" w:lastRowLastColumn="0"/>
              <w:rPr>
                <w:rFonts w:ascii="Arial" w:hAnsi="Arial"/>
                <w:sz w:val="18"/>
              </w:rPr>
            </w:pPr>
            <w:r w:rsidRPr="00262211">
              <w:rPr>
                <w:rFonts w:ascii="Arial" w:hAnsi="Arial"/>
                <w:sz w:val="18"/>
              </w:rPr>
              <w:t>In the 2010-11 Budget, the Child Care Rebate annual cap was reduced to $7500 and indexation was paused for four years. This arrangement cease</w:t>
            </w:r>
            <w:r w:rsidR="00435BB2">
              <w:rPr>
                <w:rFonts w:ascii="Arial" w:hAnsi="Arial"/>
                <w:sz w:val="18"/>
              </w:rPr>
              <w:t>d</w:t>
            </w:r>
            <w:r w:rsidRPr="00262211">
              <w:rPr>
                <w:rFonts w:ascii="Arial" w:hAnsi="Arial"/>
                <w:sz w:val="18"/>
              </w:rPr>
              <w:t xml:space="preserve"> on 30</w:t>
            </w:r>
            <w:r w:rsidR="008C791B">
              <w:rPr>
                <w:rFonts w:ascii="Arial" w:hAnsi="Arial"/>
                <w:sz w:val="18"/>
              </w:rPr>
              <w:t> </w:t>
            </w:r>
            <w:r w:rsidRPr="00262211">
              <w:rPr>
                <w:rFonts w:ascii="Arial" w:hAnsi="Arial"/>
                <w:sz w:val="18"/>
              </w:rPr>
              <w:t>June</w:t>
            </w:r>
            <w:r w:rsidR="008C791B">
              <w:rPr>
                <w:rFonts w:ascii="Arial" w:hAnsi="Arial"/>
                <w:sz w:val="18"/>
              </w:rPr>
              <w:t> </w:t>
            </w:r>
            <w:r w:rsidRPr="00262211">
              <w:rPr>
                <w:rFonts w:ascii="Arial" w:hAnsi="Arial"/>
                <w:sz w:val="18"/>
              </w:rPr>
              <w:t>2014. Under this measure, the pause in indexation continue</w:t>
            </w:r>
            <w:r w:rsidR="00435BB2">
              <w:rPr>
                <w:rFonts w:ascii="Arial" w:hAnsi="Arial"/>
                <w:sz w:val="18"/>
              </w:rPr>
              <w:t>d</w:t>
            </w:r>
            <w:r w:rsidRPr="00262211">
              <w:rPr>
                <w:rFonts w:ascii="Arial" w:hAnsi="Arial"/>
                <w:sz w:val="18"/>
              </w:rPr>
              <w:t xml:space="preserve"> for the 2014-15, 2015-16 and 2016-17 financial years.</w:t>
            </w:r>
          </w:p>
          <w:p w14:paraId="3027AC1A" w14:textId="2E2F7D81" w:rsidR="006F28AC" w:rsidRPr="00262211" w:rsidRDefault="006F28AC">
            <w:pPr>
              <w:pStyle w:val="TableTextSmall"/>
              <w:cnfStyle w:val="000000100000" w:firstRow="0" w:lastRow="0" w:firstColumn="0" w:lastColumn="0" w:oddVBand="0" w:evenVBand="0" w:oddHBand="1" w:evenHBand="0" w:firstRowFirstColumn="0" w:firstRowLastColumn="0" w:lastRowFirstColumn="0" w:lastRowLastColumn="0"/>
              <w:rPr>
                <w:rFonts w:ascii="Arial" w:hAnsi="Arial"/>
                <w:sz w:val="18"/>
              </w:rPr>
            </w:pPr>
            <w:r w:rsidRPr="00262211">
              <w:rPr>
                <w:rFonts w:ascii="Arial" w:hAnsi="Arial"/>
                <w:sz w:val="18"/>
              </w:rPr>
              <w:t xml:space="preserve">For the income years 2014-15, 2015-16, 2016-17, CCR entitlement </w:t>
            </w:r>
            <w:r w:rsidR="00435BB2">
              <w:rPr>
                <w:rFonts w:ascii="Arial" w:hAnsi="Arial"/>
                <w:sz w:val="18"/>
              </w:rPr>
              <w:t xml:space="preserve">was </w:t>
            </w:r>
            <w:r w:rsidR="00435BB2" w:rsidRPr="00262211">
              <w:rPr>
                <w:rFonts w:ascii="Arial" w:hAnsi="Arial"/>
                <w:sz w:val="18"/>
              </w:rPr>
              <w:t>calculated as 50%</w:t>
            </w:r>
            <w:r w:rsidR="00435BB2">
              <w:rPr>
                <w:rFonts w:ascii="Arial" w:hAnsi="Arial"/>
                <w:sz w:val="18"/>
              </w:rPr>
              <w:t xml:space="preserve"> of</w:t>
            </w:r>
            <w:r w:rsidRPr="00262211">
              <w:rPr>
                <w:rFonts w:ascii="Arial" w:hAnsi="Arial"/>
                <w:sz w:val="18"/>
              </w:rPr>
              <w:t xml:space="preserve"> out-of-pocket child care expenses up to a limit of</w:t>
            </w:r>
            <w:r w:rsidR="00435BB2">
              <w:rPr>
                <w:rFonts w:ascii="Arial" w:hAnsi="Arial"/>
                <w:sz w:val="18"/>
              </w:rPr>
              <w:t xml:space="preserve"> </w:t>
            </w:r>
            <w:r w:rsidR="00435BB2" w:rsidRPr="00262211">
              <w:rPr>
                <w:rFonts w:ascii="Arial" w:hAnsi="Arial"/>
                <w:sz w:val="18"/>
              </w:rPr>
              <w:t>$7,500 (capped) per child</w:t>
            </w:r>
          </w:p>
          <w:p w14:paraId="7D0231D7" w14:textId="4FD781BD" w:rsidR="006F28AC" w:rsidRPr="00262211" w:rsidRDefault="006F28AC" w:rsidP="00435BB2">
            <w:pPr>
              <w:pStyle w:val="TableTextSmall"/>
              <w:cnfStyle w:val="000000100000" w:firstRow="0" w:lastRow="0" w:firstColumn="0" w:lastColumn="0" w:oddVBand="0" w:evenVBand="0" w:oddHBand="1" w:evenHBand="0" w:firstRowFirstColumn="0" w:firstRowLastColumn="0" w:lastRowFirstColumn="0" w:lastRowLastColumn="0"/>
              <w:rPr>
                <w:rFonts w:ascii="Arial" w:hAnsi="Arial"/>
                <w:sz w:val="18"/>
              </w:rPr>
            </w:pPr>
            <w:r w:rsidRPr="00262211">
              <w:rPr>
                <w:rFonts w:ascii="Arial" w:hAnsi="Arial"/>
                <w:sz w:val="18"/>
              </w:rPr>
              <w:t>per year for approved child care. The annual indexation is paused for a further 3 income years. The first indexation of the $7,500 maximum limit occur</w:t>
            </w:r>
            <w:r w:rsidR="00435BB2">
              <w:rPr>
                <w:rFonts w:ascii="Arial" w:hAnsi="Arial"/>
                <w:sz w:val="18"/>
              </w:rPr>
              <w:t>ed</w:t>
            </w:r>
            <w:r w:rsidRPr="00262211">
              <w:rPr>
                <w:rFonts w:ascii="Arial" w:hAnsi="Arial"/>
                <w:sz w:val="18"/>
              </w:rPr>
              <w:t xml:space="preserve"> on 1 July 2017.</w:t>
            </w:r>
          </w:p>
        </w:tc>
      </w:tr>
      <w:tr w:rsidR="006F28AC" w14:paraId="15EC8EEA" w14:textId="77777777" w:rsidTr="00EB5BD4">
        <w:trPr>
          <w:gridAfter w:val="1"/>
          <w:wAfter w:w="26" w:type="dxa"/>
        </w:trPr>
        <w:tc>
          <w:tcPr>
            <w:cnfStyle w:val="001000000000" w:firstRow="0" w:lastRow="0" w:firstColumn="1" w:lastColumn="0" w:oddVBand="0" w:evenVBand="0" w:oddHBand="0" w:evenHBand="0" w:firstRowFirstColumn="0" w:firstRowLastColumn="0" w:lastRowFirstColumn="0" w:lastRowLastColumn="0"/>
            <w:tcW w:w="3268" w:type="dxa"/>
            <w:gridSpan w:val="2"/>
            <w:hideMark/>
          </w:tcPr>
          <w:p w14:paraId="0428DFF8" w14:textId="77777777" w:rsidR="006F28AC" w:rsidRPr="00D06FD5" w:rsidRDefault="006F28AC">
            <w:pPr>
              <w:pStyle w:val="TableTextSmalltopic"/>
              <w:rPr>
                <w:rFonts w:ascii="Arial" w:hAnsi="Arial"/>
                <w:b/>
                <w:sz w:val="18"/>
              </w:rPr>
            </w:pPr>
            <w:r w:rsidRPr="00D06FD5">
              <w:rPr>
                <w:rFonts w:ascii="Arial" w:hAnsi="Arial"/>
                <w:b/>
                <w:sz w:val="18"/>
              </w:rPr>
              <w:t>Energy Supplement (ES)</w:t>
            </w:r>
          </w:p>
          <w:p w14:paraId="2F24F27B" w14:textId="77777777" w:rsidR="006F28AC" w:rsidRPr="00D06FD5" w:rsidRDefault="006F28AC">
            <w:pPr>
              <w:pStyle w:val="TableTextSmall"/>
              <w:rPr>
                <w:rFonts w:ascii="Arial" w:hAnsi="Arial"/>
                <w:sz w:val="18"/>
              </w:rPr>
            </w:pPr>
            <w:r w:rsidRPr="00D06FD5">
              <w:rPr>
                <w:rFonts w:ascii="Arial" w:hAnsi="Arial"/>
                <w:sz w:val="18"/>
              </w:rPr>
              <w:t>Social Services and Other Legislation Amendment (2014 Budget Measures No. 6) Act 2014</w:t>
            </w:r>
          </w:p>
        </w:tc>
        <w:tc>
          <w:tcPr>
            <w:tcW w:w="874" w:type="dxa"/>
            <w:hideMark/>
          </w:tcPr>
          <w:p w14:paraId="377713CE" w14:textId="77777777" w:rsidR="006F28AC" w:rsidRPr="00262211" w:rsidRDefault="006F28AC">
            <w:pPr>
              <w:pStyle w:val="TableTextSmall"/>
              <w:cnfStyle w:val="000000000000" w:firstRow="0" w:lastRow="0" w:firstColumn="0" w:lastColumn="0" w:oddVBand="0" w:evenVBand="0" w:oddHBand="0" w:evenHBand="0" w:firstRowFirstColumn="0" w:firstRowLastColumn="0" w:lastRowFirstColumn="0" w:lastRowLastColumn="0"/>
              <w:rPr>
                <w:rFonts w:ascii="Arial" w:hAnsi="Arial"/>
                <w:sz w:val="18"/>
              </w:rPr>
            </w:pPr>
            <w:r w:rsidRPr="00262211">
              <w:rPr>
                <w:rFonts w:ascii="Arial" w:hAnsi="Arial"/>
                <w:sz w:val="18"/>
              </w:rPr>
              <w:t>2014</w:t>
            </w:r>
          </w:p>
        </w:tc>
        <w:tc>
          <w:tcPr>
            <w:tcW w:w="4479" w:type="dxa"/>
            <w:gridSpan w:val="2"/>
            <w:hideMark/>
          </w:tcPr>
          <w:p w14:paraId="6E3F855F" w14:textId="77777777" w:rsidR="006F28AC" w:rsidRPr="00262211" w:rsidRDefault="006F28AC">
            <w:pPr>
              <w:pStyle w:val="TableTextSmall"/>
              <w:cnfStyle w:val="000000000000" w:firstRow="0" w:lastRow="0" w:firstColumn="0" w:lastColumn="0" w:oddVBand="0" w:evenVBand="0" w:oddHBand="0" w:evenHBand="0" w:firstRowFirstColumn="0" w:firstRowLastColumn="0" w:lastRowFirstColumn="0" w:lastRowLastColumn="0"/>
              <w:rPr>
                <w:rFonts w:ascii="Arial" w:hAnsi="Arial"/>
                <w:color w:val="auto"/>
                <w:sz w:val="18"/>
                <w:lang w:eastAsia="en-AU"/>
              </w:rPr>
            </w:pPr>
            <w:r w:rsidRPr="00262211">
              <w:rPr>
                <w:rFonts w:ascii="Arial" w:hAnsi="Arial"/>
                <w:sz w:val="18"/>
              </w:rPr>
              <w:t>In September 2014, the Energy Supplement (ES) replaced the CES and indexing was removed.</w:t>
            </w:r>
          </w:p>
        </w:tc>
      </w:tr>
      <w:tr w:rsidR="006F28AC" w14:paraId="70D6D47E" w14:textId="77777777" w:rsidTr="00EB5BD4">
        <w:trPr>
          <w:gridAfter w:val="1"/>
          <w:cnfStyle w:val="000000100000" w:firstRow="0" w:lastRow="0" w:firstColumn="0" w:lastColumn="0" w:oddVBand="0" w:evenVBand="0" w:oddHBand="1" w:evenHBand="0" w:firstRowFirstColumn="0" w:firstRowLastColumn="0" w:lastRowFirstColumn="0" w:lastRowLastColumn="0"/>
          <w:wAfter w:w="26" w:type="dxa"/>
        </w:trPr>
        <w:tc>
          <w:tcPr>
            <w:cnfStyle w:val="001000000000" w:firstRow="0" w:lastRow="0" w:firstColumn="1" w:lastColumn="0" w:oddVBand="0" w:evenVBand="0" w:oddHBand="0" w:evenHBand="0" w:firstRowFirstColumn="0" w:firstRowLastColumn="0" w:lastRowFirstColumn="0" w:lastRowLastColumn="0"/>
            <w:tcW w:w="3268" w:type="dxa"/>
            <w:gridSpan w:val="2"/>
            <w:hideMark/>
          </w:tcPr>
          <w:p w14:paraId="2F337529" w14:textId="77777777" w:rsidR="006F28AC" w:rsidRPr="00D06FD5" w:rsidRDefault="006F28AC">
            <w:pPr>
              <w:pStyle w:val="TableTextSmalltopic"/>
              <w:rPr>
                <w:rFonts w:ascii="Arial" w:hAnsi="Arial"/>
                <w:b/>
                <w:sz w:val="18"/>
              </w:rPr>
            </w:pPr>
            <w:r w:rsidRPr="00D06FD5">
              <w:rPr>
                <w:rFonts w:ascii="Arial" w:hAnsi="Arial"/>
                <w:b/>
                <w:sz w:val="18"/>
              </w:rPr>
              <w:t>Other Measures</w:t>
            </w:r>
          </w:p>
          <w:p w14:paraId="64226AAD" w14:textId="77777777" w:rsidR="006F28AC" w:rsidRPr="00D06FD5" w:rsidRDefault="006F28AC">
            <w:pPr>
              <w:pStyle w:val="TableTextSmalltopic"/>
              <w:rPr>
                <w:rFonts w:ascii="Arial" w:hAnsi="Arial"/>
                <w:b/>
                <w:sz w:val="18"/>
              </w:rPr>
            </w:pPr>
            <w:r w:rsidRPr="00D06FD5">
              <w:rPr>
                <w:rFonts w:ascii="Arial" w:hAnsi="Arial"/>
                <w:b/>
                <w:sz w:val="18"/>
              </w:rPr>
              <w:t>Social Security Amendment (Supporting More Australians into Work) Act 2013</w:t>
            </w:r>
          </w:p>
        </w:tc>
        <w:tc>
          <w:tcPr>
            <w:tcW w:w="874" w:type="dxa"/>
            <w:hideMark/>
          </w:tcPr>
          <w:p w14:paraId="17636550" w14:textId="77777777" w:rsidR="006F28AC" w:rsidRPr="00262211" w:rsidRDefault="006F28AC">
            <w:pPr>
              <w:pStyle w:val="TableTextSmall"/>
              <w:cnfStyle w:val="000000100000" w:firstRow="0" w:lastRow="0" w:firstColumn="0" w:lastColumn="0" w:oddVBand="0" w:evenVBand="0" w:oddHBand="1" w:evenHBand="0" w:firstRowFirstColumn="0" w:firstRowLastColumn="0" w:lastRowFirstColumn="0" w:lastRowLastColumn="0"/>
              <w:rPr>
                <w:rFonts w:ascii="Arial" w:eastAsia="Times New Roman" w:hAnsi="Arial"/>
                <w:sz w:val="18"/>
              </w:rPr>
            </w:pPr>
            <w:r w:rsidRPr="00262211">
              <w:rPr>
                <w:rFonts w:ascii="Arial" w:hAnsi="Arial"/>
                <w:sz w:val="18"/>
              </w:rPr>
              <w:t>2014</w:t>
            </w:r>
          </w:p>
        </w:tc>
        <w:tc>
          <w:tcPr>
            <w:tcW w:w="4479" w:type="dxa"/>
            <w:gridSpan w:val="2"/>
            <w:hideMark/>
          </w:tcPr>
          <w:p w14:paraId="5B326835" w14:textId="77777777" w:rsidR="006F28AC" w:rsidRPr="00262211" w:rsidRDefault="006F28AC">
            <w:pPr>
              <w:pStyle w:val="TableTextSmall"/>
              <w:cnfStyle w:val="000000100000" w:firstRow="0" w:lastRow="0" w:firstColumn="0" w:lastColumn="0" w:oddVBand="0" w:evenVBand="0" w:oddHBand="1" w:evenHBand="0" w:firstRowFirstColumn="0" w:firstRowLastColumn="0" w:lastRowFirstColumn="0" w:lastRowLastColumn="0"/>
              <w:rPr>
                <w:rFonts w:ascii="Arial" w:hAnsi="Arial"/>
                <w:sz w:val="18"/>
              </w:rPr>
            </w:pPr>
            <w:r w:rsidRPr="00262211">
              <w:rPr>
                <w:rFonts w:ascii="Arial" w:hAnsi="Arial"/>
                <w:sz w:val="18"/>
              </w:rPr>
              <w:t>From 20 March 2014, the income free area that applied for certain payments was increased.</w:t>
            </w:r>
          </w:p>
          <w:p w14:paraId="37D4914C" w14:textId="77777777" w:rsidR="006F28AC" w:rsidRPr="00262211" w:rsidRDefault="006F28AC">
            <w:pPr>
              <w:pStyle w:val="TableTextSmall"/>
              <w:cnfStyle w:val="000000100000" w:firstRow="0" w:lastRow="0" w:firstColumn="0" w:lastColumn="0" w:oddVBand="0" w:evenVBand="0" w:oddHBand="1" w:evenHBand="0" w:firstRowFirstColumn="0" w:firstRowLastColumn="0" w:lastRowFirstColumn="0" w:lastRowLastColumn="0"/>
              <w:rPr>
                <w:rFonts w:ascii="Arial" w:hAnsi="Arial"/>
                <w:sz w:val="18"/>
              </w:rPr>
            </w:pPr>
            <w:r w:rsidRPr="00262211">
              <w:rPr>
                <w:rFonts w:ascii="Arial" w:hAnsi="Arial"/>
                <w:sz w:val="18"/>
              </w:rPr>
              <w:t>From 1 January 2014, eligibility for the Pensioner Education Supplement (PES) was extended.</w:t>
            </w:r>
          </w:p>
        </w:tc>
      </w:tr>
      <w:tr w:rsidR="00144D19" w:rsidRPr="00262211" w14:paraId="44BAEEF9" w14:textId="77777777" w:rsidTr="00EB5BD4">
        <w:trPr>
          <w:gridAfter w:val="1"/>
          <w:wAfter w:w="26" w:type="dxa"/>
        </w:trPr>
        <w:tc>
          <w:tcPr>
            <w:cnfStyle w:val="001000000000" w:firstRow="0" w:lastRow="0" w:firstColumn="1" w:lastColumn="0" w:oddVBand="0" w:evenVBand="0" w:oddHBand="0" w:evenHBand="0" w:firstRowFirstColumn="0" w:firstRowLastColumn="0" w:lastRowFirstColumn="0" w:lastRowLastColumn="0"/>
            <w:tcW w:w="3268" w:type="dxa"/>
            <w:gridSpan w:val="2"/>
            <w:hideMark/>
          </w:tcPr>
          <w:p w14:paraId="21B9384F" w14:textId="77777777" w:rsidR="00144D19" w:rsidRPr="00D06FD5" w:rsidRDefault="00144D19" w:rsidP="00090BA6">
            <w:pPr>
              <w:pStyle w:val="TableTextSmalltopic"/>
              <w:rPr>
                <w:rFonts w:ascii="Arial" w:hAnsi="Arial"/>
                <w:b/>
                <w:sz w:val="18"/>
              </w:rPr>
            </w:pPr>
            <w:r w:rsidRPr="00D06FD5">
              <w:rPr>
                <w:rFonts w:ascii="Arial" w:hAnsi="Arial"/>
                <w:b/>
                <w:sz w:val="18"/>
              </w:rPr>
              <w:t>Austudy</w:t>
            </w:r>
          </w:p>
        </w:tc>
        <w:tc>
          <w:tcPr>
            <w:tcW w:w="874" w:type="dxa"/>
            <w:hideMark/>
          </w:tcPr>
          <w:p w14:paraId="59B1E672" w14:textId="77777777" w:rsidR="00144D19" w:rsidRPr="00262211" w:rsidRDefault="00144D19" w:rsidP="00090BA6">
            <w:pPr>
              <w:pStyle w:val="TableTextSmall"/>
              <w:cnfStyle w:val="000000000000" w:firstRow="0" w:lastRow="0" w:firstColumn="0" w:lastColumn="0" w:oddVBand="0" w:evenVBand="0" w:oddHBand="0" w:evenHBand="0" w:firstRowFirstColumn="0" w:firstRowLastColumn="0" w:lastRowFirstColumn="0" w:lastRowLastColumn="0"/>
              <w:rPr>
                <w:rFonts w:ascii="Arial" w:eastAsia="Times New Roman" w:hAnsi="Arial"/>
                <w:sz w:val="18"/>
              </w:rPr>
            </w:pPr>
            <w:r w:rsidRPr="00262211">
              <w:rPr>
                <w:rFonts w:ascii="Arial" w:hAnsi="Arial"/>
                <w:sz w:val="18"/>
              </w:rPr>
              <w:t>2015</w:t>
            </w:r>
          </w:p>
        </w:tc>
        <w:tc>
          <w:tcPr>
            <w:tcW w:w="4479" w:type="dxa"/>
            <w:gridSpan w:val="2"/>
            <w:hideMark/>
          </w:tcPr>
          <w:p w14:paraId="18E282A7" w14:textId="77777777" w:rsidR="00144D19" w:rsidRPr="00262211" w:rsidRDefault="00144D19" w:rsidP="00090BA6">
            <w:pPr>
              <w:pStyle w:val="TableTextSmall"/>
              <w:cnfStyle w:val="000000000000" w:firstRow="0" w:lastRow="0" w:firstColumn="0" w:lastColumn="0" w:oddVBand="0" w:evenVBand="0" w:oddHBand="0" w:evenHBand="0" w:firstRowFirstColumn="0" w:firstRowLastColumn="0" w:lastRowFirstColumn="0" w:lastRowLastColumn="0"/>
              <w:rPr>
                <w:rFonts w:ascii="Arial" w:hAnsi="Arial"/>
                <w:sz w:val="18"/>
              </w:rPr>
            </w:pPr>
            <w:r w:rsidRPr="00262211">
              <w:rPr>
                <w:rFonts w:ascii="Arial" w:hAnsi="Arial"/>
                <w:sz w:val="18"/>
              </w:rPr>
              <w:t>The residence requirements changed for Austudy in Jan</w:t>
            </w:r>
            <w:r>
              <w:rPr>
                <w:rFonts w:ascii="Arial" w:hAnsi="Arial"/>
                <w:sz w:val="18"/>
              </w:rPr>
              <w:t>uary</w:t>
            </w:r>
            <w:r w:rsidRPr="00262211">
              <w:rPr>
                <w:rFonts w:ascii="Arial" w:hAnsi="Arial"/>
                <w:sz w:val="18"/>
              </w:rPr>
              <w:t xml:space="preserve"> 2015 and temporary absence is no longer included.</w:t>
            </w:r>
          </w:p>
        </w:tc>
      </w:tr>
      <w:tr w:rsidR="006F28AC" w14:paraId="4A319BFA" w14:textId="77777777" w:rsidTr="00EB5BD4">
        <w:trPr>
          <w:gridAfter w:val="1"/>
          <w:cnfStyle w:val="000000100000" w:firstRow="0" w:lastRow="0" w:firstColumn="0" w:lastColumn="0" w:oddVBand="0" w:evenVBand="0" w:oddHBand="1" w:evenHBand="0" w:firstRowFirstColumn="0" w:firstRowLastColumn="0" w:lastRowFirstColumn="0" w:lastRowLastColumn="0"/>
          <w:wAfter w:w="26" w:type="dxa"/>
        </w:trPr>
        <w:tc>
          <w:tcPr>
            <w:cnfStyle w:val="001000000000" w:firstRow="0" w:lastRow="0" w:firstColumn="1" w:lastColumn="0" w:oddVBand="0" w:evenVBand="0" w:oddHBand="0" w:evenHBand="0" w:firstRowFirstColumn="0" w:firstRowLastColumn="0" w:lastRowFirstColumn="0" w:lastRowLastColumn="0"/>
            <w:tcW w:w="3268" w:type="dxa"/>
            <w:gridSpan w:val="2"/>
            <w:hideMark/>
          </w:tcPr>
          <w:p w14:paraId="7CA2D557" w14:textId="77777777" w:rsidR="006F28AC" w:rsidRPr="00D06FD5" w:rsidRDefault="006F28AC">
            <w:pPr>
              <w:pStyle w:val="TableTextSmalltopic"/>
              <w:rPr>
                <w:rFonts w:ascii="Arial" w:hAnsi="Arial"/>
                <w:b/>
                <w:sz w:val="18"/>
              </w:rPr>
            </w:pPr>
            <w:r w:rsidRPr="00D06FD5">
              <w:rPr>
                <w:rFonts w:ascii="Arial" w:hAnsi="Arial"/>
                <w:b/>
                <w:sz w:val="18"/>
              </w:rPr>
              <w:t>Family Tax Benefit Part B - primary earner income limit reduced from $150,000 to $100,000 per year</w:t>
            </w:r>
          </w:p>
          <w:p w14:paraId="0DDF5648" w14:textId="77777777" w:rsidR="006F28AC" w:rsidRPr="00D06FD5" w:rsidRDefault="006F28AC">
            <w:pPr>
              <w:pStyle w:val="TableTextSmalltopic"/>
              <w:rPr>
                <w:rFonts w:ascii="Arial" w:hAnsi="Arial"/>
                <w:b/>
                <w:sz w:val="18"/>
              </w:rPr>
            </w:pPr>
            <w:r w:rsidRPr="00D06FD5">
              <w:rPr>
                <w:rFonts w:ascii="Arial" w:hAnsi="Arial"/>
                <w:b/>
                <w:sz w:val="18"/>
              </w:rPr>
              <w:t>Social Services And Other Legislation Amendment (2014 Budget Measures No. 6) Act 2014</w:t>
            </w:r>
          </w:p>
        </w:tc>
        <w:tc>
          <w:tcPr>
            <w:tcW w:w="874" w:type="dxa"/>
            <w:hideMark/>
          </w:tcPr>
          <w:p w14:paraId="4BFDBC62" w14:textId="77777777" w:rsidR="006F28AC" w:rsidRPr="00262211" w:rsidRDefault="006F28AC">
            <w:pPr>
              <w:pStyle w:val="TableTextSmall"/>
              <w:cnfStyle w:val="000000100000" w:firstRow="0" w:lastRow="0" w:firstColumn="0" w:lastColumn="0" w:oddVBand="0" w:evenVBand="0" w:oddHBand="1" w:evenHBand="0" w:firstRowFirstColumn="0" w:firstRowLastColumn="0" w:lastRowFirstColumn="0" w:lastRowLastColumn="0"/>
              <w:rPr>
                <w:rFonts w:ascii="Arial" w:eastAsia="Times New Roman" w:hAnsi="Arial"/>
                <w:sz w:val="18"/>
              </w:rPr>
            </w:pPr>
            <w:r w:rsidRPr="00262211">
              <w:rPr>
                <w:rFonts w:ascii="Arial" w:hAnsi="Arial"/>
                <w:sz w:val="18"/>
              </w:rPr>
              <w:t>2016</w:t>
            </w:r>
          </w:p>
        </w:tc>
        <w:tc>
          <w:tcPr>
            <w:tcW w:w="4479" w:type="dxa"/>
            <w:gridSpan w:val="2"/>
            <w:hideMark/>
          </w:tcPr>
          <w:p w14:paraId="6030C63A" w14:textId="77777777" w:rsidR="006F28AC" w:rsidRPr="00262211" w:rsidRDefault="006F28AC">
            <w:pPr>
              <w:pStyle w:val="TableTextSmall"/>
              <w:cnfStyle w:val="000000100000" w:firstRow="0" w:lastRow="0" w:firstColumn="0" w:lastColumn="0" w:oddVBand="0" w:evenVBand="0" w:oddHBand="1" w:evenHBand="0" w:firstRowFirstColumn="0" w:firstRowLastColumn="0" w:lastRowFirstColumn="0" w:lastRowLastColumn="0"/>
              <w:rPr>
                <w:rFonts w:ascii="Arial" w:hAnsi="Arial"/>
                <w:sz w:val="18"/>
              </w:rPr>
            </w:pPr>
            <w:r w:rsidRPr="00262211">
              <w:rPr>
                <w:rFonts w:ascii="Arial" w:hAnsi="Arial"/>
                <w:sz w:val="18"/>
              </w:rPr>
              <w:t>The FTB B higher income earner test changed to $100,000 from 1 July 2015. Families with one parent earning over $100,000 are not eligible for FTB B.</w:t>
            </w:r>
          </w:p>
        </w:tc>
      </w:tr>
      <w:tr w:rsidR="006F28AC" w14:paraId="028D9AB1" w14:textId="77777777" w:rsidTr="00EB5BD4">
        <w:trPr>
          <w:gridAfter w:val="1"/>
          <w:wAfter w:w="26" w:type="dxa"/>
        </w:trPr>
        <w:tc>
          <w:tcPr>
            <w:cnfStyle w:val="001000000000" w:firstRow="0" w:lastRow="0" w:firstColumn="1" w:lastColumn="0" w:oddVBand="0" w:evenVBand="0" w:oddHBand="0" w:evenHBand="0" w:firstRowFirstColumn="0" w:firstRowLastColumn="0" w:lastRowFirstColumn="0" w:lastRowLastColumn="0"/>
            <w:tcW w:w="3268" w:type="dxa"/>
            <w:gridSpan w:val="2"/>
            <w:hideMark/>
          </w:tcPr>
          <w:p w14:paraId="6C3997CA" w14:textId="77777777" w:rsidR="006F28AC" w:rsidRPr="00D06FD5" w:rsidRDefault="006F28AC">
            <w:pPr>
              <w:pStyle w:val="TableTextSmalltopic"/>
              <w:rPr>
                <w:rFonts w:ascii="Arial" w:hAnsi="Arial"/>
                <w:b/>
                <w:sz w:val="18"/>
              </w:rPr>
            </w:pPr>
            <w:r w:rsidRPr="00D06FD5">
              <w:rPr>
                <w:rFonts w:ascii="Arial" w:hAnsi="Arial"/>
                <w:b/>
                <w:sz w:val="18"/>
              </w:rPr>
              <w:lastRenderedPageBreak/>
              <w:t>Family Tax Benefit Part A - higher income free area per-child add-on abolished</w:t>
            </w:r>
          </w:p>
          <w:p w14:paraId="788115A4" w14:textId="77777777" w:rsidR="006F28AC" w:rsidRPr="00D06FD5" w:rsidRDefault="006F28AC">
            <w:pPr>
              <w:pStyle w:val="TableTextSmalltopic"/>
              <w:rPr>
                <w:rFonts w:ascii="Arial" w:hAnsi="Arial"/>
                <w:b/>
                <w:sz w:val="18"/>
              </w:rPr>
            </w:pPr>
            <w:r w:rsidRPr="00D06FD5">
              <w:rPr>
                <w:rFonts w:ascii="Arial" w:hAnsi="Arial"/>
                <w:b/>
                <w:sz w:val="18"/>
              </w:rPr>
              <w:t>Social Services And Other Legislation Amendment (2014 Budget Measures No. 6) Act 2014</w:t>
            </w:r>
          </w:p>
        </w:tc>
        <w:tc>
          <w:tcPr>
            <w:tcW w:w="874" w:type="dxa"/>
            <w:hideMark/>
          </w:tcPr>
          <w:p w14:paraId="0B283F20" w14:textId="77777777" w:rsidR="006F28AC" w:rsidRPr="00262211" w:rsidRDefault="006F28AC">
            <w:pPr>
              <w:pStyle w:val="TableTextSmall"/>
              <w:cnfStyle w:val="000000000000" w:firstRow="0" w:lastRow="0" w:firstColumn="0" w:lastColumn="0" w:oddVBand="0" w:evenVBand="0" w:oddHBand="0" w:evenHBand="0" w:firstRowFirstColumn="0" w:firstRowLastColumn="0" w:lastRowFirstColumn="0" w:lastRowLastColumn="0"/>
              <w:rPr>
                <w:rFonts w:ascii="Arial" w:eastAsia="Times New Roman" w:hAnsi="Arial"/>
                <w:sz w:val="18"/>
              </w:rPr>
            </w:pPr>
            <w:r w:rsidRPr="00262211">
              <w:rPr>
                <w:rFonts w:ascii="Arial" w:hAnsi="Arial"/>
                <w:sz w:val="18"/>
              </w:rPr>
              <w:t>2016</w:t>
            </w:r>
          </w:p>
        </w:tc>
        <w:tc>
          <w:tcPr>
            <w:tcW w:w="4479" w:type="dxa"/>
            <w:gridSpan w:val="2"/>
            <w:hideMark/>
          </w:tcPr>
          <w:p w14:paraId="220A5C8F" w14:textId="31FC33E5" w:rsidR="006F28AC" w:rsidRPr="00262211" w:rsidRDefault="006F28AC">
            <w:pPr>
              <w:pStyle w:val="TableTextSmall"/>
              <w:cnfStyle w:val="000000000000" w:firstRow="0" w:lastRow="0" w:firstColumn="0" w:lastColumn="0" w:oddVBand="0" w:evenVBand="0" w:oddHBand="0" w:evenHBand="0" w:firstRowFirstColumn="0" w:firstRowLastColumn="0" w:lastRowFirstColumn="0" w:lastRowLastColumn="0"/>
              <w:rPr>
                <w:rFonts w:ascii="Arial" w:hAnsi="Arial"/>
                <w:sz w:val="18"/>
              </w:rPr>
            </w:pPr>
            <w:r w:rsidRPr="00262211">
              <w:rPr>
                <w:rFonts w:ascii="Arial" w:hAnsi="Arial"/>
                <w:sz w:val="18"/>
              </w:rPr>
              <w:t>Remove</w:t>
            </w:r>
            <w:r w:rsidR="00435BB2">
              <w:rPr>
                <w:rFonts w:ascii="Arial" w:hAnsi="Arial"/>
                <w:sz w:val="18"/>
              </w:rPr>
              <w:t>d</w:t>
            </w:r>
            <w:r w:rsidRPr="00262211">
              <w:rPr>
                <w:rFonts w:ascii="Arial" w:hAnsi="Arial"/>
                <w:sz w:val="18"/>
              </w:rPr>
              <w:t xml:space="preserve"> the FTB Part A per-child add-on to the higher income free area for each additional child after the first.</w:t>
            </w:r>
          </w:p>
        </w:tc>
      </w:tr>
      <w:tr w:rsidR="006F28AC" w14:paraId="487F2DDD" w14:textId="77777777" w:rsidTr="00EB5BD4">
        <w:trPr>
          <w:gridAfter w:val="1"/>
          <w:cnfStyle w:val="000000100000" w:firstRow="0" w:lastRow="0" w:firstColumn="0" w:lastColumn="0" w:oddVBand="0" w:evenVBand="0" w:oddHBand="1" w:evenHBand="0" w:firstRowFirstColumn="0" w:firstRowLastColumn="0" w:lastRowFirstColumn="0" w:lastRowLastColumn="0"/>
          <w:wAfter w:w="26" w:type="dxa"/>
        </w:trPr>
        <w:tc>
          <w:tcPr>
            <w:cnfStyle w:val="001000000000" w:firstRow="0" w:lastRow="0" w:firstColumn="1" w:lastColumn="0" w:oddVBand="0" w:evenVBand="0" w:oddHBand="0" w:evenHBand="0" w:firstRowFirstColumn="0" w:firstRowLastColumn="0" w:lastRowFirstColumn="0" w:lastRowLastColumn="0"/>
            <w:tcW w:w="3268" w:type="dxa"/>
            <w:gridSpan w:val="2"/>
            <w:hideMark/>
          </w:tcPr>
          <w:p w14:paraId="0D742962" w14:textId="75D1E19D" w:rsidR="006F28AC" w:rsidRPr="00BE7252" w:rsidRDefault="006F28AC">
            <w:pPr>
              <w:pStyle w:val="TableTextSmalltopic"/>
              <w:rPr>
                <w:rFonts w:ascii="Arial" w:hAnsi="Arial"/>
                <w:b/>
                <w:sz w:val="18"/>
              </w:rPr>
            </w:pPr>
            <w:r w:rsidRPr="00BE7252">
              <w:rPr>
                <w:rFonts w:ascii="Arial" w:hAnsi="Arial"/>
                <w:b/>
                <w:sz w:val="18"/>
              </w:rPr>
              <w:t>Changes to the treatment of defined benefit income streams (</w:t>
            </w:r>
            <w:r w:rsidR="001F0FCC" w:rsidRPr="00BE7252">
              <w:rPr>
                <w:rFonts w:ascii="Arial" w:hAnsi="Arial"/>
                <w:b/>
                <w:sz w:val="18"/>
              </w:rPr>
              <w:t>Age Pension</w:t>
            </w:r>
            <w:r w:rsidRPr="00BE7252">
              <w:rPr>
                <w:rFonts w:ascii="Arial" w:hAnsi="Arial"/>
                <w:b/>
                <w:sz w:val="18"/>
              </w:rPr>
              <w:t>)</w:t>
            </w:r>
          </w:p>
          <w:p w14:paraId="3C64471B" w14:textId="77777777" w:rsidR="006F28AC" w:rsidRPr="00BE7252" w:rsidRDefault="006F28AC">
            <w:pPr>
              <w:pStyle w:val="TableTextSmalltopic"/>
              <w:rPr>
                <w:rFonts w:ascii="Arial" w:hAnsi="Arial"/>
                <w:b/>
                <w:sz w:val="18"/>
              </w:rPr>
            </w:pPr>
            <w:r w:rsidRPr="00BE7252">
              <w:rPr>
                <w:rFonts w:ascii="Arial" w:hAnsi="Arial"/>
                <w:b/>
                <w:sz w:val="18"/>
              </w:rPr>
              <w:t>Social Services Legislation Amendment (Defined Benefit Income Streams) Act 2015</w:t>
            </w:r>
          </w:p>
        </w:tc>
        <w:tc>
          <w:tcPr>
            <w:tcW w:w="874" w:type="dxa"/>
            <w:hideMark/>
          </w:tcPr>
          <w:p w14:paraId="6E08B19F" w14:textId="77777777" w:rsidR="006F28AC" w:rsidRPr="00262211" w:rsidRDefault="006F28AC">
            <w:pPr>
              <w:pStyle w:val="TableTextSmall"/>
              <w:cnfStyle w:val="000000100000" w:firstRow="0" w:lastRow="0" w:firstColumn="0" w:lastColumn="0" w:oddVBand="0" w:evenVBand="0" w:oddHBand="1" w:evenHBand="0" w:firstRowFirstColumn="0" w:firstRowLastColumn="0" w:lastRowFirstColumn="0" w:lastRowLastColumn="0"/>
              <w:rPr>
                <w:rFonts w:ascii="Arial" w:eastAsia="Times New Roman" w:hAnsi="Arial"/>
                <w:sz w:val="18"/>
              </w:rPr>
            </w:pPr>
            <w:r w:rsidRPr="00262211">
              <w:rPr>
                <w:rFonts w:ascii="Arial" w:hAnsi="Arial"/>
                <w:sz w:val="18"/>
              </w:rPr>
              <w:t>2016</w:t>
            </w:r>
          </w:p>
        </w:tc>
        <w:tc>
          <w:tcPr>
            <w:tcW w:w="4479" w:type="dxa"/>
            <w:gridSpan w:val="2"/>
            <w:hideMark/>
          </w:tcPr>
          <w:p w14:paraId="5E93004B" w14:textId="1999089A" w:rsidR="006F28AC" w:rsidRPr="00262211" w:rsidRDefault="006F28AC">
            <w:pPr>
              <w:pStyle w:val="TableTextSmall"/>
              <w:cnfStyle w:val="000000100000" w:firstRow="0" w:lastRow="0" w:firstColumn="0" w:lastColumn="0" w:oddVBand="0" w:evenVBand="0" w:oddHBand="1" w:evenHBand="0" w:firstRowFirstColumn="0" w:firstRowLastColumn="0" w:lastRowFirstColumn="0" w:lastRowLastColumn="0"/>
              <w:rPr>
                <w:rFonts w:ascii="Arial" w:hAnsi="Arial"/>
                <w:sz w:val="18"/>
              </w:rPr>
            </w:pPr>
            <w:r w:rsidRPr="00262211">
              <w:rPr>
                <w:rFonts w:ascii="Arial" w:hAnsi="Arial"/>
                <w:sz w:val="18"/>
              </w:rPr>
              <w:t>This introduce</w:t>
            </w:r>
            <w:r w:rsidR="00435BB2">
              <w:rPr>
                <w:rFonts w:ascii="Arial" w:hAnsi="Arial"/>
                <w:sz w:val="18"/>
              </w:rPr>
              <w:t>d</w:t>
            </w:r>
            <w:r w:rsidRPr="00262211">
              <w:rPr>
                <w:rFonts w:ascii="Arial" w:hAnsi="Arial"/>
                <w:sz w:val="18"/>
              </w:rPr>
              <w:t xml:space="preserve"> a 10% cap on the amount of a superannuant’s defined benefit income that is excluded when applying the social security income test.</w:t>
            </w:r>
          </w:p>
        </w:tc>
      </w:tr>
      <w:tr w:rsidR="006F28AC" w14:paraId="37B756BA" w14:textId="77777777" w:rsidTr="00EB5BD4">
        <w:trPr>
          <w:gridAfter w:val="1"/>
          <w:wAfter w:w="26" w:type="dxa"/>
        </w:trPr>
        <w:tc>
          <w:tcPr>
            <w:cnfStyle w:val="001000000000" w:firstRow="0" w:lastRow="0" w:firstColumn="1" w:lastColumn="0" w:oddVBand="0" w:evenVBand="0" w:oddHBand="0" w:evenHBand="0" w:firstRowFirstColumn="0" w:firstRowLastColumn="0" w:lastRowFirstColumn="0" w:lastRowLastColumn="0"/>
            <w:tcW w:w="3268" w:type="dxa"/>
            <w:gridSpan w:val="2"/>
            <w:hideMark/>
          </w:tcPr>
          <w:p w14:paraId="520F5159" w14:textId="77777777" w:rsidR="006F28AC" w:rsidRPr="00BE7252" w:rsidRDefault="006F28AC">
            <w:pPr>
              <w:pStyle w:val="TableTextSmalltopic"/>
              <w:rPr>
                <w:rFonts w:ascii="Arial" w:hAnsi="Arial"/>
                <w:b/>
                <w:sz w:val="18"/>
              </w:rPr>
            </w:pPr>
            <w:r w:rsidRPr="00BE7252">
              <w:rPr>
                <w:rFonts w:ascii="Arial" w:hAnsi="Arial"/>
                <w:b/>
                <w:sz w:val="18"/>
              </w:rPr>
              <w:t>Student Start-up Loan</w:t>
            </w:r>
          </w:p>
          <w:p w14:paraId="30B0A9E9" w14:textId="77777777" w:rsidR="006F28AC" w:rsidRPr="00BE7252" w:rsidRDefault="006F28AC">
            <w:pPr>
              <w:pStyle w:val="TableTextSmalltopic"/>
              <w:rPr>
                <w:rFonts w:ascii="Arial" w:hAnsi="Arial"/>
                <w:b/>
                <w:sz w:val="18"/>
              </w:rPr>
            </w:pPr>
            <w:r w:rsidRPr="00BE7252">
              <w:rPr>
                <w:rFonts w:ascii="Arial" w:hAnsi="Arial"/>
                <w:b/>
                <w:sz w:val="18"/>
              </w:rPr>
              <w:t>(SSL) replaced the</w:t>
            </w:r>
          </w:p>
          <w:p w14:paraId="04731CAD" w14:textId="77777777" w:rsidR="006F28AC" w:rsidRPr="00BE7252" w:rsidRDefault="006F28AC">
            <w:pPr>
              <w:pStyle w:val="TableTextSmalltopic"/>
              <w:rPr>
                <w:rFonts w:ascii="Arial" w:hAnsi="Arial"/>
                <w:b/>
                <w:sz w:val="18"/>
              </w:rPr>
            </w:pPr>
            <w:r w:rsidRPr="00BE7252">
              <w:rPr>
                <w:rFonts w:ascii="Arial" w:hAnsi="Arial"/>
                <w:b/>
                <w:sz w:val="18"/>
              </w:rPr>
              <w:t>Student Start-up</w:t>
            </w:r>
          </w:p>
          <w:p w14:paraId="4F1FC1D5" w14:textId="77777777" w:rsidR="006F28AC" w:rsidRPr="00BE7252" w:rsidRDefault="006F28AC">
            <w:pPr>
              <w:pStyle w:val="TableTextSmalltopic"/>
              <w:rPr>
                <w:rFonts w:ascii="Arial" w:hAnsi="Arial"/>
                <w:b/>
                <w:sz w:val="18"/>
              </w:rPr>
            </w:pPr>
            <w:r w:rsidRPr="00BE7252">
              <w:rPr>
                <w:rFonts w:ascii="Arial" w:hAnsi="Arial"/>
                <w:b/>
                <w:sz w:val="18"/>
              </w:rPr>
              <w:t>Scholarship (SSS)</w:t>
            </w:r>
            <w:r w:rsidRPr="00BE7252">
              <w:rPr>
                <w:rFonts w:ascii="Arial" w:hAnsi="Arial"/>
                <w:b/>
                <w:sz w:val="18"/>
              </w:rPr>
              <w:br/>
              <w:t>Labor 2013-14 Budget</w:t>
            </w:r>
          </w:p>
          <w:p w14:paraId="105BEFEF" w14:textId="77777777" w:rsidR="006F28AC" w:rsidRPr="00BE7252" w:rsidRDefault="006F28AC">
            <w:pPr>
              <w:pStyle w:val="TableTextSmall"/>
              <w:rPr>
                <w:rFonts w:ascii="Arial" w:hAnsi="Arial"/>
                <w:sz w:val="18"/>
              </w:rPr>
            </w:pPr>
            <w:r w:rsidRPr="00BE7252">
              <w:rPr>
                <w:rFonts w:ascii="Arial" w:hAnsi="Arial"/>
                <w:sz w:val="18"/>
              </w:rPr>
              <w:t>Savings (Measures</w:t>
            </w:r>
          </w:p>
          <w:p w14:paraId="3210585A" w14:textId="77777777" w:rsidR="006F28AC" w:rsidRPr="00BE7252" w:rsidRDefault="006F28AC">
            <w:pPr>
              <w:pStyle w:val="TableTextSmall"/>
              <w:rPr>
                <w:rFonts w:ascii="Arial" w:eastAsia="Times New Roman" w:hAnsi="Arial"/>
                <w:sz w:val="18"/>
              </w:rPr>
            </w:pPr>
            <w:r w:rsidRPr="00BE7252">
              <w:rPr>
                <w:rFonts w:ascii="Arial" w:hAnsi="Arial"/>
                <w:sz w:val="18"/>
              </w:rPr>
              <w:t>No. 2) Act 2015</w:t>
            </w:r>
          </w:p>
        </w:tc>
        <w:tc>
          <w:tcPr>
            <w:tcW w:w="874" w:type="dxa"/>
            <w:hideMark/>
          </w:tcPr>
          <w:p w14:paraId="381A34D6" w14:textId="77777777" w:rsidR="006F28AC" w:rsidRPr="00262211" w:rsidRDefault="006F28AC">
            <w:pPr>
              <w:pStyle w:val="TableTextSmall"/>
              <w:cnfStyle w:val="000000000000" w:firstRow="0" w:lastRow="0" w:firstColumn="0" w:lastColumn="0" w:oddVBand="0" w:evenVBand="0" w:oddHBand="0" w:evenHBand="0" w:firstRowFirstColumn="0" w:firstRowLastColumn="0" w:lastRowFirstColumn="0" w:lastRowLastColumn="0"/>
              <w:rPr>
                <w:rFonts w:ascii="Arial" w:hAnsi="Arial"/>
                <w:sz w:val="18"/>
              </w:rPr>
            </w:pPr>
            <w:r w:rsidRPr="00262211">
              <w:rPr>
                <w:rFonts w:ascii="Arial" w:hAnsi="Arial"/>
                <w:sz w:val="18"/>
              </w:rPr>
              <w:t>2016</w:t>
            </w:r>
          </w:p>
        </w:tc>
        <w:tc>
          <w:tcPr>
            <w:tcW w:w="4479" w:type="dxa"/>
            <w:gridSpan w:val="2"/>
            <w:hideMark/>
          </w:tcPr>
          <w:p w14:paraId="6069BBCC" w14:textId="77777777" w:rsidR="006F28AC" w:rsidRPr="00262211" w:rsidRDefault="006F28AC">
            <w:pPr>
              <w:pStyle w:val="TableTextSmall"/>
              <w:cnfStyle w:val="000000000000" w:firstRow="0" w:lastRow="0" w:firstColumn="0" w:lastColumn="0" w:oddVBand="0" w:evenVBand="0" w:oddHBand="0" w:evenHBand="0" w:firstRowFirstColumn="0" w:firstRowLastColumn="0" w:lastRowFirstColumn="0" w:lastRowLastColumn="0"/>
              <w:rPr>
                <w:rFonts w:ascii="Arial" w:hAnsi="Arial"/>
                <w:sz w:val="18"/>
              </w:rPr>
            </w:pPr>
            <w:r w:rsidRPr="00262211">
              <w:rPr>
                <w:rFonts w:ascii="Arial" w:hAnsi="Arial"/>
                <w:sz w:val="18"/>
              </w:rPr>
              <w:t>For new recipients of Youth Allowance, Austudy and ABSTUDY who are in higher education full-time, the Student Start-up Loan (SSL) replaced the Student Start-Up Scholarship (SSS).</w:t>
            </w:r>
          </w:p>
          <w:p w14:paraId="53567AF1" w14:textId="0CF30F3B" w:rsidR="006F28AC" w:rsidRPr="00262211" w:rsidRDefault="006F28AC" w:rsidP="00435BB2">
            <w:pPr>
              <w:pStyle w:val="TableTextSmall"/>
              <w:cnfStyle w:val="000000000000" w:firstRow="0" w:lastRow="0" w:firstColumn="0" w:lastColumn="0" w:oddVBand="0" w:evenVBand="0" w:oddHBand="0" w:evenHBand="0" w:firstRowFirstColumn="0" w:firstRowLastColumn="0" w:lastRowFirstColumn="0" w:lastRowLastColumn="0"/>
              <w:rPr>
                <w:rFonts w:ascii="Arial" w:hAnsi="Arial"/>
                <w:sz w:val="18"/>
              </w:rPr>
            </w:pPr>
            <w:r w:rsidRPr="00262211">
              <w:rPr>
                <w:rFonts w:ascii="Arial" w:hAnsi="Arial"/>
                <w:sz w:val="18"/>
              </w:rPr>
              <w:t>SSL is a $1,025 voluntary income contingent loan that can be paid twice per year at the beginning of each semester. SSS will be grandfathered for pre</w:t>
            </w:r>
            <w:r w:rsidR="00435BB2">
              <w:rPr>
                <w:rFonts w:ascii="Arial" w:hAnsi="Arial"/>
                <w:sz w:val="18"/>
              </w:rPr>
              <w:t>-</w:t>
            </w:r>
            <w:r w:rsidRPr="00262211">
              <w:rPr>
                <w:rFonts w:ascii="Arial" w:hAnsi="Arial"/>
                <w:sz w:val="18"/>
              </w:rPr>
              <w:t>1</w:t>
            </w:r>
            <w:r w:rsidR="00986C32">
              <w:rPr>
                <w:rFonts w:ascii="Arial" w:hAnsi="Arial"/>
                <w:sz w:val="18"/>
              </w:rPr>
              <w:t> </w:t>
            </w:r>
            <w:r w:rsidRPr="00262211">
              <w:rPr>
                <w:rFonts w:ascii="Arial" w:hAnsi="Arial"/>
                <w:sz w:val="18"/>
              </w:rPr>
              <w:t>January</w:t>
            </w:r>
            <w:r w:rsidR="00986C32">
              <w:rPr>
                <w:rFonts w:ascii="Arial" w:hAnsi="Arial"/>
                <w:sz w:val="18"/>
              </w:rPr>
              <w:t> </w:t>
            </w:r>
            <w:r w:rsidRPr="00262211">
              <w:rPr>
                <w:rFonts w:ascii="Arial" w:hAnsi="Arial"/>
                <w:sz w:val="18"/>
              </w:rPr>
              <w:t>2016 recipients and they will continue to receive it until they leave the student payment.</w:t>
            </w:r>
          </w:p>
        </w:tc>
      </w:tr>
      <w:tr w:rsidR="006F28AC" w14:paraId="2902DBEE" w14:textId="77777777" w:rsidTr="00EB5BD4">
        <w:trPr>
          <w:gridAfter w:val="1"/>
          <w:cnfStyle w:val="000000100000" w:firstRow="0" w:lastRow="0" w:firstColumn="0" w:lastColumn="0" w:oddVBand="0" w:evenVBand="0" w:oddHBand="1" w:evenHBand="0" w:firstRowFirstColumn="0" w:firstRowLastColumn="0" w:lastRowFirstColumn="0" w:lastRowLastColumn="0"/>
          <w:wAfter w:w="26" w:type="dxa"/>
        </w:trPr>
        <w:tc>
          <w:tcPr>
            <w:cnfStyle w:val="001000000000" w:firstRow="0" w:lastRow="0" w:firstColumn="1" w:lastColumn="0" w:oddVBand="0" w:evenVBand="0" w:oddHBand="0" w:evenHBand="0" w:firstRowFirstColumn="0" w:firstRowLastColumn="0" w:lastRowFirstColumn="0" w:lastRowLastColumn="0"/>
            <w:tcW w:w="3268" w:type="dxa"/>
            <w:gridSpan w:val="2"/>
            <w:hideMark/>
          </w:tcPr>
          <w:p w14:paraId="0F86FBFC" w14:textId="77777777" w:rsidR="006F28AC" w:rsidRPr="00BE7252" w:rsidRDefault="006F28AC">
            <w:pPr>
              <w:pStyle w:val="TableTextSmalltopic"/>
              <w:rPr>
                <w:rFonts w:ascii="Arial" w:hAnsi="Arial"/>
                <w:b/>
                <w:sz w:val="18"/>
              </w:rPr>
            </w:pPr>
            <w:r w:rsidRPr="00BE7252">
              <w:rPr>
                <w:rFonts w:ascii="Arial" w:hAnsi="Arial"/>
                <w:b/>
                <w:sz w:val="18"/>
              </w:rPr>
              <w:t>Portability of Family Tax Benefit</w:t>
            </w:r>
          </w:p>
          <w:p w14:paraId="487DA0ED" w14:textId="77777777" w:rsidR="006F28AC" w:rsidRPr="00BE7252" w:rsidRDefault="006F28AC">
            <w:pPr>
              <w:pStyle w:val="TableTextSmalltopic"/>
              <w:rPr>
                <w:rFonts w:ascii="Arial" w:hAnsi="Arial"/>
                <w:b/>
                <w:sz w:val="18"/>
              </w:rPr>
            </w:pPr>
            <w:r w:rsidRPr="00BE7252">
              <w:rPr>
                <w:rFonts w:ascii="Arial" w:hAnsi="Arial"/>
                <w:b/>
                <w:sz w:val="18"/>
              </w:rPr>
              <w:t>Social Services Legislation Amendment (Family Measures) Act 2016</w:t>
            </w:r>
          </w:p>
        </w:tc>
        <w:tc>
          <w:tcPr>
            <w:tcW w:w="874" w:type="dxa"/>
            <w:hideMark/>
          </w:tcPr>
          <w:p w14:paraId="16938EA6" w14:textId="77777777" w:rsidR="006F28AC" w:rsidRPr="00262211" w:rsidRDefault="006F28AC">
            <w:pPr>
              <w:pStyle w:val="TableTextSmall"/>
              <w:cnfStyle w:val="000000100000" w:firstRow="0" w:lastRow="0" w:firstColumn="0" w:lastColumn="0" w:oddVBand="0" w:evenVBand="0" w:oddHBand="1" w:evenHBand="0" w:firstRowFirstColumn="0" w:firstRowLastColumn="0" w:lastRowFirstColumn="0" w:lastRowLastColumn="0"/>
              <w:rPr>
                <w:rFonts w:ascii="Arial" w:eastAsia="Times New Roman" w:hAnsi="Arial"/>
                <w:sz w:val="18"/>
              </w:rPr>
            </w:pPr>
            <w:r w:rsidRPr="00262211">
              <w:rPr>
                <w:rFonts w:ascii="Arial" w:hAnsi="Arial"/>
                <w:sz w:val="18"/>
              </w:rPr>
              <w:t>2016</w:t>
            </w:r>
          </w:p>
        </w:tc>
        <w:tc>
          <w:tcPr>
            <w:tcW w:w="4479" w:type="dxa"/>
            <w:gridSpan w:val="2"/>
            <w:hideMark/>
          </w:tcPr>
          <w:p w14:paraId="35D43505" w14:textId="61CD9A43" w:rsidR="006F28AC" w:rsidRPr="00262211" w:rsidRDefault="006F28AC">
            <w:pPr>
              <w:pStyle w:val="TableTextSmall"/>
              <w:cnfStyle w:val="000000100000" w:firstRow="0" w:lastRow="0" w:firstColumn="0" w:lastColumn="0" w:oddVBand="0" w:evenVBand="0" w:oddHBand="1" w:evenHBand="0" w:firstRowFirstColumn="0" w:firstRowLastColumn="0" w:lastRowFirstColumn="0" w:lastRowLastColumn="0"/>
              <w:rPr>
                <w:rFonts w:ascii="Arial" w:hAnsi="Arial"/>
                <w:sz w:val="18"/>
              </w:rPr>
            </w:pPr>
            <w:r w:rsidRPr="00262211">
              <w:rPr>
                <w:rFonts w:ascii="Arial" w:hAnsi="Arial"/>
                <w:sz w:val="18"/>
              </w:rPr>
              <w:t>Reduce</w:t>
            </w:r>
            <w:r w:rsidR="000E1030">
              <w:rPr>
                <w:rFonts w:ascii="Arial" w:hAnsi="Arial"/>
                <w:sz w:val="18"/>
              </w:rPr>
              <w:t>d</w:t>
            </w:r>
            <w:r w:rsidRPr="00262211">
              <w:rPr>
                <w:rFonts w:ascii="Arial" w:hAnsi="Arial"/>
                <w:sz w:val="18"/>
              </w:rPr>
              <w:t xml:space="preserve"> to six weeks the period during which FTB Part A, and additional payments that rely on FTB eligibility, will be paid to recipients who are outside Australia.</w:t>
            </w:r>
          </w:p>
        </w:tc>
      </w:tr>
      <w:tr w:rsidR="006F28AC" w14:paraId="5F1B07BA" w14:textId="77777777" w:rsidTr="00EB5BD4">
        <w:trPr>
          <w:gridAfter w:val="1"/>
          <w:wAfter w:w="26" w:type="dxa"/>
        </w:trPr>
        <w:tc>
          <w:tcPr>
            <w:cnfStyle w:val="001000000000" w:firstRow="0" w:lastRow="0" w:firstColumn="1" w:lastColumn="0" w:oddVBand="0" w:evenVBand="0" w:oddHBand="0" w:evenHBand="0" w:firstRowFirstColumn="0" w:firstRowLastColumn="0" w:lastRowFirstColumn="0" w:lastRowLastColumn="0"/>
            <w:tcW w:w="3268" w:type="dxa"/>
            <w:gridSpan w:val="2"/>
            <w:hideMark/>
          </w:tcPr>
          <w:p w14:paraId="6DBC0E81" w14:textId="77777777" w:rsidR="006F28AC" w:rsidRPr="00BE7252" w:rsidRDefault="006F28AC">
            <w:pPr>
              <w:pStyle w:val="TableTextSmalltopic"/>
              <w:rPr>
                <w:rFonts w:ascii="Arial" w:hAnsi="Arial"/>
                <w:b/>
                <w:sz w:val="18"/>
              </w:rPr>
            </w:pPr>
            <w:r w:rsidRPr="00BE7252">
              <w:rPr>
                <w:rFonts w:ascii="Arial" w:hAnsi="Arial"/>
                <w:b/>
                <w:sz w:val="18"/>
              </w:rPr>
              <w:t>No Jab, No Pay</w:t>
            </w:r>
          </w:p>
          <w:p w14:paraId="62854AEB" w14:textId="77777777" w:rsidR="006F28AC" w:rsidRPr="00BE7252" w:rsidRDefault="006F28AC">
            <w:pPr>
              <w:pStyle w:val="TableTextSmalltopic"/>
              <w:rPr>
                <w:rFonts w:ascii="Arial" w:hAnsi="Arial"/>
                <w:b/>
                <w:sz w:val="18"/>
              </w:rPr>
            </w:pPr>
            <w:r w:rsidRPr="00BE7252">
              <w:rPr>
                <w:rFonts w:ascii="Arial" w:hAnsi="Arial"/>
                <w:b/>
                <w:sz w:val="18"/>
              </w:rPr>
              <w:t>Social Services Legislation Amendment (No Jab, No Pay) Act 2015</w:t>
            </w:r>
          </w:p>
        </w:tc>
        <w:tc>
          <w:tcPr>
            <w:tcW w:w="874" w:type="dxa"/>
            <w:hideMark/>
          </w:tcPr>
          <w:p w14:paraId="2E98147B" w14:textId="77777777" w:rsidR="006F28AC" w:rsidRPr="00262211" w:rsidRDefault="006F28AC">
            <w:pPr>
              <w:pStyle w:val="TableTextSmall"/>
              <w:cnfStyle w:val="000000000000" w:firstRow="0" w:lastRow="0" w:firstColumn="0" w:lastColumn="0" w:oddVBand="0" w:evenVBand="0" w:oddHBand="0" w:evenHBand="0" w:firstRowFirstColumn="0" w:firstRowLastColumn="0" w:lastRowFirstColumn="0" w:lastRowLastColumn="0"/>
              <w:rPr>
                <w:rFonts w:ascii="Arial" w:eastAsia="Times New Roman" w:hAnsi="Arial"/>
                <w:sz w:val="18"/>
              </w:rPr>
            </w:pPr>
            <w:r w:rsidRPr="00262211">
              <w:rPr>
                <w:rFonts w:ascii="Arial" w:hAnsi="Arial"/>
                <w:sz w:val="18"/>
              </w:rPr>
              <w:t>2016</w:t>
            </w:r>
          </w:p>
        </w:tc>
        <w:tc>
          <w:tcPr>
            <w:tcW w:w="4479" w:type="dxa"/>
            <w:gridSpan w:val="2"/>
            <w:hideMark/>
          </w:tcPr>
          <w:p w14:paraId="1B5676DF" w14:textId="77777777" w:rsidR="006F28AC" w:rsidRPr="00262211" w:rsidRDefault="006F28AC">
            <w:pPr>
              <w:pStyle w:val="TableTextSmall"/>
              <w:cnfStyle w:val="000000000000" w:firstRow="0" w:lastRow="0" w:firstColumn="0" w:lastColumn="0" w:oddVBand="0" w:evenVBand="0" w:oddHBand="0" w:evenHBand="0" w:firstRowFirstColumn="0" w:firstRowLastColumn="0" w:lastRowFirstColumn="0" w:lastRowLastColumn="0"/>
              <w:rPr>
                <w:rFonts w:ascii="Arial" w:hAnsi="Arial"/>
                <w:sz w:val="18"/>
              </w:rPr>
            </w:pPr>
            <w:r w:rsidRPr="00262211">
              <w:rPr>
                <w:rFonts w:ascii="Arial" w:hAnsi="Arial"/>
                <w:sz w:val="18"/>
              </w:rPr>
              <w:t>Immunisation requirements apply to children aged from 12 months up to 20 years for the FTB Part A Supplement, and for children aged under 20 years for Child Care Benefit and Child Care Rebate.</w:t>
            </w:r>
          </w:p>
        </w:tc>
      </w:tr>
      <w:tr w:rsidR="006F28AC" w14:paraId="00A4B4B3" w14:textId="77777777" w:rsidTr="00EB5BD4">
        <w:trPr>
          <w:gridAfter w:val="1"/>
          <w:cnfStyle w:val="000000100000" w:firstRow="0" w:lastRow="0" w:firstColumn="0" w:lastColumn="0" w:oddVBand="0" w:evenVBand="0" w:oddHBand="1" w:evenHBand="0" w:firstRowFirstColumn="0" w:firstRowLastColumn="0" w:lastRowFirstColumn="0" w:lastRowLastColumn="0"/>
          <w:wAfter w:w="26" w:type="dxa"/>
        </w:trPr>
        <w:tc>
          <w:tcPr>
            <w:cnfStyle w:val="001000000000" w:firstRow="0" w:lastRow="0" w:firstColumn="1" w:lastColumn="0" w:oddVBand="0" w:evenVBand="0" w:oddHBand="0" w:evenHBand="0" w:firstRowFirstColumn="0" w:firstRowLastColumn="0" w:lastRowFirstColumn="0" w:lastRowLastColumn="0"/>
            <w:tcW w:w="3268" w:type="dxa"/>
            <w:gridSpan w:val="2"/>
            <w:hideMark/>
          </w:tcPr>
          <w:p w14:paraId="2B0445AF" w14:textId="77777777" w:rsidR="006F28AC" w:rsidRPr="00BE7252" w:rsidRDefault="006F28AC">
            <w:pPr>
              <w:pStyle w:val="TableTextSmalltopic"/>
              <w:rPr>
                <w:rFonts w:ascii="Arial" w:hAnsi="Arial"/>
                <w:b/>
                <w:sz w:val="18"/>
              </w:rPr>
            </w:pPr>
            <w:r w:rsidRPr="00BE7252">
              <w:rPr>
                <w:rFonts w:ascii="Arial" w:hAnsi="Arial"/>
                <w:b/>
                <w:sz w:val="18"/>
              </w:rPr>
              <w:t>Cessation of the Large Family Supplement</w:t>
            </w:r>
          </w:p>
          <w:p w14:paraId="5DF21F9E" w14:textId="77777777" w:rsidR="006F28AC" w:rsidRPr="00BE7252" w:rsidRDefault="006F28AC">
            <w:pPr>
              <w:pStyle w:val="TableTextSmalltopic"/>
              <w:rPr>
                <w:rFonts w:ascii="Arial" w:hAnsi="Arial"/>
                <w:b/>
                <w:sz w:val="18"/>
              </w:rPr>
            </w:pPr>
            <w:r w:rsidRPr="00BE7252">
              <w:rPr>
                <w:rFonts w:ascii="Arial" w:hAnsi="Arial"/>
                <w:b/>
                <w:sz w:val="18"/>
              </w:rPr>
              <w:t>Social Services Legislation Amendment (Family Measures) Act 2016</w:t>
            </w:r>
          </w:p>
        </w:tc>
        <w:tc>
          <w:tcPr>
            <w:tcW w:w="874" w:type="dxa"/>
            <w:hideMark/>
          </w:tcPr>
          <w:p w14:paraId="2CB3D075" w14:textId="77777777" w:rsidR="006F28AC" w:rsidRPr="00262211" w:rsidRDefault="006F28AC">
            <w:pPr>
              <w:pStyle w:val="TableTextSmall"/>
              <w:cnfStyle w:val="000000100000" w:firstRow="0" w:lastRow="0" w:firstColumn="0" w:lastColumn="0" w:oddVBand="0" w:evenVBand="0" w:oddHBand="1" w:evenHBand="0" w:firstRowFirstColumn="0" w:firstRowLastColumn="0" w:lastRowFirstColumn="0" w:lastRowLastColumn="0"/>
              <w:rPr>
                <w:rFonts w:ascii="Arial" w:eastAsia="Times New Roman" w:hAnsi="Arial"/>
                <w:sz w:val="18"/>
              </w:rPr>
            </w:pPr>
            <w:r w:rsidRPr="00262211">
              <w:rPr>
                <w:rFonts w:ascii="Arial" w:hAnsi="Arial"/>
                <w:sz w:val="18"/>
              </w:rPr>
              <w:t>2016</w:t>
            </w:r>
          </w:p>
        </w:tc>
        <w:tc>
          <w:tcPr>
            <w:tcW w:w="4479" w:type="dxa"/>
            <w:gridSpan w:val="2"/>
            <w:hideMark/>
          </w:tcPr>
          <w:p w14:paraId="0950ED1A" w14:textId="398D77C5" w:rsidR="006F28AC" w:rsidRPr="00262211" w:rsidRDefault="006F28AC" w:rsidP="00435BB2">
            <w:pPr>
              <w:pStyle w:val="TableTextSmall"/>
              <w:cnfStyle w:val="000000100000" w:firstRow="0" w:lastRow="0" w:firstColumn="0" w:lastColumn="0" w:oddVBand="0" w:evenVBand="0" w:oddHBand="1" w:evenHBand="0" w:firstRowFirstColumn="0" w:firstRowLastColumn="0" w:lastRowFirstColumn="0" w:lastRowLastColumn="0"/>
              <w:rPr>
                <w:rFonts w:ascii="Arial" w:hAnsi="Arial"/>
                <w:sz w:val="18"/>
              </w:rPr>
            </w:pPr>
            <w:r w:rsidRPr="00262211">
              <w:rPr>
                <w:rFonts w:ascii="Arial" w:hAnsi="Arial"/>
                <w:sz w:val="18"/>
              </w:rPr>
              <w:t>Cease</w:t>
            </w:r>
            <w:r w:rsidR="00435BB2">
              <w:rPr>
                <w:rFonts w:ascii="Arial" w:hAnsi="Arial"/>
                <w:sz w:val="18"/>
              </w:rPr>
              <w:t>d</w:t>
            </w:r>
            <w:r w:rsidRPr="00262211">
              <w:rPr>
                <w:rFonts w:ascii="Arial" w:hAnsi="Arial"/>
                <w:sz w:val="18"/>
              </w:rPr>
              <w:t xml:space="preserve"> the Large Family Supplement, which </w:t>
            </w:r>
            <w:r w:rsidR="00435BB2">
              <w:rPr>
                <w:rFonts w:ascii="Arial" w:hAnsi="Arial"/>
                <w:sz w:val="18"/>
              </w:rPr>
              <w:t>was</w:t>
            </w:r>
            <w:r w:rsidRPr="00262211">
              <w:rPr>
                <w:rFonts w:ascii="Arial" w:hAnsi="Arial"/>
                <w:sz w:val="18"/>
              </w:rPr>
              <w:t xml:space="preserve"> a component of FTB Part A paid for the fourth and each subsequent FTB child in the family.</w:t>
            </w:r>
          </w:p>
        </w:tc>
      </w:tr>
      <w:tr w:rsidR="006F28AC" w14:paraId="21C2F14D" w14:textId="77777777" w:rsidTr="00EB5BD4">
        <w:trPr>
          <w:gridAfter w:val="1"/>
          <w:wAfter w:w="26" w:type="dxa"/>
        </w:trPr>
        <w:tc>
          <w:tcPr>
            <w:cnfStyle w:val="001000000000" w:firstRow="0" w:lastRow="0" w:firstColumn="1" w:lastColumn="0" w:oddVBand="0" w:evenVBand="0" w:oddHBand="0" w:evenHBand="0" w:firstRowFirstColumn="0" w:firstRowLastColumn="0" w:lastRowFirstColumn="0" w:lastRowLastColumn="0"/>
            <w:tcW w:w="3268" w:type="dxa"/>
            <w:gridSpan w:val="2"/>
            <w:hideMark/>
          </w:tcPr>
          <w:p w14:paraId="49B4D79F" w14:textId="77777777" w:rsidR="006F28AC" w:rsidRPr="00BE7252" w:rsidRDefault="006F28AC">
            <w:pPr>
              <w:pStyle w:val="TableTextSmalltopic"/>
              <w:rPr>
                <w:rFonts w:ascii="Arial" w:hAnsi="Arial"/>
                <w:b/>
                <w:sz w:val="18"/>
              </w:rPr>
            </w:pPr>
            <w:r w:rsidRPr="00BE7252">
              <w:rPr>
                <w:rFonts w:ascii="Arial" w:hAnsi="Arial"/>
                <w:b/>
                <w:sz w:val="18"/>
              </w:rPr>
              <w:t>Remove Family Tax Benefit Part B to couple families with a youngest child aged 13 and over</w:t>
            </w:r>
          </w:p>
          <w:p w14:paraId="39C0C921" w14:textId="77777777" w:rsidR="006F28AC" w:rsidRPr="00BE7252" w:rsidRDefault="006F28AC">
            <w:pPr>
              <w:pStyle w:val="TableTextSmalltopic"/>
              <w:rPr>
                <w:rFonts w:ascii="Arial" w:hAnsi="Arial"/>
                <w:b/>
                <w:sz w:val="18"/>
              </w:rPr>
            </w:pPr>
            <w:r w:rsidRPr="00BE7252">
              <w:rPr>
                <w:rFonts w:ascii="Arial" w:hAnsi="Arial"/>
                <w:b/>
                <w:sz w:val="18"/>
              </w:rPr>
              <w:t>Social Services Legislation Amendment (Family Payments Structural Reform and Participation Measures) Act 2015</w:t>
            </w:r>
          </w:p>
        </w:tc>
        <w:tc>
          <w:tcPr>
            <w:tcW w:w="874" w:type="dxa"/>
            <w:hideMark/>
          </w:tcPr>
          <w:p w14:paraId="33F0B82D" w14:textId="77777777" w:rsidR="006F28AC" w:rsidRPr="00262211" w:rsidRDefault="006F28AC">
            <w:pPr>
              <w:pStyle w:val="TableTextSmall"/>
              <w:cnfStyle w:val="000000000000" w:firstRow="0" w:lastRow="0" w:firstColumn="0" w:lastColumn="0" w:oddVBand="0" w:evenVBand="0" w:oddHBand="0" w:evenHBand="0" w:firstRowFirstColumn="0" w:firstRowLastColumn="0" w:lastRowFirstColumn="0" w:lastRowLastColumn="0"/>
              <w:rPr>
                <w:rFonts w:ascii="Arial" w:eastAsia="Times New Roman" w:hAnsi="Arial"/>
                <w:sz w:val="18"/>
              </w:rPr>
            </w:pPr>
            <w:r w:rsidRPr="00262211">
              <w:rPr>
                <w:rFonts w:ascii="Arial" w:hAnsi="Arial"/>
                <w:sz w:val="18"/>
              </w:rPr>
              <w:t>2016</w:t>
            </w:r>
          </w:p>
        </w:tc>
        <w:tc>
          <w:tcPr>
            <w:tcW w:w="4479" w:type="dxa"/>
            <w:gridSpan w:val="2"/>
            <w:hideMark/>
          </w:tcPr>
          <w:p w14:paraId="34D6713D" w14:textId="03389DA2" w:rsidR="006F28AC" w:rsidRPr="00262211" w:rsidRDefault="006F28AC" w:rsidP="00435BB2">
            <w:pPr>
              <w:pStyle w:val="TableTextSmall"/>
              <w:cnfStyle w:val="000000000000" w:firstRow="0" w:lastRow="0" w:firstColumn="0" w:lastColumn="0" w:oddVBand="0" w:evenVBand="0" w:oddHBand="0" w:evenHBand="0" w:firstRowFirstColumn="0" w:firstRowLastColumn="0" w:lastRowFirstColumn="0" w:lastRowLastColumn="0"/>
              <w:rPr>
                <w:rFonts w:ascii="Arial" w:hAnsi="Arial"/>
                <w:sz w:val="18"/>
              </w:rPr>
            </w:pPr>
            <w:r w:rsidRPr="00262211">
              <w:rPr>
                <w:rFonts w:ascii="Arial" w:hAnsi="Arial"/>
                <w:sz w:val="18"/>
              </w:rPr>
              <w:t xml:space="preserve">Couple families with a youngest child 13 or over (excluding grandparents and great-grandparents) </w:t>
            </w:r>
            <w:r w:rsidR="00435BB2">
              <w:rPr>
                <w:rFonts w:ascii="Arial" w:hAnsi="Arial"/>
                <w:sz w:val="18"/>
              </w:rPr>
              <w:t>no longer eligible for</w:t>
            </w:r>
            <w:r w:rsidR="00435BB2" w:rsidRPr="00262211">
              <w:rPr>
                <w:rFonts w:ascii="Arial" w:hAnsi="Arial"/>
                <w:sz w:val="18"/>
              </w:rPr>
              <w:t xml:space="preserve"> </w:t>
            </w:r>
            <w:r w:rsidRPr="00262211">
              <w:rPr>
                <w:rFonts w:ascii="Arial" w:hAnsi="Arial"/>
                <w:sz w:val="18"/>
              </w:rPr>
              <w:t>FTB Part B. Single parents, grandparents and great-grandparents with a youngest child between 13 and 18 will continue to receive FTB Part B.</w:t>
            </w:r>
          </w:p>
        </w:tc>
      </w:tr>
      <w:tr w:rsidR="006F28AC" w14:paraId="53FD7F18" w14:textId="77777777" w:rsidTr="00EB5BD4">
        <w:trPr>
          <w:gridAfter w:val="1"/>
          <w:cnfStyle w:val="000000100000" w:firstRow="0" w:lastRow="0" w:firstColumn="0" w:lastColumn="0" w:oddVBand="0" w:evenVBand="0" w:oddHBand="1" w:evenHBand="0" w:firstRowFirstColumn="0" w:firstRowLastColumn="0" w:lastRowFirstColumn="0" w:lastRowLastColumn="0"/>
          <w:wAfter w:w="26" w:type="dxa"/>
        </w:trPr>
        <w:tc>
          <w:tcPr>
            <w:cnfStyle w:val="001000000000" w:firstRow="0" w:lastRow="0" w:firstColumn="1" w:lastColumn="0" w:oddVBand="0" w:evenVBand="0" w:oddHBand="0" w:evenHBand="0" w:firstRowFirstColumn="0" w:firstRowLastColumn="0" w:lastRowFirstColumn="0" w:lastRowLastColumn="0"/>
            <w:tcW w:w="3268" w:type="dxa"/>
            <w:gridSpan w:val="2"/>
            <w:hideMark/>
          </w:tcPr>
          <w:p w14:paraId="4EAFDD08" w14:textId="77777777" w:rsidR="006F28AC" w:rsidRPr="00BE7252" w:rsidRDefault="006F28AC">
            <w:pPr>
              <w:pStyle w:val="TableTextSmalltopic"/>
              <w:rPr>
                <w:rFonts w:ascii="Arial" w:hAnsi="Arial"/>
                <w:b/>
                <w:sz w:val="18"/>
              </w:rPr>
            </w:pPr>
            <w:r w:rsidRPr="00BE7252">
              <w:rPr>
                <w:rFonts w:ascii="Arial" w:hAnsi="Arial"/>
                <w:b/>
                <w:sz w:val="18"/>
              </w:rPr>
              <w:t>Changes to Family Assistance Law affecting Child Care Benefit (CCB) approved Family Day Care (FDC) services. Aimed at ending ‘child swapping’</w:t>
            </w:r>
          </w:p>
          <w:p w14:paraId="4BBF4F60" w14:textId="77777777" w:rsidR="006F28AC" w:rsidRPr="00BE7252" w:rsidRDefault="006F28AC">
            <w:pPr>
              <w:pStyle w:val="TableTextSmalltopic"/>
              <w:rPr>
                <w:rFonts w:ascii="Arial" w:hAnsi="Arial"/>
                <w:b/>
                <w:sz w:val="18"/>
              </w:rPr>
            </w:pPr>
            <w:r w:rsidRPr="00BE7252">
              <w:rPr>
                <w:rFonts w:ascii="Arial" w:hAnsi="Arial"/>
                <w:b/>
                <w:sz w:val="18"/>
              </w:rPr>
              <w:t>Child Care Benefit (Children in respect of whom no-one is eligible) Determination 2015</w:t>
            </w:r>
          </w:p>
        </w:tc>
        <w:tc>
          <w:tcPr>
            <w:tcW w:w="874" w:type="dxa"/>
            <w:hideMark/>
          </w:tcPr>
          <w:p w14:paraId="0554FD0E" w14:textId="77777777" w:rsidR="006F28AC" w:rsidRPr="00262211" w:rsidRDefault="006F28AC">
            <w:pPr>
              <w:pStyle w:val="TableTextSmall"/>
              <w:cnfStyle w:val="000000100000" w:firstRow="0" w:lastRow="0" w:firstColumn="0" w:lastColumn="0" w:oddVBand="0" w:evenVBand="0" w:oddHBand="1" w:evenHBand="0" w:firstRowFirstColumn="0" w:firstRowLastColumn="0" w:lastRowFirstColumn="0" w:lastRowLastColumn="0"/>
              <w:rPr>
                <w:rFonts w:ascii="Arial" w:eastAsia="Times New Roman" w:hAnsi="Arial"/>
                <w:sz w:val="18"/>
              </w:rPr>
            </w:pPr>
            <w:r w:rsidRPr="00262211">
              <w:rPr>
                <w:rFonts w:ascii="Arial" w:hAnsi="Arial"/>
                <w:sz w:val="18"/>
              </w:rPr>
              <w:t>2016</w:t>
            </w:r>
          </w:p>
        </w:tc>
        <w:tc>
          <w:tcPr>
            <w:tcW w:w="4479" w:type="dxa"/>
            <w:gridSpan w:val="2"/>
            <w:hideMark/>
          </w:tcPr>
          <w:p w14:paraId="287CBA22" w14:textId="77777777" w:rsidR="006F28AC" w:rsidRPr="00262211" w:rsidRDefault="006F28AC">
            <w:pPr>
              <w:pStyle w:val="TableTextSmall"/>
              <w:cnfStyle w:val="000000100000" w:firstRow="0" w:lastRow="0" w:firstColumn="0" w:lastColumn="0" w:oddVBand="0" w:evenVBand="0" w:oddHBand="1" w:evenHBand="0" w:firstRowFirstColumn="0" w:firstRowLastColumn="0" w:lastRowFirstColumn="0" w:lastRowLastColumn="0"/>
              <w:rPr>
                <w:rFonts w:ascii="Arial" w:hAnsi="Arial"/>
                <w:sz w:val="18"/>
              </w:rPr>
            </w:pPr>
            <w:r w:rsidRPr="00262211">
              <w:rPr>
                <w:rFonts w:ascii="Arial" w:hAnsi="Arial"/>
                <w:sz w:val="18"/>
              </w:rPr>
              <w:t>FDC educators and their partners are no longer entitled to receive child care fee assistance for their own child’s session of FDC if, on that same day, the FDC educator provides FDC for an approved FDC service, unless specified circumstances apply.</w:t>
            </w:r>
          </w:p>
        </w:tc>
      </w:tr>
      <w:tr w:rsidR="006F28AC" w14:paraId="5B478CBB" w14:textId="77777777" w:rsidTr="00EB5BD4">
        <w:trPr>
          <w:gridAfter w:val="1"/>
          <w:wAfter w:w="26" w:type="dxa"/>
        </w:trPr>
        <w:tc>
          <w:tcPr>
            <w:cnfStyle w:val="001000000000" w:firstRow="0" w:lastRow="0" w:firstColumn="1" w:lastColumn="0" w:oddVBand="0" w:evenVBand="0" w:oddHBand="0" w:evenHBand="0" w:firstRowFirstColumn="0" w:firstRowLastColumn="0" w:lastRowFirstColumn="0" w:lastRowLastColumn="0"/>
            <w:tcW w:w="3268" w:type="dxa"/>
            <w:gridSpan w:val="2"/>
            <w:hideMark/>
          </w:tcPr>
          <w:p w14:paraId="3F01A644" w14:textId="4C9EDC41" w:rsidR="006F28AC" w:rsidRPr="00BE7252" w:rsidRDefault="006F28AC">
            <w:pPr>
              <w:pStyle w:val="TableTextSmalltopic"/>
              <w:rPr>
                <w:rFonts w:ascii="Arial" w:hAnsi="Arial"/>
                <w:b/>
                <w:sz w:val="18"/>
              </w:rPr>
            </w:pPr>
            <w:r w:rsidRPr="00BE7252">
              <w:rPr>
                <w:rFonts w:ascii="Arial" w:hAnsi="Arial"/>
                <w:b/>
                <w:sz w:val="18"/>
              </w:rPr>
              <w:lastRenderedPageBreak/>
              <w:t xml:space="preserve">Changes to the parental means test (Impacting on Studying </w:t>
            </w:r>
            <w:r w:rsidR="00895D81" w:rsidRPr="00BE7252">
              <w:rPr>
                <w:rFonts w:ascii="Arial" w:hAnsi="Arial"/>
                <w:b/>
                <w:sz w:val="18"/>
              </w:rPr>
              <w:t>class</w:t>
            </w:r>
            <w:r w:rsidRPr="00BE7252">
              <w:rPr>
                <w:rFonts w:ascii="Arial" w:hAnsi="Arial"/>
                <w:b/>
                <w:sz w:val="18"/>
              </w:rPr>
              <w:t xml:space="preserve">, a small section of Working Age </w:t>
            </w:r>
            <w:r w:rsidR="00895D81" w:rsidRPr="00BE7252">
              <w:rPr>
                <w:rFonts w:ascii="Arial" w:hAnsi="Arial"/>
                <w:b/>
                <w:sz w:val="18"/>
              </w:rPr>
              <w:t>class</w:t>
            </w:r>
            <w:r w:rsidRPr="00BE7252">
              <w:rPr>
                <w:rFonts w:ascii="Arial" w:hAnsi="Arial"/>
                <w:b/>
                <w:sz w:val="18"/>
              </w:rPr>
              <w:t xml:space="preserve"> and the non IS family </w:t>
            </w:r>
            <w:r w:rsidR="00895D81" w:rsidRPr="00BE7252">
              <w:rPr>
                <w:rFonts w:ascii="Arial" w:hAnsi="Arial"/>
                <w:b/>
                <w:sz w:val="18"/>
              </w:rPr>
              <w:t>class</w:t>
            </w:r>
            <w:r w:rsidRPr="00BE7252">
              <w:rPr>
                <w:rFonts w:ascii="Arial" w:hAnsi="Arial"/>
                <w:b/>
                <w:sz w:val="18"/>
              </w:rPr>
              <w:t>)</w:t>
            </w:r>
          </w:p>
          <w:p w14:paraId="3D5463C8" w14:textId="77777777" w:rsidR="006F28AC" w:rsidRPr="00BE7252" w:rsidRDefault="006F28AC">
            <w:pPr>
              <w:pStyle w:val="TableTextSmalltopic"/>
              <w:rPr>
                <w:rFonts w:ascii="Arial" w:hAnsi="Arial"/>
                <w:b/>
                <w:sz w:val="18"/>
              </w:rPr>
            </w:pPr>
            <w:r w:rsidRPr="00BE7252">
              <w:rPr>
                <w:rFonts w:ascii="Arial" w:hAnsi="Arial"/>
                <w:b/>
                <w:sz w:val="18"/>
              </w:rPr>
              <w:t>Social Services Legislation Amendment (More Generous Means Testing For Youth Payments) Act 2015</w:t>
            </w:r>
          </w:p>
        </w:tc>
        <w:tc>
          <w:tcPr>
            <w:tcW w:w="874" w:type="dxa"/>
            <w:hideMark/>
          </w:tcPr>
          <w:p w14:paraId="6984CAC4" w14:textId="77777777" w:rsidR="006F28AC" w:rsidRPr="00262211" w:rsidRDefault="006F28AC">
            <w:pPr>
              <w:pStyle w:val="TableTextSmall"/>
              <w:cnfStyle w:val="000000000000" w:firstRow="0" w:lastRow="0" w:firstColumn="0" w:lastColumn="0" w:oddVBand="0" w:evenVBand="0" w:oddHBand="0" w:evenHBand="0" w:firstRowFirstColumn="0" w:firstRowLastColumn="0" w:lastRowFirstColumn="0" w:lastRowLastColumn="0"/>
              <w:rPr>
                <w:rFonts w:ascii="Arial" w:eastAsia="Times New Roman" w:hAnsi="Arial"/>
                <w:sz w:val="18"/>
              </w:rPr>
            </w:pPr>
            <w:r w:rsidRPr="00262211">
              <w:rPr>
                <w:rFonts w:ascii="Arial" w:hAnsi="Arial"/>
                <w:sz w:val="18"/>
              </w:rPr>
              <w:t>2016</w:t>
            </w:r>
          </w:p>
        </w:tc>
        <w:tc>
          <w:tcPr>
            <w:tcW w:w="4479" w:type="dxa"/>
            <w:gridSpan w:val="2"/>
            <w:hideMark/>
          </w:tcPr>
          <w:p w14:paraId="2663BC9D" w14:textId="77777777" w:rsidR="006F28AC" w:rsidRPr="00262211" w:rsidRDefault="006F28AC">
            <w:pPr>
              <w:pStyle w:val="TableTextSmall"/>
              <w:cnfStyle w:val="000000000000" w:firstRow="0" w:lastRow="0" w:firstColumn="0" w:lastColumn="0" w:oddVBand="0" w:evenVBand="0" w:oddHBand="0" w:evenHBand="0" w:firstRowFirstColumn="0" w:firstRowLastColumn="0" w:lastRowFirstColumn="0" w:lastRowLastColumn="0"/>
              <w:rPr>
                <w:rFonts w:ascii="Arial" w:hAnsi="Arial"/>
                <w:sz w:val="18"/>
              </w:rPr>
            </w:pPr>
            <w:r w:rsidRPr="00262211">
              <w:rPr>
                <w:rFonts w:ascii="Arial" w:hAnsi="Arial"/>
                <w:sz w:val="18"/>
              </w:rPr>
              <w:t>Family Actual Means Test (FAMT) and Family Assets Test (FAT) removed from Youth Allowance Parental Means Test arrangements.</w:t>
            </w:r>
          </w:p>
        </w:tc>
      </w:tr>
      <w:tr w:rsidR="006F28AC" w14:paraId="4F2951E6" w14:textId="77777777" w:rsidTr="00EB5BD4">
        <w:trPr>
          <w:gridAfter w:val="1"/>
          <w:cnfStyle w:val="000000100000" w:firstRow="0" w:lastRow="0" w:firstColumn="0" w:lastColumn="0" w:oddVBand="0" w:evenVBand="0" w:oddHBand="1" w:evenHBand="0" w:firstRowFirstColumn="0" w:firstRowLastColumn="0" w:lastRowFirstColumn="0" w:lastRowLastColumn="0"/>
          <w:wAfter w:w="26" w:type="dxa"/>
        </w:trPr>
        <w:tc>
          <w:tcPr>
            <w:cnfStyle w:val="001000000000" w:firstRow="0" w:lastRow="0" w:firstColumn="1" w:lastColumn="0" w:oddVBand="0" w:evenVBand="0" w:oddHBand="0" w:evenHBand="0" w:firstRowFirstColumn="0" w:firstRowLastColumn="0" w:lastRowFirstColumn="0" w:lastRowLastColumn="0"/>
            <w:tcW w:w="3268" w:type="dxa"/>
            <w:gridSpan w:val="2"/>
            <w:hideMark/>
          </w:tcPr>
          <w:p w14:paraId="62EEB687" w14:textId="77777777" w:rsidR="006F28AC" w:rsidRPr="00BE7252" w:rsidRDefault="006F28AC">
            <w:pPr>
              <w:pStyle w:val="TableTextSmalltopic"/>
              <w:rPr>
                <w:rFonts w:ascii="Arial" w:hAnsi="Arial"/>
                <w:b/>
                <w:sz w:val="18"/>
              </w:rPr>
            </w:pPr>
            <w:r w:rsidRPr="00BE7252">
              <w:rPr>
                <w:rFonts w:ascii="Arial" w:hAnsi="Arial"/>
                <w:b/>
                <w:sz w:val="18"/>
              </w:rPr>
              <w:t>Repeal of the income support bonus and the schoolkids bonus</w:t>
            </w:r>
          </w:p>
          <w:p w14:paraId="7ADD35A7" w14:textId="77777777" w:rsidR="006F28AC" w:rsidRPr="00BE7252" w:rsidRDefault="006F28AC">
            <w:pPr>
              <w:pStyle w:val="TableTextSmalltopic"/>
              <w:rPr>
                <w:rFonts w:ascii="Arial" w:hAnsi="Arial"/>
                <w:b/>
                <w:sz w:val="18"/>
              </w:rPr>
            </w:pPr>
            <w:r w:rsidRPr="00BE7252">
              <w:rPr>
                <w:rFonts w:ascii="Arial" w:hAnsi="Arial"/>
                <w:b/>
                <w:sz w:val="18"/>
              </w:rPr>
              <w:t>Minerals Resource Rent Tax Repeal and Other Measures Act 2014</w:t>
            </w:r>
          </w:p>
        </w:tc>
        <w:tc>
          <w:tcPr>
            <w:tcW w:w="874" w:type="dxa"/>
            <w:hideMark/>
          </w:tcPr>
          <w:p w14:paraId="136034FE" w14:textId="77777777" w:rsidR="006F28AC" w:rsidRPr="00262211" w:rsidRDefault="006F28AC">
            <w:pPr>
              <w:pStyle w:val="TableTextSmall"/>
              <w:cnfStyle w:val="000000100000" w:firstRow="0" w:lastRow="0" w:firstColumn="0" w:lastColumn="0" w:oddVBand="0" w:evenVBand="0" w:oddHBand="1" w:evenHBand="0" w:firstRowFirstColumn="0" w:firstRowLastColumn="0" w:lastRowFirstColumn="0" w:lastRowLastColumn="0"/>
              <w:rPr>
                <w:rFonts w:ascii="Arial" w:hAnsi="Arial"/>
                <w:sz w:val="18"/>
              </w:rPr>
            </w:pPr>
            <w:r w:rsidRPr="00262211">
              <w:rPr>
                <w:rFonts w:ascii="Arial" w:hAnsi="Arial"/>
                <w:sz w:val="18"/>
              </w:rPr>
              <w:t>2016</w:t>
            </w:r>
          </w:p>
        </w:tc>
        <w:tc>
          <w:tcPr>
            <w:tcW w:w="4479" w:type="dxa"/>
            <w:gridSpan w:val="2"/>
            <w:hideMark/>
          </w:tcPr>
          <w:p w14:paraId="6CDDA859" w14:textId="2E03F3E5" w:rsidR="006F28AC" w:rsidRPr="00262211" w:rsidRDefault="006F28AC">
            <w:pPr>
              <w:pStyle w:val="TableTextSmall"/>
              <w:cnfStyle w:val="000000100000" w:firstRow="0" w:lastRow="0" w:firstColumn="0" w:lastColumn="0" w:oddVBand="0" w:evenVBand="0" w:oddHBand="1" w:evenHBand="0" w:firstRowFirstColumn="0" w:firstRowLastColumn="0" w:lastRowFirstColumn="0" w:lastRowLastColumn="0"/>
              <w:rPr>
                <w:rFonts w:ascii="Arial" w:hAnsi="Arial"/>
                <w:sz w:val="18"/>
              </w:rPr>
            </w:pPr>
            <w:r w:rsidRPr="00262211">
              <w:rPr>
                <w:rFonts w:ascii="Arial" w:hAnsi="Arial"/>
                <w:sz w:val="18"/>
              </w:rPr>
              <w:t xml:space="preserve">The final instalment of the Schoolkids Bonus </w:t>
            </w:r>
            <w:r w:rsidR="00AB0B20">
              <w:rPr>
                <w:rFonts w:ascii="Arial" w:hAnsi="Arial"/>
                <w:sz w:val="18"/>
              </w:rPr>
              <w:t>was</w:t>
            </w:r>
            <w:r w:rsidRPr="00262211">
              <w:rPr>
                <w:rFonts w:ascii="Arial" w:hAnsi="Arial"/>
                <w:sz w:val="18"/>
              </w:rPr>
              <w:t xml:space="preserve"> paid in July 2016.</w:t>
            </w:r>
          </w:p>
          <w:p w14:paraId="0E904164" w14:textId="68B059D4" w:rsidR="006F28AC" w:rsidRPr="00262211" w:rsidRDefault="006F28AC" w:rsidP="00AB0B20">
            <w:pPr>
              <w:pStyle w:val="TableTextSmall"/>
              <w:cnfStyle w:val="000000100000" w:firstRow="0" w:lastRow="0" w:firstColumn="0" w:lastColumn="0" w:oddVBand="0" w:evenVBand="0" w:oddHBand="1" w:evenHBand="0" w:firstRowFirstColumn="0" w:firstRowLastColumn="0" w:lastRowFirstColumn="0" w:lastRowLastColumn="0"/>
              <w:rPr>
                <w:rFonts w:ascii="Arial" w:hAnsi="Arial"/>
                <w:sz w:val="18"/>
              </w:rPr>
            </w:pPr>
            <w:r w:rsidRPr="00262211">
              <w:rPr>
                <w:rFonts w:ascii="Arial" w:hAnsi="Arial"/>
                <w:sz w:val="18"/>
              </w:rPr>
              <w:t>The Income Support Bonus continue</w:t>
            </w:r>
            <w:r w:rsidR="00AB0B20">
              <w:rPr>
                <w:rFonts w:ascii="Arial" w:hAnsi="Arial"/>
                <w:sz w:val="18"/>
              </w:rPr>
              <w:t>d</w:t>
            </w:r>
            <w:r w:rsidRPr="00262211">
              <w:rPr>
                <w:rFonts w:ascii="Arial" w:hAnsi="Arial"/>
                <w:sz w:val="18"/>
              </w:rPr>
              <w:t xml:space="preserve"> until December 2016</w:t>
            </w:r>
            <w:r w:rsidR="00AB0B20">
              <w:rPr>
                <w:rFonts w:ascii="Arial" w:hAnsi="Arial"/>
                <w:sz w:val="18"/>
              </w:rPr>
              <w:t>,</w:t>
            </w:r>
            <w:r w:rsidRPr="00262211">
              <w:rPr>
                <w:rFonts w:ascii="Arial" w:hAnsi="Arial"/>
                <w:sz w:val="18"/>
              </w:rPr>
              <w:t xml:space="preserve"> with the last instalment paid in September 2016.</w:t>
            </w:r>
          </w:p>
        </w:tc>
      </w:tr>
      <w:tr w:rsidR="006F28AC" w14:paraId="6179834B" w14:textId="77777777" w:rsidTr="00EB5BD4">
        <w:trPr>
          <w:gridAfter w:val="1"/>
          <w:wAfter w:w="26" w:type="dxa"/>
        </w:trPr>
        <w:tc>
          <w:tcPr>
            <w:cnfStyle w:val="001000000000" w:firstRow="0" w:lastRow="0" w:firstColumn="1" w:lastColumn="0" w:oddVBand="0" w:evenVBand="0" w:oddHBand="0" w:evenHBand="0" w:firstRowFirstColumn="0" w:firstRowLastColumn="0" w:lastRowFirstColumn="0" w:lastRowLastColumn="0"/>
            <w:tcW w:w="3268" w:type="dxa"/>
            <w:gridSpan w:val="2"/>
            <w:hideMark/>
          </w:tcPr>
          <w:p w14:paraId="7F37C3B6" w14:textId="77777777" w:rsidR="006F28AC" w:rsidRPr="00BE7252" w:rsidRDefault="006F28AC">
            <w:pPr>
              <w:pStyle w:val="TableTextSmalltopic"/>
              <w:rPr>
                <w:rFonts w:ascii="Arial" w:hAnsi="Arial"/>
                <w:b/>
                <w:sz w:val="18"/>
              </w:rPr>
            </w:pPr>
            <w:r w:rsidRPr="00BE7252">
              <w:rPr>
                <w:rFonts w:ascii="Arial" w:hAnsi="Arial"/>
                <w:b/>
                <w:sz w:val="18"/>
              </w:rPr>
              <w:t>Changes to assets test</w:t>
            </w:r>
          </w:p>
          <w:p w14:paraId="195C112F" w14:textId="77777777" w:rsidR="006F28AC" w:rsidRPr="00BE7252" w:rsidRDefault="006F28AC">
            <w:pPr>
              <w:pStyle w:val="TableTextSmalltopic"/>
              <w:rPr>
                <w:rFonts w:ascii="Arial" w:hAnsi="Arial"/>
                <w:b/>
                <w:sz w:val="18"/>
              </w:rPr>
            </w:pPr>
            <w:r w:rsidRPr="00BE7252">
              <w:rPr>
                <w:rFonts w:ascii="Arial" w:hAnsi="Arial"/>
                <w:b/>
                <w:sz w:val="18"/>
              </w:rPr>
              <w:t>Social Services Legislation Amendment (Fair and Sustainable Pensions) Act 2015</w:t>
            </w:r>
          </w:p>
        </w:tc>
        <w:tc>
          <w:tcPr>
            <w:tcW w:w="874" w:type="dxa"/>
            <w:hideMark/>
          </w:tcPr>
          <w:p w14:paraId="7C0BF97C" w14:textId="77777777" w:rsidR="006F28AC" w:rsidRPr="00262211" w:rsidRDefault="006F28AC">
            <w:pPr>
              <w:pStyle w:val="TableTextSmall"/>
              <w:cnfStyle w:val="000000000000" w:firstRow="0" w:lastRow="0" w:firstColumn="0" w:lastColumn="0" w:oddVBand="0" w:evenVBand="0" w:oddHBand="0" w:evenHBand="0" w:firstRowFirstColumn="0" w:firstRowLastColumn="0" w:lastRowFirstColumn="0" w:lastRowLastColumn="0"/>
              <w:rPr>
                <w:rFonts w:ascii="Arial" w:hAnsi="Arial"/>
                <w:sz w:val="18"/>
              </w:rPr>
            </w:pPr>
            <w:r w:rsidRPr="00262211">
              <w:rPr>
                <w:rFonts w:ascii="Arial" w:hAnsi="Arial"/>
                <w:sz w:val="18"/>
              </w:rPr>
              <w:t>2017</w:t>
            </w:r>
          </w:p>
        </w:tc>
        <w:tc>
          <w:tcPr>
            <w:tcW w:w="4479" w:type="dxa"/>
            <w:gridSpan w:val="2"/>
            <w:hideMark/>
          </w:tcPr>
          <w:p w14:paraId="726EF9D6" w14:textId="6920DAC4" w:rsidR="006F28AC" w:rsidRPr="00262211" w:rsidRDefault="006F28AC">
            <w:pPr>
              <w:pStyle w:val="TableTextSmall"/>
              <w:cnfStyle w:val="000000000000" w:firstRow="0" w:lastRow="0" w:firstColumn="0" w:lastColumn="0" w:oddVBand="0" w:evenVBand="0" w:oddHBand="0" w:evenHBand="0" w:firstRowFirstColumn="0" w:firstRowLastColumn="0" w:lastRowFirstColumn="0" w:lastRowLastColumn="0"/>
              <w:rPr>
                <w:rFonts w:ascii="Arial" w:hAnsi="Arial"/>
                <w:sz w:val="18"/>
              </w:rPr>
            </w:pPr>
            <w:r w:rsidRPr="00262211">
              <w:rPr>
                <w:rFonts w:ascii="Arial" w:hAnsi="Arial"/>
                <w:sz w:val="18"/>
              </w:rPr>
              <w:t xml:space="preserve">From 1 January 2017, the pension assets test </w:t>
            </w:r>
            <w:r w:rsidR="00D70301">
              <w:rPr>
                <w:rFonts w:ascii="Arial" w:hAnsi="Arial"/>
                <w:sz w:val="18"/>
              </w:rPr>
              <w:t>was</w:t>
            </w:r>
            <w:r w:rsidRPr="00262211">
              <w:rPr>
                <w:rFonts w:ascii="Arial" w:hAnsi="Arial"/>
                <w:sz w:val="18"/>
              </w:rPr>
              <w:t xml:space="preserve"> rebalanced. The assets test free areas </w:t>
            </w:r>
            <w:r w:rsidR="00D70301">
              <w:rPr>
                <w:rFonts w:ascii="Arial" w:hAnsi="Arial"/>
                <w:sz w:val="18"/>
              </w:rPr>
              <w:t>were</w:t>
            </w:r>
            <w:r w:rsidRPr="00262211">
              <w:rPr>
                <w:rFonts w:ascii="Arial" w:hAnsi="Arial"/>
                <w:sz w:val="18"/>
              </w:rPr>
              <w:t xml:space="preserve"> increased to:</w:t>
            </w:r>
          </w:p>
          <w:p w14:paraId="2673873F" w14:textId="77777777" w:rsidR="006F28AC" w:rsidRPr="00262211" w:rsidRDefault="006F28AC" w:rsidP="0059710A">
            <w:pPr>
              <w:pStyle w:val="TableTextSmall"/>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sz w:val="18"/>
              </w:rPr>
            </w:pPr>
            <w:r w:rsidRPr="00262211">
              <w:rPr>
                <w:rFonts w:ascii="Arial" w:hAnsi="Arial"/>
                <w:sz w:val="18"/>
              </w:rPr>
              <w:t>$250,000 for a single homeowner (an increase of $48,000)</w:t>
            </w:r>
          </w:p>
          <w:p w14:paraId="39184325" w14:textId="77777777" w:rsidR="006F28AC" w:rsidRPr="00262211" w:rsidRDefault="006F28AC" w:rsidP="0059710A">
            <w:pPr>
              <w:pStyle w:val="TableTextSmall"/>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sz w:val="18"/>
              </w:rPr>
            </w:pPr>
            <w:r w:rsidRPr="00262211">
              <w:rPr>
                <w:rFonts w:ascii="Arial" w:hAnsi="Arial"/>
                <w:sz w:val="18"/>
              </w:rPr>
              <w:t>$375,000 for a homeowner couple (an increase of $88,500)</w:t>
            </w:r>
          </w:p>
          <w:p w14:paraId="72D4B250" w14:textId="77777777" w:rsidR="006F28AC" w:rsidRPr="00262211" w:rsidRDefault="006F28AC" w:rsidP="0059710A">
            <w:pPr>
              <w:pStyle w:val="TableTextSmall"/>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sz w:val="18"/>
              </w:rPr>
            </w:pPr>
            <w:r w:rsidRPr="00262211">
              <w:rPr>
                <w:rFonts w:ascii="Arial" w:hAnsi="Arial"/>
                <w:sz w:val="18"/>
              </w:rPr>
              <w:t>$450,000 for a single non-homeowner (an increase of $101,500)</w:t>
            </w:r>
          </w:p>
          <w:p w14:paraId="64C99907" w14:textId="77777777" w:rsidR="006F28AC" w:rsidRPr="00262211" w:rsidRDefault="006F28AC" w:rsidP="0059710A">
            <w:pPr>
              <w:pStyle w:val="TableTextSmall"/>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sz w:val="18"/>
              </w:rPr>
            </w:pPr>
            <w:r w:rsidRPr="00262211">
              <w:rPr>
                <w:rFonts w:ascii="Arial" w:hAnsi="Arial"/>
                <w:sz w:val="18"/>
              </w:rPr>
              <w:t>$575,000 for a non-homeowner couple (an increase of $142,000).</w:t>
            </w:r>
          </w:p>
          <w:p w14:paraId="25008606" w14:textId="2C7580B3" w:rsidR="006F28AC" w:rsidRPr="00262211" w:rsidRDefault="006F28AC">
            <w:pPr>
              <w:pStyle w:val="TableTextSmall"/>
              <w:cnfStyle w:val="000000000000" w:firstRow="0" w:lastRow="0" w:firstColumn="0" w:lastColumn="0" w:oddVBand="0" w:evenVBand="0" w:oddHBand="0" w:evenHBand="0" w:firstRowFirstColumn="0" w:firstRowLastColumn="0" w:lastRowFirstColumn="0" w:lastRowLastColumn="0"/>
              <w:rPr>
                <w:rFonts w:ascii="Arial" w:hAnsi="Arial"/>
                <w:sz w:val="18"/>
              </w:rPr>
            </w:pPr>
            <w:r w:rsidRPr="00262211">
              <w:rPr>
                <w:rFonts w:ascii="Arial" w:hAnsi="Arial"/>
                <w:sz w:val="18"/>
              </w:rPr>
              <w:t xml:space="preserve">The assets test “taper” (or withdrawal) rate for assets above the new free areas </w:t>
            </w:r>
            <w:r w:rsidR="00D70301">
              <w:rPr>
                <w:rFonts w:ascii="Arial" w:hAnsi="Arial"/>
                <w:sz w:val="18"/>
              </w:rPr>
              <w:t>were</w:t>
            </w:r>
            <w:r w:rsidRPr="00262211">
              <w:rPr>
                <w:rFonts w:ascii="Arial" w:hAnsi="Arial"/>
                <w:sz w:val="18"/>
              </w:rPr>
              <w:t xml:space="preserve"> increased to </w:t>
            </w:r>
            <w:r w:rsidR="00D70301">
              <w:rPr>
                <w:rFonts w:ascii="Arial" w:hAnsi="Arial"/>
                <w:sz w:val="18"/>
              </w:rPr>
              <w:t>$</w:t>
            </w:r>
            <w:r w:rsidRPr="00262211">
              <w:rPr>
                <w:rFonts w:ascii="Arial" w:hAnsi="Arial"/>
                <w:sz w:val="18"/>
              </w:rPr>
              <w:t>3.00 per fortnight for each extra $1,000 in assessable assets (from the current rate of $1.50, reversing the 2007 change).</w:t>
            </w:r>
          </w:p>
          <w:p w14:paraId="20225DE9" w14:textId="38655D3C" w:rsidR="006F28AC" w:rsidRPr="00262211" w:rsidRDefault="006F28AC">
            <w:pPr>
              <w:pStyle w:val="TableTextSmall"/>
              <w:cnfStyle w:val="000000000000" w:firstRow="0" w:lastRow="0" w:firstColumn="0" w:lastColumn="0" w:oddVBand="0" w:evenVBand="0" w:oddHBand="0" w:evenHBand="0" w:firstRowFirstColumn="0" w:firstRowLastColumn="0" w:lastRowFirstColumn="0" w:lastRowLastColumn="0"/>
              <w:rPr>
                <w:rFonts w:ascii="Arial" w:hAnsi="Arial"/>
                <w:sz w:val="18"/>
              </w:rPr>
            </w:pPr>
            <w:r w:rsidRPr="00262211">
              <w:rPr>
                <w:rFonts w:ascii="Arial" w:hAnsi="Arial"/>
                <w:sz w:val="18"/>
              </w:rPr>
              <w:t xml:space="preserve">When announced in the 2015-16 Budget, the measure was to save $2.4 billion across the forward estimates, the majority of which would be related to the </w:t>
            </w:r>
            <w:r w:rsidR="001F0FCC">
              <w:rPr>
                <w:rFonts w:ascii="Arial" w:hAnsi="Arial"/>
                <w:sz w:val="18"/>
              </w:rPr>
              <w:t>Age Pension</w:t>
            </w:r>
            <w:r w:rsidRPr="00262211">
              <w:rPr>
                <w:rFonts w:ascii="Arial" w:hAnsi="Arial"/>
                <w:sz w:val="18"/>
              </w:rPr>
              <w:t>.</w:t>
            </w:r>
          </w:p>
        </w:tc>
      </w:tr>
      <w:tr w:rsidR="006F28AC" w14:paraId="0EBF8C88" w14:textId="77777777" w:rsidTr="00EB5BD4">
        <w:trPr>
          <w:gridAfter w:val="1"/>
          <w:cnfStyle w:val="000000100000" w:firstRow="0" w:lastRow="0" w:firstColumn="0" w:lastColumn="0" w:oddVBand="0" w:evenVBand="0" w:oddHBand="1" w:evenHBand="0" w:firstRowFirstColumn="0" w:firstRowLastColumn="0" w:lastRowFirstColumn="0" w:lastRowLastColumn="0"/>
          <w:wAfter w:w="26" w:type="dxa"/>
        </w:trPr>
        <w:tc>
          <w:tcPr>
            <w:cnfStyle w:val="001000000000" w:firstRow="0" w:lastRow="0" w:firstColumn="1" w:lastColumn="0" w:oddVBand="0" w:evenVBand="0" w:oddHBand="0" w:evenHBand="0" w:firstRowFirstColumn="0" w:firstRowLastColumn="0" w:lastRowFirstColumn="0" w:lastRowLastColumn="0"/>
            <w:tcW w:w="3268" w:type="dxa"/>
            <w:gridSpan w:val="2"/>
            <w:hideMark/>
          </w:tcPr>
          <w:p w14:paraId="0DAEB14F" w14:textId="77777777" w:rsidR="006F28AC" w:rsidRPr="00BE7252" w:rsidRDefault="006F28AC">
            <w:pPr>
              <w:pStyle w:val="TableTextSmalltopic"/>
              <w:rPr>
                <w:rFonts w:ascii="Arial" w:hAnsi="Arial"/>
                <w:b/>
                <w:sz w:val="18"/>
                <w:lang w:eastAsia="en-AU"/>
              </w:rPr>
            </w:pPr>
            <w:r w:rsidRPr="00BE7252">
              <w:rPr>
                <w:rFonts w:ascii="Arial" w:hAnsi="Arial"/>
                <w:b/>
                <w:sz w:val="18"/>
                <w:lang w:eastAsia="en-AU"/>
              </w:rPr>
              <w:t>Cessation of Low Income Supplement</w:t>
            </w:r>
          </w:p>
          <w:p w14:paraId="01D4EE1B" w14:textId="77777777" w:rsidR="006F28AC" w:rsidRPr="00BE7252" w:rsidRDefault="006F28AC">
            <w:pPr>
              <w:pStyle w:val="TableTextSmalltopic"/>
              <w:rPr>
                <w:rFonts w:ascii="Arial" w:hAnsi="Arial"/>
                <w:b/>
                <w:sz w:val="18"/>
              </w:rPr>
            </w:pPr>
            <w:r w:rsidRPr="00BE7252">
              <w:rPr>
                <w:rFonts w:ascii="Arial" w:hAnsi="Arial"/>
                <w:b/>
                <w:sz w:val="18"/>
                <w:lang w:eastAsia="en-AU"/>
              </w:rPr>
              <w:t>Social Services Legislation Amendment (Low Income Supplement) Act 2015</w:t>
            </w:r>
          </w:p>
        </w:tc>
        <w:tc>
          <w:tcPr>
            <w:tcW w:w="874" w:type="dxa"/>
            <w:hideMark/>
          </w:tcPr>
          <w:p w14:paraId="60BF4372" w14:textId="77777777" w:rsidR="006F28AC" w:rsidRPr="00262211" w:rsidRDefault="006F28AC">
            <w:pPr>
              <w:pStyle w:val="TableTextSmall"/>
              <w:cnfStyle w:val="000000100000" w:firstRow="0" w:lastRow="0" w:firstColumn="0" w:lastColumn="0" w:oddVBand="0" w:evenVBand="0" w:oddHBand="1" w:evenHBand="0" w:firstRowFirstColumn="0" w:firstRowLastColumn="0" w:lastRowFirstColumn="0" w:lastRowLastColumn="0"/>
              <w:rPr>
                <w:rFonts w:ascii="Arial" w:hAnsi="Arial"/>
                <w:sz w:val="18"/>
              </w:rPr>
            </w:pPr>
            <w:r w:rsidRPr="00262211">
              <w:rPr>
                <w:rFonts w:ascii="Arial" w:hAnsi="Arial"/>
                <w:sz w:val="18"/>
              </w:rPr>
              <w:t>2017</w:t>
            </w:r>
          </w:p>
        </w:tc>
        <w:tc>
          <w:tcPr>
            <w:tcW w:w="4479" w:type="dxa"/>
            <w:gridSpan w:val="2"/>
            <w:hideMark/>
          </w:tcPr>
          <w:p w14:paraId="248B4AC1" w14:textId="4034082A" w:rsidR="006F28AC" w:rsidRPr="00262211" w:rsidRDefault="006F28AC" w:rsidP="00D70301">
            <w:pPr>
              <w:pStyle w:val="TableTextSmall"/>
              <w:cnfStyle w:val="000000100000" w:firstRow="0" w:lastRow="0" w:firstColumn="0" w:lastColumn="0" w:oddVBand="0" w:evenVBand="0" w:oddHBand="1" w:evenHBand="0" w:firstRowFirstColumn="0" w:firstRowLastColumn="0" w:lastRowFirstColumn="0" w:lastRowLastColumn="0"/>
              <w:rPr>
                <w:rFonts w:ascii="Arial" w:hAnsi="Arial"/>
                <w:sz w:val="18"/>
              </w:rPr>
            </w:pPr>
            <w:r w:rsidRPr="00262211">
              <w:rPr>
                <w:rFonts w:ascii="Arial" w:hAnsi="Arial"/>
                <w:sz w:val="18"/>
                <w:lang w:eastAsia="en-AU"/>
              </w:rPr>
              <w:t xml:space="preserve">The low </w:t>
            </w:r>
            <w:r w:rsidRPr="00262211">
              <w:rPr>
                <w:rFonts w:ascii="Arial" w:hAnsi="Arial"/>
                <w:sz w:val="18"/>
              </w:rPr>
              <w:t>income</w:t>
            </w:r>
            <w:r w:rsidRPr="00262211">
              <w:rPr>
                <w:rFonts w:ascii="Arial" w:hAnsi="Arial"/>
                <w:sz w:val="18"/>
                <w:lang w:eastAsia="en-AU"/>
              </w:rPr>
              <w:t xml:space="preserve"> supplement cease</w:t>
            </w:r>
            <w:r w:rsidR="00D70301">
              <w:rPr>
                <w:rFonts w:ascii="Arial" w:hAnsi="Arial"/>
                <w:sz w:val="18"/>
                <w:lang w:eastAsia="en-AU"/>
              </w:rPr>
              <w:t>d</w:t>
            </w:r>
            <w:r w:rsidRPr="00262211">
              <w:rPr>
                <w:rFonts w:ascii="Arial" w:hAnsi="Arial"/>
                <w:sz w:val="18"/>
                <w:lang w:eastAsia="en-AU"/>
              </w:rPr>
              <w:t xml:space="preserve"> on 30</w:t>
            </w:r>
            <w:r w:rsidR="008C791B">
              <w:rPr>
                <w:rFonts w:ascii="Arial" w:hAnsi="Arial"/>
                <w:sz w:val="18"/>
                <w:lang w:eastAsia="en-AU"/>
              </w:rPr>
              <w:t> </w:t>
            </w:r>
            <w:r w:rsidRPr="00262211">
              <w:rPr>
                <w:rFonts w:ascii="Arial" w:hAnsi="Arial"/>
                <w:sz w:val="18"/>
                <w:lang w:eastAsia="en-AU"/>
              </w:rPr>
              <w:t>June</w:t>
            </w:r>
            <w:r w:rsidR="008C791B">
              <w:rPr>
                <w:rFonts w:ascii="Arial" w:hAnsi="Arial"/>
                <w:sz w:val="18"/>
                <w:lang w:eastAsia="en-AU"/>
              </w:rPr>
              <w:t> </w:t>
            </w:r>
            <w:r w:rsidRPr="00262211">
              <w:rPr>
                <w:rFonts w:ascii="Arial" w:hAnsi="Arial"/>
                <w:sz w:val="18"/>
                <w:lang w:eastAsia="en-AU"/>
              </w:rPr>
              <w:t>2017.</w:t>
            </w:r>
          </w:p>
        </w:tc>
      </w:tr>
      <w:tr w:rsidR="006F28AC" w14:paraId="5DC5FA24" w14:textId="77777777" w:rsidTr="00EB5BD4">
        <w:trPr>
          <w:gridAfter w:val="1"/>
          <w:wAfter w:w="26" w:type="dxa"/>
        </w:trPr>
        <w:tc>
          <w:tcPr>
            <w:cnfStyle w:val="001000000000" w:firstRow="0" w:lastRow="0" w:firstColumn="1" w:lastColumn="0" w:oddVBand="0" w:evenVBand="0" w:oddHBand="0" w:evenHBand="0" w:firstRowFirstColumn="0" w:firstRowLastColumn="0" w:lastRowFirstColumn="0" w:lastRowLastColumn="0"/>
            <w:tcW w:w="3268" w:type="dxa"/>
            <w:gridSpan w:val="2"/>
            <w:hideMark/>
          </w:tcPr>
          <w:p w14:paraId="657EFCA5" w14:textId="77777777" w:rsidR="006F28AC" w:rsidRPr="00BE7252" w:rsidRDefault="006F28AC">
            <w:pPr>
              <w:pStyle w:val="TableTextSmalltopic"/>
              <w:rPr>
                <w:rFonts w:ascii="Arial" w:hAnsi="Arial"/>
                <w:b/>
                <w:sz w:val="18"/>
                <w:lang w:eastAsia="en-AU"/>
              </w:rPr>
            </w:pPr>
            <w:r w:rsidRPr="00BE7252">
              <w:rPr>
                <w:rFonts w:ascii="Arial" w:hAnsi="Arial"/>
                <w:b/>
                <w:sz w:val="18"/>
                <w:lang w:eastAsia="en-AU"/>
              </w:rPr>
              <w:t>Changes to the parental means test</w:t>
            </w:r>
          </w:p>
          <w:p w14:paraId="53AF2B78" w14:textId="77777777" w:rsidR="006F28AC" w:rsidRPr="00BE7252" w:rsidRDefault="006F28AC">
            <w:pPr>
              <w:pStyle w:val="TableTextSmalltopic"/>
              <w:rPr>
                <w:rFonts w:ascii="Arial" w:hAnsi="Arial"/>
                <w:b/>
                <w:sz w:val="18"/>
              </w:rPr>
            </w:pPr>
            <w:r w:rsidRPr="00BE7252">
              <w:rPr>
                <w:rFonts w:ascii="Arial" w:hAnsi="Arial"/>
                <w:b/>
                <w:sz w:val="18"/>
                <w:lang w:eastAsia="en-AU"/>
              </w:rPr>
              <w:t>Social Services Legislation Amendment (More Generous Means Testing For Youth Payments) Act 2015</w:t>
            </w:r>
          </w:p>
        </w:tc>
        <w:tc>
          <w:tcPr>
            <w:tcW w:w="874" w:type="dxa"/>
            <w:hideMark/>
          </w:tcPr>
          <w:p w14:paraId="02237928" w14:textId="77777777" w:rsidR="006F28AC" w:rsidRPr="00262211" w:rsidRDefault="006F28AC">
            <w:pPr>
              <w:pStyle w:val="TableTextSmall"/>
              <w:cnfStyle w:val="000000000000" w:firstRow="0" w:lastRow="0" w:firstColumn="0" w:lastColumn="0" w:oddVBand="0" w:evenVBand="0" w:oddHBand="0" w:evenHBand="0" w:firstRowFirstColumn="0" w:firstRowLastColumn="0" w:lastRowFirstColumn="0" w:lastRowLastColumn="0"/>
              <w:rPr>
                <w:rFonts w:ascii="Arial" w:hAnsi="Arial"/>
                <w:sz w:val="18"/>
              </w:rPr>
            </w:pPr>
            <w:r w:rsidRPr="00262211">
              <w:rPr>
                <w:rFonts w:ascii="Arial" w:hAnsi="Arial"/>
                <w:sz w:val="18"/>
              </w:rPr>
              <w:t>2017</w:t>
            </w:r>
          </w:p>
        </w:tc>
        <w:tc>
          <w:tcPr>
            <w:tcW w:w="4479" w:type="dxa"/>
            <w:gridSpan w:val="2"/>
            <w:hideMark/>
          </w:tcPr>
          <w:p w14:paraId="25EBAFDA" w14:textId="7FBF41E9" w:rsidR="006F28AC" w:rsidRPr="00262211" w:rsidRDefault="006F28AC" w:rsidP="00D70301">
            <w:pPr>
              <w:pStyle w:val="TableTextSmall"/>
              <w:cnfStyle w:val="000000000000" w:firstRow="0" w:lastRow="0" w:firstColumn="0" w:lastColumn="0" w:oddVBand="0" w:evenVBand="0" w:oddHBand="0" w:evenHBand="0" w:firstRowFirstColumn="0" w:firstRowLastColumn="0" w:lastRowFirstColumn="0" w:lastRowLastColumn="0"/>
              <w:rPr>
                <w:rFonts w:ascii="Arial" w:hAnsi="Arial"/>
                <w:sz w:val="18"/>
              </w:rPr>
            </w:pPr>
            <w:r w:rsidRPr="00262211">
              <w:rPr>
                <w:rFonts w:ascii="Arial" w:hAnsi="Arial"/>
                <w:sz w:val="18"/>
                <w:lang w:eastAsia="en-AU"/>
              </w:rPr>
              <w:t xml:space="preserve">Treatment of Child Support maintenance income </w:t>
            </w:r>
            <w:r w:rsidR="00D70301">
              <w:rPr>
                <w:rFonts w:ascii="Arial" w:hAnsi="Arial"/>
                <w:sz w:val="18"/>
                <w:lang w:eastAsia="en-AU"/>
              </w:rPr>
              <w:t>was</w:t>
            </w:r>
            <w:r w:rsidRPr="00262211">
              <w:rPr>
                <w:rFonts w:ascii="Arial" w:hAnsi="Arial"/>
                <w:sz w:val="18"/>
                <w:lang w:eastAsia="en-AU"/>
              </w:rPr>
              <w:t xml:space="preserve"> further reformed by applying a separate Maintenance Income Test, reducing payments for around 850 young people aged under 18. This test is similar to the one currently applying to Family Tax Benefit Part A.</w:t>
            </w:r>
          </w:p>
        </w:tc>
      </w:tr>
      <w:tr w:rsidR="006F28AC" w14:paraId="6204CFF2" w14:textId="77777777" w:rsidTr="00EB5BD4">
        <w:trPr>
          <w:gridAfter w:val="1"/>
          <w:cnfStyle w:val="000000100000" w:firstRow="0" w:lastRow="0" w:firstColumn="0" w:lastColumn="0" w:oddVBand="0" w:evenVBand="0" w:oddHBand="1" w:evenHBand="0" w:firstRowFirstColumn="0" w:firstRowLastColumn="0" w:lastRowFirstColumn="0" w:lastRowLastColumn="0"/>
          <w:wAfter w:w="26" w:type="dxa"/>
        </w:trPr>
        <w:tc>
          <w:tcPr>
            <w:cnfStyle w:val="001000000000" w:firstRow="0" w:lastRow="0" w:firstColumn="1" w:lastColumn="0" w:oddVBand="0" w:evenVBand="0" w:oddHBand="0" w:evenHBand="0" w:firstRowFirstColumn="0" w:firstRowLastColumn="0" w:lastRowFirstColumn="0" w:lastRowLastColumn="0"/>
            <w:tcW w:w="3268" w:type="dxa"/>
            <w:gridSpan w:val="2"/>
            <w:hideMark/>
          </w:tcPr>
          <w:p w14:paraId="0F1A0D8C" w14:textId="77777777" w:rsidR="006F28AC" w:rsidRPr="00BE7252" w:rsidRDefault="006F28AC">
            <w:pPr>
              <w:pStyle w:val="TableTextSmalltopic"/>
              <w:rPr>
                <w:rFonts w:ascii="Arial" w:hAnsi="Arial"/>
                <w:b/>
                <w:sz w:val="18"/>
              </w:rPr>
            </w:pPr>
            <w:r w:rsidRPr="00BE7252">
              <w:rPr>
                <w:rFonts w:ascii="Arial" w:hAnsi="Arial"/>
                <w:b/>
                <w:sz w:val="18"/>
              </w:rPr>
              <w:t>Closing Carbon Tax Compensation</w:t>
            </w:r>
          </w:p>
          <w:p w14:paraId="75867EDC" w14:textId="77777777" w:rsidR="006F28AC" w:rsidRPr="00BE7252" w:rsidRDefault="006F28AC">
            <w:pPr>
              <w:pStyle w:val="TableTextSmalltopic"/>
              <w:rPr>
                <w:rFonts w:ascii="Arial" w:hAnsi="Arial"/>
                <w:b/>
                <w:sz w:val="18"/>
              </w:rPr>
            </w:pPr>
            <w:r w:rsidRPr="00BE7252">
              <w:rPr>
                <w:rFonts w:ascii="Arial" w:hAnsi="Arial"/>
                <w:b/>
                <w:sz w:val="18"/>
              </w:rPr>
              <w:t>Budget Savings (Omnibus) Act 2016</w:t>
            </w:r>
          </w:p>
        </w:tc>
        <w:tc>
          <w:tcPr>
            <w:tcW w:w="874" w:type="dxa"/>
            <w:hideMark/>
          </w:tcPr>
          <w:p w14:paraId="43BDB74E" w14:textId="77777777" w:rsidR="006F28AC" w:rsidRPr="00262211" w:rsidRDefault="006F28AC">
            <w:pPr>
              <w:pStyle w:val="TableTextSmall"/>
              <w:cnfStyle w:val="000000100000" w:firstRow="0" w:lastRow="0" w:firstColumn="0" w:lastColumn="0" w:oddVBand="0" w:evenVBand="0" w:oddHBand="1" w:evenHBand="0" w:firstRowFirstColumn="0" w:firstRowLastColumn="0" w:lastRowFirstColumn="0" w:lastRowLastColumn="0"/>
              <w:rPr>
                <w:rFonts w:ascii="Arial" w:hAnsi="Arial"/>
                <w:sz w:val="18"/>
              </w:rPr>
            </w:pPr>
            <w:r w:rsidRPr="00262211">
              <w:rPr>
                <w:rFonts w:ascii="Arial" w:hAnsi="Arial"/>
                <w:sz w:val="18"/>
              </w:rPr>
              <w:t>2017</w:t>
            </w:r>
          </w:p>
        </w:tc>
        <w:tc>
          <w:tcPr>
            <w:tcW w:w="4479" w:type="dxa"/>
            <w:gridSpan w:val="2"/>
            <w:hideMark/>
          </w:tcPr>
          <w:p w14:paraId="602E0F10" w14:textId="089A8A06" w:rsidR="006F28AC" w:rsidRPr="00262211" w:rsidRDefault="006F28AC" w:rsidP="00D70301">
            <w:pPr>
              <w:pStyle w:val="TableTextSmall"/>
              <w:cnfStyle w:val="000000100000" w:firstRow="0" w:lastRow="0" w:firstColumn="0" w:lastColumn="0" w:oddVBand="0" w:evenVBand="0" w:oddHBand="1" w:evenHBand="0" w:firstRowFirstColumn="0" w:firstRowLastColumn="0" w:lastRowFirstColumn="0" w:lastRowLastColumn="0"/>
              <w:rPr>
                <w:rFonts w:ascii="Arial" w:hAnsi="Arial"/>
                <w:sz w:val="18"/>
              </w:rPr>
            </w:pPr>
            <w:r w:rsidRPr="00262211">
              <w:rPr>
                <w:rFonts w:ascii="Arial" w:hAnsi="Arial"/>
                <w:sz w:val="18"/>
              </w:rPr>
              <w:t xml:space="preserve">New recipients of FTB or Seniors Health Cards </w:t>
            </w:r>
            <w:r w:rsidR="00D70301">
              <w:rPr>
                <w:rFonts w:ascii="Arial" w:hAnsi="Arial"/>
                <w:sz w:val="18"/>
              </w:rPr>
              <w:t xml:space="preserve">were </w:t>
            </w:r>
            <w:r w:rsidRPr="00262211">
              <w:rPr>
                <w:rFonts w:ascii="Arial" w:hAnsi="Arial"/>
                <w:sz w:val="18"/>
              </w:rPr>
              <w:t xml:space="preserve">no longer paid the Energy Supplement from 20 March 2017. Those people already receiving the Energy Supplement prior to 20 September 2016 will continue to receive it. Those people receiving the </w:t>
            </w:r>
            <w:r w:rsidRPr="00262211">
              <w:rPr>
                <w:rFonts w:ascii="Arial" w:hAnsi="Arial"/>
                <w:sz w:val="18"/>
              </w:rPr>
              <w:lastRenderedPageBreak/>
              <w:t>Energy Supplement after 20 September stop</w:t>
            </w:r>
            <w:r w:rsidR="00D70301">
              <w:rPr>
                <w:rFonts w:ascii="Arial" w:hAnsi="Arial"/>
                <w:sz w:val="18"/>
              </w:rPr>
              <w:t>ped</w:t>
            </w:r>
            <w:r w:rsidRPr="00262211">
              <w:rPr>
                <w:rFonts w:ascii="Arial" w:hAnsi="Arial"/>
                <w:sz w:val="18"/>
              </w:rPr>
              <w:t xml:space="preserve"> receiving it from 20 March 2017 onwards.</w:t>
            </w:r>
          </w:p>
        </w:tc>
      </w:tr>
      <w:tr w:rsidR="006F28AC" w14:paraId="779A2E06" w14:textId="77777777" w:rsidTr="00EB5BD4">
        <w:trPr>
          <w:gridAfter w:val="1"/>
          <w:wAfter w:w="26" w:type="dxa"/>
        </w:trPr>
        <w:tc>
          <w:tcPr>
            <w:cnfStyle w:val="001000000000" w:firstRow="0" w:lastRow="0" w:firstColumn="1" w:lastColumn="0" w:oddVBand="0" w:evenVBand="0" w:oddHBand="0" w:evenHBand="0" w:firstRowFirstColumn="0" w:firstRowLastColumn="0" w:lastRowFirstColumn="0" w:lastRowLastColumn="0"/>
            <w:tcW w:w="3268" w:type="dxa"/>
            <w:gridSpan w:val="2"/>
            <w:hideMark/>
          </w:tcPr>
          <w:p w14:paraId="6DAA6FC5" w14:textId="77777777" w:rsidR="006F28AC" w:rsidRPr="00BE7252" w:rsidRDefault="006F28AC">
            <w:pPr>
              <w:pStyle w:val="TableTextSmalltopic"/>
              <w:rPr>
                <w:rFonts w:ascii="Arial" w:hAnsi="Arial"/>
                <w:b/>
                <w:sz w:val="18"/>
              </w:rPr>
            </w:pPr>
            <w:r w:rsidRPr="00BE7252">
              <w:rPr>
                <w:rFonts w:ascii="Arial" w:hAnsi="Arial"/>
                <w:b/>
                <w:sz w:val="18"/>
              </w:rPr>
              <w:lastRenderedPageBreak/>
              <w:t>Backdating provisions for Carer Allowance</w:t>
            </w:r>
          </w:p>
          <w:p w14:paraId="3E8ED83F" w14:textId="77777777" w:rsidR="006F28AC" w:rsidRPr="00BE7252" w:rsidRDefault="006F28AC">
            <w:pPr>
              <w:pStyle w:val="TableTextSmalltopic"/>
              <w:rPr>
                <w:rFonts w:ascii="Arial" w:hAnsi="Arial"/>
                <w:b/>
                <w:sz w:val="18"/>
              </w:rPr>
            </w:pPr>
            <w:r w:rsidRPr="00BE7252">
              <w:rPr>
                <w:rFonts w:ascii="Arial" w:hAnsi="Arial"/>
                <w:b/>
                <w:sz w:val="18"/>
              </w:rPr>
              <w:t>Budget Savings (Omnibus) Act 2016</w:t>
            </w:r>
          </w:p>
        </w:tc>
        <w:tc>
          <w:tcPr>
            <w:tcW w:w="874" w:type="dxa"/>
            <w:hideMark/>
          </w:tcPr>
          <w:p w14:paraId="090AB026" w14:textId="77777777" w:rsidR="006F28AC" w:rsidRPr="00262211" w:rsidRDefault="006F28AC">
            <w:pPr>
              <w:pStyle w:val="TableTextSmall"/>
              <w:cnfStyle w:val="000000000000" w:firstRow="0" w:lastRow="0" w:firstColumn="0" w:lastColumn="0" w:oddVBand="0" w:evenVBand="0" w:oddHBand="0" w:evenHBand="0" w:firstRowFirstColumn="0" w:firstRowLastColumn="0" w:lastRowFirstColumn="0" w:lastRowLastColumn="0"/>
              <w:rPr>
                <w:rFonts w:ascii="Arial" w:hAnsi="Arial"/>
                <w:sz w:val="18"/>
              </w:rPr>
            </w:pPr>
            <w:r w:rsidRPr="00262211">
              <w:rPr>
                <w:rFonts w:ascii="Arial" w:hAnsi="Arial"/>
                <w:sz w:val="18"/>
              </w:rPr>
              <w:t>2017</w:t>
            </w:r>
          </w:p>
        </w:tc>
        <w:tc>
          <w:tcPr>
            <w:tcW w:w="4479" w:type="dxa"/>
            <w:gridSpan w:val="2"/>
            <w:hideMark/>
          </w:tcPr>
          <w:p w14:paraId="7A144B50" w14:textId="74DB7B6D" w:rsidR="006F28AC" w:rsidRPr="00262211" w:rsidRDefault="006F28AC">
            <w:pPr>
              <w:pStyle w:val="TableTextSmall"/>
              <w:cnfStyle w:val="000000000000" w:firstRow="0" w:lastRow="0" w:firstColumn="0" w:lastColumn="0" w:oddVBand="0" w:evenVBand="0" w:oddHBand="0" w:evenHBand="0" w:firstRowFirstColumn="0" w:firstRowLastColumn="0" w:lastRowFirstColumn="0" w:lastRowLastColumn="0"/>
              <w:rPr>
                <w:rFonts w:ascii="Arial" w:hAnsi="Arial"/>
                <w:sz w:val="18"/>
              </w:rPr>
            </w:pPr>
            <w:r w:rsidRPr="00262211">
              <w:rPr>
                <w:rFonts w:ascii="Arial" w:hAnsi="Arial"/>
                <w:sz w:val="18"/>
              </w:rPr>
              <w:t xml:space="preserve">Changes </w:t>
            </w:r>
            <w:r w:rsidR="00D70301">
              <w:rPr>
                <w:rFonts w:ascii="Arial" w:hAnsi="Arial"/>
                <w:sz w:val="18"/>
              </w:rPr>
              <w:t xml:space="preserve">to </w:t>
            </w:r>
            <w:r w:rsidRPr="00262211">
              <w:rPr>
                <w:rFonts w:ascii="Arial" w:hAnsi="Arial"/>
                <w:sz w:val="18"/>
              </w:rPr>
              <w:t>the rules for backdating Carer Allowance to be in line with the rules for Carer Payment and other social security payments and concessions. Prior to this amendment Carer Allowance start date could be backdated earlier than the start date for Carer Payment.</w:t>
            </w:r>
          </w:p>
        </w:tc>
      </w:tr>
      <w:tr w:rsidR="006F28AC" w14:paraId="51ED9933" w14:textId="77777777" w:rsidTr="00EB5BD4">
        <w:trPr>
          <w:gridAfter w:val="1"/>
          <w:cnfStyle w:val="000000100000" w:firstRow="0" w:lastRow="0" w:firstColumn="0" w:lastColumn="0" w:oddVBand="0" w:evenVBand="0" w:oddHBand="1" w:evenHBand="0" w:firstRowFirstColumn="0" w:firstRowLastColumn="0" w:lastRowFirstColumn="0" w:lastRowLastColumn="0"/>
          <w:wAfter w:w="26" w:type="dxa"/>
        </w:trPr>
        <w:tc>
          <w:tcPr>
            <w:cnfStyle w:val="001000000000" w:firstRow="0" w:lastRow="0" w:firstColumn="1" w:lastColumn="0" w:oddVBand="0" w:evenVBand="0" w:oddHBand="0" w:evenHBand="0" w:firstRowFirstColumn="0" w:firstRowLastColumn="0" w:lastRowFirstColumn="0" w:lastRowLastColumn="0"/>
            <w:tcW w:w="3268" w:type="dxa"/>
            <w:gridSpan w:val="2"/>
            <w:hideMark/>
          </w:tcPr>
          <w:p w14:paraId="70E4A705" w14:textId="77777777" w:rsidR="006F28AC" w:rsidRPr="00BE7252" w:rsidRDefault="006F28AC">
            <w:pPr>
              <w:pStyle w:val="TableTextSmalltopic"/>
              <w:rPr>
                <w:rFonts w:ascii="Arial" w:hAnsi="Arial"/>
                <w:b/>
                <w:sz w:val="18"/>
              </w:rPr>
            </w:pPr>
            <w:r w:rsidRPr="00BE7252">
              <w:rPr>
                <w:rFonts w:ascii="Arial" w:hAnsi="Arial"/>
                <w:b/>
                <w:sz w:val="18"/>
              </w:rPr>
              <w:t>Newly Arrived Residents - removal of exemptions</w:t>
            </w:r>
          </w:p>
          <w:p w14:paraId="0EE85AFD" w14:textId="77777777" w:rsidR="006F28AC" w:rsidRPr="00BE7252" w:rsidRDefault="006F28AC">
            <w:pPr>
              <w:pStyle w:val="TableTextSmalltopic"/>
              <w:rPr>
                <w:rFonts w:ascii="Arial" w:hAnsi="Arial"/>
                <w:b/>
                <w:sz w:val="18"/>
              </w:rPr>
            </w:pPr>
            <w:r w:rsidRPr="00BE7252">
              <w:rPr>
                <w:rFonts w:ascii="Arial" w:hAnsi="Arial"/>
                <w:b/>
                <w:sz w:val="18"/>
              </w:rPr>
              <w:t>Budget Savings (Omnibus) Act 2016</w:t>
            </w:r>
          </w:p>
        </w:tc>
        <w:tc>
          <w:tcPr>
            <w:tcW w:w="874" w:type="dxa"/>
            <w:hideMark/>
          </w:tcPr>
          <w:p w14:paraId="02F74C3E" w14:textId="77777777" w:rsidR="006F28AC" w:rsidRPr="00262211" w:rsidRDefault="006F28AC">
            <w:pPr>
              <w:pStyle w:val="TableTextSmall"/>
              <w:cnfStyle w:val="000000100000" w:firstRow="0" w:lastRow="0" w:firstColumn="0" w:lastColumn="0" w:oddVBand="0" w:evenVBand="0" w:oddHBand="1" w:evenHBand="0" w:firstRowFirstColumn="0" w:firstRowLastColumn="0" w:lastRowFirstColumn="0" w:lastRowLastColumn="0"/>
              <w:rPr>
                <w:rFonts w:ascii="Arial" w:hAnsi="Arial"/>
                <w:sz w:val="18"/>
              </w:rPr>
            </w:pPr>
            <w:r w:rsidRPr="00262211">
              <w:rPr>
                <w:rFonts w:ascii="Arial" w:hAnsi="Arial"/>
                <w:sz w:val="18"/>
              </w:rPr>
              <w:t>2017</w:t>
            </w:r>
          </w:p>
        </w:tc>
        <w:tc>
          <w:tcPr>
            <w:tcW w:w="4479" w:type="dxa"/>
            <w:gridSpan w:val="2"/>
            <w:hideMark/>
          </w:tcPr>
          <w:p w14:paraId="6434A011" w14:textId="4418E14A" w:rsidR="006F28AC" w:rsidRPr="00262211" w:rsidRDefault="006F28AC">
            <w:pPr>
              <w:pStyle w:val="TableTextSmall"/>
              <w:cnfStyle w:val="000000100000" w:firstRow="0" w:lastRow="0" w:firstColumn="0" w:lastColumn="0" w:oddVBand="0" w:evenVBand="0" w:oddHBand="1" w:evenHBand="0" w:firstRowFirstColumn="0" w:firstRowLastColumn="0" w:lastRowFirstColumn="0" w:lastRowLastColumn="0"/>
              <w:rPr>
                <w:rFonts w:ascii="Arial" w:hAnsi="Arial"/>
                <w:sz w:val="18"/>
              </w:rPr>
            </w:pPr>
            <w:r w:rsidRPr="00262211">
              <w:rPr>
                <w:rFonts w:ascii="Arial" w:hAnsi="Arial"/>
                <w:sz w:val="18"/>
              </w:rPr>
              <w:t>Remove</w:t>
            </w:r>
            <w:r w:rsidR="00D70301">
              <w:rPr>
                <w:rFonts w:ascii="Arial" w:hAnsi="Arial"/>
                <w:sz w:val="18"/>
              </w:rPr>
              <w:t>d</w:t>
            </w:r>
            <w:r w:rsidRPr="00262211">
              <w:rPr>
                <w:rFonts w:ascii="Arial" w:hAnsi="Arial"/>
                <w:sz w:val="18"/>
              </w:rPr>
              <w:t xml:space="preserve"> the exemption from the 104 week waiting period for new migrants who are family members of Australian citizens or long-term permanent residents. This change align</w:t>
            </w:r>
            <w:r w:rsidR="00D70301">
              <w:rPr>
                <w:rFonts w:ascii="Arial" w:hAnsi="Arial"/>
                <w:sz w:val="18"/>
              </w:rPr>
              <w:t>ed</w:t>
            </w:r>
            <w:r w:rsidRPr="00262211">
              <w:rPr>
                <w:rFonts w:ascii="Arial" w:hAnsi="Arial"/>
                <w:sz w:val="18"/>
              </w:rPr>
              <w:t xml:space="preserve"> the social security waiting period for working age payment for all newly arrived migrants (except for refugees, former refugees and their family members).</w:t>
            </w:r>
          </w:p>
        </w:tc>
      </w:tr>
      <w:tr w:rsidR="006F28AC" w14:paraId="1889250A" w14:textId="77777777" w:rsidTr="00EB5BD4">
        <w:trPr>
          <w:gridAfter w:val="1"/>
          <w:wAfter w:w="26" w:type="dxa"/>
        </w:trPr>
        <w:tc>
          <w:tcPr>
            <w:cnfStyle w:val="001000000000" w:firstRow="0" w:lastRow="0" w:firstColumn="1" w:lastColumn="0" w:oddVBand="0" w:evenVBand="0" w:oddHBand="0" w:evenHBand="0" w:firstRowFirstColumn="0" w:firstRowLastColumn="0" w:lastRowFirstColumn="0" w:lastRowLastColumn="0"/>
            <w:tcW w:w="3268" w:type="dxa"/>
            <w:gridSpan w:val="2"/>
            <w:hideMark/>
          </w:tcPr>
          <w:p w14:paraId="231B0F06" w14:textId="77777777" w:rsidR="006F28AC" w:rsidRPr="00BE7252" w:rsidRDefault="006F28AC">
            <w:pPr>
              <w:pStyle w:val="TableTextSmalltopic"/>
              <w:rPr>
                <w:rFonts w:ascii="Arial" w:hAnsi="Arial"/>
                <w:b/>
                <w:sz w:val="18"/>
              </w:rPr>
            </w:pPr>
            <w:r w:rsidRPr="00BE7252">
              <w:rPr>
                <w:rFonts w:ascii="Arial" w:hAnsi="Arial"/>
                <w:b/>
                <w:sz w:val="18"/>
              </w:rPr>
              <w:t>Parental Leave Pay - Consistent treatment for income support assessment</w:t>
            </w:r>
          </w:p>
          <w:p w14:paraId="601C1652" w14:textId="77777777" w:rsidR="006F28AC" w:rsidRPr="00BE7252" w:rsidRDefault="006F28AC">
            <w:pPr>
              <w:pStyle w:val="TableTextSmalltopic"/>
              <w:rPr>
                <w:rFonts w:ascii="Arial" w:hAnsi="Arial"/>
                <w:b/>
                <w:sz w:val="18"/>
              </w:rPr>
            </w:pPr>
            <w:r w:rsidRPr="00BE7252">
              <w:rPr>
                <w:rFonts w:ascii="Arial" w:hAnsi="Arial"/>
                <w:b/>
                <w:sz w:val="18"/>
              </w:rPr>
              <w:t>Budget Savings (Omnibus) Act 2016</w:t>
            </w:r>
          </w:p>
        </w:tc>
        <w:tc>
          <w:tcPr>
            <w:tcW w:w="874" w:type="dxa"/>
            <w:hideMark/>
          </w:tcPr>
          <w:p w14:paraId="30912A05" w14:textId="77777777" w:rsidR="006F28AC" w:rsidRPr="00262211" w:rsidRDefault="006F28AC">
            <w:pPr>
              <w:pStyle w:val="TableTextSmall"/>
              <w:cnfStyle w:val="000000000000" w:firstRow="0" w:lastRow="0" w:firstColumn="0" w:lastColumn="0" w:oddVBand="0" w:evenVBand="0" w:oddHBand="0" w:evenHBand="0" w:firstRowFirstColumn="0" w:firstRowLastColumn="0" w:lastRowFirstColumn="0" w:lastRowLastColumn="0"/>
              <w:rPr>
                <w:rFonts w:ascii="Arial" w:hAnsi="Arial"/>
                <w:sz w:val="18"/>
              </w:rPr>
            </w:pPr>
            <w:r w:rsidRPr="00262211">
              <w:rPr>
                <w:rFonts w:ascii="Arial" w:hAnsi="Arial"/>
                <w:sz w:val="18"/>
              </w:rPr>
              <w:t>2017</w:t>
            </w:r>
          </w:p>
        </w:tc>
        <w:tc>
          <w:tcPr>
            <w:tcW w:w="4479" w:type="dxa"/>
            <w:gridSpan w:val="2"/>
            <w:hideMark/>
          </w:tcPr>
          <w:p w14:paraId="4C05E0AD" w14:textId="77777777" w:rsidR="006F28AC" w:rsidRPr="00262211" w:rsidRDefault="006F28AC">
            <w:pPr>
              <w:pStyle w:val="TableTextSmall"/>
              <w:cnfStyle w:val="000000000000" w:firstRow="0" w:lastRow="0" w:firstColumn="0" w:lastColumn="0" w:oddVBand="0" w:evenVBand="0" w:oddHBand="0" w:evenHBand="0" w:firstRowFirstColumn="0" w:firstRowLastColumn="0" w:lastRowFirstColumn="0" w:lastRowLastColumn="0"/>
              <w:rPr>
                <w:rFonts w:ascii="Arial" w:hAnsi="Arial"/>
                <w:sz w:val="18"/>
              </w:rPr>
            </w:pPr>
            <w:r w:rsidRPr="00262211">
              <w:rPr>
                <w:rFonts w:ascii="Arial" w:hAnsi="Arial"/>
                <w:sz w:val="18"/>
              </w:rPr>
              <w:t>Commonwealth Parental Leave Payments and Dad and Partner Pay payments under the Paid Parental Leave Act 2010 are now treated in the same way as employer</w:t>
            </w:r>
            <w:r w:rsidRPr="00262211">
              <w:rPr>
                <w:rFonts w:ascii="Arial" w:hAnsi="Arial"/>
                <w:sz w:val="18"/>
              </w:rPr>
              <w:noBreakHyphen/>
              <w:t>provided parental leave payments when determining eligibility for income support payments.</w:t>
            </w:r>
          </w:p>
        </w:tc>
      </w:tr>
      <w:tr w:rsidR="006F28AC" w14:paraId="0F944601" w14:textId="77777777" w:rsidTr="00EB5BD4">
        <w:trPr>
          <w:gridAfter w:val="1"/>
          <w:cnfStyle w:val="000000100000" w:firstRow="0" w:lastRow="0" w:firstColumn="0" w:lastColumn="0" w:oddVBand="0" w:evenVBand="0" w:oddHBand="1" w:evenHBand="0" w:firstRowFirstColumn="0" w:firstRowLastColumn="0" w:lastRowFirstColumn="0" w:lastRowLastColumn="0"/>
          <w:wAfter w:w="26" w:type="dxa"/>
        </w:trPr>
        <w:tc>
          <w:tcPr>
            <w:cnfStyle w:val="001000000000" w:firstRow="0" w:lastRow="0" w:firstColumn="1" w:lastColumn="0" w:oddVBand="0" w:evenVBand="0" w:oddHBand="0" w:evenHBand="0" w:firstRowFirstColumn="0" w:firstRowLastColumn="0" w:lastRowFirstColumn="0" w:lastRowLastColumn="0"/>
            <w:tcW w:w="3268" w:type="dxa"/>
            <w:gridSpan w:val="2"/>
            <w:hideMark/>
          </w:tcPr>
          <w:p w14:paraId="605EC274" w14:textId="77777777" w:rsidR="006F28AC" w:rsidRPr="00BE7252" w:rsidRDefault="006F28AC">
            <w:pPr>
              <w:pStyle w:val="TableTextSmalltopic"/>
              <w:rPr>
                <w:rFonts w:ascii="Arial" w:hAnsi="Arial"/>
                <w:b/>
                <w:sz w:val="18"/>
              </w:rPr>
            </w:pPr>
            <w:r w:rsidRPr="00BE7252">
              <w:rPr>
                <w:rFonts w:ascii="Arial" w:hAnsi="Arial"/>
                <w:b/>
                <w:sz w:val="18"/>
              </w:rPr>
              <w:t>New treatments of Fringe Benefits for Family Assistance and Youth Payments purposes</w:t>
            </w:r>
          </w:p>
          <w:p w14:paraId="2E56C378" w14:textId="77777777" w:rsidR="006F28AC" w:rsidRPr="00BE7252" w:rsidRDefault="006F28AC">
            <w:pPr>
              <w:pStyle w:val="TableTextSmalltopic"/>
              <w:rPr>
                <w:rFonts w:ascii="Arial" w:hAnsi="Arial"/>
                <w:b/>
                <w:sz w:val="18"/>
              </w:rPr>
            </w:pPr>
            <w:r w:rsidRPr="00BE7252">
              <w:rPr>
                <w:rFonts w:ascii="Arial" w:hAnsi="Arial"/>
                <w:b/>
                <w:sz w:val="18"/>
              </w:rPr>
              <w:t>Budget Savings (Omnibus) Act 2016</w:t>
            </w:r>
          </w:p>
        </w:tc>
        <w:tc>
          <w:tcPr>
            <w:tcW w:w="874" w:type="dxa"/>
            <w:hideMark/>
          </w:tcPr>
          <w:p w14:paraId="51959893" w14:textId="77777777" w:rsidR="006F28AC" w:rsidRPr="00262211" w:rsidRDefault="006F28AC">
            <w:pPr>
              <w:pStyle w:val="TableTextSmall"/>
              <w:cnfStyle w:val="000000100000" w:firstRow="0" w:lastRow="0" w:firstColumn="0" w:lastColumn="0" w:oddVBand="0" w:evenVBand="0" w:oddHBand="1" w:evenHBand="0" w:firstRowFirstColumn="0" w:firstRowLastColumn="0" w:lastRowFirstColumn="0" w:lastRowLastColumn="0"/>
              <w:rPr>
                <w:rFonts w:ascii="Arial" w:hAnsi="Arial"/>
                <w:sz w:val="18"/>
              </w:rPr>
            </w:pPr>
            <w:r w:rsidRPr="00262211">
              <w:rPr>
                <w:rFonts w:ascii="Arial" w:hAnsi="Arial"/>
                <w:sz w:val="18"/>
              </w:rPr>
              <w:t>2017</w:t>
            </w:r>
          </w:p>
        </w:tc>
        <w:tc>
          <w:tcPr>
            <w:tcW w:w="4479" w:type="dxa"/>
            <w:gridSpan w:val="2"/>
            <w:hideMark/>
          </w:tcPr>
          <w:p w14:paraId="730B3244" w14:textId="0987A14A" w:rsidR="006F28AC" w:rsidRPr="00262211" w:rsidRDefault="006F28AC">
            <w:pPr>
              <w:pStyle w:val="TableTextSmall"/>
              <w:cnfStyle w:val="000000100000" w:firstRow="0" w:lastRow="0" w:firstColumn="0" w:lastColumn="0" w:oddVBand="0" w:evenVBand="0" w:oddHBand="1" w:evenHBand="0" w:firstRowFirstColumn="0" w:firstRowLastColumn="0" w:lastRowFirstColumn="0" w:lastRowLastColumn="0"/>
              <w:rPr>
                <w:rFonts w:ascii="Arial" w:hAnsi="Arial"/>
                <w:sz w:val="18"/>
              </w:rPr>
            </w:pPr>
            <w:r w:rsidRPr="00262211">
              <w:rPr>
                <w:rFonts w:ascii="Arial" w:hAnsi="Arial"/>
                <w:sz w:val="18"/>
              </w:rPr>
              <w:t>This change</w:t>
            </w:r>
            <w:r w:rsidR="00D70301">
              <w:rPr>
                <w:rFonts w:ascii="Arial" w:hAnsi="Arial"/>
                <w:sz w:val="18"/>
              </w:rPr>
              <w:t>d</w:t>
            </w:r>
            <w:r w:rsidRPr="00262211">
              <w:rPr>
                <w:rFonts w:ascii="Arial" w:hAnsi="Arial"/>
                <w:sz w:val="18"/>
              </w:rPr>
              <w:t xml:space="preserve"> the way fringe benefits are treated under the income tests for family assistance and youth income support payments and for other related purposes. "Adjusted fringe benefits total" is now defined to be gross rather than adjusted net value of reportable fringe benefits. There are a few exceptions to this for people working in particular industries.</w:t>
            </w:r>
          </w:p>
        </w:tc>
      </w:tr>
      <w:tr w:rsidR="006F28AC" w14:paraId="06B392E5" w14:textId="77777777" w:rsidTr="00EB5BD4">
        <w:trPr>
          <w:gridAfter w:val="1"/>
          <w:wAfter w:w="26" w:type="dxa"/>
        </w:trPr>
        <w:tc>
          <w:tcPr>
            <w:cnfStyle w:val="001000000000" w:firstRow="0" w:lastRow="0" w:firstColumn="1" w:lastColumn="0" w:oddVBand="0" w:evenVBand="0" w:oddHBand="0" w:evenHBand="0" w:firstRowFirstColumn="0" w:firstRowLastColumn="0" w:lastRowFirstColumn="0" w:lastRowLastColumn="0"/>
            <w:tcW w:w="3268" w:type="dxa"/>
            <w:gridSpan w:val="2"/>
            <w:hideMark/>
          </w:tcPr>
          <w:p w14:paraId="464E4C09" w14:textId="2E2F568E" w:rsidR="006F28AC" w:rsidRPr="00BE7252" w:rsidRDefault="001F0FCC">
            <w:pPr>
              <w:pStyle w:val="TableTextSmalltopic"/>
              <w:rPr>
                <w:rFonts w:ascii="Arial" w:hAnsi="Arial"/>
                <w:b/>
                <w:sz w:val="18"/>
              </w:rPr>
            </w:pPr>
            <w:r w:rsidRPr="00BE7252">
              <w:rPr>
                <w:rFonts w:ascii="Arial" w:hAnsi="Arial"/>
                <w:b/>
                <w:sz w:val="18"/>
              </w:rPr>
              <w:t>Age Pension</w:t>
            </w:r>
            <w:r w:rsidR="006F28AC" w:rsidRPr="00BE7252">
              <w:rPr>
                <w:rFonts w:ascii="Arial" w:hAnsi="Arial"/>
                <w:b/>
                <w:sz w:val="18"/>
              </w:rPr>
              <w:t xml:space="preserve"> - aligning means testing</w:t>
            </w:r>
          </w:p>
          <w:p w14:paraId="44C7CD89" w14:textId="77777777" w:rsidR="006F28AC" w:rsidRPr="00BE7252" w:rsidRDefault="006F28AC">
            <w:pPr>
              <w:pStyle w:val="TableTextSmalltopic"/>
              <w:rPr>
                <w:rFonts w:ascii="Arial" w:hAnsi="Arial"/>
                <w:b/>
                <w:sz w:val="18"/>
              </w:rPr>
            </w:pPr>
            <w:r w:rsidRPr="00BE7252">
              <w:rPr>
                <w:rFonts w:ascii="Arial" w:hAnsi="Arial"/>
                <w:b/>
                <w:sz w:val="18"/>
              </w:rPr>
              <w:t>Budget Savings (Omnibus) Act 2016</w:t>
            </w:r>
          </w:p>
        </w:tc>
        <w:tc>
          <w:tcPr>
            <w:tcW w:w="874" w:type="dxa"/>
            <w:hideMark/>
          </w:tcPr>
          <w:p w14:paraId="4024D98F" w14:textId="77777777" w:rsidR="006F28AC" w:rsidRPr="00262211" w:rsidRDefault="006F28AC">
            <w:pPr>
              <w:pStyle w:val="TableTextSmall"/>
              <w:cnfStyle w:val="000000000000" w:firstRow="0" w:lastRow="0" w:firstColumn="0" w:lastColumn="0" w:oddVBand="0" w:evenVBand="0" w:oddHBand="0" w:evenHBand="0" w:firstRowFirstColumn="0" w:firstRowLastColumn="0" w:lastRowFirstColumn="0" w:lastRowLastColumn="0"/>
              <w:rPr>
                <w:rFonts w:ascii="Arial" w:hAnsi="Arial"/>
                <w:sz w:val="18"/>
              </w:rPr>
            </w:pPr>
            <w:r w:rsidRPr="00262211">
              <w:rPr>
                <w:rFonts w:ascii="Arial" w:hAnsi="Arial"/>
                <w:sz w:val="18"/>
              </w:rPr>
              <w:t>2017</w:t>
            </w:r>
          </w:p>
        </w:tc>
        <w:tc>
          <w:tcPr>
            <w:tcW w:w="4479" w:type="dxa"/>
            <w:gridSpan w:val="2"/>
            <w:hideMark/>
          </w:tcPr>
          <w:p w14:paraId="60BB2627" w14:textId="67189A23" w:rsidR="006F28AC" w:rsidRPr="00262211" w:rsidRDefault="006F28AC">
            <w:pPr>
              <w:pStyle w:val="TableTextSmall"/>
              <w:cnfStyle w:val="000000000000" w:firstRow="0" w:lastRow="0" w:firstColumn="0" w:lastColumn="0" w:oddVBand="0" w:evenVBand="0" w:oddHBand="0" w:evenHBand="0" w:firstRowFirstColumn="0" w:firstRowLastColumn="0" w:lastRowFirstColumn="0" w:lastRowLastColumn="0"/>
              <w:rPr>
                <w:rFonts w:ascii="Arial" w:hAnsi="Arial"/>
                <w:sz w:val="18"/>
              </w:rPr>
            </w:pPr>
            <w:r w:rsidRPr="00262211">
              <w:rPr>
                <w:rFonts w:ascii="Arial" w:hAnsi="Arial"/>
                <w:sz w:val="18"/>
              </w:rPr>
              <w:t>From 1 Jan</w:t>
            </w:r>
            <w:r w:rsidR="00D70301">
              <w:rPr>
                <w:rFonts w:ascii="Arial" w:hAnsi="Arial"/>
                <w:sz w:val="18"/>
              </w:rPr>
              <w:t>uary</w:t>
            </w:r>
            <w:r w:rsidRPr="00262211">
              <w:rPr>
                <w:rFonts w:ascii="Arial" w:hAnsi="Arial"/>
                <w:sz w:val="18"/>
              </w:rPr>
              <w:t xml:space="preserve"> 2017</w:t>
            </w:r>
            <w:r w:rsidR="00D70301">
              <w:rPr>
                <w:rFonts w:ascii="Arial" w:hAnsi="Arial"/>
                <w:sz w:val="18"/>
              </w:rPr>
              <w:t>,</w:t>
            </w:r>
            <w:r w:rsidRPr="00262211">
              <w:rPr>
                <w:rFonts w:ascii="Arial" w:hAnsi="Arial"/>
                <w:sz w:val="18"/>
              </w:rPr>
              <w:t xml:space="preserve"> net rental income earned on the former principal residence of new entrants into residential aged care, is treated the same way under the pension income test as it is under the aged care means test, regardless of how the resident chooses to pay their accommodation costs.</w:t>
            </w:r>
          </w:p>
        </w:tc>
      </w:tr>
      <w:tr w:rsidR="006F28AC" w14:paraId="2B90CB48" w14:textId="77777777" w:rsidTr="00EB5BD4">
        <w:trPr>
          <w:gridAfter w:val="1"/>
          <w:cnfStyle w:val="000000100000" w:firstRow="0" w:lastRow="0" w:firstColumn="0" w:lastColumn="0" w:oddVBand="0" w:evenVBand="0" w:oddHBand="1" w:evenHBand="0" w:firstRowFirstColumn="0" w:firstRowLastColumn="0" w:lastRowFirstColumn="0" w:lastRowLastColumn="0"/>
          <w:wAfter w:w="26" w:type="dxa"/>
        </w:trPr>
        <w:tc>
          <w:tcPr>
            <w:cnfStyle w:val="001000000000" w:firstRow="0" w:lastRow="0" w:firstColumn="1" w:lastColumn="0" w:oddVBand="0" w:evenVBand="0" w:oddHBand="0" w:evenHBand="0" w:firstRowFirstColumn="0" w:firstRowLastColumn="0" w:lastRowFirstColumn="0" w:lastRowLastColumn="0"/>
            <w:tcW w:w="3268" w:type="dxa"/>
            <w:gridSpan w:val="2"/>
            <w:hideMark/>
          </w:tcPr>
          <w:p w14:paraId="3216FDCF" w14:textId="77777777" w:rsidR="006F28AC" w:rsidRPr="00BE7252" w:rsidRDefault="006F28AC">
            <w:pPr>
              <w:pStyle w:val="TableTextSmalltopic"/>
              <w:rPr>
                <w:rFonts w:ascii="Arial" w:hAnsi="Arial"/>
                <w:b/>
                <w:sz w:val="18"/>
              </w:rPr>
            </w:pPr>
            <w:r w:rsidRPr="00BE7252">
              <w:rPr>
                <w:rFonts w:ascii="Arial" w:hAnsi="Arial"/>
                <w:b/>
                <w:sz w:val="18"/>
              </w:rPr>
              <w:t>Extend existing freezes on family payments</w:t>
            </w:r>
          </w:p>
          <w:p w14:paraId="3713C4E4" w14:textId="77777777" w:rsidR="006F28AC" w:rsidRPr="00BE7252" w:rsidRDefault="006F28AC">
            <w:pPr>
              <w:pStyle w:val="TableTextSmalltopic"/>
              <w:rPr>
                <w:rFonts w:ascii="Arial" w:hAnsi="Arial"/>
                <w:b/>
                <w:sz w:val="18"/>
              </w:rPr>
            </w:pPr>
            <w:r w:rsidRPr="00BE7252">
              <w:rPr>
                <w:rFonts w:ascii="Arial" w:hAnsi="Arial"/>
                <w:b/>
                <w:sz w:val="18"/>
              </w:rPr>
              <w:t>Budget Savings (Omnibus) Act 2016</w:t>
            </w:r>
          </w:p>
        </w:tc>
        <w:tc>
          <w:tcPr>
            <w:tcW w:w="874" w:type="dxa"/>
            <w:hideMark/>
          </w:tcPr>
          <w:p w14:paraId="0C753EBD" w14:textId="77777777" w:rsidR="006F28AC" w:rsidRPr="00262211" w:rsidRDefault="006F28AC">
            <w:pPr>
              <w:pStyle w:val="TableTextSmall"/>
              <w:cnfStyle w:val="000000100000" w:firstRow="0" w:lastRow="0" w:firstColumn="0" w:lastColumn="0" w:oddVBand="0" w:evenVBand="0" w:oddHBand="1" w:evenHBand="0" w:firstRowFirstColumn="0" w:firstRowLastColumn="0" w:lastRowFirstColumn="0" w:lastRowLastColumn="0"/>
              <w:rPr>
                <w:rFonts w:ascii="Arial" w:hAnsi="Arial"/>
                <w:sz w:val="18"/>
              </w:rPr>
            </w:pPr>
            <w:r w:rsidRPr="00262211">
              <w:rPr>
                <w:rFonts w:ascii="Arial" w:hAnsi="Arial"/>
                <w:sz w:val="18"/>
              </w:rPr>
              <w:t>2017</w:t>
            </w:r>
          </w:p>
        </w:tc>
        <w:tc>
          <w:tcPr>
            <w:tcW w:w="4479" w:type="dxa"/>
            <w:gridSpan w:val="2"/>
            <w:hideMark/>
          </w:tcPr>
          <w:p w14:paraId="08F49F52" w14:textId="6709FB33" w:rsidR="006F28AC" w:rsidRPr="00262211" w:rsidRDefault="006F28AC" w:rsidP="00277F5F">
            <w:pPr>
              <w:pStyle w:val="TableTextSmall"/>
              <w:cnfStyle w:val="000000100000" w:firstRow="0" w:lastRow="0" w:firstColumn="0" w:lastColumn="0" w:oddVBand="0" w:evenVBand="0" w:oddHBand="1" w:evenHBand="0" w:firstRowFirstColumn="0" w:firstRowLastColumn="0" w:lastRowFirstColumn="0" w:lastRowLastColumn="0"/>
              <w:rPr>
                <w:rFonts w:ascii="Arial" w:hAnsi="Arial"/>
                <w:sz w:val="18"/>
              </w:rPr>
            </w:pPr>
            <w:r w:rsidRPr="00262211">
              <w:rPr>
                <w:rFonts w:ascii="Arial" w:hAnsi="Arial"/>
                <w:sz w:val="18"/>
              </w:rPr>
              <w:t xml:space="preserve">Higher income free area (HIFA) for Family Tax Benefit (FTB) Part A and the primary earner income limit for FTB Part B </w:t>
            </w:r>
            <w:r w:rsidR="00277F5F">
              <w:rPr>
                <w:rFonts w:ascii="Arial" w:hAnsi="Arial"/>
                <w:sz w:val="18"/>
              </w:rPr>
              <w:t>were</w:t>
            </w:r>
            <w:r w:rsidR="00277F5F" w:rsidRPr="00262211">
              <w:rPr>
                <w:rFonts w:ascii="Arial" w:hAnsi="Arial"/>
                <w:sz w:val="18"/>
              </w:rPr>
              <w:t xml:space="preserve"> </w:t>
            </w:r>
            <w:r w:rsidRPr="00262211">
              <w:rPr>
                <w:rFonts w:ascii="Arial" w:hAnsi="Arial"/>
                <w:sz w:val="18"/>
              </w:rPr>
              <w:t xml:space="preserve">maintained for a further three years. </w:t>
            </w:r>
            <w:r w:rsidR="00277F5F">
              <w:rPr>
                <w:rFonts w:ascii="Arial" w:hAnsi="Arial"/>
                <w:sz w:val="18"/>
              </w:rPr>
              <w:t>This was to p</w:t>
            </w:r>
            <w:r w:rsidRPr="00262211">
              <w:rPr>
                <w:rFonts w:ascii="Arial" w:hAnsi="Arial"/>
                <w:sz w:val="18"/>
              </w:rPr>
              <w:t xml:space="preserve">revent indexation of income limits for FTB Part A, FTB Part B and Paid Parental Leave for the three years </w:t>
            </w:r>
            <w:r w:rsidR="00277F5F">
              <w:rPr>
                <w:rFonts w:ascii="Arial" w:hAnsi="Arial"/>
                <w:sz w:val="18"/>
              </w:rPr>
              <w:t xml:space="preserve">including </w:t>
            </w:r>
            <w:r w:rsidRPr="00262211">
              <w:rPr>
                <w:rFonts w:ascii="Arial" w:hAnsi="Arial"/>
                <w:sz w:val="18"/>
              </w:rPr>
              <w:t xml:space="preserve">2017, 2018 and 2019. It </w:t>
            </w:r>
            <w:r w:rsidR="00277F5F">
              <w:rPr>
                <w:rFonts w:ascii="Arial" w:hAnsi="Arial"/>
                <w:sz w:val="18"/>
              </w:rPr>
              <w:t>was</w:t>
            </w:r>
            <w:r w:rsidRPr="00262211">
              <w:rPr>
                <w:rFonts w:ascii="Arial" w:hAnsi="Arial"/>
                <w:sz w:val="18"/>
              </w:rPr>
              <w:t xml:space="preserve"> anticipated that there </w:t>
            </w:r>
            <w:r w:rsidR="00277F5F">
              <w:rPr>
                <w:rFonts w:ascii="Arial" w:hAnsi="Arial"/>
                <w:sz w:val="18"/>
              </w:rPr>
              <w:t>would</w:t>
            </w:r>
            <w:r w:rsidR="00277F5F" w:rsidRPr="00262211">
              <w:rPr>
                <w:rFonts w:ascii="Arial" w:hAnsi="Arial"/>
                <w:sz w:val="18"/>
              </w:rPr>
              <w:t xml:space="preserve"> </w:t>
            </w:r>
            <w:r w:rsidRPr="00262211">
              <w:rPr>
                <w:rFonts w:ascii="Arial" w:hAnsi="Arial"/>
                <w:sz w:val="18"/>
              </w:rPr>
              <w:t>be around 100,000 affected recipients.</w:t>
            </w:r>
          </w:p>
        </w:tc>
      </w:tr>
      <w:tr w:rsidR="006F28AC" w14:paraId="04805AAC" w14:textId="77777777" w:rsidTr="00EB5BD4">
        <w:trPr>
          <w:gridAfter w:val="1"/>
          <w:wAfter w:w="26" w:type="dxa"/>
        </w:trPr>
        <w:tc>
          <w:tcPr>
            <w:cnfStyle w:val="001000000000" w:firstRow="0" w:lastRow="0" w:firstColumn="1" w:lastColumn="0" w:oddVBand="0" w:evenVBand="0" w:oddHBand="0" w:evenHBand="0" w:firstRowFirstColumn="0" w:firstRowLastColumn="0" w:lastRowFirstColumn="0" w:lastRowLastColumn="0"/>
            <w:tcW w:w="3268" w:type="dxa"/>
            <w:gridSpan w:val="2"/>
            <w:hideMark/>
          </w:tcPr>
          <w:p w14:paraId="6CD34F5D" w14:textId="77777777" w:rsidR="006F28AC" w:rsidRPr="00BE7252" w:rsidRDefault="006F28AC">
            <w:pPr>
              <w:pStyle w:val="TableTextSmalltopic"/>
              <w:rPr>
                <w:rFonts w:ascii="Arial" w:hAnsi="Arial"/>
                <w:b/>
                <w:sz w:val="18"/>
              </w:rPr>
            </w:pPr>
            <w:r w:rsidRPr="00BE7252">
              <w:rPr>
                <w:rFonts w:ascii="Arial" w:hAnsi="Arial"/>
                <w:b/>
                <w:sz w:val="18"/>
              </w:rPr>
              <w:t>General interest charge to debts</w:t>
            </w:r>
          </w:p>
          <w:p w14:paraId="01988432" w14:textId="77777777" w:rsidR="006F28AC" w:rsidRPr="00BE7252" w:rsidRDefault="006F28AC">
            <w:pPr>
              <w:pStyle w:val="TableTextSmalltopic"/>
              <w:rPr>
                <w:rFonts w:ascii="Arial" w:hAnsi="Arial"/>
                <w:b/>
                <w:sz w:val="18"/>
              </w:rPr>
            </w:pPr>
            <w:r w:rsidRPr="00BE7252">
              <w:rPr>
                <w:rFonts w:ascii="Arial" w:hAnsi="Arial"/>
                <w:b/>
                <w:sz w:val="18"/>
              </w:rPr>
              <w:t>Budget Savings (Omnibus) Act 2016</w:t>
            </w:r>
          </w:p>
        </w:tc>
        <w:tc>
          <w:tcPr>
            <w:tcW w:w="874" w:type="dxa"/>
            <w:hideMark/>
          </w:tcPr>
          <w:p w14:paraId="53142ABC" w14:textId="77777777" w:rsidR="006F28AC" w:rsidRPr="00262211" w:rsidRDefault="006F28AC">
            <w:pPr>
              <w:pStyle w:val="TableTextSmall"/>
              <w:cnfStyle w:val="000000000000" w:firstRow="0" w:lastRow="0" w:firstColumn="0" w:lastColumn="0" w:oddVBand="0" w:evenVBand="0" w:oddHBand="0" w:evenHBand="0" w:firstRowFirstColumn="0" w:firstRowLastColumn="0" w:lastRowFirstColumn="0" w:lastRowLastColumn="0"/>
              <w:rPr>
                <w:rFonts w:ascii="Arial" w:hAnsi="Arial"/>
                <w:sz w:val="18"/>
              </w:rPr>
            </w:pPr>
            <w:r w:rsidRPr="00262211">
              <w:rPr>
                <w:rFonts w:ascii="Arial" w:hAnsi="Arial"/>
                <w:sz w:val="18"/>
              </w:rPr>
              <w:t>2017</w:t>
            </w:r>
          </w:p>
        </w:tc>
        <w:tc>
          <w:tcPr>
            <w:tcW w:w="4479" w:type="dxa"/>
            <w:gridSpan w:val="2"/>
            <w:hideMark/>
          </w:tcPr>
          <w:p w14:paraId="47B84D75" w14:textId="46B6B6CB" w:rsidR="006F28AC" w:rsidRPr="00262211" w:rsidRDefault="006F28AC" w:rsidP="00277F5F">
            <w:pPr>
              <w:pStyle w:val="TableTextSmall"/>
              <w:cnfStyle w:val="000000000000" w:firstRow="0" w:lastRow="0" w:firstColumn="0" w:lastColumn="0" w:oddVBand="0" w:evenVBand="0" w:oddHBand="0" w:evenHBand="0" w:firstRowFirstColumn="0" w:firstRowLastColumn="0" w:lastRowFirstColumn="0" w:lastRowLastColumn="0"/>
              <w:rPr>
                <w:rFonts w:ascii="Arial" w:hAnsi="Arial"/>
                <w:sz w:val="18"/>
              </w:rPr>
            </w:pPr>
            <w:r w:rsidRPr="00262211">
              <w:rPr>
                <w:rFonts w:ascii="Arial" w:hAnsi="Arial"/>
                <w:sz w:val="18"/>
              </w:rPr>
              <w:t>Introduce</w:t>
            </w:r>
            <w:r w:rsidR="00277F5F">
              <w:rPr>
                <w:rFonts w:ascii="Arial" w:hAnsi="Arial"/>
                <w:sz w:val="18"/>
              </w:rPr>
              <w:t>d</w:t>
            </w:r>
            <w:r w:rsidRPr="00262211">
              <w:rPr>
                <w:rFonts w:ascii="Arial" w:hAnsi="Arial"/>
                <w:sz w:val="18"/>
              </w:rPr>
              <w:t xml:space="preserve"> a new interest charge scheme to former recipients of social welfare payments who have outstanding debts and have failed to enter into, or have not complied with, an acceptable repayment arrangement. The interest charge appl</w:t>
            </w:r>
            <w:r w:rsidR="00277F5F">
              <w:rPr>
                <w:rFonts w:ascii="Arial" w:hAnsi="Arial"/>
                <w:sz w:val="18"/>
              </w:rPr>
              <w:t>ies</w:t>
            </w:r>
            <w:r w:rsidRPr="00262211">
              <w:rPr>
                <w:rFonts w:ascii="Arial" w:hAnsi="Arial"/>
                <w:sz w:val="18"/>
              </w:rPr>
              <w:t xml:space="preserve"> to social security, family assistance (including child care), paid parental leave and student assistance debts.</w:t>
            </w:r>
          </w:p>
        </w:tc>
      </w:tr>
      <w:tr w:rsidR="006F28AC" w14:paraId="2D7CCB77" w14:textId="77777777" w:rsidTr="00EB5BD4">
        <w:trPr>
          <w:gridAfter w:val="1"/>
          <w:cnfStyle w:val="000000100000" w:firstRow="0" w:lastRow="0" w:firstColumn="0" w:lastColumn="0" w:oddVBand="0" w:evenVBand="0" w:oddHBand="1" w:evenHBand="0" w:firstRowFirstColumn="0" w:firstRowLastColumn="0" w:lastRowFirstColumn="0" w:lastRowLastColumn="0"/>
          <w:wAfter w:w="26" w:type="dxa"/>
        </w:trPr>
        <w:tc>
          <w:tcPr>
            <w:cnfStyle w:val="001000000000" w:firstRow="0" w:lastRow="0" w:firstColumn="1" w:lastColumn="0" w:oddVBand="0" w:evenVBand="0" w:oddHBand="0" w:evenHBand="0" w:firstRowFirstColumn="0" w:firstRowLastColumn="0" w:lastRowFirstColumn="0" w:lastRowLastColumn="0"/>
            <w:tcW w:w="3268" w:type="dxa"/>
            <w:gridSpan w:val="2"/>
            <w:hideMark/>
          </w:tcPr>
          <w:p w14:paraId="4B2331CE" w14:textId="77777777" w:rsidR="006F28AC" w:rsidRPr="00BE7252" w:rsidRDefault="006F28AC">
            <w:pPr>
              <w:pStyle w:val="TableTextSmalltopic"/>
              <w:rPr>
                <w:rFonts w:ascii="Arial" w:hAnsi="Arial"/>
                <w:b/>
                <w:sz w:val="18"/>
              </w:rPr>
            </w:pPr>
            <w:r w:rsidRPr="00BE7252">
              <w:rPr>
                <w:rFonts w:ascii="Arial" w:hAnsi="Arial"/>
                <w:b/>
                <w:sz w:val="18"/>
              </w:rPr>
              <w:t>Enhanced Welfare Integrity</w:t>
            </w:r>
          </w:p>
          <w:p w14:paraId="203A83F4" w14:textId="77777777" w:rsidR="006F28AC" w:rsidRPr="00BE7252" w:rsidRDefault="006F28AC">
            <w:pPr>
              <w:pStyle w:val="TableTextSmalltopic"/>
              <w:rPr>
                <w:rFonts w:ascii="Arial" w:hAnsi="Arial"/>
                <w:b/>
                <w:sz w:val="18"/>
              </w:rPr>
            </w:pPr>
            <w:r w:rsidRPr="00BE7252">
              <w:rPr>
                <w:rFonts w:ascii="Arial" w:hAnsi="Arial"/>
                <w:b/>
                <w:sz w:val="18"/>
              </w:rPr>
              <w:lastRenderedPageBreak/>
              <w:t>Budget Savings (Omnibus) Act 2016</w:t>
            </w:r>
          </w:p>
        </w:tc>
        <w:tc>
          <w:tcPr>
            <w:tcW w:w="874" w:type="dxa"/>
            <w:hideMark/>
          </w:tcPr>
          <w:p w14:paraId="7FE4F27E" w14:textId="77777777" w:rsidR="006F28AC" w:rsidRPr="00262211" w:rsidRDefault="006F28AC">
            <w:pPr>
              <w:pStyle w:val="TableTextSmall"/>
              <w:cnfStyle w:val="000000100000" w:firstRow="0" w:lastRow="0" w:firstColumn="0" w:lastColumn="0" w:oddVBand="0" w:evenVBand="0" w:oddHBand="1" w:evenHBand="0" w:firstRowFirstColumn="0" w:firstRowLastColumn="0" w:lastRowFirstColumn="0" w:lastRowLastColumn="0"/>
              <w:rPr>
                <w:rFonts w:ascii="Arial" w:hAnsi="Arial"/>
                <w:sz w:val="18"/>
              </w:rPr>
            </w:pPr>
            <w:r w:rsidRPr="00262211">
              <w:rPr>
                <w:rFonts w:ascii="Arial" w:hAnsi="Arial"/>
                <w:sz w:val="18"/>
              </w:rPr>
              <w:lastRenderedPageBreak/>
              <w:t>2017</w:t>
            </w:r>
          </w:p>
        </w:tc>
        <w:tc>
          <w:tcPr>
            <w:tcW w:w="4479" w:type="dxa"/>
            <w:gridSpan w:val="2"/>
            <w:hideMark/>
          </w:tcPr>
          <w:p w14:paraId="0D37B739" w14:textId="179EFDAE" w:rsidR="006F28AC" w:rsidRPr="00262211" w:rsidRDefault="006F28AC">
            <w:pPr>
              <w:pStyle w:val="TableTextSmall"/>
              <w:cnfStyle w:val="000000100000" w:firstRow="0" w:lastRow="0" w:firstColumn="0" w:lastColumn="0" w:oddVBand="0" w:evenVBand="0" w:oddHBand="1" w:evenHBand="0" w:firstRowFirstColumn="0" w:firstRowLastColumn="0" w:lastRowFirstColumn="0" w:lastRowLastColumn="0"/>
              <w:rPr>
                <w:rFonts w:ascii="Arial" w:hAnsi="Arial"/>
                <w:sz w:val="18"/>
              </w:rPr>
            </w:pPr>
            <w:r w:rsidRPr="00262211">
              <w:rPr>
                <w:rFonts w:ascii="Arial" w:hAnsi="Arial"/>
                <w:sz w:val="18"/>
              </w:rPr>
              <w:t xml:space="preserve">Debt recovery allows departure prohibition orders to prevent targeted debtors from leaving the country. </w:t>
            </w:r>
            <w:r w:rsidR="00277F5F">
              <w:rPr>
                <w:rFonts w:ascii="Arial" w:hAnsi="Arial"/>
                <w:sz w:val="18"/>
              </w:rPr>
              <w:t>It a</w:t>
            </w:r>
            <w:r w:rsidRPr="00262211">
              <w:rPr>
                <w:rFonts w:ascii="Arial" w:hAnsi="Arial"/>
                <w:sz w:val="18"/>
              </w:rPr>
              <w:t xml:space="preserve">lso removes the six-year limitation on recovery of </w:t>
            </w:r>
            <w:r w:rsidRPr="00262211">
              <w:rPr>
                <w:rFonts w:ascii="Arial" w:hAnsi="Arial"/>
                <w:sz w:val="18"/>
              </w:rPr>
              <w:lastRenderedPageBreak/>
              <w:t>welfare debts, in line with arrangements applied by other government agencies.</w:t>
            </w:r>
          </w:p>
        </w:tc>
      </w:tr>
      <w:tr w:rsidR="006F28AC" w14:paraId="603BAEB0" w14:textId="77777777" w:rsidTr="00EB5BD4">
        <w:trPr>
          <w:gridAfter w:val="1"/>
          <w:wAfter w:w="26" w:type="dxa"/>
        </w:trPr>
        <w:tc>
          <w:tcPr>
            <w:cnfStyle w:val="001000000000" w:firstRow="0" w:lastRow="0" w:firstColumn="1" w:lastColumn="0" w:oddVBand="0" w:evenVBand="0" w:oddHBand="0" w:evenHBand="0" w:firstRowFirstColumn="0" w:firstRowLastColumn="0" w:lastRowFirstColumn="0" w:lastRowLastColumn="0"/>
            <w:tcW w:w="3268" w:type="dxa"/>
            <w:gridSpan w:val="2"/>
            <w:hideMark/>
          </w:tcPr>
          <w:p w14:paraId="27967231" w14:textId="77777777" w:rsidR="006F28AC" w:rsidRPr="00BE7252" w:rsidRDefault="006F28AC">
            <w:pPr>
              <w:pStyle w:val="TableTextSmalltopic"/>
              <w:rPr>
                <w:rFonts w:ascii="Arial" w:hAnsi="Arial"/>
                <w:b/>
                <w:sz w:val="18"/>
              </w:rPr>
            </w:pPr>
            <w:r w:rsidRPr="00BE7252">
              <w:rPr>
                <w:rFonts w:ascii="Arial" w:hAnsi="Arial"/>
                <w:b/>
                <w:sz w:val="18"/>
              </w:rPr>
              <w:lastRenderedPageBreak/>
              <w:t>One-off Energy Assistance Payment</w:t>
            </w:r>
          </w:p>
          <w:p w14:paraId="51A79319" w14:textId="77777777" w:rsidR="006F28AC" w:rsidRPr="00BE7252" w:rsidRDefault="006F28AC">
            <w:pPr>
              <w:pStyle w:val="TableTextSmalltopic"/>
              <w:rPr>
                <w:rFonts w:ascii="Arial" w:hAnsi="Arial"/>
                <w:b/>
                <w:sz w:val="18"/>
              </w:rPr>
            </w:pPr>
            <w:r w:rsidRPr="00BE7252">
              <w:rPr>
                <w:rFonts w:ascii="Arial" w:hAnsi="Arial"/>
                <w:b/>
                <w:sz w:val="18"/>
              </w:rPr>
              <w:t>Social Services Legislation Amendment (Energy Assistance Payment &amp; Pensioner Concession Card) Act 2017</w:t>
            </w:r>
          </w:p>
        </w:tc>
        <w:tc>
          <w:tcPr>
            <w:tcW w:w="874" w:type="dxa"/>
            <w:hideMark/>
          </w:tcPr>
          <w:p w14:paraId="24C302FF" w14:textId="77777777" w:rsidR="006F28AC" w:rsidRPr="00262211" w:rsidRDefault="006F28AC">
            <w:pPr>
              <w:pStyle w:val="TableTextSmall"/>
              <w:cnfStyle w:val="000000000000" w:firstRow="0" w:lastRow="0" w:firstColumn="0" w:lastColumn="0" w:oddVBand="0" w:evenVBand="0" w:oddHBand="0" w:evenHBand="0" w:firstRowFirstColumn="0" w:firstRowLastColumn="0" w:lastRowFirstColumn="0" w:lastRowLastColumn="0"/>
              <w:rPr>
                <w:rFonts w:ascii="Arial" w:hAnsi="Arial"/>
                <w:sz w:val="18"/>
              </w:rPr>
            </w:pPr>
            <w:r w:rsidRPr="00262211">
              <w:rPr>
                <w:rFonts w:ascii="Arial" w:hAnsi="Arial"/>
                <w:sz w:val="18"/>
              </w:rPr>
              <w:t>2017</w:t>
            </w:r>
          </w:p>
        </w:tc>
        <w:tc>
          <w:tcPr>
            <w:tcW w:w="4479" w:type="dxa"/>
            <w:gridSpan w:val="2"/>
            <w:hideMark/>
          </w:tcPr>
          <w:p w14:paraId="6856AD1A" w14:textId="77777777" w:rsidR="006F28AC" w:rsidRPr="00262211" w:rsidRDefault="006F28AC">
            <w:pPr>
              <w:pStyle w:val="TableTextSmall"/>
              <w:cnfStyle w:val="000000000000" w:firstRow="0" w:lastRow="0" w:firstColumn="0" w:lastColumn="0" w:oddVBand="0" w:evenVBand="0" w:oddHBand="0" w:evenHBand="0" w:firstRowFirstColumn="0" w:firstRowLastColumn="0" w:lastRowFirstColumn="0" w:lastRowLastColumn="0"/>
              <w:rPr>
                <w:rFonts w:ascii="Arial" w:hAnsi="Arial"/>
                <w:sz w:val="18"/>
              </w:rPr>
            </w:pPr>
            <w:r w:rsidRPr="00262211">
              <w:rPr>
                <w:rFonts w:ascii="Arial" w:hAnsi="Arial"/>
                <w:sz w:val="18"/>
              </w:rPr>
              <w:t>A one-off energy assistance payment made to approximately 3.8 million people.</w:t>
            </w:r>
          </w:p>
        </w:tc>
      </w:tr>
      <w:tr w:rsidR="006F28AC" w14:paraId="526BB19D" w14:textId="77777777" w:rsidTr="00EB5BD4">
        <w:trPr>
          <w:gridAfter w:val="1"/>
          <w:cnfStyle w:val="000000100000" w:firstRow="0" w:lastRow="0" w:firstColumn="0" w:lastColumn="0" w:oddVBand="0" w:evenVBand="0" w:oddHBand="1" w:evenHBand="0" w:firstRowFirstColumn="0" w:firstRowLastColumn="0" w:lastRowFirstColumn="0" w:lastRowLastColumn="0"/>
          <w:wAfter w:w="26" w:type="dxa"/>
        </w:trPr>
        <w:tc>
          <w:tcPr>
            <w:cnfStyle w:val="001000000000" w:firstRow="0" w:lastRow="0" w:firstColumn="1" w:lastColumn="0" w:oddVBand="0" w:evenVBand="0" w:oddHBand="0" w:evenHBand="0" w:firstRowFirstColumn="0" w:firstRowLastColumn="0" w:lastRowFirstColumn="0" w:lastRowLastColumn="0"/>
            <w:tcW w:w="3268" w:type="dxa"/>
            <w:gridSpan w:val="2"/>
            <w:hideMark/>
          </w:tcPr>
          <w:p w14:paraId="6CA97385" w14:textId="77777777" w:rsidR="006F28AC" w:rsidRPr="00BE7252" w:rsidRDefault="006F28AC">
            <w:pPr>
              <w:pStyle w:val="TableTextSmalltopic"/>
              <w:rPr>
                <w:rFonts w:ascii="Arial" w:hAnsi="Arial"/>
                <w:b/>
                <w:sz w:val="18"/>
              </w:rPr>
            </w:pPr>
            <w:r w:rsidRPr="00BE7252">
              <w:rPr>
                <w:rFonts w:ascii="Arial" w:hAnsi="Arial"/>
                <w:b/>
                <w:sz w:val="18"/>
              </w:rPr>
              <w:t>Fee Cap for Grandparent Child Care Benefit (GCCB) or Special Child Care Benefit (SCCB)</w:t>
            </w:r>
          </w:p>
          <w:p w14:paraId="3BC1B080" w14:textId="77777777" w:rsidR="006F28AC" w:rsidRPr="00BE7252" w:rsidRDefault="006F28AC">
            <w:pPr>
              <w:pStyle w:val="TableTextSmalltopic"/>
              <w:rPr>
                <w:rFonts w:ascii="Arial" w:hAnsi="Arial"/>
                <w:b/>
                <w:sz w:val="18"/>
              </w:rPr>
            </w:pPr>
            <w:r w:rsidRPr="00BE7252">
              <w:rPr>
                <w:rFonts w:ascii="Arial" w:hAnsi="Arial"/>
                <w:b/>
                <w:sz w:val="18"/>
              </w:rPr>
              <w:t>Child Care Benefit (Session of Care) Amendment Determination 2017</w:t>
            </w:r>
          </w:p>
        </w:tc>
        <w:tc>
          <w:tcPr>
            <w:tcW w:w="874" w:type="dxa"/>
            <w:hideMark/>
          </w:tcPr>
          <w:p w14:paraId="109CE9A8" w14:textId="77777777" w:rsidR="006F28AC" w:rsidRPr="00262211" w:rsidRDefault="006F28AC">
            <w:pPr>
              <w:pStyle w:val="TableTextSmall"/>
              <w:cnfStyle w:val="000000100000" w:firstRow="0" w:lastRow="0" w:firstColumn="0" w:lastColumn="0" w:oddVBand="0" w:evenVBand="0" w:oddHBand="1" w:evenHBand="0" w:firstRowFirstColumn="0" w:firstRowLastColumn="0" w:lastRowFirstColumn="0" w:lastRowLastColumn="0"/>
              <w:rPr>
                <w:rFonts w:ascii="Arial" w:hAnsi="Arial"/>
                <w:sz w:val="18"/>
              </w:rPr>
            </w:pPr>
            <w:r w:rsidRPr="00262211">
              <w:rPr>
                <w:rFonts w:ascii="Arial" w:hAnsi="Arial"/>
                <w:sz w:val="18"/>
              </w:rPr>
              <w:t>2017</w:t>
            </w:r>
          </w:p>
        </w:tc>
        <w:tc>
          <w:tcPr>
            <w:tcW w:w="4479" w:type="dxa"/>
            <w:gridSpan w:val="2"/>
            <w:hideMark/>
          </w:tcPr>
          <w:p w14:paraId="6EBC8C9F" w14:textId="77777777" w:rsidR="006F28AC" w:rsidRPr="00262211" w:rsidRDefault="006F28AC">
            <w:pPr>
              <w:pStyle w:val="TableTextSmall"/>
              <w:cnfStyle w:val="000000100000" w:firstRow="0" w:lastRow="0" w:firstColumn="0" w:lastColumn="0" w:oddVBand="0" w:evenVBand="0" w:oddHBand="1" w:evenHBand="0" w:firstRowFirstColumn="0" w:firstRowLastColumn="0" w:lastRowFirstColumn="0" w:lastRowLastColumn="0"/>
              <w:rPr>
                <w:rFonts w:ascii="Arial" w:hAnsi="Arial"/>
                <w:sz w:val="18"/>
              </w:rPr>
            </w:pPr>
            <w:r w:rsidRPr="00262211">
              <w:rPr>
                <w:rFonts w:ascii="Arial" w:hAnsi="Arial"/>
                <w:sz w:val="18"/>
              </w:rPr>
              <w:t>Child care provided by an approved Family Day Care service is no longer a 'session of care' for Grandparent Child Care Benefit (GCCB) or Special Child Care Benefit (SCCB) purposes where reported fees involve amounts for which no individual has incurred a genuine liability, or the reported fees exceed a maximum amount of $12.67 per hour (indexed to $12.84 on 1 July 2017).</w:t>
            </w:r>
          </w:p>
        </w:tc>
      </w:tr>
      <w:tr w:rsidR="006F28AC" w14:paraId="5093D7FC" w14:textId="77777777" w:rsidTr="00EB5BD4">
        <w:trPr>
          <w:gridAfter w:val="1"/>
          <w:wAfter w:w="26" w:type="dxa"/>
        </w:trPr>
        <w:tc>
          <w:tcPr>
            <w:cnfStyle w:val="001000000000" w:firstRow="0" w:lastRow="0" w:firstColumn="1" w:lastColumn="0" w:oddVBand="0" w:evenVBand="0" w:oddHBand="0" w:evenHBand="0" w:firstRowFirstColumn="0" w:firstRowLastColumn="0" w:lastRowFirstColumn="0" w:lastRowLastColumn="0"/>
            <w:tcW w:w="3268" w:type="dxa"/>
            <w:gridSpan w:val="2"/>
            <w:hideMark/>
          </w:tcPr>
          <w:p w14:paraId="0889A5A3" w14:textId="77777777" w:rsidR="006F28AC" w:rsidRPr="00BE7252" w:rsidRDefault="006F28AC">
            <w:pPr>
              <w:pStyle w:val="TableTextSmalltopic"/>
              <w:rPr>
                <w:rFonts w:ascii="Arial" w:hAnsi="Arial"/>
                <w:b/>
                <w:sz w:val="18"/>
              </w:rPr>
            </w:pPr>
            <w:r w:rsidRPr="00BE7252">
              <w:rPr>
                <w:rFonts w:ascii="Arial" w:hAnsi="Arial"/>
                <w:b/>
                <w:sz w:val="18"/>
              </w:rPr>
              <w:t>Age Limit for Child Care Benefit</w:t>
            </w:r>
          </w:p>
          <w:p w14:paraId="23A40A46" w14:textId="77777777" w:rsidR="006F28AC" w:rsidRPr="00BE7252" w:rsidRDefault="006F28AC">
            <w:pPr>
              <w:pStyle w:val="TableTextSmalltopic"/>
              <w:rPr>
                <w:rFonts w:ascii="Arial" w:hAnsi="Arial"/>
                <w:b/>
                <w:sz w:val="18"/>
              </w:rPr>
            </w:pPr>
            <w:r w:rsidRPr="00BE7252">
              <w:rPr>
                <w:rFonts w:ascii="Arial" w:hAnsi="Arial"/>
                <w:b/>
                <w:sz w:val="18"/>
              </w:rPr>
              <w:t>Child Care Benefit (Children in respect of whom no-one is eligible) Amendment Determination 2017</w:t>
            </w:r>
          </w:p>
        </w:tc>
        <w:tc>
          <w:tcPr>
            <w:tcW w:w="874" w:type="dxa"/>
            <w:hideMark/>
          </w:tcPr>
          <w:p w14:paraId="672AF1C6" w14:textId="77777777" w:rsidR="006F28AC" w:rsidRPr="00262211" w:rsidRDefault="006F28AC">
            <w:pPr>
              <w:pStyle w:val="TableTextSmall"/>
              <w:cnfStyle w:val="000000000000" w:firstRow="0" w:lastRow="0" w:firstColumn="0" w:lastColumn="0" w:oddVBand="0" w:evenVBand="0" w:oddHBand="0" w:evenHBand="0" w:firstRowFirstColumn="0" w:firstRowLastColumn="0" w:lastRowFirstColumn="0" w:lastRowLastColumn="0"/>
              <w:rPr>
                <w:rFonts w:ascii="Arial" w:hAnsi="Arial"/>
                <w:sz w:val="18"/>
              </w:rPr>
            </w:pPr>
            <w:r w:rsidRPr="00262211">
              <w:rPr>
                <w:rFonts w:ascii="Arial" w:hAnsi="Arial"/>
                <w:sz w:val="18"/>
              </w:rPr>
              <w:t>2017</w:t>
            </w:r>
          </w:p>
        </w:tc>
        <w:tc>
          <w:tcPr>
            <w:tcW w:w="4479" w:type="dxa"/>
            <w:gridSpan w:val="2"/>
            <w:hideMark/>
          </w:tcPr>
          <w:p w14:paraId="758A2AAB" w14:textId="4976B010" w:rsidR="006F28AC" w:rsidRPr="00262211" w:rsidRDefault="006F28AC">
            <w:pPr>
              <w:pStyle w:val="TableTextSmall"/>
              <w:cnfStyle w:val="000000000000" w:firstRow="0" w:lastRow="0" w:firstColumn="0" w:lastColumn="0" w:oddVBand="0" w:evenVBand="0" w:oddHBand="0" w:evenHBand="0" w:firstRowFirstColumn="0" w:firstRowLastColumn="0" w:lastRowFirstColumn="0" w:lastRowLastColumn="0"/>
              <w:rPr>
                <w:rFonts w:ascii="Arial" w:hAnsi="Arial"/>
                <w:sz w:val="18"/>
              </w:rPr>
            </w:pPr>
            <w:r w:rsidRPr="00262211">
              <w:rPr>
                <w:rFonts w:ascii="Arial" w:hAnsi="Arial"/>
                <w:sz w:val="18"/>
              </w:rPr>
              <w:t>Introduce</w:t>
            </w:r>
            <w:r w:rsidR="00277F5F">
              <w:rPr>
                <w:rFonts w:ascii="Arial" w:hAnsi="Arial"/>
                <w:sz w:val="18"/>
              </w:rPr>
              <w:t>d</w:t>
            </w:r>
            <w:r w:rsidRPr="00262211">
              <w:rPr>
                <w:rFonts w:ascii="Arial" w:hAnsi="Arial"/>
                <w:sz w:val="18"/>
              </w:rPr>
              <w:t xml:space="preserve"> restriction so that no one is eligible for child care fee assistance for Family Day Care provided to either an individual who has turned 18; or a child aged 14 years or older, or who attends secondary school, unless specific circumstances apply.</w:t>
            </w:r>
          </w:p>
        </w:tc>
      </w:tr>
      <w:tr w:rsidR="006F28AC" w14:paraId="7764361F" w14:textId="77777777" w:rsidTr="00EB5BD4">
        <w:trPr>
          <w:gridAfter w:val="1"/>
          <w:cnfStyle w:val="000000100000" w:firstRow="0" w:lastRow="0" w:firstColumn="0" w:lastColumn="0" w:oddVBand="0" w:evenVBand="0" w:oddHBand="1" w:evenHBand="0" w:firstRowFirstColumn="0" w:firstRowLastColumn="0" w:lastRowFirstColumn="0" w:lastRowLastColumn="0"/>
          <w:wAfter w:w="26" w:type="dxa"/>
        </w:trPr>
        <w:tc>
          <w:tcPr>
            <w:cnfStyle w:val="001000000000" w:firstRow="0" w:lastRow="0" w:firstColumn="1" w:lastColumn="0" w:oddVBand="0" w:evenVBand="0" w:oddHBand="0" w:evenHBand="0" w:firstRowFirstColumn="0" w:firstRowLastColumn="0" w:lastRowFirstColumn="0" w:lastRowLastColumn="0"/>
            <w:tcW w:w="3268" w:type="dxa"/>
            <w:gridSpan w:val="2"/>
            <w:hideMark/>
          </w:tcPr>
          <w:p w14:paraId="52D1ADBF" w14:textId="77777777" w:rsidR="006F28AC" w:rsidRPr="00BE7252" w:rsidRDefault="006F28AC">
            <w:pPr>
              <w:pStyle w:val="TableTextSmalltopic"/>
              <w:rPr>
                <w:rFonts w:ascii="Arial" w:hAnsi="Arial"/>
                <w:b/>
                <w:sz w:val="18"/>
              </w:rPr>
            </w:pPr>
            <w:r w:rsidRPr="00BE7252">
              <w:rPr>
                <w:rFonts w:ascii="Arial" w:hAnsi="Arial"/>
                <w:b/>
                <w:sz w:val="18"/>
              </w:rPr>
              <w:t>Parental Income Test and family pool arrangements for Youth Allowance and ABSTUDY</w:t>
            </w:r>
          </w:p>
          <w:p w14:paraId="51035200" w14:textId="77777777" w:rsidR="006F28AC" w:rsidRPr="00BE7252" w:rsidRDefault="006F28AC">
            <w:pPr>
              <w:pStyle w:val="TableTextSmalltopic"/>
              <w:rPr>
                <w:rFonts w:ascii="Arial" w:hAnsi="Arial"/>
                <w:b/>
                <w:sz w:val="18"/>
              </w:rPr>
            </w:pPr>
            <w:r w:rsidRPr="00BE7252">
              <w:rPr>
                <w:rFonts w:ascii="Arial" w:hAnsi="Arial"/>
                <w:b/>
                <w:sz w:val="18"/>
              </w:rPr>
              <w:t>Social Services Legislation Amendment (More Generous Means Testing For Youth Payments) Act 2015</w:t>
            </w:r>
          </w:p>
        </w:tc>
        <w:tc>
          <w:tcPr>
            <w:tcW w:w="874" w:type="dxa"/>
            <w:hideMark/>
          </w:tcPr>
          <w:p w14:paraId="076DAD22" w14:textId="77777777" w:rsidR="006F28AC" w:rsidRPr="00262211" w:rsidRDefault="006F28AC">
            <w:pPr>
              <w:pStyle w:val="TableTextSmall"/>
              <w:cnfStyle w:val="000000100000" w:firstRow="0" w:lastRow="0" w:firstColumn="0" w:lastColumn="0" w:oddVBand="0" w:evenVBand="0" w:oddHBand="1" w:evenHBand="0" w:firstRowFirstColumn="0" w:firstRowLastColumn="0" w:lastRowFirstColumn="0" w:lastRowLastColumn="0"/>
              <w:rPr>
                <w:rFonts w:ascii="Arial" w:hAnsi="Arial"/>
                <w:sz w:val="18"/>
              </w:rPr>
            </w:pPr>
            <w:r w:rsidRPr="00262211">
              <w:rPr>
                <w:rFonts w:ascii="Arial" w:hAnsi="Arial"/>
                <w:sz w:val="18"/>
              </w:rPr>
              <w:t>2017</w:t>
            </w:r>
          </w:p>
        </w:tc>
        <w:tc>
          <w:tcPr>
            <w:tcW w:w="4479" w:type="dxa"/>
            <w:gridSpan w:val="2"/>
            <w:hideMark/>
          </w:tcPr>
          <w:p w14:paraId="1597B0BE" w14:textId="4A0DC23B" w:rsidR="006F28AC" w:rsidRPr="00262211" w:rsidRDefault="006F28AC" w:rsidP="008202A1">
            <w:pPr>
              <w:pStyle w:val="TableTextSmall"/>
              <w:cnfStyle w:val="000000100000" w:firstRow="0" w:lastRow="0" w:firstColumn="0" w:lastColumn="0" w:oddVBand="0" w:evenVBand="0" w:oddHBand="1" w:evenHBand="0" w:firstRowFirstColumn="0" w:firstRowLastColumn="0" w:lastRowFirstColumn="0" w:lastRowLastColumn="0"/>
              <w:rPr>
                <w:rFonts w:ascii="Arial" w:hAnsi="Arial"/>
                <w:sz w:val="18"/>
              </w:rPr>
            </w:pPr>
            <w:r w:rsidRPr="00262211">
              <w:rPr>
                <w:rFonts w:ascii="Arial" w:hAnsi="Arial"/>
                <w:sz w:val="18"/>
              </w:rPr>
              <w:t xml:space="preserve">Parental Income Test and family pool arrangements for Youth Allowance and ABSTUDY take into account all dependent siblings in the family aged 0-19, who meet the definition of a Family Tax Benefit child. Around 13,700 families with dependent children in both the Family Tax Benefit Part A and youth systems </w:t>
            </w:r>
            <w:r w:rsidR="00277F5F">
              <w:rPr>
                <w:rFonts w:ascii="Arial" w:hAnsi="Arial"/>
                <w:sz w:val="18"/>
              </w:rPr>
              <w:t>became</w:t>
            </w:r>
            <w:r w:rsidRPr="00262211">
              <w:rPr>
                <w:rFonts w:ascii="Arial" w:hAnsi="Arial"/>
                <w:sz w:val="18"/>
              </w:rPr>
              <w:t xml:space="preserve"> eligible for an average increase in payment of $43 per fortnight ($1,118 per annum). Around 5,800 families, who miss</w:t>
            </w:r>
            <w:r w:rsidR="008202A1">
              <w:rPr>
                <w:rFonts w:ascii="Arial" w:hAnsi="Arial"/>
                <w:sz w:val="18"/>
              </w:rPr>
              <w:t>ed</w:t>
            </w:r>
            <w:r w:rsidRPr="00262211">
              <w:rPr>
                <w:rFonts w:ascii="Arial" w:hAnsi="Arial"/>
                <w:sz w:val="18"/>
              </w:rPr>
              <w:t xml:space="preserve"> out on payments due to the higher taper rates, </w:t>
            </w:r>
            <w:r w:rsidR="008202A1">
              <w:rPr>
                <w:rFonts w:ascii="Arial" w:hAnsi="Arial"/>
                <w:sz w:val="18"/>
              </w:rPr>
              <w:t>became</w:t>
            </w:r>
            <w:r w:rsidRPr="00262211">
              <w:rPr>
                <w:rFonts w:ascii="Arial" w:hAnsi="Arial"/>
                <w:sz w:val="18"/>
              </w:rPr>
              <w:t xml:space="preserve"> eligible for an average payment of around $50 per fortnight ($1,300 per annum).</w:t>
            </w:r>
          </w:p>
        </w:tc>
      </w:tr>
      <w:tr w:rsidR="006F28AC" w14:paraId="0195B983" w14:textId="77777777" w:rsidTr="00EB5BD4">
        <w:trPr>
          <w:gridAfter w:val="1"/>
          <w:wAfter w:w="26" w:type="dxa"/>
        </w:trPr>
        <w:tc>
          <w:tcPr>
            <w:cnfStyle w:val="001000000000" w:firstRow="0" w:lastRow="0" w:firstColumn="1" w:lastColumn="0" w:oddVBand="0" w:evenVBand="0" w:oddHBand="0" w:evenHBand="0" w:firstRowFirstColumn="0" w:firstRowLastColumn="0" w:lastRowFirstColumn="0" w:lastRowLastColumn="0"/>
            <w:tcW w:w="3268" w:type="dxa"/>
            <w:gridSpan w:val="2"/>
            <w:hideMark/>
          </w:tcPr>
          <w:p w14:paraId="5A7D3FF1" w14:textId="650961AD" w:rsidR="006F28AC" w:rsidRPr="00BE7252" w:rsidRDefault="006F28AC">
            <w:pPr>
              <w:pStyle w:val="TableTextSmalltopic"/>
              <w:rPr>
                <w:rFonts w:ascii="Arial" w:hAnsi="Arial"/>
                <w:b/>
                <w:sz w:val="18"/>
              </w:rPr>
            </w:pPr>
            <w:r w:rsidRPr="00BE7252">
              <w:rPr>
                <w:rFonts w:ascii="Arial" w:hAnsi="Arial"/>
                <w:b/>
                <w:sz w:val="18"/>
              </w:rPr>
              <w:t xml:space="preserve">Qualifying age for the </w:t>
            </w:r>
            <w:r w:rsidR="001F0FCC" w:rsidRPr="00BE7252">
              <w:rPr>
                <w:rFonts w:ascii="Arial" w:hAnsi="Arial"/>
                <w:b/>
                <w:sz w:val="18"/>
              </w:rPr>
              <w:t>Age Pension</w:t>
            </w:r>
          </w:p>
          <w:p w14:paraId="120AE3FC" w14:textId="77777777" w:rsidR="006F28AC" w:rsidRPr="00BE7252" w:rsidRDefault="006F28AC">
            <w:pPr>
              <w:pStyle w:val="TableTextSmalltopic"/>
              <w:rPr>
                <w:rFonts w:ascii="Arial" w:hAnsi="Arial"/>
                <w:b/>
                <w:sz w:val="18"/>
              </w:rPr>
            </w:pPr>
            <w:r w:rsidRPr="00BE7252">
              <w:rPr>
                <w:rFonts w:ascii="Arial" w:hAnsi="Arial"/>
                <w:b/>
                <w:sz w:val="18"/>
              </w:rPr>
              <w:t>Social Security and Other Legislation Amendment (Pension Reform and Other 2009 Budget Measures)</w:t>
            </w:r>
          </w:p>
        </w:tc>
        <w:tc>
          <w:tcPr>
            <w:tcW w:w="874" w:type="dxa"/>
            <w:hideMark/>
          </w:tcPr>
          <w:p w14:paraId="46D8EF72" w14:textId="0CE1297A" w:rsidR="006F28AC" w:rsidRPr="00262211" w:rsidRDefault="006F28AC">
            <w:pPr>
              <w:pStyle w:val="TableTextSmall"/>
              <w:cnfStyle w:val="000000000000" w:firstRow="0" w:lastRow="0" w:firstColumn="0" w:lastColumn="0" w:oddVBand="0" w:evenVBand="0" w:oddHBand="0" w:evenHBand="0" w:firstRowFirstColumn="0" w:firstRowLastColumn="0" w:lastRowFirstColumn="0" w:lastRowLastColumn="0"/>
              <w:rPr>
                <w:rFonts w:ascii="Arial" w:hAnsi="Arial"/>
                <w:sz w:val="18"/>
              </w:rPr>
            </w:pPr>
            <w:r w:rsidRPr="00262211">
              <w:rPr>
                <w:rFonts w:ascii="Arial" w:hAnsi="Arial"/>
                <w:sz w:val="18"/>
              </w:rPr>
              <w:t>201</w:t>
            </w:r>
            <w:r w:rsidR="000E1030">
              <w:rPr>
                <w:rFonts w:ascii="Arial" w:hAnsi="Arial"/>
                <w:sz w:val="18"/>
              </w:rPr>
              <w:t>7</w:t>
            </w:r>
          </w:p>
        </w:tc>
        <w:tc>
          <w:tcPr>
            <w:tcW w:w="4479" w:type="dxa"/>
            <w:gridSpan w:val="2"/>
            <w:hideMark/>
          </w:tcPr>
          <w:p w14:paraId="0B66CB66" w14:textId="3500F135" w:rsidR="006F28AC" w:rsidRPr="00262211" w:rsidRDefault="006F28AC" w:rsidP="008202A1">
            <w:pPr>
              <w:pStyle w:val="TableTextSmall"/>
              <w:cnfStyle w:val="000000000000" w:firstRow="0" w:lastRow="0" w:firstColumn="0" w:lastColumn="0" w:oddVBand="0" w:evenVBand="0" w:oddHBand="0" w:evenHBand="0" w:firstRowFirstColumn="0" w:firstRowLastColumn="0" w:lastRowFirstColumn="0" w:lastRowLastColumn="0"/>
              <w:rPr>
                <w:rFonts w:ascii="Arial" w:hAnsi="Arial"/>
                <w:sz w:val="18"/>
              </w:rPr>
            </w:pPr>
            <w:r w:rsidRPr="00262211">
              <w:rPr>
                <w:rFonts w:ascii="Arial" w:hAnsi="Arial"/>
                <w:sz w:val="18"/>
              </w:rPr>
              <w:t xml:space="preserve">The </w:t>
            </w:r>
            <w:r w:rsidR="001F0FCC">
              <w:rPr>
                <w:rFonts w:ascii="Arial" w:hAnsi="Arial"/>
                <w:sz w:val="18"/>
              </w:rPr>
              <w:t>Age Pension</w:t>
            </w:r>
            <w:r w:rsidRPr="00262211">
              <w:rPr>
                <w:rFonts w:ascii="Arial" w:hAnsi="Arial"/>
                <w:sz w:val="18"/>
              </w:rPr>
              <w:t xml:space="preserve"> age </w:t>
            </w:r>
            <w:r w:rsidR="008202A1">
              <w:rPr>
                <w:rFonts w:ascii="Arial" w:hAnsi="Arial"/>
                <w:sz w:val="18"/>
              </w:rPr>
              <w:t>was</w:t>
            </w:r>
            <w:r w:rsidRPr="00262211">
              <w:rPr>
                <w:rFonts w:ascii="Arial" w:hAnsi="Arial"/>
                <w:sz w:val="18"/>
              </w:rPr>
              <w:t xml:space="preserve"> increased from age 65 to age 67, at a rate of six months every two years, beginning in 2017.</w:t>
            </w:r>
          </w:p>
        </w:tc>
      </w:tr>
      <w:tr w:rsidR="006F28AC" w14:paraId="0E6EACC9" w14:textId="77777777" w:rsidTr="00EB5BD4">
        <w:trPr>
          <w:gridAfter w:val="1"/>
          <w:cnfStyle w:val="000000100000" w:firstRow="0" w:lastRow="0" w:firstColumn="0" w:lastColumn="0" w:oddVBand="0" w:evenVBand="0" w:oddHBand="1" w:evenHBand="0" w:firstRowFirstColumn="0" w:firstRowLastColumn="0" w:lastRowFirstColumn="0" w:lastRowLastColumn="0"/>
          <w:wAfter w:w="26" w:type="dxa"/>
        </w:trPr>
        <w:tc>
          <w:tcPr>
            <w:cnfStyle w:val="001000000000" w:firstRow="0" w:lastRow="0" w:firstColumn="1" w:lastColumn="0" w:oddVBand="0" w:evenVBand="0" w:oddHBand="0" w:evenHBand="0" w:firstRowFirstColumn="0" w:firstRowLastColumn="0" w:lastRowFirstColumn="0" w:lastRowLastColumn="0"/>
            <w:tcW w:w="3268" w:type="dxa"/>
            <w:gridSpan w:val="2"/>
            <w:hideMark/>
          </w:tcPr>
          <w:p w14:paraId="67FA8591" w14:textId="77777777" w:rsidR="006F28AC" w:rsidRPr="00BE7252" w:rsidRDefault="006F28AC">
            <w:pPr>
              <w:pStyle w:val="TableTextSmall"/>
              <w:rPr>
                <w:rFonts w:ascii="Arial" w:hAnsi="Arial"/>
                <w:sz w:val="18"/>
              </w:rPr>
            </w:pPr>
            <w:r w:rsidRPr="00BE7252">
              <w:rPr>
                <w:rFonts w:ascii="Arial" w:hAnsi="Arial"/>
                <w:sz w:val="18"/>
              </w:rPr>
              <w:t>Income Limit for FTB Part A Supplement</w:t>
            </w:r>
          </w:p>
          <w:p w14:paraId="10E3079D" w14:textId="77777777" w:rsidR="006F28AC" w:rsidRPr="00BE7252" w:rsidRDefault="006F28AC">
            <w:pPr>
              <w:pStyle w:val="TableTextSmalltopic"/>
              <w:rPr>
                <w:rFonts w:ascii="Arial" w:hAnsi="Arial"/>
                <w:b/>
                <w:sz w:val="18"/>
              </w:rPr>
            </w:pPr>
            <w:r w:rsidRPr="00BE7252">
              <w:rPr>
                <w:rFonts w:ascii="Arial" w:hAnsi="Arial"/>
                <w:b/>
                <w:sz w:val="18"/>
              </w:rPr>
              <w:t>Budget Savings (Omnibus) Act 2016</w:t>
            </w:r>
          </w:p>
        </w:tc>
        <w:tc>
          <w:tcPr>
            <w:tcW w:w="874" w:type="dxa"/>
            <w:hideMark/>
          </w:tcPr>
          <w:p w14:paraId="70A7BB3E" w14:textId="00324777" w:rsidR="006F28AC" w:rsidRPr="00262211" w:rsidRDefault="006F28AC">
            <w:pPr>
              <w:pStyle w:val="TableTextSmall"/>
              <w:cnfStyle w:val="000000100000" w:firstRow="0" w:lastRow="0" w:firstColumn="0" w:lastColumn="0" w:oddVBand="0" w:evenVBand="0" w:oddHBand="1" w:evenHBand="0" w:firstRowFirstColumn="0" w:firstRowLastColumn="0" w:lastRowFirstColumn="0" w:lastRowLastColumn="0"/>
              <w:rPr>
                <w:rFonts w:ascii="Arial" w:hAnsi="Arial"/>
                <w:sz w:val="18"/>
              </w:rPr>
            </w:pPr>
            <w:r w:rsidRPr="00262211">
              <w:rPr>
                <w:rFonts w:ascii="Arial" w:hAnsi="Arial"/>
                <w:sz w:val="18"/>
              </w:rPr>
              <w:t>201</w:t>
            </w:r>
            <w:r w:rsidR="00A23A15">
              <w:rPr>
                <w:rFonts w:ascii="Arial" w:hAnsi="Arial"/>
                <w:sz w:val="18"/>
              </w:rPr>
              <w:t>7</w:t>
            </w:r>
          </w:p>
        </w:tc>
        <w:tc>
          <w:tcPr>
            <w:tcW w:w="4479" w:type="dxa"/>
            <w:gridSpan w:val="2"/>
            <w:hideMark/>
          </w:tcPr>
          <w:p w14:paraId="6DC735FA" w14:textId="23EC3F1A" w:rsidR="006F28AC" w:rsidRPr="00262211" w:rsidRDefault="006F28AC">
            <w:pPr>
              <w:pStyle w:val="TableTextSmall"/>
              <w:cnfStyle w:val="000000100000" w:firstRow="0" w:lastRow="0" w:firstColumn="0" w:lastColumn="0" w:oddVBand="0" w:evenVBand="0" w:oddHBand="1" w:evenHBand="0" w:firstRowFirstColumn="0" w:firstRowLastColumn="0" w:lastRowFirstColumn="0" w:lastRowLastColumn="0"/>
              <w:rPr>
                <w:rFonts w:ascii="Arial" w:hAnsi="Arial"/>
                <w:sz w:val="18"/>
              </w:rPr>
            </w:pPr>
            <w:r w:rsidRPr="00262211">
              <w:rPr>
                <w:rFonts w:ascii="Arial" w:hAnsi="Arial"/>
                <w:sz w:val="18"/>
              </w:rPr>
              <w:t>Introduce</w:t>
            </w:r>
            <w:r w:rsidR="008202A1">
              <w:rPr>
                <w:rFonts w:ascii="Arial" w:hAnsi="Arial"/>
                <w:sz w:val="18"/>
              </w:rPr>
              <w:t>d</w:t>
            </w:r>
            <w:r w:rsidRPr="00262211">
              <w:rPr>
                <w:rFonts w:ascii="Arial" w:hAnsi="Arial"/>
                <w:sz w:val="18"/>
              </w:rPr>
              <w:t xml:space="preserve"> an income limit of $80,000 on payment of the Family Tax Benefit (FTB) Part A supplement, commencing from the 2016-17 income year. If an individual’s adjusted taxable income (which includes the adjusted taxable income of their partner if any) is more than $80,000 for the relevant income year, then the individual’s FTB Part A supplement in relation to that year will be nil.</w:t>
            </w:r>
          </w:p>
        </w:tc>
      </w:tr>
      <w:tr w:rsidR="006F28AC" w14:paraId="3DCA5DF6" w14:textId="77777777" w:rsidTr="00EB5BD4">
        <w:trPr>
          <w:gridAfter w:val="1"/>
          <w:wAfter w:w="26" w:type="dxa"/>
        </w:trPr>
        <w:tc>
          <w:tcPr>
            <w:cnfStyle w:val="001000000000" w:firstRow="0" w:lastRow="0" w:firstColumn="1" w:lastColumn="0" w:oddVBand="0" w:evenVBand="0" w:oddHBand="0" w:evenHBand="0" w:firstRowFirstColumn="0" w:firstRowLastColumn="0" w:lastRowFirstColumn="0" w:lastRowLastColumn="0"/>
            <w:tcW w:w="3268" w:type="dxa"/>
            <w:gridSpan w:val="2"/>
            <w:hideMark/>
          </w:tcPr>
          <w:p w14:paraId="46E76353" w14:textId="77777777" w:rsidR="006F28AC" w:rsidRPr="00BE7252" w:rsidRDefault="006F28AC">
            <w:pPr>
              <w:pStyle w:val="TableTextSmall"/>
              <w:rPr>
                <w:rFonts w:ascii="Arial" w:hAnsi="Arial"/>
                <w:sz w:val="18"/>
              </w:rPr>
            </w:pPr>
            <w:r w:rsidRPr="00BE7252">
              <w:rPr>
                <w:rFonts w:ascii="Arial" w:hAnsi="Arial"/>
                <w:sz w:val="18"/>
              </w:rPr>
              <w:t>Closing Carbon Tax Compensation</w:t>
            </w:r>
          </w:p>
          <w:p w14:paraId="35DA4BDB" w14:textId="77777777" w:rsidR="006F28AC" w:rsidRPr="00BE7252" w:rsidRDefault="006F28AC">
            <w:pPr>
              <w:pStyle w:val="TableTextSmalltopic"/>
              <w:rPr>
                <w:rFonts w:ascii="Arial" w:hAnsi="Arial"/>
                <w:b/>
                <w:sz w:val="18"/>
              </w:rPr>
            </w:pPr>
            <w:r w:rsidRPr="00BE7252">
              <w:rPr>
                <w:rFonts w:ascii="Arial" w:hAnsi="Arial"/>
                <w:b/>
                <w:sz w:val="18"/>
              </w:rPr>
              <w:t>Budget Savings (Omnibus) Act 2016</w:t>
            </w:r>
          </w:p>
        </w:tc>
        <w:tc>
          <w:tcPr>
            <w:tcW w:w="874" w:type="dxa"/>
            <w:hideMark/>
          </w:tcPr>
          <w:p w14:paraId="129CEF32" w14:textId="393D9BFE" w:rsidR="006F28AC" w:rsidRPr="00262211" w:rsidRDefault="006F28AC">
            <w:pPr>
              <w:pStyle w:val="TableTextSmall"/>
              <w:cnfStyle w:val="000000000000" w:firstRow="0" w:lastRow="0" w:firstColumn="0" w:lastColumn="0" w:oddVBand="0" w:evenVBand="0" w:oddHBand="0" w:evenHBand="0" w:firstRowFirstColumn="0" w:firstRowLastColumn="0" w:lastRowFirstColumn="0" w:lastRowLastColumn="0"/>
              <w:rPr>
                <w:rFonts w:ascii="Arial" w:hAnsi="Arial"/>
                <w:sz w:val="18"/>
              </w:rPr>
            </w:pPr>
            <w:r w:rsidRPr="00262211">
              <w:rPr>
                <w:rFonts w:ascii="Arial" w:hAnsi="Arial"/>
                <w:sz w:val="18"/>
              </w:rPr>
              <w:t>201</w:t>
            </w:r>
            <w:r w:rsidR="000E1030">
              <w:rPr>
                <w:rFonts w:ascii="Arial" w:hAnsi="Arial"/>
                <w:sz w:val="18"/>
              </w:rPr>
              <w:t>7</w:t>
            </w:r>
          </w:p>
        </w:tc>
        <w:tc>
          <w:tcPr>
            <w:tcW w:w="4479" w:type="dxa"/>
            <w:gridSpan w:val="2"/>
            <w:hideMark/>
          </w:tcPr>
          <w:p w14:paraId="29911474" w14:textId="691A8900" w:rsidR="006F28AC" w:rsidRPr="00262211" w:rsidRDefault="006F28AC" w:rsidP="008202A1">
            <w:pPr>
              <w:pStyle w:val="TableTextSmall"/>
              <w:cnfStyle w:val="000000000000" w:firstRow="0" w:lastRow="0" w:firstColumn="0" w:lastColumn="0" w:oddVBand="0" w:evenVBand="0" w:oddHBand="0" w:evenHBand="0" w:firstRowFirstColumn="0" w:firstRowLastColumn="0" w:lastRowFirstColumn="0" w:lastRowLastColumn="0"/>
              <w:rPr>
                <w:rFonts w:ascii="Arial" w:hAnsi="Arial"/>
                <w:sz w:val="18"/>
              </w:rPr>
            </w:pPr>
            <w:r w:rsidRPr="00262211">
              <w:rPr>
                <w:rFonts w:ascii="Arial" w:hAnsi="Arial"/>
                <w:sz w:val="18"/>
              </w:rPr>
              <w:t xml:space="preserve">From 1 July 2017, the single income family supplement </w:t>
            </w:r>
            <w:r w:rsidR="008202A1">
              <w:rPr>
                <w:rFonts w:ascii="Arial" w:hAnsi="Arial"/>
                <w:sz w:val="18"/>
              </w:rPr>
              <w:t>is not</w:t>
            </w:r>
            <w:r w:rsidRPr="00262211">
              <w:rPr>
                <w:rFonts w:ascii="Arial" w:hAnsi="Arial"/>
                <w:sz w:val="18"/>
              </w:rPr>
              <w:t xml:space="preserve"> paid to new recipients. Existing recipients continue</w:t>
            </w:r>
            <w:r w:rsidR="008202A1">
              <w:rPr>
                <w:rFonts w:ascii="Arial" w:hAnsi="Arial"/>
                <w:sz w:val="18"/>
              </w:rPr>
              <w:t>d</w:t>
            </w:r>
            <w:r w:rsidRPr="00262211">
              <w:rPr>
                <w:rFonts w:ascii="Arial" w:hAnsi="Arial"/>
                <w:sz w:val="18"/>
              </w:rPr>
              <w:t xml:space="preserve"> to receive the supplement if they remain</w:t>
            </w:r>
            <w:r w:rsidR="008202A1">
              <w:rPr>
                <w:rFonts w:ascii="Arial" w:hAnsi="Arial"/>
                <w:sz w:val="18"/>
              </w:rPr>
              <w:t>ed</w:t>
            </w:r>
            <w:r w:rsidRPr="00262211">
              <w:rPr>
                <w:rFonts w:ascii="Arial" w:hAnsi="Arial"/>
                <w:sz w:val="18"/>
              </w:rPr>
              <w:t xml:space="preserve"> eligible.</w:t>
            </w:r>
          </w:p>
        </w:tc>
      </w:tr>
      <w:tr w:rsidR="009A4437" w14:paraId="604D6C73" w14:textId="77777777" w:rsidTr="00EB5BD4">
        <w:trPr>
          <w:gridAfter w:val="1"/>
          <w:cnfStyle w:val="000000100000" w:firstRow="0" w:lastRow="0" w:firstColumn="0" w:lastColumn="0" w:oddVBand="0" w:evenVBand="0" w:oddHBand="1" w:evenHBand="0" w:firstRowFirstColumn="0" w:firstRowLastColumn="0" w:lastRowFirstColumn="0" w:lastRowLastColumn="0"/>
          <w:wAfter w:w="26" w:type="dxa"/>
        </w:trPr>
        <w:tc>
          <w:tcPr>
            <w:cnfStyle w:val="001000000000" w:firstRow="0" w:lastRow="0" w:firstColumn="1" w:lastColumn="0" w:oddVBand="0" w:evenVBand="0" w:oddHBand="0" w:evenHBand="0" w:firstRowFirstColumn="0" w:firstRowLastColumn="0" w:lastRowFirstColumn="0" w:lastRowLastColumn="0"/>
            <w:tcW w:w="3268" w:type="dxa"/>
            <w:gridSpan w:val="2"/>
          </w:tcPr>
          <w:p w14:paraId="25B7B46E" w14:textId="77777777" w:rsidR="009A4437" w:rsidRPr="00BE7252" w:rsidRDefault="009A4437" w:rsidP="009A4437">
            <w:pPr>
              <w:pStyle w:val="TableTextSmall"/>
              <w:rPr>
                <w:rFonts w:ascii="Arial" w:hAnsi="Arial"/>
                <w:sz w:val="18"/>
              </w:rPr>
            </w:pPr>
            <w:r w:rsidRPr="00BE7252">
              <w:rPr>
                <w:rFonts w:ascii="Arial" w:hAnsi="Arial"/>
                <w:sz w:val="18"/>
              </w:rPr>
              <w:lastRenderedPageBreak/>
              <w:t>Family Tax Benefit - Maintain child rates for 2 years</w:t>
            </w:r>
          </w:p>
          <w:p w14:paraId="22A213ED" w14:textId="1391A3C6" w:rsidR="009A4437" w:rsidRPr="00BE7252" w:rsidRDefault="009A4437" w:rsidP="009A4437">
            <w:pPr>
              <w:pStyle w:val="TableTextSmall"/>
              <w:rPr>
                <w:rFonts w:ascii="Arial" w:hAnsi="Arial"/>
                <w:sz w:val="18"/>
              </w:rPr>
            </w:pPr>
            <w:r w:rsidRPr="00BE7252">
              <w:rPr>
                <w:rFonts w:ascii="Arial" w:hAnsi="Arial"/>
                <w:sz w:val="18"/>
              </w:rPr>
              <w:t>Social Services Legislation Amendment Act 2017</w:t>
            </w:r>
          </w:p>
        </w:tc>
        <w:tc>
          <w:tcPr>
            <w:tcW w:w="874" w:type="dxa"/>
          </w:tcPr>
          <w:p w14:paraId="3EE3416A" w14:textId="5544A52A" w:rsidR="009A4437" w:rsidRPr="00262211" w:rsidRDefault="009A4437" w:rsidP="009A4437">
            <w:pPr>
              <w:pStyle w:val="TableTextSmall"/>
              <w:cnfStyle w:val="000000100000" w:firstRow="0" w:lastRow="0" w:firstColumn="0" w:lastColumn="0" w:oddVBand="0" w:evenVBand="0" w:oddHBand="1" w:evenHBand="0" w:firstRowFirstColumn="0" w:firstRowLastColumn="0" w:lastRowFirstColumn="0" w:lastRowLastColumn="0"/>
              <w:rPr>
                <w:rFonts w:ascii="Arial" w:hAnsi="Arial"/>
                <w:sz w:val="18"/>
              </w:rPr>
            </w:pPr>
            <w:r w:rsidRPr="00262211">
              <w:rPr>
                <w:rFonts w:ascii="Arial" w:hAnsi="Arial"/>
                <w:sz w:val="18"/>
              </w:rPr>
              <w:t>201</w:t>
            </w:r>
            <w:r>
              <w:rPr>
                <w:rFonts w:ascii="Arial" w:hAnsi="Arial"/>
                <w:sz w:val="18"/>
              </w:rPr>
              <w:t>7</w:t>
            </w:r>
          </w:p>
        </w:tc>
        <w:tc>
          <w:tcPr>
            <w:tcW w:w="4479" w:type="dxa"/>
            <w:gridSpan w:val="2"/>
          </w:tcPr>
          <w:p w14:paraId="2F5162F0" w14:textId="45812BFA" w:rsidR="009A4437" w:rsidRPr="00262211" w:rsidRDefault="009A4437" w:rsidP="009A4437">
            <w:pPr>
              <w:pStyle w:val="TableTextSmall"/>
              <w:cnfStyle w:val="000000100000" w:firstRow="0" w:lastRow="0" w:firstColumn="0" w:lastColumn="0" w:oddVBand="0" w:evenVBand="0" w:oddHBand="1" w:evenHBand="0" w:firstRowFirstColumn="0" w:firstRowLastColumn="0" w:lastRowFirstColumn="0" w:lastRowLastColumn="0"/>
              <w:rPr>
                <w:rFonts w:ascii="Arial" w:hAnsi="Arial"/>
                <w:sz w:val="18"/>
              </w:rPr>
            </w:pPr>
            <w:r w:rsidRPr="00262211">
              <w:rPr>
                <w:rFonts w:ascii="Arial" w:hAnsi="Arial"/>
                <w:sz w:val="18"/>
              </w:rPr>
              <w:t>Maintain</w:t>
            </w:r>
            <w:r>
              <w:rPr>
                <w:rFonts w:ascii="Arial" w:hAnsi="Arial"/>
                <w:sz w:val="18"/>
              </w:rPr>
              <w:t>ed</w:t>
            </w:r>
            <w:r w:rsidRPr="00262211">
              <w:rPr>
                <w:rFonts w:ascii="Arial" w:hAnsi="Arial"/>
                <w:sz w:val="18"/>
              </w:rPr>
              <w:t xml:space="preserve"> the current Family Tax Benefit (FTB) rates for two years, from 1 July 2017. This change applies to the maximum standard, base rate and approved care organisation rate of FTB Part A and the maximum rate of FTB Part B.</w:t>
            </w:r>
          </w:p>
        </w:tc>
      </w:tr>
      <w:tr w:rsidR="009A4437" w14:paraId="38EBA122" w14:textId="77777777" w:rsidTr="00EB5BD4">
        <w:trPr>
          <w:gridAfter w:val="1"/>
          <w:wAfter w:w="26" w:type="dxa"/>
        </w:trPr>
        <w:tc>
          <w:tcPr>
            <w:cnfStyle w:val="001000000000" w:firstRow="0" w:lastRow="0" w:firstColumn="1" w:lastColumn="0" w:oddVBand="0" w:evenVBand="0" w:oddHBand="0" w:evenHBand="0" w:firstRowFirstColumn="0" w:firstRowLastColumn="0" w:lastRowFirstColumn="0" w:lastRowLastColumn="0"/>
            <w:tcW w:w="3268" w:type="dxa"/>
            <w:gridSpan w:val="2"/>
          </w:tcPr>
          <w:p w14:paraId="6136E52D" w14:textId="77777777" w:rsidR="009A4437" w:rsidRPr="00BE7252" w:rsidRDefault="009A4437" w:rsidP="009A4437">
            <w:pPr>
              <w:pStyle w:val="TableTextSmall"/>
              <w:rPr>
                <w:rFonts w:ascii="Arial" w:hAnsi="Arial"/>
                <w:sz w:val="18"/>
              </w:rPr>
            </w:pPr>
            <w:r w:rsidRPr="00BE7252">
              <w:rPr>
                <w:rFonts w:ascii="Arial" w:hAnsi="Arial"/>
                <w:sz w:val="18"/>
              </w:rPr>
              <w:t>Amendments to Disability Services Act</w:t>
            </w:r>
          </w:p>
          <w:p w14:paraId="0ABCDBD3" w14:textId="1202E9C9" w:rsidR="009A4437" w:rsidRPr="00BE7252" w:rsidRDefault="009A4437" w:rsidP="009A4437">
            <w:pPr>
              <w:pStyle w:val="TableTextSmall"/>
              <w:rPr>
                <w:rFonts w:ascii="Arial" w:hAnsi="Arial"/>
                <w:sz w:val="18"/>
              </w:rPr>
            </w:pPr>
            <w:r w:rsidRPr="00BE7252">
              <w:rPr>
                <w:rFonts w:ascii="Arial" w:hAnsi="Arial"/>
                <w:sz w:val="18"/>
              </w:rPr>
              <w:t>Disability Services Amendment (Linking Upper Age Limits for Disability Employment Services to Pension Age) Act 2017</w:t>
            </w:r>
          </w:p>
        </w:tc>
        <w:tc>
          <w:tcPr>
            <w:tcW w:w="874" w:type="dxa"/>
          </w:tcPr>
          <w:p w14:paraId="0A49E660" w14:textId="14CF6FDB" w:rsidR="009A4437" w:rsidRPr="00262211" w:rsidRDefault="009A4437" w:rsidP="009A4437">
            <w:pPr>
              <w:pStyle w:val="TableTextSmall"/>
              <w:cnfStyle w:val="000000000000" w:firstRow="0" w:lastRow="0" w:firstColumn="0" w:lastColumn="0" w:oddVBand="0" w:evenVBand="0" w:oddHBand="0" w:evenHBand="0" w:firstRowFirstColumn="0" w:firstRowLastColumn="0" w:lastRowFirstColumn="0" w:lastRowLastColumn="0"/>
              <w:rPr>
                <w:rFonts w:ascii="Arial" w:hAnsi="Arial"/>
                <w:sz w:val="18"/>
              </w:rPr>
            </w:pPr>
            <w:r w:rsidRPr="00262211">
              <w:rPr>
                <w:rFonts w:ascii="Arial" w:hAnsi="Arial"/>
                <w:sz w:val="18"/>
              </w:rPr>
              <w:t>201</w:t>
            </w:r>
            <w:r>
              <w:rPr>
                <w:rFonts w:ascii="Arial" w:hAnsi="Arial"/>
                <w:sz w:val="18"/>
              </w:rPr>
              <w:t>7</w:t>
            </w:r>
          </w:p>
        </w:tc>
        <w:tc>
          <w:tcPr>
            <w:tcW w:w="4479" w:type="dxa"/>
            <w:gridSpan w:val="2"/>
          </w:tcPr>
          <w:p w14:paraId="5017B79B" w14:textId="7502E1FF" w:rsidR="009A4437" w:rsidRPr="00262211" w:rsidRDefault="009A4437" w:rsidP="009A4437">
            <w:pPr>
              <w:pStyle w:val="TableTextSmall"/>
              <w:cnfStyle w:val="000000000000" w:firstRow="0" w:lastRow="0" w:firstColumn="0" w:lastColumn="0" w:oddVBand="0" w:evenVBand="0" w:oddHBand="0" w:evenHBand="0" w:firstRowFirstColumn="0" w:firstRowLastColumn="0" w:lastRowFirstColumn="0" w:lastRowLastColumn="0"/>
              <w:rPr>
                <w:rFonts w:ascii="Arial" w:hAnsi="Arial"/>
                <w:sz w:val="18"/>
              </w:rPr>
            </w:pPr>
            <w:r w:rsidRPr="00262211">
              <w:rPr>
                <w:rFonts w:ascii="Arial" w:hAnsi="Arial"/>
                <w:sz w:val="18"/>
              </w:rPr>
              <w:t>Allow</w:t>
            </w:r>
            <w:r>
              <w:rPr>
                <w:rFonts w:ascii="Arial" w:hAnsi="Arial"/>
                <w:sz w:val="18"/>
              </w:rPr>
              <w:t>ed</w:t>
            </w:r>
            <w:r w:rsidRPr="00262211">
              <w:rPr>
                <w:rFonts w:ascii="Arial" w:hAnsi="Arial"/>
                <w:sz w:val="18"/>
              </w:rPr>
              <w:t xml:space="preserve"> technical amendment to correct a mismatch between Disability Employment Services eligibility and the age of qualification for the </w:t>
            </w:r>
            <w:r>
              <w:rPr>
                <w:rFonts w:ascii="Arial" w:hAnsi="Arial"/>
                <w:sz w:val="18"/>
              </w:rPr>
              <w:t>Age Pension</w:t>
            </w:r>
            <w:r w:rsidRPr="00262211">
              <w:rPr>
                <w:rFonts w:ascii="Arial" w:hAnsi="Arial"/>
                <w:sz w:val="18"/>
              </w:rPr>
              <w:t xml:space="preserve"> that would otherwise arise from 1 July 2017. This remove</w:t>
            </w:r>
            <w:r>
              <w:rPr>
                <w:rFonts w:ascii="Arial" w:hAnsi="Arial"/>
                <w:sz w:val="18"/>
              </w:rPr>
              <w:t>d</w:t>
            </w:r>
            <w:r w:rsidRPr="00262211">
              <w:rPr>
                <w:rFonts w:ascii="Arial" w:hAnsi="Arial"/>
                <w:sz w:val="18"/>
              </w:rPr>
              <w:t xml:space="preserve"> the reference to ‘65 years’ and replace</w:t>
            </w:r>
            <w:r>
              <w:rPr>
                <w:rFonts w:ascii="Arial" w:hAnsi="Arial"/>
                <w:sz w:val="18"/>
              </w:rPr>
              <w:t>d</w:t>
            </w:r>
            <w:r w:rsidRPr="00262211">
              <w:rPr>
                <w:rFonts w:ascii="Arial" w:hAnsi="Arial"/>
                <w:sz w:val="18"/>
              </w:rPr>
              <w:t xml:space="preserve"> it with the term ‘pension age’</w:t>
            </w:r>
            <w:r>
              <w:rPr>
                <w:rFonts w:ascii="Arial" w:hAnsi="Arial"/>
                <w:sz w:val="18"/>
              </w:rPr>
              <w:t>.</w:t>
            </w:r>
          </w:p>
        </w:tc>
      </w:tr>
      <w:tr w:rsidR="009A4437" w14:paraId="4D578BF4" w14:textId="77777777" w:rsidTr="00EB5BD4">
        <w:trPr>
          <w:gridAfter w:val="1"/>
          <w:cnfStyle w:val="000000100000" w:firstRow="0" w:lastRow="0" w:firstColumn="0" w:lastColumn="0" w:oddVBand="0" w:evenVBand="0" w:oddHBand="1" w:evenHBand="0" w:firstRowFirstColumn="0" w:firstRowLastColumn="0" w:lastRowFirstColumn="0" w:lastRowLastColumn="0"/>
          <w:wAfter w:w="26" w:type="dxa"/>
        </w:trPr>
        <w:tc>
          <w:tcPr>
            <w:cnfStyle w:val="001000000000" w:firstRow="0" w:lastRow="0" w:firstColumn="1" w:lastColumn="0" w:oddVBand="0" w:evenVBand="0" w:oddHBand="0" w:evenHBand="0" w:firstRowFirstColumn="0" w:firstRowLastColumn="0" w:lastRowFirstColumn="0" w:lastRowLastColumn="0"/>
            <w:tcW w:w="3268" w:type="dxa"/>
            <w:gridSpan w:val="2"/>
          </w:tcPr>
          <w:p w14:paraId="0AA4F1BF" w14:textId="77777777" w:rsidR="009A4437" w:rsidRPr="00BE7252" w:rsidRDefault="009A4437" w:rsidP="009A4437">
            <w:pPr>
              <w:pStyle w:val="TableTextSmall"/>
              <w:rPr>
                <w:rFonts w:ascii="Arial" w:hAnsi="Arial"/>
                <w:sz w:val="18"/>
              </w:rPr>
            </w:pPr>
            <w:r w:rsidRPr="00BE7252">
              <w:rPr>
                <w:rFonts w:ascii="Arial" w:hAnsi="Arial"/>
                <w:sz w:val="18"/>
              </w:rPr>
              <w:t>Seasonal horticultural work income exemption</w:t>
            </w:r>
          </w:p>
          <w:p w14:paraId="2A8566BB" w14:textId="74DAD478" w:rsidR="009A4437" w:rsidRPr="00BE7252" w:rsidRDefault="009A4437" w:rsidP="009A4437">
            <w:pPr>
              <w:pStyle w:val="TableTextSmall"/>
              <w:rPr>
                <w:rFonts w:ascii="Arial" w:hAnsi="Arial"/>
                <w:sz w:val="18"/>
              </w:rPr>
            </w:pPr>
            <w:r w:rsidRPr="00BE7252">
              <w:rPr>
                <w:rFonts w:ascii="Arial" w:hAnsi="Arial"/>
                <w:sz w:val="18"/>
              </w:rPr>
              <w:t>Social Services Legislation Amendment (Seasonal Worker Incentives for Jobseekers) Act 2017</w:t>
            </w:r>
          </w:p>
        </w:tc>
        <w:tc>
          <w:tcPr>
            <w:tcW w:w="874" w:type="dxa"/>
          </w:tcPr>
          <w:p w14:paraId="5AC2E262" w14:textId="0A16069E" w:rsidR="009A4437" w:rsidRPr="00262211" w:rsidRDefault="009A4437" w:rsidP="009A4437">
            <w:pPr>
              <w:pStyle w:val="TableTextSmall"/>
              <w:cnfStyle w:val="000000100000" w:firstRow="0" w:lastRow="0" w:firstColumn="0" w:lastColumn="0" w:oddVBand="0" w:evenVBand="0" w:oddHBand="1" w:evenHBand="0" w:firstRowFirstColumn="0" w:firstRowLastColumn="0" w:lastRowFirstColumn="0" w:lastRowLastColumn="0"/>
              <w:rPr>
                <w:rFonts w:ascii="Arial" w:hAnsi="Arial"/>
                <w:sz w:val="18"/>
              </w:rPr>
            </w:pPr>
            <w:r w:rsidRPr="00262211">
              <w:rPr>
                <w:rFonts w:ascii="Arial" w:hAnsi="Arial"/>
                <w:sz w:val="18"/>
              </w:rPr>
              <w:t>201</w:t>
            </w:r>
            <w:r>
              <w:rPr>
                <w:rFonts w:ascii="Arial" w:hAnsi="Arial"/>
                <w:sz w:val="18"/>
              </w:rPr>
              <w:t>7</w:t>
            </w:r>
          </w:p>
        </w:tc>
        <w:tc>
          <w:tcPr>
            <w:tcW w:w="4479" w:type="dxa"/>
            <w:gridSpan w:val="2"/>
          </w:tcPr>
          <w:p w14:paraId="0173AA43" w14:textId="0A089B2B" w:rsidR="009A4437" w:rsidRPr="00262211" w:rsidRDefault="009A4437" w:rsidP="009A4437">
            <w:pPr>
              <w:pStyle w:val="TableTextSmall"/>
              <w:cnfStyle w:val="000000100000" w:firstRow="0" w:lastRow="0" w:firstColumn="0" w:lastColumn="0" w:oddVBand="0" w:evenVBand="0" w:oddHBand="1" w:evenHBand="0" w:firstRowFirstColumn="0" w:firstRowLastColumn="0" w:lastRowFirstColumn="0" w:lastRowLastColumn="0"/>
              <w:rPr>
                <w:rFonts w:ascii="Arial" w:hAnsi="Arial"/>
                <w:sz w:val="18"/>
              </w:rPr>
            </w:pPr>
            <w:r w:rsidRPr="00262211">
              <w:rPr>
                <w:rFonts w:ascii="Arial" w:hAnsi="Arial"/>
                <w:sz w:val="18"/>
              </w:rPr>
              <w:t>This measure provide</w:t>
            </w:r>
            <w:r>
              <w:rPr>
                <w:rFonts w:ascii="Arial" w:hAnsi="Arial"/>
                <w:sz w:val="18"/>
              </w:rPr>
              <w:t>d</w:t>
            </w:r>
            <w:r w:rsidRPr="00262211">
              <w:rPr>
                <w:rFonts w:ascii="Arial" w:hAnsi="Arial"/>
                <w:sz w:val="18"/>
              </w:rPr>
              <w:t xml:space="preserve"> a social security income test incentive aimed at increasing the number of job seekers who undertake specified seasonal horticultural work, such as fruit picking. This change </w:t>
            </w:r>
            <w:r>
              <w:rPr>
                <w:rFonts w:ascii="Arial" w:hAnsi="Arial"/>
                <w:sz w:val="18"/>
              </w:rPr>
              <w:t>was</w:t>
            </w:r>
            <w:r w:rsidRPr="00262211">
              <w:rPr>
                <w:rFonts w:ascii="Arial" w:hAnsi="Arial"/>
                <w:sz w:val="18"/>
              </w:rPr>
              <w:t xml:space="preserve"> trialled for 2 years, commencing 1 July 2017.</w:t>
            </w:r>
          </w:p>
        </w:tc>
      </w:tr>
      <w:tr w:rsidR="009A4437" w14:paraId="1A101CDB" w14:textId="77777777" w:rsidTr="00EB5BD4">
        <w:trPr>
          <w:gridAfter w:val="1"/>
          <w:wAfter w:w="26" w:type="dxa"/>
        </w:trPr>
        <w:tc>
          <w:tcPr>
            <w:cnfStyle w:val="001000000000" w:firstRow="0" w:lastRow="0" w:firstColumn="1" w:lastColumn="0" w:oddVBand="0" w:evenVBand="0" w:oddHBand="0" w:evenHBand="0" w:firstRowFirstColumn="0" w:firstRowLastColumn="0" w:lastRowFirstColumn="0" w:lastRowLastColumn="0"/>
            <w:tcW w:w="3268" w:type="dxa"/>
            <w:gridSpan w:val="2"/>
            <w:hideMark/>
          </w:tcPr>
          <w:p w14:paraId="17838C92" w14:textId="77777777" w:rsidR="009A4437" w:rsidRPr="00BE7252" w:rsidRDefault="009A4437" w:rsidP="009A4437">
            <w:pPr>
              <w:pStyle w:val="TableTextSmall"/>
              <w:rPr>
                <w:rFonts w:ascii="Arial" w:hAnsi="Arial"/>
                <w:sz w:val="18"/>
              </w:rPr>
            </w:pPr>
            <w:r w:rsidRPr="00BE7252">
              <w:rPr>
                <w:rFonts w:ascii="Arial" w:hAnsi="Arial"/>
                <w:sz w:val="18"/>
              </w:rPr>
              <w:t>Remove grandfathering for Student Start-Up Scholarships</w:t>
            </w:r>
          </w:p>
          <w:p w14:paraId="2CB48D97" w14:textId="77777777" w:rsidR="009A4437" w:rsidRPr="00BE7252" w:rsidRDefault="009A4437" w:rsidP="009A4437">
            <w:pPr>
              <w:pStyle w:val="TableTextSmalltopic"/>
              <w:rPr>
                <w:rFonts w:ascii="Arial" w:hAnsi="Arial"/>
                <w:b/>
                <w:sz w:val="18"/>
              </w:rPr>
            </w:pPr>
            <w:r w:rsidRPr="00BE7252">
              <w:rPr>
                <w:rFonts w:ascii="Arial" w:hAnsi="Arial"/>
                <w:b/>
                <w:sz w:val="18"/>
              </w:rPr>
              <w:t>Budget Savings (Omnibus) Act 2016</w:t>
            </w:r>
          </w:p>
        </w:tc>
        <w:tc>
          <w:tcPr>
            <w:tcW w:w="874" w:type="dxa"/>
            <w:hideMark/>
          </w:tcPr>
          <w:p w14:paraId="25A89773" w14:textId="77777777" w:rsidR="009A4437" w:rsidRPr="00262211" w:rsidRDefault="009A4437" w:rsidP="009A4437">
            <w:pPr>
              <w:pStyle w:val="TableTextSmall"/>
              <w:cnfStyle w:val="000000000000" w:firstRow="0" w:lastRow="0" w:firstColumn="0" w:lastColumn="0" w:oddVBand="0" w:evenVBand="0" w:oddHBand="0" w:evenHBand="0" w:firstRowFirstColumn="0" w:firstRowLastColumn="0" w:lastRowFirstColumn="0" w:lastRowLastColumn="0"/>
              <w:rPr>
                <w:rFonts w:ascii="Arial" w:hAnsi="Arial"/>
                <w:sz w:val="18"/>
              </w:rPr>
            </w:pPr>
            <w:r w:rsidRPr="00262211">
              <w:rPr>
                <w:rFonts w:ascii="Arial" w:hAnsi="Arial"/>
                <w:sz w:val="18"/>
              </w:rPr>
              <w:t>2018</w:t>
            </w:r>
          </w:p>
        </w:tc>
        <w:tc>
          <w:tcPr>
            <w:tcW w:w="4479" w:type="dxa"/>
            <w:gridSpan w:val="2"/>
            <w:hideMark/>
          </w:tcPr>
          <w:p w14:paraId="4FC6D617" w14:textId="3A06A73B" w:rsidR="009A4437" w:rsidRPr="00262211" w:rsidRDefault="009A4437" w:rsidP="009A4437">
            <w:pPr>
              <w:pStyle w:val="TableTextSmall"/>
              <w:cnfStyle w:val="000000000000" w:firstRow="0" w:lastRow="0" w:firstColumn="0" w:lastColumn="0" w:oddVBand="0" w:evenVBand="0" w:oddHBand="0" w:evenHBand="0" w:firstRowFirstColumn="0" w:firstRowLastColumn="0" w:lastRowFirstColumn="0" w:lastRowLastColumn="0"/>
              <w:rPr>
                <w:rFonts w:ascii="Arial" w:hAnsi="Arial"/>
                <w:sz w:val="18"/>
              </w:rPr>
            </w:pPr>
            <w:r w:rsidRPr="00262211">
              <w:rPr>
                <w:rFonts w:ascii="Arial" w:hAnsi="Arial"/>
                <w:sz w:val="18"/>
              </w:rPr>
              <w:t>This bill close</w:t>
            </w:r>
            <w:r>
              <w:rPr>
                <w:rFonts w:ascii="Arial" w:hAnsi="Arial"/>
                <w:sz w:val="18"/>
              </w:rPr>
              <w:t>d</w:t>
            </w:r>
            <w:r w:rsidRPr="00262211">
              <w:rPr>
                <w:rFonts w:ascii="Arial" w:hAnsi="Arial"/>
                <w:sz w:val="18"/>
              </w:rPr>
              <w:t xml:space="preserve"> the Student Start-up Scholarship for all existing recipients of the scholarship. Current recipients of the Student Start-up Scholarship payment may be qualified for a Student Start-up Loan or ABSTUDY Start-up Loan after the commencement of this change.</w:t>
            </w:r>
          </w:p>
        </w:tc>
      </w:tr>
      <w:tr w:rsidR="009A4437" w14:paraId="2DB4E4A7" w14:textId="77777777" w:rsidTr="00EB5BD4">
        <w:trPr>
          <w:gridAfter w:val="1"/>
          <w:cnfStyle w:val="000000100000" w:firstRow="0" w:lastRow="0" w:firstColumn="0" w:lastColumn="0" w:oddVBand="0" w:evenVBand="0" w:oddHBand="1" w:evenHBand="0" w:firstRowFirstColumn="0" w:firstRowLastColumn="0" w:lastRowFirstColumn="0" w:lastRowLastColumn="0"/>
          <w:wAfter w:w="26" w:type="dxa"/>
        </w:trPr>
        <w:tc>
          <w:tcPr>
            <w:cnfStyle w:val="001000000000" w:firstRow="0" w:lastRow="0" w:firstColumn="1" w:lastColumn="0" w:oddVBand="0" w:evenVBand="0" w:oddHBand="0" w:evenHBand="0" w:firstRowFirstColumn="0" w:firstRowLastColumn="0" w:lastRowFirstColumn="0" w:lastRowLastColumn="0"/>
            <w:tcW w:w="3268" w:type="dxa"/>
            <w:gridSpan w:val="2"/>
            <w:hideMark/>
          </w:tcPr>
          <w:p w14:paraId="772FB1A1" w14:textId="675382DE" w:rsidR="009A4437" w:rsidRPr="00BE7252" w:rsidRDefault="009A4437" w:rsidP="009A4437">
            <w:pPr>
              <w:pStyle w:val="TableTextSmall"/>
              <w:rPr>
                <w:rFonts w:ascii="Arial" w:hAnsi="Arial"/>
                <w:sz w:val="18"/>
              </w:rPr>
            </w:pPr>
            <w:r w:rsidRPr="00BE7252">
              <w:rPr>
                <w:rFonts w:ascii="Arial" w:hAnsi="Arial"/>
                <w:sz w:val="18"/>
              </w:rPr>
              <w:t>Indexation maintain at level for three years the income free areas for working age</w:t>
            </w:r>
          </w:p>
          <w:p w14:paraId="7BBE76E7" w14:textId="77777777" w:rsidR="009A4437" w:rsidRPr="00BE7252" w:rsidRDefault="009A4437" w:rsidP="009A4437">
            <w:pPr>
              <w:pStyle w:val="TableTextSmalltopic"/>
              <w:rPr>
                <w:rFonts w:ascii="Arial" w:hAnsi="Arial"/>
                <w:b/>
                <w:sz w:val="18"/>
              </w:rPr>
            </w:pPr>
            <w:r w:rsidRPr="00BE7252">
              <w:rPr>
                <w:rFonts w:ascii="Arial" w:hAnsi="Arial"/>
                <w:b/>
                <w:sz w:val="18"/>
              </w:rPr>
              <w:t>Social Services Legislation Amendment Act 2017</w:t>
            </w:r>
          </w:p>
        </w:tc>
        <w:tc>
          <w:tcPr>
            <w:tcW w:w="874" w:type="dxa"/>
            <w:hideMark/>
          </w:tcPr>
          <w:p w14:paraId="54E48137" w14:textId="77777777" w:rsidR="009A4437" w:rsidRPr="00262211" w:rsidRDefault="009A4437" w:rsidP="009A4437">
            <w:pPr>
              <w:pStyle w:val="TableTextSmall"/>
              <w:cnfStyle w:val="000000100000" w:firstRow="0" w:lastRow="0" w:firstColumn="0" w:lastColumn="0" w:oddVBand="0" w:evenVBand="0" w:oddHBand="1" w:evenHBand="0" w:firstRowFirstColumn="0" w:firstRowLastColumn="0" w:lastRowFirstColumn="0" w:lastRowLastColumn="0"/>
              <w:rPr>
                <w:rFonts w:ascii="Arial" w:hAnsi="Arial"/>
                <w:sz w:val="18"/>
              </w:rPr>
            </w:pPr>
            <w:r w:rsidRPr="00262211">
              <w:rPr>
                <w:rFonts w:ascii="Arial" w:hAnsi="Arial"/>
                <w:sz w:val="18"/>
              </w:rPr>
              <w:t>2018</w:t>
            </w:r>
          </w:p>
        </w:tc>
        <w:tc>
          <w:tcPr>
            <w:tcW w:w="4479" w:type="dxa"/>
            <w:gridSpan w:val="2"/>
            <w:hideMark/>
          </w:tcPr>
          <w:p w14:paraId="5D3DFA36" w14:textId="2C4A614B" w:rsidR="009A4437" w:rsidRPr="00262211" w:rsidRDefault="009A4437" w:rsidP="009A4437">
            <w:pPr>
              <w:pStyle w:val="TableTextSmall"/>
              <w:cnfStyle w:val="000000100000" w:firstRow="0" w:lastRow="0" w:firstColumn="0" w:lastColumn="0" w:oddVBand="0" w:evenVBand="0" w:oddHBand="1" w:evenHBand="0" w:firstRowFirstColumn="0" w:firstRowLastColumn="0" w:lastRowFirstColumn="0" w:lastRowLastColumn="0"/>
              <w:rPr>
                <w:rFonts w:ascii="Arial" w:hAnsi="Arial"/>
                <w:sz w:val="18"/>
              </w:rPr>
            </w:pPr>
            <w:r w:rsidRPr="00262211">
              <w:rPr>
                <w:rFonts w:ascii="Arial" w:hAnsi="Arial"/>
                <w:sz w:val="18"/>
              </w:rPr>
              <w:t>Maintain</w:t>
            </w:r>
            <w:r>
              <w:rPr>
                <w:rFonts w:ascii="Arial" w:hAnsi="Arial"/>
                <w:sz w:val="18"/>
              </w:rPr>
              <w:t>s</w:t>
            </w:r>
            <w:r w:rsidRPr="00262211">
              <w:rPr>
                <w:rFonts w:ascii="Arial" w:hAnsi="Arial"/>
                <w:sz w:val="18"/>
              </w:rPr>
              <w:t xml:space="preserve"> at level for three years the income free areas for all working age allowances (other than student payments) and for Parenting Payment Single.</w:t>
            </w:r>
          </w:p>
        </w:tc>
      </w:tr>
      <w:tr w:rsidR="009A4437" w14:paraId="44BA9BE0" w14:textId="77777777" w:rsidTr="00EB5BD4">
        <w:trPr>
          <w:gridAfter w:val="1"/>
          <w:wAfter w:w="26" w:type="dxa"/>
        </w:trPr>
        <w:tc>
          <w:tcPr>
            <w:cnfStyle w:val="001000000000" w:firstRow="0" w:lastRow="0" w:firstColumn="1" w:lastColumn="0" w:oddVBand="0" w:evenVBand="0" w:oddHBand="0" w:evenHBand="0" w:firstRowFirstColumn="0" w:firstRowLastColumn="0" w:lastRowFirstColumn="0" w:lastRowLastColumn="0"/>
            <w:tcW w:w="3268" w:type="dxa"/>
            <w:gridSpan w:val="2"/>
            <w:hideMark/>
          </w:tcPr>
          <w:p w14:paraId="0FB497E3" w14:textId="77777777" w:rsidR="009A4437" w:rsidRPr="00BE7252" w:rsidRDefault="009A4437" w:rsidP="009A4437">
            <w:pPr>
              <w:pStyle w:val="TableTextSmall"/>
              <w:rPr>
                <w:rFonts w:ascii="Arial" w:hAnsi="Arial"/>
                <w:sz w:val="18"/>
              </w:rPr>
            </w:pPr>
            <w:r w:rsidRPr="00BE7252">
              <w:rPr>
                <w:rFonts w:ascii="Arial" w:hAnsi="Arial"/>
                <w:sz w:val="18"/>
              </w:rPr>
              <w:t>Indexation maintain at level for three years the income free areas for student payments</w:t>
            </w:r>
          </w:p>
          <w:p w14:paraId="1E33A24E" w14:textId="77777777" w:rsidR="009A4437" w:rsidRPr="00BE7252" w:rsidRDefault="009A4437" w:rsidP="009A4437">
            <w:pPr>
              <w:pStyle w:val="TableTextSmalltopic"/>
              <w:rPr>
                <w:rFonts w:ascii="Arial" w:hAnsi="Arial"/>
                <w:b/>
                <w:sz w:val="18"/>
              </w:rPr>
            </w:pPr>
            <w:r w:rsidRPr="00BE7252">
              <w:rPr>
                <w:rFonts w:ascii="Arial" w:hAnsi="Arial"/>
                <w:b/>
                <w:sz w:val="18"/>
              </w:rPr>
              <w:t>Social Services Legislation Amendment Act 2017</w:t>
            </w:r>
          </w:p>
        </w:tc>
        <w:tc>
          <w:tcPr>
            <w:tcW w:w="874" w:type="dxa"/>
            <w:hideMark/>
          </w:tcPr>
          <w:p w14:paraId="3DE63EB6" w14:textId="77777777" w:rsidR="009A4437" w:rsidRPr="00262211" w:rsidRDefault="009A4437" w:rsidP="009A4437">
            <w:pPr>
              <w:pStyle w:val="TableTextSmall"/>
              <w:cnfStyle w:val="000000000000" w:firstRow="0" w:lastRow="0" w:firstColumn="0" w:lastColumn="0" w:oddVBand="0" w:evenVBand="0" w:oddHBand="0" w:evenHBand="0" w:firstRowFirstColumn="0" w:firstRowLastColumn="0" w:lastRowFirstColumn="0" w:lastRowLastColumn="0"/>
              <w:rPr>
                <w:rFonts w:ascii="Arial" w:hAnsi="Arial"/>
                <w:sz w:val="18"/>
              </w:rPr>
            </w:pPr>
            <w:r w:rsidRPr="00262211">
              <w:rPr>
                <w:rFonts w:ascii="Arial" w:hAnsi="Arial"/>
                <w:sz w:val="18"/>
              </w:rPr>
              <w:t>2018</w:t>
            </w:r>
          </w:p>
        </w:tc>
        <w:tc>
          <w:tcPr>
            <w:tcW w:w="4479" w:type="dxa"/>
            <w:gridSpan w:val="2"/>
            <w:hideMark/>
          </w:tcPr>
          <w:p w14:paraId="4500A4AF" w14:textId="3C835270" w:rsidR="009A4437" w:rsidRPr="00262211" w:rsidRDefault="009A4437" w:rsidP="009A4437">
            <w:pPr>
              <w:pStyle w:val="TableTextSmall"/>
              <w:cnfStyle w:val="000000000000" w:firstRow="0" w:lastRow="0" w:firstColumn="0" w:lastColumn="0" w:oddVBand="0" w:evenVBand="0" w:oddHBand="0" w:evenHBand="0" w:firstRowFirstColumn="0" w:firstRowLastColumn="0" w:lastRowFirstColumn="0" w:lastRowLastColumn="0"/>
              <w:rPr>
                <w:rFonts w:ascii="Arial" w:hAnsi="Arial"/>
                <w:sz w:val="18"/>
              </w:rPr>
            </w:pPr>
            <w:r w:rsidRPr="00262211">
              <w:rPr>
                <w:rFonts w:ascii="Arial" w:hAnsi="Arial"/>
                <w:sz w:val="18"/>
              </w:rPr>
              <w:t>Maintain</w:t>
            </w:r>
            <w:r>
              <w:rPr>
                <w:rFonts w:ascii="Arial" w:hAnsi="Arial"/>
                <w:sz w:val="18"/>
              </w:rPr>
              <w:t>s</w:t>
            </w:r>
            <w:r w:rsidRPr="00262211">
              <w:rPr>
                <w:rFonts w:ascii="Arial" w:hAnsi="Arial"/>
                <w:sz w:val="18"/>
              </w:rPr>
              <w:t xml:space="preserve"> at level for three years the income free areas and other means test thresholds for student payments, including the student income bank limits.</w:t>
            </w:r>
          </w:p>
        </w:tc>
      </w:tr>
      <w:tr w:rsidR="009A4437" w14:paraId="37A28A9F" w14:textId="77777777" w:rsidTr="00EB5BD4">
        <w:trPr>
          <w:gridAfter w:val="1"/>
          <w:cnfStyle w:val="000000100000" w:firstRow="0" w:lastRow="0" w:firstColumn="0" w:lastColumn="0" w:oddVBand="0" w:evenVBand="0" w:oddHBand="1" w:evenHBand="0" w:firstRowFirstColumn="0" w:firstRowLastColumn="0" w:lastRowFirstColumn="0" w:lastRowLastColumn="0"/>
          <w:wAfter w:w="26" w:type="dxa"/>
        </w:trPr>
        <w:tc>
          <w:tcPr>
            <w:cnfStyle w:val="001000000000" w:firstRow="0" w:lastRow="0" w:firstColumn="1" w:lastColumn="0" w:oddVBand="0" w:evenVBand="0" w:oddHBand="0" w:evenHBand="0" w:firstRowFirstColumn="0" w:firstRowLastColumn="0" w:lastRowFirstColumn="0" w:lastRowLastColumn="0"/>
            <w:tcW w:w="3268" w:type="dxa"/>
            <w:gridSpan w:val="2"/>
            <w:hideMark/>
          </w:tcPr>
          <w:p w14:paraId="45FAB319" w14:textId="77777777" w:rsidR="009A4437" w:rsidRPr="00BE7252" w:rsidRDefault="009A4437" w:rsidP="009A4437">
            <w:pPr>
              <w:pStyle w:val="TableTextSmall"/>
              <w:rPr>
                <w:rFonts w:ascii="Arial" w:hAnsi="Arial"/>
                <w:sz w:val="18"/>
              </w:rPr>
            </w:pPr>
            <w:r w:rsidRPr="00BE7252">
              <w:rPr>
                <w:rFonts w:ascii="Arial" w:hAnsi="Arial"/>
                <w:sz w:val="18"/>
              </w:rPr>
              <w:t>Ordinary Waiting period - Working Age Payments (excluding Widows Allowance)</w:t>
            </w:r>
          </w:p>
          <w:p w14:paraId="3DB58DF0" w14:textId="77777777" w:rsidR="009A4437" w:rsidRPr="00BE7252" w:rsidRDefault="009A4437" w:rsidP="009A4437">
            <w:pPr>
              <w:pStyle w:val="TableTextSmalltopic"/>
              <w:rPr>
                <w:rFonts w:ascii="Arial" w:hAnsi="Arial"/>
                <w:b/>
                <w:sz w:val="18"/>
              </w:rPr>
            </w:pPr>
            <w:r w:rsidRPr="00BE7252">
              <w:rPr>
                <w:rFonts w:ascii="Arial" w:hAnsi="Arial"/>
                <w:b/>
                <w:sz w:val="18"/>
              </w:rPr>
              <w:t>Social Services Legislation Amendment Act 2017</w:t>
            </w:r>
          </w:p>
        </w:tc>
        <w:tc>
          <w:tcPr>
            <w:tcW w:w="874" w:type="dxa"/>
            <w:hideMark/>
          </w:tcPr>
          <w:p w14:paraId="79131171" w14:textId="77777777" w:rsidR="009A4437" w:rsidRPr="00262211" w:rsidRDefault="009A4437" w:rsidP="009A4437">
            <w:pPr>
              <w:pStyle w:val="TableTextSmall"/>
              <w:cnfStyle w:val="000000100000" w:firstRow="0" w:lastRow="0" w:firstColumn="0" w:lastColumn="0" w:oddVBand="0" w:evenVBand="0" w:oddHBand="1" w:evenHBand="0" w:firstRowFirstColumn="0" w:firstRowLastColumn="0" w:lastRowFirstColumn="0" w:lastRowLastColumn="0"/>
              <w:rPr>
                <w:rFonts w:ascii="Arial" w:hAnsi="Arial"/>
                <w:sz w:val="18"/>
              </w:rPr>
            </w:pPr>
            <w:r w:rsidRPr="00262211">
              <w:rPr>
                <w:rFonts w:ascii="Arial" w:hAnsi="Arial"/>
                <w:sz w:val="18"/>
              </w:rPr>
              <w:t>2018</w:t>
            </w:r>
          </w:p>
        </w:tc>
        <w:tc>
          <w:tcPr>
            <w:tcW w:w="4479" w:type="dxa"/>
            <w:gridSpan w:val="2"/>
            <w:hideMark/>
          </w:tcPr>
          <w:p w14:paraId="6B911369" w14:textId="2C022B92" w:rsidR="009A4437" w:rsidRPr="00262211" w:rsidRDefault="009A4437" w:rsidP="009A4437">
            <w:pPr>
              <w:pStyle w:val="TableTextSmall"/>
              <w:cnfStyle w:val="000000100000" w:firstRow="0" w:lastRow="0" w:firstColumn="0" w:lastColumn="0" w:oddVBand="0" w:evenVBand="0" w:oddHBand="1" w:evenHBand="0" w:firstRowFirstColumn="0" w:firstRowLastColumn="0" w:lastRowFirstColumn="0" w:lastRowLastColumn="0"/>
              <w:rPr>
                <w:rFonts w:ascii="Arial" w:hAnsi="Arial"/>
                <w:sz w:val="18"/>
              </w:rPr>
            </w:pPr>
            <w:r w:rsidRPr="00262211">
              <w:rPr>
                <w:rFonts w:ascii="Arial" w:hAnsi="Arial"/>
                <w:sz w:val="18"/>
              </w:rPr>
              <w:t>Create</w:t>
            </w:r>
            <w:r>
              <w:rPr>
                <w:rFonts w:ascii="Arial" w:hAnsi="Arial"/>
                <w:sz w:val="18"/>
              </w:rPr>
              <w:t>d</w:t>
            </w:r>
            <w:r w:rsidRPr="00262211">
              <w:rPr>
                <w:rFonts w:ascii="Arial" w:hAnsi="Arial"/>
                <w:sz w:val="18"/>
              </w:rPr>
              <w:t xml:space="preserve"> a new ordinary waiting period for Parenting Payment, and for Youth Allowance for a person who is not undertaking full-time study and is not a new apprentice </w:t>
            </w:r>
            <w:r>
              <w:rPr>
                <w:rFonts w:ascii="Arial" w:hAnsi="Arial"/>
                <w:sz w:val="18"/>
              </w:rPr>
              <w:t xml:space="preserve">- </w:t>
            </w:r>
            <w:r w:rsidRPr="00262211">
              <w:rPr>
                <w:rFonts w:ascii="Arial" w:hAnsi="Arial"/>
                <w:sz w:val="18"/>
              </w:rPr>
              <w:t>referred to as Youth Allowance (Other).</w:t>
            </w:r>
          </w:p>
        </w:tc>
      </w:tr>
      <w:tr w:rsidR="009A4437" w14:paraId="57B55B9A" w14:textId="77777777" w:rsidTr="00EB5BD4">
        <w:trPr>
          <w:gridAfter w:val="1"/>
          <w:wAfter w:w="26" w:type="dxa"/>
        </w:trPr>
        <w:tc>
          <w:tcPr>
            <w:cnfStyle w:val="001000000000" w:firstRow="0" w:lastRow="0" w:firstColumn="1" w:lastColumn="0" w:oddVBand="0" w:evenVBand="0" w:oddHBand="0" w:evenHBand="0" w:firstRowFirstColumn="0" w:firstRowLastColumn="0" w:lastRowFirstColumn="0" w:lastRowLastColumn="0"/>
            <w:tcW w:w="3268" w:type="dxa"/>
            <w:gridSpan w:val="2"/>
            <w:hideMark/>
          </w:tcPr>
          <w:p w14:paraId="28569B9E" w14:textId="77777777" w:rsidR="009A4437" w:rsidRPr="00BE7252" w:rsidRDefault="009A4437" w:rsidP="009A4437">
            <w:pPr>
              <w:pStyle w:val="TableTextSmall"/>
              <w:rPr>
                <w:rFonts w:ascii="Arial" w:hAnsi="Arial"/>
                <w:sz w:val="18"/>
              </w:rPr>
            </w:pPr>
            <w:r w:rsidRPr="00BE7252">
              <w:rPr>
                <w:rFonts w:ascii="Arial" w:hAnsi="Arial"/>
                <w:sz w:val="18"/>
              </w:rPr>
              <w:t>Reduce the qualification period for Youth Allowance / Independent test for Youth Allowance and scholarship payments for students</w:t>
            </w:r>
          </w:p>
          <w:p w14:paraId="1D9CB605" w14:textId="77777777" w:rsidR="009A4437" w:rsidRPr="00BE7252" w:rsidRDefault="009A4437" w:rsidP="009A4437">
            <w:pPr>
              <w:pStyle w:val="TableTextSmalltopic"/>
              <w:rPr>
                <w:rFonts w:ascii="Arial" w:hAnsi="Arial"/>
                <w:b/>
                <w:sz w:val="18"/>
              </w:rPr>
            </w:pPr>
            <w:r w:rsidRPr="00BE7252">
              <w:rPr>
                <w:rFonts w:ascii="Arial" w:hAnsi="Arial"/>
                <w:b/>
                <w:sz w:val="18"/>
              </w:rPr>
              <w:t>Social Services Legislation Amendment (Simplifying Student Payments) Act 2017</w:t>
            </w:r>
          </w:p>
        </w:tc>
        <w:tc>
          <w:tcPr>
            <w:tcW w:w="874" w:type="dxa"/>
            <w:hideMark/>
          </w:tcPr>
          <w:p w14:paraId="1FFFAB72" w14:textId="77777777" w:rsidR="009A4437" w:rsidRPr="00262211" w:rsidRDefault="009A4437" w:rsidP="009A4437">
            <w:pPr>
              <w:pStyle w:val="TableTextSmall"/>
              <w:cnfStyle w:val="000000000000" w:firstRow="0" w:lastRow="0" w:firstColumn="0" w:lastColumn="0" w:oddVBand="0" w:evenVBand="0" w:oddHBand="0" w:evenHBand="0" w:firstRowFirstColumn="0" w:firstRowLastColumn="0" w:lastRowFirstColumn="0" w:lastRowLastColumn="0"/>
              <w:rPr>
                <w:rFonts w:ascii="Arial" w:hAnsi="Arial"/>
                <w:sz w:val="18"/>
              </w:rPr>
            </w:pPr>
            <w:r w:rsidRPr="00262211">
              <w:rPr>
                <w:rFonts w:ascii="Arial" w:hAnsi="Arial"/>
                <w:sz w:val="18"/>
              </w:rPr>
              <w:t>2018</w:t>
            </w:r>
          </w:p>
        </w:tc>
        <w:tc>
          <w:tcPr>
            <w:tcW w:w="4479" w:type="dxa"/>
            <w:gridSpan w:val="2"/>
            <w:hideMark/>
          </w:tcPr>
          <w:p w14:paraId="2E60EEC9" w14:textId="6A4E4CB0" w:rsidR="009A4437" w:rsidRPr="00262211" w:rsidRDefault="009A4437" w:rsidP="009A4437">
            <w:pPr>
              <w:pStyle w:val="TableTextSmall"/>
              <w:cnfStyle w:val="000000000000" w:firstRow="0" w:lastRow="0" w:firstColumn="0" w:lastColumn="0" w:oddVBand="0" w:evenVBand="0" w:oddHBand="0" w:evenHBand="0" w:firstRowFirstColumn="0" w:firstRowLastColumn="0" w:lastRowFirstColumn="0" w:lastRowLastColumn="0"/>
              <w:rPr>
                <w:rFonts w:ascii="Arial" w:hAnsi="Arial"/>
                <w:sz w:val="18"/>
              </w:rPr>
            </w:pPr>
            <w:r w:rsidRPr="00262211">
              <w:rPr>
                <w:rFonts w:ascii="Arial" w:hAnsi="Arial"/>
                <w:sz w:val="18"/>
              </w:rPr>
              <w:t xml:space="preserve">Students who qualify under this provision </w:t>
            </w:r>
            <w:r>
              <w:rPr>
                <w:rFonts w:ascii="Arial" w:hAnsi="Arial"/>
                <w:sz w:val="18"/>
              </w:rPr>
              <w:t>are</w:t>
            </w:r>
            <w:r w:rsidRPr="00262211">
              <w:rPr>
                <w:rFonts w:ascii="Arial" w:hAnsi="Arial"/>
                <w:sz w:val="18"/>
              </w:rPr>
              <w:t xml:space="preserve"> eligible for Youth Allowance as independent after 14 months, rather than the current 18 month period, provided they have earned at least a minimum rate of pay.</w:t>
            </w:r>
          </w:p>
        </w:tc>
      </w:tr>
      <w:tr w:rsidR="009A4437" w14:paraId="6D5B1E13" w14:textId="77777777" w:rsidTr="00EB5BD4">
        <w:trPr>
          <w:gridAfter w:val="1"/>
          <w:cnfStyle w:val="000000100000" w:firstRow="0" w:lastRow="0" w:firstColumn="0" w:lastColumn="0" w:oddVBand="0" w:evenVBand="0" w:oddHBand="1" w:evenHBand="0" w:firstRowFirstColumn="0" w:firstRowLastColumn="0" w:lastRowFirstColumn="0" w:lastRowLastColumn="0"/>
          <w:wAfter w:w="26" w:type="dxa"/>
        </w:trPr>
        <w:tc>
          <w:tcPr>
            <w:cnfStyle w:val="001000000000" w:firstRow="0" w:lastRow="0" w:firstColumn="1" w:lastColumn="0" w:oddVBand="0" w:evenVBand="0" w:oddHBand="0" w:evenHBand="0" w:firstRowFirstColumn="0" w:firstRowLastColumn="0" w:lastRowFirstColumn="0" w:lastRowLastColumn="0"/>
            <w:tcW w:w="3268" w:type="dxa"/>
            <w:gridSpan w:val="2"/>
            <w:hideMark/>
          </w:tcPr>
          <w:p w14:paraId="638800D4" w14:textId="77777777" w:rsidR="009A4437" w:rsidRPr="00BE7252" w:rsidRDefault="009A4437" w:rsidP="009A4437">
            <w:pPr>
              <w:pStyle w:val="TableTextSmall"/>
              <w:rPr>
                <w:rFonts w:ascii="Arial" w:hAnsi="Arial"/>
                <w:sz w:val="18"/>
              </w:rPr>
            </w:pPr>
            <w:r w:rsidRPr="00BE7252">
              <w:rPr>
                <w:rFonts w:ascii="Arial" w:hAnsi="Arial"/>
                <w:sz w:val="18"/>
              </w:rPr>
              <w:t>Align means test with other payments / Means testing for social security benefits</w:t>
            </w:r>
          </w:p>
          <w:p w14:paraId="7394B5B4" w14:textId="77777777" w:rsidR="009A4437" w:rsidRPr="00BE7252" w:rsidRDefault="009A4437" w:rsidP="009A4437">
            <w:pPr>
              <w:pStyle w:val="TableTextSmalltopic"/>
              <w:rPr>
                <w:rFonts w:ascii="Arial" w:hAnsi="Arial"/>
                <w:b/>
                <w:sz w:val="18"/>
              </w:rPr>
            </w:pPr>
            <w:r w:rsidRPr="00BE7252">
              <w:rPr>
                <w:rFonts w:ascii="Arial" w:hAnsi="Arial"/>
                <w:b/>
                <w:sz w:val="18"/>
              </w:rPr>
              <w:lastRenderedPageBreak/>
              <w:t>Social Services Legislation Amendment (Simplifying Student Payments) Act 2017</w:t>
            </w:r>
          </w:p>
        </w:tc>
        <w:tc>
          <w:tcPr>
            <w:tcW w:w="874" w:type="dxa"/>
            <w:hideMark/>
          </w:tcPr>
          <w:p w14:paraId="2B0BC1CA" w14:textId="77777777" w:rsidR="009A4437" w:rsidRPr="00262211" w:rsidRDefault="009A4437" w:rsidP="009A4437">
            <w:pPr>
              <w:pStyle w:val="TableTextSmall"/>
              <w:cnfStyle w:val="000000100000" w:firstRow="0" w:lastRow="0" w:firstColumn="0" w:lastColumn="0" w:oddVBand="0" w:evenVBand="0" w:oddHBand="1" w:evenHBand="0" w:firstRowFirstColumn="0" w:firstRowLastColumn="0" w:lastRowFirstColumn="0" w:lastRowLastColumn="0"/>
              <w:rPr>
                <w:rFonts w:ascii="Arial" w:hAnsi="Arial"/>
                <w:sz w:val="18"/>
              </w:rPr>
            </w:pPr>
            <w:r w:rsidRPr="00262211">
              <w:rPr>
                <w:rFonts w:ascii="Arial" w:hAnsi="Arial"/>
                <w:sz w:val="18"/>
              </w:rPr>
              <w:lastRenderedPageBreak/>
              <w:t>2018</w:t>
            </w:r>
          </w:p>
        </w:tc>
        <w:tc>
          <w:tcPr>
            <w:tcW w:w="4479" w:type="dxa"/>
            <w:gridSpan w:val="2"/>
          </w:tcPr>
          <w:p w14:paraId="7D161E8C" w14:textId="77777777" w:rsidR="009A4437" w:rsidRPr="00262211" w:rsidRDefault="009A4437" w:rsidP="009A4437">
            <w:pPr>
              <w:pStyle w:val="TableTextSmall"/>
              <w:cnfStyle w:val="000000100000" w:firstRow="0" w:lastRow="0" w:firstColumn="0" w:lastColumn="0" w:oddVBand="0" w:evenVBand="0" w:oddHBand="1" w:evenHBand="0" w:firstRowFirstColumn="0" w:firstRowLastColumn="0" w:lastRowFirstColumn="0" w:lastRowLastColumn="0"/>
              <w:rPr>
                <w:rFonts w:ascii="Arial" w:hAnsi="Arial"/>
                <w:sz w:val="18"/>
              </w:rPr>
            </w:pPr>
            <w:r w:rsidRPr="00262211">
              <w:rPr>
                <w:rFonts w:ascii="Arial" w:hAnsi="Arial"/>
                <w:sz w:val="18"/>
              </w:rPr>
              <w:t>Simplification of means testing for student payments.</w:t>
            </w:r>
          </w:p>
          <w:p w14:paraId="549EDB97" w14:textId="77777777" w:rsidR="009A4437" w:rsidRPr="00262211" w:rsidRDefault="009A4437" w:rsidP="009A4437">
            <w:pPr>
              <w:pStyle w:val="TableTextSmall"/>
              <w:cnfStyle w:val="000000100000" w:firstRow="0" w:lastRow="0" w:firstColumn="0" w:lastColumn="0" w:oddVBand="0" w:evenVBand="0" w:oddHBand="1" w:evenHBand="0" w:firstRowFirstColumn="0" w:firstRowLastColumn="0" w:lastRowFirstColumn="0" w:lastRowLastColumn="0"/>
              <w:rPr>
                <w:rFonts w:ascii="Arial" w:hAnsi="Arial"/>
                <w:sz w:val="18"/>
              </w:rPr>
            </w:pPr>
          </w:p>
        </w:tc>
      </w:tr>
      <w:tr w:rsidR="009A4437" w14:paraId="31FE5DD4" w14:textId="77777777" w:rsidTr="00EB5BD4">
        <w:trPr>
          <w:gridAfter w:val="1"/>
          <w:wAfter w:w="26" w:type="dxa"/>
        </w:trPr>
        <w:tc>
          <w:tcPr>
            <w:cnfStyle w:val="001000000000" w:firstRow="0" w:lastRow="0" w:firstColumn="1" w:lastColumn="0" w:oddVBand="0" w:evenVBand="0" w:oddHBand="0" w:evenHBand="0" w:firstRowFirstColumn="0" w:firstRowLastColumn="0" w:lastRowFirstColumn="0" w:lastRowLastColumn="0"/>
            <w:tcW w:w="3268" w:type="dxa"/>
            <w:gridSpan w:val="2"/>
            <w:hideMark/>
          </w:tcPr>
          <w:p w14:paraId="5B9DA028" w14:textId="61B5CCE1" w:rsidR="009A4437" w:rsidRPr="00BE7252" w:rsidRDefault="009A4437" w:rsidP="009A4437">
            <w:pPr>
              <w:pStyle w:val="TableTextSmall"/>
              <w:rPr>
                <w:rFonts w:ascii="Arial" w:hAnsi="Arial"/>
                <w:sz w:val="18"/>
              </w:rPr>
            </w:pPr>
            <w:r w:rsidRPr="00BE7252">
              <w:rPr>
                <w:rFonts w:ascii="Arial" w:hAnsi="Arial"/>
                <w:sz w:val="18"/>
              </w:rPr>
              <w:t>Automatically updating geographical classifications / Remoteness structure</w:t>
            </w:r>
          </w:p>
          <w:p w14:paraId="4916160B" w14:textId="77777777" w:rsidR="009A4437" w:rsidRPr="00BE7252" w:rsidRDefault="009A4437" w:rsidP="009A4437">
            <w:pPr>
              <w:pStyle w:val="TableTextSmalltopic"/>
              <w:rPr>
                <w:rFonts w:ascii="Arial" w:hAnsi="Arial"/>
                <w:b/>
                <w:sz w:val="18"/>
              </w:rPr>
            </w:pPr>
            <w:r w:rsidRPr="00BE7252">
              <w:rPr>
                <w:rFonts w:ascii="Arial" w:hAnsi="Arial"/>
                <w:b/>
                <w:sz w:val="18"/>
              </w:rPr>
              <w:t>Social Services Legislation Amendment (Simplifying Student Payments) Act 2017</w:t>
            </w:r>
          </w:p>
        </w:tc>
        <w:tc>
          <w:tcPr>
            <w:tcW w:w="874" w:type="dxa"/>
            <w:hideMark/>
          </w:tcPr>
          <w:p w14:paraId="6F5872F8" w14:textId="77777777" w:rsidR="009A4437" w:rsidRPr="00262211" w:rsidRDefault="009A4437" w:rsidP="009A4437">
            <w:pPr>
              <w:pStyle w:val="TableTextSmall"/>
              <w:cnfStyle w:val="000000000000" w:firstRow="0" w:lastRow="0" w:firstColumn="0" w:lastColumn="0" w:oddVBand="0" w:evenVBand="0" w:oddHBand="0" w:evenHBand="0" w:firstRowFirstColumn="0" w:firstRowLastColumn="0" w:lastRowFirstColumn="0" w:lastRowLastColumn="0"/>
              <w:rPr>
                <w:rFonts w:ascii="Arial" w:hAnsi="Arial"/>
                <w:sz w:val="18"/>
              </w:rPr>
            </w:pPr>
            <w:r w:rsidRPr="00262211">
              <w:rPr>
                <w:rFonts w:ascii="Arial" w:hAnsi="Arial"/>
                <w:sz w:val="18"/>
              </w:rPr>
              <w:t>2018</w:t>
            </w:r>
          </w:p>
        </w:tc>
        <w:tc>
          <w:tcPr>
            <w:tcW w:w="4479" w:type="dxa"/>
            <w:gridSpan w:val="2"/>
            <w:hideMark/>
          </w:tcPr>
          <w:p w14:paraId="2F3F7F2B" w14:textId="58E0F52C" w:rsidR="009A4437" w:rsidRPr="00262211" w:rsidRDefault="009A4437" w:rsidP="009A4437">
            <w:pPr>
              <w:pStyle w:val="TableTextSmall"/>
              <w:cnfStyle w:val="000000000000" w:firstRow="0" w:lastRow="0" w:firstColumn="0" w:lastColumn="0" w:oddVBand="0" w:evenVBand="0" w:oddHBand="0" w:evenHBand="0" w:firstRowFirstColumn="0" w:firstRowLastColumn="0" w:lastRowFirstColumn="0" w:lastRowLastColumn="0"/>
              <w:rPr>
                <w:rFonts w:ascii="Arial" w:hAnsi="Arial"/>
                <w:sz w:val="18"/>
              </w:rPr>
            </w:pPr>
            <w:r w:rsidRPr="00262211">
              <w:rPr>
                <w:rFonts w:ascii="Arial" w:hAnsi="Arial"/>
                <w:sz w:val="18"/>
              </w:rPr>
              <w:t>This measure was part of the 2016-17 Budget and simplifies the process for updating the Australian Statistical Geography Standard (ASGS) remoteness structure published by the Australian Statistician</w:t>
            </w:r>
            <w:r>
              <w:rPr>
                <w:rFonts w:ascii="Arial" w:hAnsi="Arial"/>
                <w:sz w:val="18"/>
              </w:rPr>
              <w:t>,</w:t>
            </w:r>
            <w:r w:rsidRPr="00262211">
              <w:rPr>
                <w:rFonts w:ascii="Arial" w:hAnsi="Arial"/>
                <w:sz w:val="18"/>
              </w:rPr>
              <w:t xml:space="preserve"> which is used to assess eligibility for student payments under the Social Security Act. This will ensure an assessment of qualification for Youth Allowance and qualification for, and rate of, Relocation Scholarship payments is based on up-to-date geographical </w:t>
            </w:r>
            <w:r>
              <w:rPr>
                <w:rFonts w:ascii="Arial" w:hAnsi="Arial"/>
                <w:sz w:val="18"/>
              </w:rPr>
              <w:t>class</w:t>
            </w:r>
            <w:r w:rsidRPr="00262211">
              <w:rPr>
                <w:rFonts w:ascii="Arial" w:hAnsi="Arial"/>
                <w:sz w:val="18"/>
              </w:rPr>
              <w:t>ification information.</w:t>
            </w:r>
          </w:p>
        </w:tc>
      </w:tr>
      <w:tr w:rsidR="009A4437" w14:paraId="65C529E1" w14:textId="77777777" w:rsidTr="00EB5BD4">
        <w:trPr>
          <w:gridAfter w:val="1"/>
          <w:cnfStyle w:val="000000100000" w:firstRow="0" w:lastRow="0" w:firstColumn="0" w:lastColumn="0" w:oddVBand="0" w:evenVBand="0" w:oddHBand="1" w:evenHBand="0" w:firstRowFirstColumn="0" w:firstRowLastColumn="0" w:lastRowFirstColumn="0" w:lastRowLastColumn="0"/>
          <w:wAfter w:w="26" w:type="dxa"/>
        </w:trPr>
        <w:tc>
          <w:tcPr>
            <w:cnfStyle w:val="001000000000" w:firstRow="0" w:lastRow="0" w:firstColumn="1" w:lastColumn="0" w:oddVBand="0" w:evenVBand="0" w:oddHBand="0" w:evenHBand="0" w:firstRowFirstColumn="0" w:firstRowLastColumn="0" w:lastRowFirstColumn="0" w:lastRowLastColumn="0"/>
            <w:tcW w:w="3268" w:type="dxa"/>
            <w:gridSpan w:val="2"/>
            <w:hideMark/>
          </w:tcPr>
          <w:p w14:paraId="06C604A4" w14:textId="77777777" w:rsidR="009A4437" w:rsidRPr="00BE7252" w:rsidRDefault="009A4437" w:rsidP="009A4437">
            <w:pPr>
              <w:pStyle w:val="TableTextSmall"/>
              <w:rPr>
                <w:rFonts w:ascii="Arial" w:hAnsi="Arial"/>
                <w:sz w:val="18"/>
              </w:rPr>
            </w:pPr>
            <w:r w:rsidRPr="00BE7252">
              <w:rPr>
                <w:rFonts w:ascii="Arial" w:hAnsi="Arial"/>
                <w:sz w:val="18"/>
              </w:rPr>
              <w:t>Reinstate Pensioner Concession Cards to former recipients</w:t>
            </w:r>
          </w:p>
          <w:p w14:paraId="75ACC983" w14:textId="77777777" w:rsidR="009A4437" w:rsidRPr="00BE7252" w:rsidRDefault="009A4437" w:rsidP="009A4437">
            <w:pPr>
              <w:pStyle w:val="TableTextSmalltopic"/>
              <w:rPr>
                <w:rFonts w:ascii="Arial" w:hAnsi="Arial"/>
                <w:b/>
                <w:sz w:val="18"/>
              </w:rPr>
            </w:pPr>
            <w:r w:rsidRPr="00BE7252">
              <w:rPr>
                <w:rFonts w:ascii="Arial" w:hAnsi="Arial"/>
                <w:b/>
                <w:sz w:val="18"/>
              </w:rPr>
              <w:t>Social Services Legislation Amendment (Energy Assistance Payment &amp; Pensioner Concession Card) Act 2017</w:t>
            </w:r>
          </w:p>
        </w:tc>
        <w:tc>
          <w:tcPr>
            <w:tcW w:w="874" w:type="dxa"/>
            <w:hideMark/>
          </w:tcPr>
          <w:p w14:paraId="00BBA0CD" w14:textId="77777777" w:rsidR="009A4437" w:rsidRPr="00262211" w:rsidRDefault="009A4437" w:rsidP="009A4437">
            <w:pPr>
              <w:pStyle w:val="TableTextSmall"/>
              <w:cnfStyle w:val="000000100000" w:firstRow="0" w:lastRow="0" w:firstColumn="0" w:lastColumn="0" w:oddVBand="0" w:evenVBand="0" w:oddHBand="1" w:evenHBand="0" w:firstRowFirstColumn="0" w:firstRowLastColumn="0" w:lastRowFirstColumn="0" w:lastRowLastColumn="0"/>
              <w:rPr>
                <w:rFonts w:ascii="Arial" w:hAnsi="Arial"/>
                <w:sz w:val="18"/>
              </w:rPr>
            </w:pPr>
            <w:r w:rsidRPr="00262211">
              <w:rPr>
                <w:rFonts w:ascii="Arial" w:hAnsi="Arial"/>
                <w:sz w:val="18"/>
              </w:rPr>
              <w:t>2018</w:t>
            </w:r>
          </w:p>
        </w:tc>
        <w:tc>
          <w:tcPr>
            <w:tcW w:w="4479" w:type="dxa"/>
            <w:gridSpan w:val="2"/>
            <w:hideMark/>
          </w:tcPr>
          <w:p w14:paraId="391495D7" w14:textId="492A6EC7" w:rsidR="009A4437" w:rsidRPr="00262211" w:rsidRDefault="009A4437" w:rsidP="009A4437">
            <w:pPr>
              <w:pStyle w:val="TableTextSmall"/>
              <w:cnfStyle w:val="000000100000" w:firstRow="0" w:lastRow="0" w:firstColumn="0" w:lastColumn="0" w:oddVBand="0" w:evenVBand="0" w:oddHBand="1" w:evenHBand="0" w:firstRowFirstColumn="0" w:firstRowLastColumn="0" w:lastRowFirstColumn="0" w:lastRowLastColumn="0"/>
              <w:rPr>
                <w:rFonts w:ascii="Arial" w:hAnsi="Arial"/>
                <w:sz w:val="18"/>
              </w:rPr>
            </w:pPr>
            <w:r w:rsidRPr="00262211">
              <w:rPr>
                <w:rFonts w:ascii="Arial" w:hAnsi="Arial"/>
                <w:sz w:val="18"/>
              </w:rPr>
              <w:t>This provide</w:t>
            </w:r>
            <w:r>
              <w:rPr>
                <w:rFonts w:ascii="Arial" w:hAnsi="Arial"/>
                <w:sz w:val="18"/>
              </w:rPr>
              <w:t>d</w:t>
            </w:r>
            <w:r w:rsidRPr="00262211">
              <w:rPr>
                <w:rFonts w:ascii="Arial" w:hAnsi="Arial"/>
                <w:sz w:val="18"/>
              </w:rPr>
              <w:t xml:space="preserve"> a pensioner concession card to various social security pensioners and veterans’ payments recipients where the recipient’s payment or pension was cancelled on 1 January 2017 due to the rebalancing of the assets test parameters by the Social Services Legislation Amendment (Fair and Sustainable Pensions) Act 201</w:t>
            </w:r>
            <w:r>
              <w:rPr>
                <w:rFonts w:ascii="Arial" w:hAnsi="Arial"/>
                <w:sz w:val="18"/>
              </w:rPr>
              <w:t>5</w:t>
            </w:r>
            <w:r w:rsidRPr="00262211">
              <w:rPr>
                <w:rFonts w:ascii="Arial" w:hAnsi="Arial"/>
                <w:sz w:val="18"/>
              </w:rPr>
              <w:t>.</w:t>
            </w:r>
          </w:p>
        </w:tc>
      </w:tr>
      <w:tr w:rsidR="009A4437" w14:paraId="3D82CC06" w14:textId="77777777" w:rsidTr="00EB5BD4">
        <w:trPr>
          <w:gridAfter w:val="1"/>
          <w:wAfter w:w="26" w:type="dxa"/>
        </w:trPr>
        <w:tc>
          <w:tcPr>
            <w:cnfStyle w:val="001000000000" w:firstRow="0" w:lastRow="0" w:firstColumn="1" w:lastColumn="0" w:oddVBand="0" w:evenVBand="0" w:oddHBand="0" w:evenHBand="0" w:firstRowFirstColumn="0" w:firstRowLastColumn="0" w:lastRowFirstColumn="0" w:lastRowLastColumn="0"/>
            <w:tcW w:w="3268" w:type="dxa"/>
            <w:gridSpan w:val="2"/>
            <w:hideMark/>
          </w:tcPr>
          <w:p w14:paraId="57E47AB2" w14:textId="77777777" w:rsidR="009A4437" w:rsidRPr="00BE7252" w:rsidRDefault="009A4437" w:rsidP="009A4437">
            <w:pPr>
              <w:pStyle w:val="TableTextSmall"/>
              <w:rPr>
                <w:rFonts w:ascii="Arial" w:hAnsi="Arial"/>
                <w:sz w:val="18"/>
              </w:rPr>
            </w:pPr>
            <w:r w:rsidRPr="00BE7252">
              <w:rPr>
                <w:rFonts w:ascii="Arial" w:hAnsi="Arial"/>
                <w:sz w:val="18"/>
              </w:rPr>
              <w:t>Queensland Commission Income Management Regime - Cape York</w:t>
            </w:r>
          </w:p>
          <w:p w14:paraId="7343F652" w14:textId="77777777" w:rsidR="009A4437" w:rsidRPr="00BE7252" w:rsidRDefault="009A4437" w:rsidP="009A4437">
            <w:pPr>
              <w:pStyle w:val="TableTextSmalltopic"/>
              <w:rPr>
                <w:rFonts w:ascii="Arial" w:hAnsi="Arial"/>
                <w:b/>
                <w:sz w:val="18"/>
              </w:rPr>
            </w:pPr>
            <w:r w:rsidRPr="00BE7252">
              <w:rPr>
                <w:rFonts w:ascii="Arial" w:hAnsi="Arial"/>
                <w:b/>
                <w:sz w:val="18"/>
              </w:rPr>
              <w:t>Social Services Legislation Amendment (Queensland Commission Income Management Regime) Act 2017</w:t>
            </w:r>
          </w:p>
        </w:tc>
        <w:tc>
          <w:tcPr>
            <w:tcW w:w="874" w:type="dxa"/>
            <w:hideMark/>
          </w:tcPr>
          <w:p w14:paraId="114DAB11" w14:textId="77777777" w:rsidR="009A4437" w:rsidRPr="00262211" w:rsidRDefault="009A4437" w:rsidP="009A4437">
            <w:pPr>
              <w:pStyle w:val="TableTextSmall"/>
              <w:cnfStyle w:val="000000000000" w:firstRow="0" w:lastRow="0" w:firstColumn="0" w:lastColumn="0" w:oddVBand="0" w:evenVBand="0" w:oddHBand="0" w:evenHBand="0" w:firstRowFirstColumn="0" w:firstRowLastColumn="0" w:lastRowFirstColumn="0" w:lastRowLastColumn="0"/>
              <w:rPr>
                <w:rFonts w:ascii="Arial" w:hAnsi="Arial"/>
                <w:sz w:val="18"/>
              </w:rPr>
            </w:pPr>
            <w:r w:rsidRPr="00262211">
              <w:rPr>
                <w:rFonts w:ascii="Arial" w:hAnsi="Arial"/>
                <w:sz w:val="18"/>
              </w:rPr>
              <w:t>2018</w:t>
            </w:r>
          </w:p>
        </w:tc>
        <w:tc>
          <w:tcPr>
            <w:tcW w:w="4479" w:type="dxa"/>
            <w:gridSpan w:val="2"/>
            <w:hideMark/>
          </w:tcPr>
          <w:p w14:paraId="6BA867A4" w14:textId="7BE8A14E" w:rsidR="009A4437" w:rsidRPr="00262211" w:rsidRDefault="009A4437" w:rsidP="009A4437">
            <w:pPr>
              <w:pStyle w:val="TableTextSmall"/>
              <w:cnfStyle w:val="000000000000" w:firstRow="0" w:lastRow="0" w:firstColumn="0" w:lastColumn="0" w:oddVBand="0" w:evenVBand="0" w:oddHBand="0" w:evenHBand="0" w:firstRowFirstColumn="0" w:firstRowLastColumn="0" w:lastRowFirstColumn="0" w:lastRowLastColumn="0"/>
              <w:rPr>
                <w:rFonts w:ascii="Arial" w:hAnsi="Arial"/>
                <w:sz w:val="18"/>
              </w:rPr>
            </w:pPr>
            <w:r w:rsidRPr="00262211">
              <w:rPr>
                <w:rFonts w:ascii="Arial" w:hAnsi="Arial"/>
                <w:sz w:val="18"/>
              </w:rPr>
              <w:t>This enable</w:t>
            </w:r>
            <w:r>
              <w:rPr>
                <w:rFonts w:ascii="Arial" w:hAnsi="Arial"/>
                <w:sz w:val="18"/>
              </w:rPr>
              <w:t>d</w:t>
            </w:r>
            <w:r w:rsidRPr="00262211">
              <w:rPr>
                <w:rFonts w:ascii="Arial" w:hAnsi="Arial"/>
                <w:sz w:val="18"/>
              </w:rPr>
              <w:t xml:space="preserve"> a two year continuation of the Income Management element of Cape York Welfare Reform in the communities of Aurukun, Coen, Hope Vale, and Mossman Gorge.</w:t>
            </w:r>
          </w:p>
          <w:p w14:paraId="369CEED2" w14:textId="7299DE28" w:rsidR="009A4437" w:rsidRPr="00262211" w:rsidRDefault="009A4437" w:rsidP="009A4437">
            <w:pPr>
              <w:pStyle w:val="TableTextSmall"/>
              <w:cnfStyle w:val="000000000000" w:firstRow="0" w:lastRow="0" w:firstColumn="0" w:lastColumn="0" w:oddVBand="0" w:evenVBand="0" w:oddHBand="0" w:evenHBand="0" w:firstRowFirstColumn="0" w:firstRowLastColumn="0" w:lastRowFirstColumn="0" w:lastRowLastColumn="0"/>
              <w:rPr>
                <w:rFonts w:ascii="Arial" w:hAnsi="Arial"/>
                <w:sz w:val="18"/>
              </w:rPr>
            </w:pPr>
            <w:r w:rsidRPr="00262211">
              <w:rPr>
                <w:rFonts w:ascii="Arial" w:hAnsi="Arial"/>
                <w:sz w:val="18"/>
              </w:rPr>
              <w:t>The continuation of Income Management until 30</w:t>
            </w:r>
            <w:r w:rsidR="008C791B">
              <w:rPr>
                <w:rFonts w:ascii="Arial" w:hAnsi="Arial"/>
                <w:sz w:val="18"/>
              </w:rPr>
              <w:t> </w:t>
            </w:r>
            <w:r w:rsidRPr="00262211">
              <w:rPr>
                <w:rFonts w:ascii="Arial" w:hAnsi="Arial"/>
                <w:sz w:val="18"/>
              </w:rPr>
              <w:t>June</w:t>
            </w:r>
            <w:r w:rsidR="008C791B">
              <w:rPr>
                <w:rFonts w:ascii="Arial" w:hAnsi="Arial"/>
                <w:sz w:val="18"/>
              </w:rPr>
              <w:t> </w:t>
            </w:r>
            <w:r w:rsidRPr="00262211">
              <w:rPr>
                <w:rFonts w:ascii="Arial" w:hAnsi="Arial"/>
                <w:sz w:val="18"/>
              </w:rPr>
              <w:t xml:space="preserve">2019 </w:t>
            </w:r>
            <w:r>
              <w:rPr>
                <w:rFonts w:ascii="Arial" w:hAnsi="Arial"/>
                <w:sz w:val="18"/>
              </w:rPr>
              <w:t>was</w:t>
            </w:r>
            <w:r w:rsidRPr="00262211">
              <w:rPr>
                <w:rFonts w:ascii="Arial" w:hAnsi="Arial"/>
                <w:sz w:val="18"/>
              </w:rPr>
              <w:t xml:space="preserve"> a key element of the reforms and assist</w:t>
            </w:r>
            <w:r>
              <w:rPr>
                <w:rFonts w:ascii="Arial" w:hAnsi="Arial"/>
                <w:sz w:val="18"/>
              </w:rPr>
              <w:t>ed</w:t>
            </w:r>
            <w:r w:rsidRPr="00262211">
              <w:rPr>
                <w:rFonts w:ascii="Arial" w:hAnsi="Arial"/>
                <w:sz w:val="18"/>
              </w:rPr>
              <w:t xml:space="preserve"> in stabilising people’s circumstances and fostering behavioural change, particularly in the areas of school attendance, parental responsibility and increasing individual responsibility.</w:t>
            </w:r>
          </w:p>
        </w:tc>
      </w:tr>
      <w:tr w:rsidR="009A4437" w14:paraId="769B0EB0" w14:textId="77777777" w:rsidTr="00EB5BD4">
        <w:trPr>
          <w:gridAfter w:val="1"/>
          <w:cnfStyle w:val="000000100000" w:firstRow="0" w:lastRow="0" w:firstColumn="0" w:lastColumn="0" w:oddVBand="0" w:evenVBand="0" w:oddHBand="1" w:evenHBand="0" w:firstRowFirstColumn="0" w:firstRowLastColumn="0" w:lastRowFirstColumn="0" w:lastRowLastColumn="0"/>
          <w:wAfter w:w="26" w:type="dxa"/>
        </w:trPr>
        <w:tc>
          <w:tcPr>
            <w:cnfStyle w:val="001000000000" w:firstRow="0" w:lastRow="0" w:firstColumn="1" w:lastColumn="0" w:oddVBand="0" w:evenVBand="0" w:oddHBand="0" w:evenHBand="0" w:firstRowFirstColumn="0" w:firstRowLastColumn="0" w:lastRowFirstColumn="0" w:lastRowLastColumn="0"/>
            <w:tcW w:w="3268" w:type="dxa"/>
            <w:gridSpan w:val="2"/>
            <w:hideMark/>
          </w:tcPr>
          <w:p w14:paraId="5DD9E4EF" w14:textId="77777777" w:rsidR="009A4437" w:rsidRPr="00BE7252" w:rsidRDefault="009A4437" w:rsidP="009A4437">
            <w:pPr>
              <w:pStyle w:val="TableTextSmall"/>
              <w:rPr>
                <w:rFonts w:ascii="Arial" w:hAnsi="Arial"/>
                <w:sz w:val="18"/>
              </w:rPr>
            </w:pPr>
            <w:r w:rsidRPr="00BE7252">
              <w:rPr>
                <w:rFonts w:ascii="Arial" w:hAnsi="Arial"/>
                <w:sz w:val="18"/>
              </w:rPr>
              <w:t>Cessation of Widow Allowance</w:t>
            </w:r>
          </w:p>
          <w:p w14:paraId="0B308E1A" w14:textId="77777777" w:rsidR="009A4437" w:rsidRPr="00BE7252" w:rsidRDefault="009A4437" w:rsidP="009A4437">
            <w:pPr>
              <w:pStyle w:val="TableTextSmalltopic"/>
              <w:rPr>
                <w:rFonts w:ascii="Arial" w:hAnsi="Arial"/>
                <w:b/>
                <w:sz w:val="18"/>
              </w:rPr>
            </w:pPr>
            <w:r w:rsidRPr="00BE7252">
              <w:rPr>
                <w:rFonts w:ascii="Arial" w:hAnsi="Arial"/>
                <w:b/>
                <w:sz w:val="18"/>
              </w:rPr>
              <w:t>Social Services Legislation Amendment (Welfare Reform) Act 2017</w:t>
            </w:r>
          </w:p>
        </w:tc>
        <w:tc>
          <w:tcPr>
            <w:tcW w:w="874" w:type="dxa"/>
            <w:hideMark/>
          </w:tcPr>
          <w:p w14:paraId="60C836C9" w14:textId="77777777" w:rsidR="009A4437" w:rsidRPr="00262211" w:rsidRDefault="009A4437" w:rsidP="009A4437">
            <w:pPr>
              <w:pStyle w:val="TableTextSmall"/>
              <w:cnfStyle w:val="000000100000" w:firstRow="0" w:lastRow="0" w:firstColumn="0" w:lastColumn="0" w:oddVBand="0" w:evenVBand="0" w:oddHBand="1" w:evenHBand="0" w:firstRowFirstColumn="0" w:firstRowLastColumn="0" w:lastRowFirstColumn="0" w:lastRowLastColumn="0"/>
              <w:rPr>
                <w:rFonts w:ascii="Arial" w:hAnsi="Arial"/>
                <w:sz w:val="18"/>
              </w:rPr>
            </w:pPr>
            <w:r w:rsidRPr="00262211">
              <w:rPr>
                <w:rFonts w:ascii="Arial" w:hAnsi="Arial"/>
                <w:sz w:val="18"/>
              </w:rPr>
              <w:t>2018</w:t>
            </w:r>
          </w:p>
        </w:tc>
        <w:tc>
          <w:tcPr>
            <w:tcW w:w="4479" w:type="dxa"/>
            <w:gridSpan w:val="2"/>
            <w:hideMark/>
          </w:tcPr>
          <w:p w14:paraId="7BEAB7D3" w14:textId="74C8B7DE" w:rsidR="009A4437" w:rsidRPr="00262211" w:rsidRDefault="009A4437" w:rsidP="009A4437">
            <w:pPr>
              <w:pStyle w:val="TableTextSmall"/>
              <w:cnfStyle w:val="000000100000" w:firstRow="0" w:lastRow="0" w:firstColumn="0" w:lastColumn="0" w:oddVBand="0" w:evenVBand="0" w:oddHBand="1" w:evenHBand="0" w:firstRowFirstColumn="0" w:firstRowLastColumn="0" w:lastRowFirstColumn="0" w:lastRowLastColumn="0"/>
              <w:rPr>
                <w:rFonts w:ascii="Arial" w:hAnsi="Arial"/>
                <w:sz w:val="18"/>
              </w:rPr>
            </w:pPr>
            <w:r w:rsidRPr="00262211">
              <w:rPr>
                <w:rFonts w:ascii="Arial" w:hAnsi="Arial"/>
                <w:sz w:val="18"/>
              </w:rPr>
              <w:t>Widow allowance close</w:t>
            </w:r>
            <w:r>
              <w:rPr>
                <w:rFonts w:ascii="Arial" w:hAnsi="Arial"/>
                <w:sz w:val="18"/>
              </w:rPr>
              <w:t>d</w:t>
            </w:r>
            <w:r w:rsidRPr="00262211">
              <w:rPr>
                <w:rFonts w:ascii="Arial" w:hAnsi="Arial"/>
                <w:sz w:val="18"/>
              </w:rPr>
              <w:t xml:space="preserve"> to new entrants from 12</w:t>
            </w:r>
            <w:r w:rsidR="00986C32">
              <w:rPr>
                <w:rFonts w:ascii="Arial" w:hAnsi="Arial"/>
                <w:sz w:val="18"/>
              </w:rPr>
              <w:t> </w:t>
            </w:r>
            <w:r w:rsidRPr="00262211">
              <w:rPr>
                <w:rFonts w:ascii="Arial" w:hAnsi="Arial"/>
                <w:sz w:val="18"/>
              </w:rPr>
              <w:t>April</w:t>
            </w:r>
            <w:r w:rsidR="00986C32">
              <w:rPr>
                <w:rFonts w:ascii="Arial" w:hAnsi="Arial"/>
                <w:sz w:val="18"/>
              </w:rPr>
              <w:t> </w:t>
            </w:r>
            <w:r w:rsidRPr="00262211">
              <w:rPr>
                <w:rFonts w:ascii="Arial" w:hAnsi="Arial"/>
                <w:sz w:val="18"/>
              </w:rPr>
              <w:t>2018 and will cease entirely from 1</w:t>
            </w:r>
            <w:r w:rsidR="00986C32">
              <w:rPr>
                <w:rFonts w:ascii="Arial" w:hAnsi="Arial"/>
                <w:sz w:val="18"/>
              </w:rPr>
              <w:t> </w:t>
            </w:r>
            <w:r w:rsidRPr="00262211">
              <w:rPr>
                <w:rFonts w:ascii="Arial" w:hAnsi="Arial"/>
                <w:sz w:val="18"/>
              </w:rPr>
              <w:t>January</w:t>
            </w:r>
            <w:r w:rsidR="00986C32">
              <w:rPr>
                <w:rFonts w:ascii="Arial" w:hAnsi="Arial"/>
                <w:sz w:val="18"/>
              </w:rPr>
              <w:t> </w:t>
            </w:r>
            <w:r w:rsidRPr="00262211">
              <w:rPr>
                <w:rFonts w:ascii="Arial" w:hAnsi="Arial"/>
                <w:sz w:val="18"/>
              </w:rPr>
              <w:t>2022.</w:t>
            </w:r>
          </w:p>
        </w:tc>
      </w:tr>
      <w:tr w:rsidR="009A4437" w14:paraId="2CD2C6A2" w14:textId="77777777" w:rsidTr="00EB5BD4">
        <w:trPr>
          <w:gridAfter w:val="1"/>
          <w:wAfter w:w="26" w:type="dxa"/>
        </w:trPr>
        <w:tc>
          <w:tcPr>
            <w:cnfStyle w:val="001000000000" w:firstRow="0" w:lastRow="0" w:firstColumn="1" w:lastColumn="0" w:oddVBand="0" w:evenVBand="0" w:oddHBand="0" w:evenHBand="0" w:firstRowFirstColumn="0" w:firstRowLastColumn="0" w:lastRowFirstColumn="0" w:lastRowLastColumn="0"/>
            <w:tcW w:w="3268" w:type="dxa"/>
            <w:gridSpan w:val="2"/>
            <w:hideMark/>
          </w:tcPr>
          <w:p w14:paraId="358F6BA7" w14:textId="77777777" w:rsidR="009A4437" w:rsidRPr="00BE7252" w:rsidRDefault="009A4437" w:rsidP="009A4437">
            <w:pPr>
              <w:pStyle w:val="TableTextSmall"/>
              <w:rPr>
                <w:rFonts w:ascii="Arial" w:hAnsi="Arial"/>
                <w:sz w:val="18"/>
              </w:rPr>
            </w:pPr>
            <w:r w:rsidRPr="00BE7252">
              <w:rPr>
                <w:rFonts w:ascii="Arial" w:hAnsi="Arial"/>
                <w:sz w:val="18"/>
              </w:rPr>
              <w:t>Start day for some participation payments</w:t>
            </w:r>
          </w:p>
          <w:p w14:paraId="5A21A6EE" w14:textId="77777777" w:rsidR="009A4437" w:rsidRPr="00BE7252" w:rsidRDefault="009A4437" w:rsidP="009A4437">
            <w:pPr>
              <w:pStyle w:val="TableTextSmalltopic"/>
              <w:rPr>
                <w:rFonts w:ascii="Arial" w:hAnsi="Arial"/>
                <w:b/>
                <w:sz w:val="18"/>
              </w:rPr>
            </w:pPr>
            <w:r w:rsidRPr="00BE7252">
              <w:rPr>
                <w:rFonts w:ascii="Arial" w:hAnsi="Arial"/>
                <w:b/>
                <w:sz w:val="18"/>
              </w:rPr>
              <w:t>Social Services Legislation Amendment (Welfare Reform) Act 2017</w:t>
            </w:r>
          </w:p>
        </w:tc>
        <w:tc>
          <w:tcPr>
            <w:tcW w:w="874" w:type="dxa"/>
            <w:hideMark/>
          </w:tcPr>
          <w:p w14:paraId="580DDA51" w14:textId="77777777" w:rsidR="009A4437" w:rsidRPr="00262211" w:rsidRDefault="009A4437" w:rsidP="009A4437">
            <w:pPr>
              <w:pStyle w:val="TableTextSmall"/>
              <w:cnfStyle w:val="000000000000" w:firstRow="0" w:lastRow="0" w:firstColumn="0" w:lastColumn="0" w:oddVBand="0" w:evenVBand="0" w:oddHBand="0" w:evenHBand="0" w:firstRowFirstColumn="0" w:firstRowLastColumn="0" w:lastRowFirstColumn="0" w:lastRowLastColumn="0"/>
              <w:rPr>
                <w:rFonts w:ascii="Arial" w:hAnsi="Arial"/>
                <w:sz w:val="18"/>
              </w:rPr>
            </w:pPr>
            <w:r w:rsidRPr="00262211">
              <w:rPr>
                <w:rFonts w:ascii="Arial" w:hAnsi="Arial"/>
                <w:sz w:val="18"/>
              </w:rPr>
              <w:t>2018</w:t>
            </w:r>
          </w:p>
        </w:tc>
        <w:tc>
          <w:tcPr>
            <w:tcW w:w="4479" w:type="dxa"/>
            <w:gridSpan w:val="2"/>
            <w:hideMark/>
          </w:tcPr>
          <w:p w14:paraId="267D37CF" w14:textId="26CE76B7" w:rsidR="009A4437" w:rsidRPr="00262211" w:rsidRDefault="009A4437" w:rsidP="009A4437">
            <w:pPr>
              <w:pStyle w:val="TableTextSmall"/>
              <w:cnfStyle w:val="000000000000" w:firstRow="0" w:lastRow="0" w:firstColumn="0" w:lastColumn="0" w:oddVBand="0" w:evenVBand="0" w:oddHBand="0" w:evenHBand="0" w:firstRowFirstColumn="0" w:firstRowLastColumn="0" w:lastRowFirstColumn="0" w:lastRowLastColumn="0"/>
              <w:rPr>
                <w:rFonts w:ascii="Arial" w:hAnsi="Arial"/>
                <w:sz w:val="18"/>
              </w:rPr>
            </w:pPr>
            <w:r w:rsidRPr="00262211">
              <w:rPr>
                <w:rFonts w:ascii="Arial" w:hAnsi="Arial"/>
                <w:sz w:val="18"/>
              </w:rPr>
              <w:t>Change</w:t>
            </w:r>
            <w:r>
              <w:rPr>
                <w:rFonts w:ascii="Arial" w:hAnsi="Arial"/>
                <w:sz w:val="18"/>
              </w:rPr>
              <w:t>d</w:t>
            </w:r>
            <w:r w:rsidRPr="00262211">
              <w:rPr>
                <w:rFonts w:ascii="Arial" w:hAnsi="Arial"/>
                <w:sz w:val="18"/>
              </w:rPr>
              <w:t xml:space="preserve"> the date at which payments commence for people transferring to Newstart Allowance and Youth Allowance recipients.</w:t>
            </w:r>
          </w:p>
        </w:tc>
      </w:tr>
      <w:tr w:rsidR="009A4437" w14:paraId="320582F6" w14:textId="77777777" w:rsidTr="00EB5BD4">
        <w:trPr>
          <w:gridAfter w:val="1"/>
          <w:cnfStyle w:val="000000100000" w:firstRow="0" w:lastRow="0" w:firstColumn="0" w:lastColumn="0" w:oddVBand="0" w:evenVBand="0" w:oddHBand="1" w:evenHBand="0" w:firstRowFirstColumn="0" w:firstRowLastColumn="0" w:lastRowFirstColumn="0" w:lastRowLastColumn="0"/>
          <w:wAfter w:w="26" w:type="dxa"/>
        </w:trPr>
        <w:tc>
          <w:tcPr>
            <w:cnfStyle w:val="001000000000" w:firstRow="0" w:lastRow="0" w:firstColumn="1" w:lastColumn="0" w:oddVBand="0" w:evenVBand="0" w:oddHBand="0" w:evenHBand="0" w:firstRowFirstColumn="0" w:firstRowLastColumn="0" w:lastRowFirstColumn="0" w:lastRowLastColumn="0"/>
            <w:tcW w:w="3268" w:type="dxa"/>
            <w:gridSpan w:val="2"/>
            <w:hideMark/>
          </w:tcPr>
          <w:p w14:paraId="2D1B04CD" w14:textId="77777777" w:rsidR="009A4437" w:rsidRPr="00BE7252" w:rsidRDefault="009A4437" w:rsidP="009A4437">
            <w:pPr>
              <w:pStyle w:val="TableTextSmall"/>
              <w:rPr>
                <w:rFonts w:ascii="Arial" w:hAnsi="Arial"/>
                <w:sz w:val="18"/>
              </w:rPr>
            </w:pPr>
            <w:r w:rsidRPr="00BE7252">
              <w:rPr>
                <w:rFonts w:ascii="Arial" w:hAnsi="Arial"/>
                <w:sz w:val="18"/>
              </w:rPr>
              <w:t>Changes to reasonable excuses</w:t>
            </w:r>
          </w:p>
          <w:p w14:paraId="0093FF0C" w14:textId="77777777" w:rsidR="009A4437" w:rsidRPr="00BE7252" w:rsidRDefault="009A4437" w:rsidP="009A4437">
            <w:pPr>
              <w:pStyle w:val="TableTextSmalltopic"/>
              <w:rPr>
                <w:rFonts w:ascii="Arial" w:hAnsi="Arial"/>
                <w:b/>
                <w:sz w:val="18"/>
              </w:rPr>
            </w:pPr>
            <w:r w:rsidRPr="00BE7252">
              <w:rPr>
                <w:rFonts w:ascii="Arial" w:hAnsi="Arial"/>
                <w:b/>
                <w:sz w:val="18"/>
              </w:rPr>
              <w:t>Social Services Legislation Amendment (Welfare Reform) Act 2017</w:t>
            </w:r>
          </w:p>
        </w:tc>
        <w:tc>
          <w:tcPr>
            <w:tcW w:w="874" w:type="dxa"/>
            <w:hideMark/>
          </w:tcPr>
          <w:p w14:paraId="48AC2947" w14:textId="77777777" w:rsidR="009A4437" w:rsidRPr="00262211" w:rsidRDefault="009A4437" w:rsidP="009A4437">
            <w:pPr>
              <w:pStyle w:val="TableTextSmall"/>
              <w:cnfStyle w:val="000000100000" w:firstRow="0" w:lastRow="0" w:firstColumn="0" w:lastColumn="0" w:oddVBand="0" w:evenVBand="0" w:oddHBand="1" w:evenHBand="0" w:firstRowFirstColumn="0" w:firstRowLastColumn="0" w:lastRowFirstColumn="0" w:lastRowLastColumn="0"/>
              <w:rPr>
                <w:rFonts w:ascii="Arial" w:hAnsi="Arial"/>
                <w:sz w:val="18"/>
              </w:rPr>
            </w:pPr>
            <w:r w:rsidRPr="00262211">
              <w:rPr>
                <w:rFonts w:ascii="Arial" w:hAnsi="Arial"/>
                <w:sz w:val="18"/>
              </w:rPr>
              <w:t>2018</w:t>
            </w:r>
          </w:p>
        </w:tc>
        <w:tc>
          <w:tcPr>
            <w:tcW w:w="4479" w:type="dxa"/>
            <w:gridSpan w:val="2"/>
            <w:hideMark/>
          </w:tcPr>
          <w:p w14:paraId="0FB8724C" w14:textId="59AD133C" w:rsidR="009A4437" w:rsidRPr="00262211" w:rsidRDefault="009A4437" w:rsidP="009A4437">
            <w:pPr>
              <w:pStyle w:val="TableTextSmall"/>
              <w:cnfStyle w:val="000000100000" w:firstRow="0" w:lastRow="0" w:firstColumn="0" w:lastColumn="0" w:oddVBand="0" w:evenVBand="0" w:oddHBand="1" w:evenHBand="0" w:firstRowFirstColumn="0" w:firstRowLastColumn="0" w:lastRowFirstColumn="0" w:lastRowLastColumn="0"/>
              <w:rPr>
                <w:rFonts w:ascii="Arial" w:hAnsi="Arial"/>
                <w:sz w:val="18"/>
              </w:rPr>
            </w:pPr>
            <w:r w:rsidRPr="00262211">
              <w:rPr>
                <w:rFonts w:ascii="Arial" w:hAnsi="Arial"/>
                <w:sz w:val="18"/>
              </w:rPr>
              <w:t>This amend</w:t>
            </w:r>
            <w:r>
              <w:rPr>
                <w:rFonts w:ascii="Arial" w:hAnsi="Arial"/>
                <w:sz w:val="18"/>
              </w:rPr>
              <w:t>ed</w:t>
            </w:r>
            <w:r w:rsidRPr="00262211">
              <w:rPr>
                <w:rFonts w:ascii="Arial" w:hAnsi="Arial"/>
                <w:sz w:val="18"/>
              </w:rPr>
              <w:t xml:space="preserve"> the Social Security Administration Act to provide a new power to make a legislative instrument setting out matters that must not be taken into account when deciding whether a person has a reasonable excuse for committing a </w:t>
            </w:r>
            <w:r>
              <w:rPr>
                <w:rFonts w:ascii="Arial" w:hAnsi="Arial"/>
                <w:sz w:val="18"/>
              </w:rPr>
              <w:t>‘</w:t>
            </w:r>
            <w:r w:rsidRPr="00262211">
              <w:rPr>
                <w:rFonts w:ascii="Arial" w:hAnsi="Arial"/>
                <w:sz w:val="18"/>
              </w:rPr>
              <w:t>no show no pay</w:t>
            </w:r>
            <w:r>
              <w:rPr>
                <w:rFonts w:ascii="Arial" w:hAnsi="Arial"/>
                <w:sz w:val="18"/>
              </w:rPr>
              <w:t>’</w:t>
            </w:r>
            <w:r w:rsidRPr="00262211">
              <w:rPr>
                <w:rFonts w:ascii="Arial" w:hAnsi="Arial"/>
                <w:sz w:val="18"/>
              </w:rPr>
              <w:t xml:space="preserve"> failure, a connection failure, a reconnection failure, a serious failure, or a non-attendance failure.</w:t>
            </w:r>
          </w:p>
        </w:tc>
      </w:tr>
      <w:tr w:rsidR="009A4437" w14:paraId="1C312709" w14:textId="77777777" w:rsidTr="00EB5BD4">
        <w:trPr>
          <w:gridAfter w:val="1"/>
          <w:wAfter w:w="26" w:type="dxa"/>
        </w:trPr>
        <w:tc>
          <w:tcPr>
            <w:cnfStyle w:val="001000000000" w:firstRow="0" w:lastRow="0" w:firstColumn="1" w:lastColumn="0" w:oddVBand="0" w:evenVBand="0" w:oddHBand="0" w:evenHBand="0" w:firstRowFirstColumn="0" w:firstRowLastColumn="0" w:lastRowFirstColumn="0" w:lastRowLastColumn="0"/>
            <w:tcW w:w="3268" w:type="dxa"/>
            <w:gridSpan w:val="2"/>
            <w:hideMark/>
          </w:tcPr>
          <w:p w14:paraId="187DD76F" w14:textId="77777777" w:rsidR="009A4437" w:rsidRPr="00BE7252" w:rsidRDefault="009A4437" w:rsidP="009A4437">
            <w:pPr>
              <w:pStyle w:val="TableTextSmall"/>
              <w:rPr>
                <w:rFonts w:ascii="Arial" w:hAnsi="Arial"/>
                <w:sz w:val="18"/>
              </w:rPr>
            </w:pPr>
            <w:r w:rsidRPr="00BE7252">
              <w:rPr>
                <w:rFonts w:ascii="Arial" w:hAnsi="Arial"/>
                <w:sz w:val="18"/>
              </w:rPr>
              <w:t>Better Alignment of Student Payments</w:t>
            </w:r>
          </w:p>
          <w:p w14:paraId="2EBE7C6A" w14:textId="77777777" w:rsidR="009A4437" w:rsidRPr="00BE7252" w:rsidRDefault="009A4437" w:rsidP="009A4437">
            <w:pPr>
              <w:pStyle w:val="TableTextSmalltopic"/>
              <w:rPr>
                <w:rFonts w:ascii="Arial" w:hAnsi="Arial"/>
                <w:b/>
                <w:sz w:val="18"/>
              </w:rPr>
            </w:pPr>
            <w:r w:rsidRPr="00BE7252">
              <w:rPr>
                <w:rFonts w:ascii="Arial" w:hAnsi="Arial"/>
                <w:b/>
                <w:sz w:val="18"/>
              </w:rPr>
              <w:lastRenderedPageBreak/>
              <w:t>Student Assistance (Education Institutions and Courses) Amendment Determination 2017</w:t>
            </w:r>
          </w:p>
        </w:tc>
        <w:tc>
          <w:tcPr>
            <w:tcW w:w="874" w:type="dxa"/>
            <w:hideMark/>
          </w:tcPr>
          <w:p w14:paraId="5CB7C619" w14:textId="77777777" w:rsidR="009A4437" w:rsidRPr="00262211" w:rsidRDefault="009A4437" w:rsidP="009A4437">
            <w:pPr>
              <w:pStyle w:val="TableTextSmall"/>
              <w:cnfStyle w:val="000000000000" w:firstRow="0" w:lastRow="0" w:firstColumn="0" w:lastColumn="0" w:oddVBand="0" w:evenVBand="0" w:oddHBand="0" w:evenHBand="0" w:firstRowFirstColumn="0" w:firstRowLastColumn="0" w:lastRowFirstColumn="0" w:lastRowLastColumn="0"/>
              <w:rPr>
                <w:rFonts w:ascii="Arial" w:hAnsi="Arial"/>
                <w:sz w:val="18"/>
              </w:rPr>
            </w:pPr>
            <w:r w:rsidRPr="00262211">
              <w:rPr>
                <w:rFonts w:ascii="Arial" w:hAnsi="Arial"/>
                <w:sz w:val="18"/>
              </w:rPr>
              <w:lastRenderedPageBreak/>
              <w:t>2018</w:t>
            </w:r>
          </w:p>
        </w:tc>
        <w:tc>
          <w:tcPr>
            <w:tcW w:w="4479" w:type="dxa"/>
            <w:gridSpan w:val="2"/>
            <w:hideMark/>
          </w:tcPr>
          <w:p w14:paraId="113793E3" w14:textId="328D92F9" w:rsidR="009A4437" w:rsidRPr="00262211" w:rsidRDefault="009A4437" w:rsidP="009A4437">
            <w:pPr>
              <w:pStyle w:val="TableTextSmall"/>
              <w:cnfStyle w:val="000000000000" w:firstRow="0" w:lastRow="0" w:firstColumn="0" w:lastColumn="0" w:oddVBand="0" w:evenVBand="0" w:oddHBand="0" w:evenHBand="0" w:firstRowFirstColumn="0" w:firstRowLastColumn="0" w:lastRowFirstColumn="0" w:lastRowLastColumn="0"/>
              <w:rPr>
                <w:rFonts w:ascii="Arial" w:hAnsi="Arial"/>
                <w:sz w:val="18"/>
              </w:rPr>
            </w:pPr>
            <w:r w:rsidRPr="00262211">
              <w:rPr>
                <w:rFonts w:ascii="Arial" w:hAnsi="Arial"/>
                <w:sz w:val="18"/>
              </w:rPr>
              <w:t xml:space="preserve">From 1 January 2018, approval of tertiary courses for student payments changed. Approved courses have been restricted to VET courses (at diploma level and above) and education providers approved for VET Student Loans and higher education courses offered </w:t>
            </w:r>
            <w:r w:rsidRPr="00262211">
              <w:rPr>
                <w:rFonts w:ascii="Arial" w:hAnsi="Arial"/>
                <w:sz w:val="18"/>
              </w:rPr>
              <w:lastRenderedPageBreak/>
              <w:t>by providers approved for the Higher Education Loan Program. These changes affect Youth Allowance (</w:t>
            </w:r>
            <w:r>
              <w:rPr>
                <w:rFonts w:ascii="Arial" w:hAnsi="Arial"/>
                <w:sz w:val="18"/>
              </w:rPr>
              <w:t>S</w:t>
            </w:r>
            <w:r w:rsidRPr="00262211">
              <w:rPr>
                <w:rFonts w:ascii="Arial" w:hAnsi="Arial"/>
                <w:sz w:val="18"/>
              </w:rPr>
              <w:t xml:space="preserve">tudent), Austudy, ABSTUDY and the Pensioner Education Supplement. Existing student payment recipients </w:t>
            </w:r>
            <w:r>
              <w:rPr>
                <w:rFonts w:ascii="Arial" w:hAnsi="Arial"/>
                <w:sz w:val="18"/>
              </w:rPr>
              <w:t>were</w:t>
            </w:r>
            <w:r w:rsidRPr="00262211">
              <w:rPr>
                <w:rFonts w:ascii="Arial" w:hAnsi="Arial"/>
                <w:sz w:val="18"/>
              </w:rPr>
              <w:t xml:space="preserve"> grandfathered for the duration of their current course.</w:t>
            </w:r>
          </w:p>
        </w:tc>
      </w:tr>
      <w:tr w:rsidR="009A4437" w14:paraId="34089910" w14:textId="77777777" w:rsidTr="00EB5B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2" w:type="dxa"/>
            <w:hideMark/>
          </w:tcPr>
          <w:p w14:paraId="10858885" w14:textId="77777777" w:rsidR="009A4437" w:rsidRPr="00BE7252" w:rsidRDefault="009A4437" w:rsidP="009A4437">
            <w:pPr>
              <w:pStyle w:val="TableTextSmall"/>
              <w:rPr>
                <w:rFonts w:ascii="Arial" w:hAnsi="Arial"/>
                <w:sz w:val="18"/>
              </w:rPr>
            </w:pPr>
            <w:r w:rsidRPr="00BE7252">
              <w:rPr>
                <w:rFonts w:ascii="Arial" w:hAnsi="Arial"/>
                <w:sz w:val="18"/>
              </w:rPr>
              <w:lastRenderedPageBreak/>
              <w:t>Remove the exemptions for Parents in Employment Nil Rate Periods</w:t>
            </w:r>
          </w:p>
          <w:p w14:paraId="6DD2FFAD" w14:textId="77777777" w:rsidR="009A4437" w:rsidRPr="00BE7252" w:rsidRDefault="009A4437" w:rsidP="009A4437">
            <w:pPr>
              <w:pStyle w:val="TableTextSmall"/>
              <w:rPr>
                <w:rFonts w:ascii="Arial" w:hAnsi="Arial"/>
                <w:sz w:val="18"/>
              </w:rPr>
            </w:pPr>
            <w:r w:rsidRPr="00BE7252">
              <w:rPr>
                <w:rFonts w:ascii="Arial" w:hAnsi="Arial"/>
                <w:sz w:val="18"/>
              </w:rPr>
              <w:t>Budget Savings (Omnibus) Act 2016</w:t>
            </w:r>
          </w:p>
        </w:tc>
        <w:tc>
          <w:tcPr>
            <w:tcW w:w="920" w:type="dxa"/>
            <w:gridSpan w:val="2"/>
            <w:hideMark/>
          </w:tcPr>
          <w:p w14:paraId="52A773E0" w14:textId="7C4C2382" w:rsidR="009A4437" w:rsidRPr="00262211" w:rsidRDefault="009A4437" w:rsidP="009A4437">
            <w:pPr>
              <w:pStyle w:val="TableTextSmall"/>
              <w:cnfStyle w:val="000000100000" w:firstRow="0" w:lastRow="0" w:firstColumn="0" w:lastColumn="0" w:oddVBand="0" w:evenVBand="0" w:oddHBand="1" w:evenHBand="0" w:firstRowFirstColumn="0" w:firstRowLastColumn="0" w:lastRowFirstColumn="0" w:lastRowLastColumn="0"/>
              <w:rPr>
                <w:rFonts w:ascii="Arial" w:hAnsi="Arial"/>
                <w:sz w:val="18"/>
              </w:rPr>
            </w:pPr>
            <w:r w:rsidRPr="00262211">
              <w:rPr>
                <w:rFonts w:ascii="Arial" w:hAnsi="Arial"/>
                <w:sz w:val="18"/>
              </w:rPr>
              <w:t>201</w:t>
            </w:r>
            <w:r>
              <w:rPr>
                <w:rFonts w:ascii="Arial" w:hAnsi="Arial"/>
                <w:sz w:val="18"/>
              </w:rPr>
              <w:t>8</w:t>
            </w:r>
          </w:p>
        </w:tc>
        <w:tc>
          <w:tcPr>
            <w:tcW w:w="4505" w:type="dxa"/>
            <w:gridSpan w:val="3"/>
            <w:hideMark/>
          </w:tcPr>
          <w:p w14:paraId="7D154518" w14:textId="335D1130" w:rsidR="009A4437" w:rsidRPr="00262211" w:rsidRDefault="009A4437" w:rsidP="009A4437">
            <w:pPr>
              <w:pStyle w:val="TableTextSmall"/>
              <w:cnfStyle w:val="000000100000" w:firstRow="0" w:lastRow="0" w:firstColumn="0" w:lastColumn="0" w:oddVBand="0" w:evenVBand="0" w:oddHBand="1" w:evenHBand="0" w:firstRowFirstColumn="0" w:firstRowLastColumn="0" w:lastRowFirstColumn="0" w:lastRowLastColumn="0"/>
              <w:rPr>
                <w:rFonts w:ascii="Arial" w:hAnsi="Arial"/>
                <w:sz w:val="18"/>
                <w:lang w:eastAsia="en-AU"/>
              </w:rPr>
            </w:pPr>
            <w:r w:rsidRPr="00262211">
              <w:rPr>
                <w:rFonts w:ascii="Arial" w:hAnsi="Arial"/>
                <w:sz w:val="18"/>
              </w:rPr>
              <w:t xml:space="preserve">From 1 July 2018, people </w:t>
            </w:r>
            <w:r>
              <w:rPr>
                <w:rFonts w:ascii="Arial" w:hAnsi="Arial"/>
                <w:sz w:val="18"/>
              </w:rPr>
              <w:t xml:space="preserve">are </w:t>
            </w:r>
            <w:r w:rsidRPr="00262211">
              <w:rPr>
                <w:rFonts w:ascii="Arial" w:hAnsi="Arial"/>
                <w:sz w:val="18"/>
              </w:rPr>
              <w:t>no longer exempt from income testing arrangements and their actual income will be taken into account for the purpose of calculating family and student payments.</w:t>
            </w:r>
          </w:p>
        </w:tc>
      </w:tr>
      <w:tr w:rsidR="009A4437" w14:paraId="1E8052C1" w14:textId="77777777" w:rsidTr="00EB5BD4">
        <w:tc>
          <w:tcPr>
            <w:cnfStyle w:val="001000000000" w:firstRow="0" w:lastRow="0" w:firstColumn="1" w:lastColumn="0" w:oddVBand="0" w:evenVBand="0" w:oddHBand="0" w:evenHBand="0" w:firstRowFirstColumn="0" w:firstRowLastColumn="0" w:lastRowFirstColumn="0" w:lastRowLastColumn="0"/>
            <w:tcW w:w="3222" w:type="dxa"/>
            <w:hideMark/>
          </w:tcPr>
          <w:p w14:paraId="48E4D1A7" w14:textId="77777777" w:rsidR="009A4437" w:rsidRPr="00BE7252" w:rsidRDefault="009A4437" w:rsidP="009A4437">
            <w:pPr>
              <w:pStyle w:val="TableTextSmall"/>
              <w:rPr>
                <w:rFonts w:ascii="Arial" w:hAnsi="Arial"/>
                <w:sz w:val="18"/>
              </w:rPr>
            </w:pPr>
            <w:r w:rsidRPr="00BE7252">
              <w:rPr>
                <w:rFonts w:ascii="Arial" w:hAnsi="Arial"/>
                <w:sz w:val="18"/>
              </w:rPr>
              <w:t>Targeted compliance framework</w:t>
            </w:r>
          </w:p>
        </w:tc>
        <w:tc>
          <w:tcPr>
            <w:tcW w:w="920" w:type="dxa"/>
            <w:gridSpan w:val="2"/>
            <w:hideMark/>
          </w:tcPr>
          <w:p w14:paraId="0D4BE184" w14:textId="14693369" w:rsidR="009A4437" w:rsidRPr="00262211" w:rsidRDefault="009A4437" w:rsidP="009A4437">
            <w:pPr>
              <w:pStyle w:val="TableTextSmall"/>
              <w:cnfStyle w:val="000000000000" w:firstRow="0" w:lastRow="0" w:firstColumn="0" w:lastColumn="0" w:oddVBand="0" w:evenVBand="0" w:oddHBand="0" w:evenHBand="0" w:firstRowFirstColumn="0" w:firstRowLastColumn="0" w:lastRowFirstColumn="0" w:lastRowLastColumn="0"/>
              <w:rPr>
                <w:rFonts w:ascii="Arial" w:hAnsi="Arial"/>
                <w:sz w:val="18"/>
              </w:rPr>
            </w:pPr>
            <w:r w:rsidRPr="00262211">
              <w:rPr>
                <w:rFonts w:ascii="Arial" w:hAnsi="Arial"/>
                <w:sz w:val="18"/>
              </w:rPr>
              <w:t>201</w:t>
            </w:r>
            <w:r>
              <w:rPr>
                <w:rFonts w:ascii="Arial" w:hAnsi="Arial"/>
                <w:sz w:val="18"/>
              </w:rPr>
              <w:t>8</w:t>
            </w:r>
          </w:p>
        </w:tc>
        <w:tc>
          <w:tcPr>
            <w:tcW w:w="4505" w:type="dxa"/>
            <w:gridSpan w:val="3"/>
            <w:hideMark/>
          </w:tcPr>
          <w:p w14:paraId="3317435F" w14:textId="6B1644B9" w:rsidR="009A4437" w:rsidRPr="00262211" w:rsidRDefault="009A4437">
            <w:pPr>
              <w:pStyle w:val="TableTextSmall"/>
              <w:cnfStyle w:val="000000000000" w:firstRow="0" w:lastRow="0" w:firstColumn="0" w:lastColumn="0" w:oddVBand="0" w:evenVBand="0" w:oddHBand="0" w:evenHBand="0" w:firstRowFirstColumn="0" w:firstRowLastColumn="0" w:lastRowFirstColumn="0" w:lastRowLastColumn="0"/>
              <w:rPr>
                <w:rFonts w:ascii="Arial" w:hAnsi="Arial"/>
                <w:sz w:val="18"/>
              </w:rPr>
            </w:pPr>
            <w:r w:rsidRPr="00262211">
              <w:rPr>
                <w:rFonts w:ascii="Arial" w:hAnsi="Arial"/>
                <w:sz w:val="18"/>
              </w:rPr>
              <w:t xml:space="preserve">From 1 July 2018, a two-phase compliance framework </w:t>
            </w:r>
            <w:r>
              <w:rPr>
                <w:rFonts w:ascii="Arial" w:hAnsi="Arial"/>
                <w:sz w:val="18"/>
              </w:rPr>
              <w:t>was</w:t>
            </w:r>
            <w:r w:rsidRPr="00262211">
              <w:rPr>
                <w:rFonts w:ascii="Arial" w:hAnsi="Arial"/>
                <w:sz w:val="18"/>
              </w:rPr>
              <w:t xml:space="preserve"> introduced </w:t>
            </w:r>
            <w:r>
              <w:rPr>
                <w:rFonts w:ascii="Arial" w:hAnsi="Arial"/>
                <w:sz w:val="18"/>
              </w:rPr>
              <w:t>to</w:t>
            </w:r>
            <w:r w:rsidRPr="00262211">
              <w:rPr>
                <w:rFonts w:ascii="Arial" w:hAnsi="Arial"/>
                <w:sz w:val="18"/>
              </w:rPr>
              <w:t xml:space="preserve"> apply strong penalties to job seekers who persistently and deliberately do not comply with their employment pathway plan (EPP) requirements.</w:t>
            </w:r>
            <w:r>
              <w:rPr>
                <w:rFonts w:ascii="Arial" w:hAnsi="Arial"/>
                <w:sz w:val="18"/>
              </w:rPr>
              <w:t xml:space="preserve"> </w:t>
            </w:r>
            <w:r w:rsidR="004838D3">
              <w:rPr>
                <w:rFonts w:ascii="Arial" w:hAnsi="Arial"/>
                <w:sz w:val="18"/>
              </w:rPr>
              <w:t>Explicit a</w:t>
            </w:r>
            <w:r w:rsidR="004E683B">
              <w:rPr>
                <w:rFonts w:ascii="Arial" w:hAnsi="Arial"/>
                <w:sz w:val="18"/>
              </w:rPr>
              <w:t xml:space="preserve">djustments for this framework were </w:t>
            </w:r>
            <w:r w:rsidR="00AA5831">
              <w:rPr>
                <w:rFonts w:ascii="Arial" w:hAnsi="Arial"/>
                <w:sz w:val="18"/>
              </w:rPr>
              <w:t>removed</w:t>
            </w:r>
            <w:r w:rsidR="004838D3">
              <w:rPr>
                <w:rFonts w:ascii="Arial" w:hAnsi="Arial"/>
                <w:sz w:val="18"/>
              </w:rPr>
              <w:t xml:space="preserve"> </w:t>
            </w:r>
            <w:r w:rsidR="004E683B">
              <w:rPr>
                <w:rFonts w:ascii="Arial" w:hAnsi="Arial"/>
                <w:sz w:val="18"/>
              </w:rPr>
              <w:t>for the 2019 valuation</w:t>
            </w:r>
            <w:r w:rsidR="00AA5831">
              <w:rPr>
                <w:rFonts w:ascii="Arial" w:hAnsi="Arial"/>
                <w:sz w:val="18"/>
              </w:rPr>
              <w:t>, with the experience seen in the data sufficient for incorporating the outcomes of this framework into the models.</w:t>
            </w:r>
          </w:p>
        </w:tc>
      </w:tr>
      <w:tr w:rsidR="009A4437" w14:paraId="4A62232E" w14:textId="77777777" w:rsidTr="00EB5B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2" w:type="dxa"/>
            <w:hideMark/>
          </w:tcPr>
          <w:p w14:paraId="3BF37547" w14:textId="77777777" w:rsidR="009A4437" w:rsidRPr="00BE7252" w:rsidRDefault="009A4437" w:rsidP="009A4437">
            <w:pPr>
              <w:pStyle w:val="TableTextSmall"/>
              <w:rPr>
                <w:rFonts w:ascii="Arial" w:hAnsi="Arial"/>
                <w:sz w:val="18"/>
              </w:rPr>
            </w:pPr>
            <w:r w:rsidRPr="00BE7252">
              <w:rPr>
                <w:rFonts w:ascii="Arial" w:hAnsi="Arial"/>
                <w:sz w:val="18"/>
              </w:rPr>
              <w:t>Introduction of a family income test for Carer Allowance</w:t>
            </w:r>
          </w:p>
        </w:tc>
        <w:tc>
          <w:tcPr>
            <w:tcW w:w="920" w:type="dxa"/>
            <w:gridSpan w:val="2"/>
            <w:hideMark/>
          </w:tcPr>
          <w:p w14:paraId="05E7035B" w14:textId="50576FCE" w:rsidR="009A4437" w:rsidRPr="00262211" w:rsidRDefault="009A4437" w:rsidP="009A4437">
            <w:pPr>
              <w:pStyle w:val="TableTextSmall"/>
              <w:cnfStyle w:val="000000100000" w:firstRow="0" w:lastRow="0" w:firstColumn="0" w:lastColumn="0" w:oddVBand="0" w:evenVBand="0" w:oddHBand="1" w:evenHBand="0" w:firstRowFirstColumn="0" w:firstRowLastColumn="0" w:lastRowFirstColumn="0" w:lastRowLastColumn="0"/>
              <w:rPr>
                <w:rFonts w:ascii="Arial" w:hAnsi="Arial"/>
                <w:sz w:val="18"/>
              </w:rPr>
            </w:pPr>
            <w:r w:rsidRPr="00262211">
              <w:rPr>
                <w:rFonts w:ascii="Arial" w:hAnsi="Arial"/>
                <w:sz w:val="18"/>
              </w:rPr>
              <w:t>201</w:t>
            </w:r>
            <w:r>
              <w:rPr>
                <w:rFonts w:ascii="Arial" w:hAnsi="Arial"/>
                <w:sz w:val="18"/>
              </w:rPr>
              <w:t>8</w:t>
            </w:r>
          </w:p>
        </w:tc>
        <w:tc>
          <w:tcPr>
            <w:tcW w:w="4505" w:type="dxa"/>
            <w:gridSpan w:val="3"/>
            <w:hideMark/>
          </w:tcPr>
          <w:p w14:paraId="0A787661" w14:textId="6D6715AF" w:rsidR="009A4437" w:rsidRPr="00262211" w:rsidRDefault="009A4437" w:rsidP="009A4437">
            <w:pPr>
              <w:pStyle w:val="TableTextSmall"/>
              <w:cnfStyle w:val="000000100000" w:firstRow="0" w:lastRow="0" w:firstColumn="0" w:lastColumn="0" w:oddVBand="0" w:evenVBand="0" w:oddHBand="1" w:evenHBand="0" w:firstRowFirstColumn="0" w:firstRowLastColumn="0" w:lastRowFirstColumn="0" w:lastRowLastColumn="0"/>
              <w:rPr>
                <w:rFonts w:ascii="Arial" w:hAnsi="Arial"/>
                <w:sz w:val="18"/>
              </w:rPr>
            </w:pPr>
            <w:r w:rsidRPr="00262211">
              <w:rPr>
                <w:rFonts w:ascii="Arial" w:hAnsi="Arial"/>
                <w:sz w:val="18"/>
              </w:rPr>
              <w:t>Introduction of a non-indexed family income test for Carer Allowance with a threshold of $250,000. Savings realised will be invested in a support package for carers</w:t>
            </w:r>
            <w:r>
              <w:rPr>
                <w:rFonts w:ascii="Arial" w:hAnsi="Arial"/>
                <w:sz w:val="18"/>
              </w:rPr>
              <w:t>,</w:t>
            </w:r>
            <w:r w:rsidRPr="00262211">
              <w:rPr>
                <w:rFonts w:ascii="Arial" w:hAnsi="Arial"/>
                <w:sz w:val="18"/>
              </w:rPr>
              <w:t xml:space="preserve"> which </w:t>
            </w:r>
            <w:r>
              <w:rPr>
                <w:rFonts w:ascii="Arial" w:hAnsi="Arial"/>
                <w:sz w:val="18"/>
              </w:rPr>
              <w:t>was</w:t>
            </w:r>
            <w:r w:rsidRPr="00262211">
              <w:rPr>
                <w:rFonts w:ascii="Arial" w:hAnsi="Arial"/>
                <w:sz w:val="18"/>
              </w:rPr>
              <w:t xml:space="preserve"> introduced progressively from </w:t>
            </w:r>
            <w:r>
              <w:rPr>
                <w:rFonts w:ascii="Arial" w:hAnsi="Arial"/>
                <w:sz w:val="18"/>
              </w:rPr>
              <w:t>20 September</w:t>
            </w:r>
            <w:r w:rsidRPr="00262211">
              <w:rPr>
                <w:rFonts w:ascii="Arial" w:hAnsi="Arial"/>
                <w:sz w:val="18"/>
              </w:rPr>
              <w:t xml:space="preserve"> 2018.</w:t>
            </w:r>
          </w:p>
        </w:tc>
      </w:tr>
      <w:tr w:rsidR="009A4437" w14:paraId="227B8C6A" w14:textId="77777777" w:rsidTr="00EB5BD4">
        <w:tc>
          <w:tcPr>
            <w:cnfStyle w:val="001000000000" w:firstRow="0" w:lastRow="0" w:firstColumn="1" w:lastColumn="0" w:oddVBand="0" w:evenVBand="0" w:oddHBand="0" w:evenHBand="0" w:firstRowFirstColumn="0" w:firstRowLastColumn="0" w:lastRowFirstColumn="0" w:lastRowLastColumn="0"/>
            <w:tcW w:w="3222" w:type="dxa"/>
          </w:tcPr>
          <w:p w14:paraId="55894494" w14:textId="77777777" w:rsidR="009A4437" w:rsidRPr="00BE7252" w:rsidRDefault="009A4437" w:rsidP="009A4437">
            <w:pPr>
              <w:pStyle w:val="TableTextSmall"/>
              <w:rPr>
                <w:rFonts w:ascii="Arial" w:hAnsi="Arial"/>
                <w:sz w:val="18"/>
              </w:rPr>
            </w:pPr>
            <w:r w:rsidRPr="00BE7252">
              <w:rPr>
                <w:rFonts w:ascii="Arial" w:hAnsi="Arial"/>
                <w:sz w:val="18"/>
              </w:rPr>
              <w:t>Introduction of Child Care Subsidy (CCS) and Additional Child Care Subsidy (ACCS), and cessation of Child Care Benefit (CCB) and Child Care Rebate (CCR).</w:t>
            </w:r>
          </w:p>
          <w:p w14:paraId="2FB69536" w14:textId="0E18BAB5" w:rsidR="009A4437" w:rsidRPr="00BE7252" w:rsidRDefault="009A4437" w:rsidP="009A4437">
            <w:pPr>
              <w:pStyle w:val="TableTextSmall"/>
              <w:rPr>
                <w:rFonts w:ascii="Arial" w:hAnsi="Arial"/>
                <w:sz w:val="18"/>
              </w:rPr>
            </w:pPr>
            <w:r w:rsidRPr="00BE7252">
              <w:rPr>
                <w:rFonts w:ascii="Arial" w:hAnsi="Arial"/>
                <w:sz w:val="18"/>
              </w:rPr>
              <w:t>Family Assistance Legislation Amendment (Jobs for Families Child Care Package) Act 2017</w:t>
            </w:r>
          </w:p>
        </w:tc>
        <w:tc>
          <w:tcPr>
            <w:tcW w:w="920" w:type="dxa"/>
            <w:gridSpan w:val="2"/>
          </w:tcPr>
          <w:p w14:paraId="0A86F696" w14:textId="65BF7C88" w:rsidR="009A4437" w:rsidRPr="00262211" w:rsidRDefault="009A4437" w:rsidP="009A4437">
            <w:pPr>
              <w:pStyle w:val="TableTextSmall"/>
              <w:cnfStyle w:val="000000000000" w:firstRow="0" w:lastRow="0" w:firstColumn="0" w:lastColumn="0" w:oddVBand="0" w:evenVBand="0" w:oddHBand="0" w:evenHBand="0" w:firstRowFirstColumn="0" w:firstRowLastColumn="0" w:lastRowFirstColumn="0" w:lastRowLastColumn="0"/>
              <w:rPr>
                <w:rFonts w:ascii="Arial" w:hAnsi="Arial"/>
                <w:sz w:val="18"/>
              </w:rPr>
            </w:pPr>
            <w:r w:rsidRPr="00262211">
              <w:rPr>
                <w:rFonts w:ascii="Arial" w:hAnsi="Arial"/>
                <w:sz w:val="18"/>
              </w:rPr>
              <w:t>2019</w:t>
            </w:r>
          </w:p>
        </w:tc>
        <w:tc>
          <w:tcPr>
            <w:tcW w:w="4505" w:type="dxa"/>
            <w:gridSpan w:val="3"/>
          </w:tcPr>
          <w:p w14:paraId="76AE9448" w14:textId="7E1951E2" w:rsidR="009A4437" w:rsidRPr="00262211" w:rsidRDefault="009A4437" w:rsidP="009A4437">
            <w:pPr>
              <w:pStyle w:val="TableTextSmall"/>
              <w:cnfStyle w:val="000000000000" w:firstRow="0" w:lastRow="0" w:firstColumn="0" w:lastColumn="0" w:oddVBand="0" w:evenVBand="0" w:oddHBand="0" w:evenHBand="0" w:firstRowFirstColumn="0" w:firstRowLastColumn="0" w:lastRowFirstColumn="0" w:lastRowLastColumn="0"/>
              <w:rPr>
                <w:rFonts w:ascii="Arial" w:hAnsi="Arial"/>
                <w:sz w:val="18"/>
              </w:rPr>
            </w:pPr>
            <w:r w:rsidRPr="00262211">
              <w:rPr>
                <w:rFonts w:ascii="Arial" w:hAnsi="Arial"/>
                <w:sz w:val="18"/>
              </w:rPr>
              <w:t>The CCS replace</w:t>
            </w:r>
            <w:r>
              <w:rPr>
                <w:rFonts w:ascii="Arial" w:hAnsi="Arial"/>
                <w:sz w:val="18"/>
              </w:rPr>
              <w:t>d</w:t>
            </w:r>
            <w:r w:rsidRPr="00262211">
              <w:rPr>
                <w:rFonts w:ascii="Arial" w:hAnsi="Arial"/>
                <w:sz w:val="18"/>
              </w:rPr>
              <w:t xml:space="preserve"> the child care payments including CCB and CCR. ACCS provide</w:t>
            </w:r>
            <w:r>
              <w:rPr>
                <w:rFonts w:ascii="Arial" w:hAnsi="Arial"/>
                <w:sz w:val="18"/>
              </w:rPr>
              <w:t>s</w:t>
            </w:r>
            <w:r w:rsidRPr="00262211">
              <w:rPr>
                <w:rFonts w:ascii="Arial" w:hAnsi="Arial"/>
                <w:sz w:val="18"/>
              </w:rPr>
              <w:t xml:space="preserve"> improved and targeted support to those families who require it most, such as: families with children at risk of serious abuse or neglect; families experiencing temporary financial hardship; families on income support transitioning to work; and grandparent carers on income support</w:t>
            </w:r>
            <w:r>
              <w:rPr>
                <w:rFonts w:ascii="Arial" w:hAnsi="Arial"/>
                <w:sz w:val="18"/>
              </w:rPr>
              <w:t>.</w:t>
            </w:r>
          </w:p>
        </w:tc>
      </w:tr>
      <w:tr w:rsidR="009A4437" w14:paraId="5A529CD9" w14:textId="77777777" w:rsidTr="00EB5B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2" w:type="dxa"/>
            <w:hideMark/>
          </w:tcPr>
          <w:p w14:paraId="31EC818A" w14:textId="77777777" w:rsidR="009A4437" w:rsidRPr="00BE7252" w:rsidRDefault="009A4437" w:rsidP="009A4437">
            <w:pPr>
              <w:pStyle w:val="TableTextSmall"/>
              <w:rPr>
                <w:rFonts w:ascii="Arial" w:hAnsi="Arial"/>
                <w:sz w:val="18"/>
              </w:rPr>
            </w:pPr>
            <w:r w:rsidRPr="00BE7252">
              <w:rPr>
                <w:rFonts w:ascii="Arial" w:hAnsi="Arial"/>
                <w:sz w:val="18"/>
              </w:rPr>
              <w:t>Changes to activity tests for persons aged 55 to 59</w:t>
            </w:r>
          </w:p>
          <w:p w14:paraId="59325F33" w14:textId="77777777" w:rsidR="009A4437" w:rsidRPr="00BE7252" w:rsidRDefault="009A4437" w:rsidP="009A4437">
            <w:pPr>
              <w:pStyle w:val="TableTextSmall"/>
              <w:rPr>
                <w:rFonts w:ascii="Arial" w:hAnsi="Arial"/>
                <w:sz w:val="18"/>
              </w:rPr>
            </w:pPr>
            <w:r w:rsidRPr="00BE7252">
              <w:rPr>
                <w:rFonts w:ascii="Arial" w:hAnsi="Arial"/>
                <w:sz w:val="18"/>
              </w:rPr>
              <w:t>Social Services Legislation Amendment (Welfare Reform) Act 2018</w:t>
            </w:r>
          </w:p>
        </w:tc>
        <w:tc>
          <w:tcPr>
            <w:tcW w:w="920" w:type="dxa"/>
            <w:gridSpan w:val="2"/>
            <w:hideMark/>
          </w:tcPr>
          <w:p w14:paraId="7C7B2015" w14:textId="77777777" w:rsidR="009A4437" w:rsidRPr="00262211" w:rsidRDefault="009A4437" w:rsidP="009A4437">
            <w:pPr>
              <w:pStyle w:val="TableTextSmall"/>
              <w:cnfStyle w:val="000000100000" w:firstRow="0" w:lastRow="0" w:firstColumn="0" w:lastColumn="0" w:oddVBand="0" w:evenVBand="0" w:oddHBand="1" w:evenHBand="0" w:firstRowFirstColumn="0" w:firstRowLastColumn="0" w:lastRowFirstColumn="0" w:lastRowLastColumn="0"/>
              <w:rPr>
                <w:rFonts w:ascii="Arial" w:hAnsi="Arial"/>
                <w:sz w:val="18"/>
              </w:rPr>
            </w:pPr>
            <w:r w:rsidRPr="00262211">
              <w:rPr>
                <w:rFonts w:ascii="Arial" w:hAnsi="Arial"/>
                <w:sz w:val="18"/>
              </w:rPr>
              <w:t>2019</w:t>
            </w:r>
          </w:p>
        </w:tc>
        <w:tc>
          <w:tcPr>
            <w:tcW w:w="4505" w:type="dxa"/>
            <w:gridSpan w:val="3"/>
            <w:hideMark/>
          </w:tcPr>
          <w:p w14:paraId="1A8ACFCD" w14:textId="75C11C81" w:rsidR="009A4437" w:rsidRPr="00262211" w:rsidRDefault="009A4437" w:rsidP="009A4437">
            <w:pPr>
              <w:pStyle w:val="TableTextSmall"/>
              <w:cnfStyle w:val="000000100000" w:firstRow="0" w:lastRow="0" w:firstColumn="0" w:lastColumn="0" w:oddVBand="0" w:evenVBand="0" w:oddHBand="1" w:evenHBand="0" w:firstRowFirstColumn="0" w:firstRowLastColumn="0" w:lastRowFirstColumn="0" w:lastRowLastColumn="0"/>
              <w:rPr>
                <w:rFonts w:ascii="Arial" w:hAnsi="Arial"/>
                <w:sz w:val="18"/>
              </w:rPr>
            </w:pPr>
            <w:r w:rsidRPr="00262211">
              <w:rPr>
                <w:rFonts w:ascii="Arial" w:hAnsi="Arial"/>
                <w:sz w:val="18"/>
              </w:rPr>
              <w:t xml:space="preserve">Newstart and certain Special Benefits recipients aged 55-59 </w:t>
            </w:r>
            <w:r>
              <w:rPr>
                <w:rFonts w:ascii="Arial" w:hAnsi="Arial"/>
                <w:sz w:val="18"/>
              </w:rPr>
              <w:t>are</w:t>
            </w:r>
            <w:r w:rsidRPr="00262211">
              <w:rPr>
                <w:rFonts w:ascii="Arial" w:hAnsi="Arial"/>
                <w:sz w:val="18"/>
              </w:rPr>
              <w:t xml:space="preserve"> no longer be able to satisfy the activity test by engaging in voluntary work for at least 30 hours per fortnight. Recipients will be taken to satisfy the work test if they are engaged for at least 30 hours per fortnight in a combination of approved unpaid voluntary work and suitable paid work, at least 15 hours of which must be in suitable paid work.</w:t>
            </w:r>
          </w:p>
        </w:tc>
      </w:tr>
      <w:tr w:rsidR="009A4437" w14:paraId="798E3E96" w14:textId="77777777" w:rsidTr="00EB5BD4">
        <w:tc>
          <w:tcPr>
            <w:cnfStyle w:val="001000000000" w:firstRow="0" w:lastRow="0" w:firstColumn="1" w:lastColumn="0" w:oddVBand="0" w:evenVBand="0" w:oddHBand="0" w:evenHBand="0" w:firstRowFirstColumn="0" w:firstRowLastColumn="0" w:lastRowFirstColumn="0" w:lastRowLastColumn="0"/>
            <w:tcW w:w="3222" w:type="dxa"/>
            <w:hideMark/>
          </w:tcPr>
          <w:p w14:paraId="2E582592" w14:textId="77777777" w:rsidR="009A4437" w:rsidRPr="00BE7252" w:rsidRDefault="009A4437" w:rsidP="009A4437">
            <w:pPr>
              <w:pStyle w:val="TableTextSmall"/>
              <w:rPr>
                <w:rFonts w:ascii="Arial" w:hAnsi="Arial"/>
                <w:sz w:val="18"/>
              </w:rPr>
            </w:pPr>
            <w:r w:rsidRPr="00BE7252">
              <w:rPr>
                <w:rFonts w:ascii="Arial" w:hAnsi="Arial"/>
                <w:sz w:val="18"/>
              </w:rPr>
              <w:t>Removal of intent to claim provisions</w:t>
            </w:r>
          </w:p>
          <w:p w14:paraId="06A62BBB" w14:textId="77777777" w:rsidR="009A4437" w:rsidRPr="00BE7252" w:rsidRDefault="009A4437" w:rsidP="009A4437">
            <w:pPr>
              <w:pStyle w:val="TableTextSmall"/>
              <w:rPr>
                <w:rFonts w:ascii="Arial" w:hAnsi="Arial"/>
                <w:sz w:val="18"/>
              </w:rPr>
            </w:pPr>
            <w:r w:rsidRPr="00BE7252">
              <w:rPr>
                <w:rFonts w:ascii="Arial" w:hAnsi="Arial"/>
                <w:sz w:val="18"/>
              </w:rPr>
              <w:t>Social Services Legislation Amendment (Welfare Reform) Act 2018</w:t>
            </w:r>
          </w:p>
        </w:tc>
        <w:tc>
          <w:tcPr>
            <w:tcW w:w="920" w:type="dxa"/>
            <w:gridSpan w:val="2"/>
            <w:hideMark/>
          </w:tcPr>
          <w:p w14:paraId="2FE868AC" w14:textId="77777777" w:rsidR="009A4437" w:rsidRPr="00262211" w:rsidRDefault="009A4437" w:rsidP="009A4437">
            <w:pPr>
              <w:pStyle w:val="TableTextSmall"/>
              <w:cnfStyle w:val="000000000000" w:firstRow="0" w:lastRow="0" w:firstColumn="0" w:lastColumn="0" w:oddVBand="0" w:evenVBand="0" w:oddHBand="0" w:evenHBand="0" w:firstRowFirstColumn="0" w:firstRowLastColumn="0" w:lastRowFirstColumn="0" w:lastRowLastColumn="0"/>
              <w:rPr>
                <w:rFonts w:ascii="Arial" w:hAnsi="Arial"/>
                <w:sz w:val="18"/>
              </w:rPr>
            </w:pPr>
            <w:r w:rsidRPr="00262211">
              <w:rPr>
                <w:rFonts w:ascii="Arial" w:hAnsi="Arial"/>
                <w:sz w:val="18"/>
              </w:rPr>
              <w:t>2019</w:t>
            </w:r>
          </w:p>
        </w:tc>
        <w:tc>
          <w:tcPr>
            <w:tcW w:w="4505" w:type="dxa"/>
            <w:gridSpan w:val="3"/>
            <w:hideMark/>
          </w:tcPr>
          <w:p w14:paraId="020449C2" w14:textId="0C6F6F76" w:rsidR="009A4437" w:rsidRPr="00262211" w:rsidRDefault="009A4437" w:rsidP="009A4437">
            <w:pPr>
              <w:pStyle w:val="TableTextSmall"/>
              <w:cnfStyle w:val="000000000000" w:firstRow="0" w:lastRow="0" w:firstColumn="0" w:lastColumn="0" w:oddVBand="0" w:evenVBand="0" w:oddHBand="0" w:evenHBand="0" w:firstRowFirstColumn="0" w:firstRowLastColumn="0" w:lastRowFirstColumn="0" w:lastRowLastColumn="0"/>
              <w:rPr>
                <w:rFonts w:ascii="Arial" w:hAnsi="Arial"/>
                <w:sz w:val="18"/>
              </w:rPr>
            </w:pPr>
            <w:r w:rsidRPr="00262211">
              <w:rPr>
                <w:rFonts w:ascii="Arial" w:hAnsi="Arial"/>
                <w:sz w:val="18"/>
              </w:rPr>
              <w:t>Previously</w:t>
            </w:r>
            <w:r>
              <w:rPr>
                <w:rFonts w:ascii="Arial" w:hAnsi="Arial"/>
                <w:sz w:val="18"/>
              </w:rPr>
              <w:t>,</w:t>
            </w:r>
            <w:r w:rsidRPr="00262211">
              <w:rPr>
                <w:rFonts w:ascii="Arial" w:hAnsi="Arial"/>
                <w:sz w:val="18"/>
              </w:rPr>
              <w:t xml:space="preserve"> claim entitlement was backdated to the date a claimant initially contacted the Department of Human Services and indicated their intention to claim. It </w:t>
            </w:r>
            <w:r>
              <w:rPr>
                <w:rFonts w:ascii="Arial" w:hAnsi="Arial"/>
                <w:sz w:val="18"/>
              </w:rPr>
              <w:t>is</w:t>
            </w:r>
            <w:r w:rsidRPr="00262211">
              <w:rPr>
                <w:rFonts w:ascii="Arial" w:hAnsi="Arial"/>
                <w:sz w:val="18"/>
              </w:rPr>
              <w:t xml:space="preserve"> now be the date the claim was made.</w:t>
            </w:r>
          </w:p>
        </w:tc>
      </w:tr>
      <w:tr w:rsidR="009A4437" w14:paraId="159B5767" w14:textId="77777777" w:rsidTr="00EB5B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2" w:type="dxa"/>
            <w:hideMark/>
          </w:tcPr>
          <w:p w14:paraId="6103F9A7" w14:textId="77777777" w:rsidR="009A4437" w:rsidRPr="00BE7252" w:rsidRDefault="009A4437" w:rsidP="009A4437">
            <w:pPr>
              <w:pStyle w:val="TableTextSmall"/>
              <w:rPr>
                <w:rFonts w:ascii="Arial" w:hAnsi="Arial"/>
                <w:sz w:val="18"/>
              </w:rPr>
            </w:pPr>
            <w:r w:rsidRPr="00BE7252">
              <w:rPr>
                <w:rFonts w:ascii="Arial" w:hAnsi="Arial"/>
                <w:sz w:val="18"/>
              </w:rPr>
              <w:t>Removal of exemptions for drug or alcohol dependence</w:t>
            </w:r>
          </w:p>
          <w:p w14:paraId="708D617E" w14:textId="77777777" w:rsidR="009A4437" w:rsidRPr="00BE7252" w:rsidRDefault="009A4437" w:rsidP="009A4437">
            <w:pPr>
              <w:pStyle w:val="TableTextSmall"/>
              <w:rPr>
                <w:rFonts w:ascii="Arial" w:hAnsi="Arial"/>
                <w:sz w:val="18"/>
              </w:rPr>
            </w:pPr>
            <w:r w:rsidRPr="00BE7252">
              <w:rPr>
                <w:rFonts w:ascii="Arial" w:hAnsi="Arial"/>
                <w:sz w:val="18"/>
              </w:rPr>
              <w:lastRenderedPageBreak/>
              <w:t>Social Services Legislation Amendment (Welfare Reform) Act 2018</w:t>
            </w:r>
          </w:p>
        </w:tc>
        <w:tc>
          <w:tcPr>
            <w:tcW w:w="920" w:type="dxa"/>
            <w:gridSpan w:val="2"/>
            <w:hideMark/>
          </w:tcPr>
          <w:p w14:paraId="7AE21934" w14:textId="77777777" w:rsidR="009A4437" w:rsidRPr="00262211" w:rsidRDefault="009A4437" w:rsidP="009A4437">
            <w:pPr>
              <w:pStyle w:val="TableTextSmall"/>
              <w:cnfStyle w:val="000000100000" w:firstRow="0" w:lastRow="0" w:firstColumn="0" w:lastColumn="0" w:oddVBand="0" w:evenVBand="0" w:oddHBand="1" w:evenHBand="0" w:firstRowFirstColumn="0" w:firstRowLastColumn="0" w:lastRowFirstColumn="0" w:lastRowLastColumn="0"/>
              <w:rPr>
                <w:rFonts w:ascii="Arial" w:hAnsi="Arial"/>
                <w:sz w:val="18"/>
              </w:rPr>
            </w:pPr>
            <w:r w:rsidRPr="00262211">
              <w:rPr>
                <w:rFonts w:ascii="Arial" w:hAnsi="Arial"/>
                <w:sz w:val="18"/>
              </w:rPr>
              <w:lastRenderedPageBreak/>
              <w:t>2019</w:t>
            </w:r>
          </w:p>
        </w:tc>
        <w:tc>
          <w:tcPr>
            <w:tcW w:w="4505" w:type="dxa"/>
            <w:gridSpan w:val="3"/>
            <w:hideMark/>
          </w:tcPr>
          <w:p w14:paraId="4EEDD899" w14:textId="51B63BEA" w:rsidR="009A4437" w:rsidRPr="00262211" w:rsidRDefault="009A4437" w:rsidP="009A4437">
            <w:pPr>
              <w:pStyle w:val="TableTextSmall"/>
              <w:cnfStyle w:val="000000100000" w:firstRow="0" w:lastRow="0" w:firstColumn="0" w:lastColumn="0" w:oddVBand="0" w:evenVBand="0" w:oddHBand="1" w:evenHBand="0" w:firstRowFirstColumn="0" w:firstRowLastColumn="0" w:lastRowFirstColumn="0" w:lastRowLastColumn="0"/>
              <w:rPr>
                <w:rFonts w:ascii="Arial" w:hAnsi="Arial"/>
                <w:sz w:val="18"/>
              </w:rPr>
            </w:pPr>
            <w:r w:rsidRPr="00262211">
              <w:rPr>
                <w:rFonts w:ascii="Arial" w:hAnsi="Arial"/>
                <w:sz w:val="18"/>
              </w:rPr>
              <w:t xml:space="preserve">Exemptions from the activity test and participation requirements </w:t>
            </w:r>
            <w:r>
              <w:rPr>
                <w:rFonts w:ascii="Arial" w:hAnsi="Arial"/>
                <w:sz w:val="18"/>
              </w:rPr>
              <w:t>are</w:t>
            </w:r>
            <w:r w:rsidRPr="00262211">
              <w:rPr>
                <w:rFonts w:ascii="Arial" w:hAnsi="Arial"/>
                <w:sz w:val="18"/>
              </w:rPr>
              <w:t xml:space="preserve"> no longer available in relation to circumstances directly attributable to drug or alcohol misuse (including abuse of drugs or alcohol) for certain social security recipients.</w:t>
            </w:r>
          </w:p>
        </w:tc>
      </w:tr>
      <w:tr w:rsidR="009A4437" w14:paraId="67E49E0D" w14:textId="77777777" w:rsidTr="00EB5BD4">
        <w:tc>
          <w:tcPr>
            <w:cnfStyle w:val="001000000000" w:firstRow="0" w:lastRow="0" w:firstColumn="1" w:lastColumn="0" w:oddVBand="0" w:evenVBand="0" w:oddHBand="0" w:evenHBand="0" w:firstRowFirstColumn="0" w:firstRowLastColumn="0" w:lastRowFirstColumn="0" w:lastRowLastColumn="0"/>
            <w:tcW w:w="3222" w:type="dxa"/>
            <w:hideMark/>
          </w:tcPr>
          <w:p w14:paraId="0374BA87" w14:textId="77777777" w:rsidR="009A4437" w:rsidRPr="00BE7252" w:rsidRDefault="009A4437" w:rsidP="009A4437">
            <w:pPr>
              <w:pStyle w:val="TableTextSmall"/>
              <w:rPr>
                <w:rFonts w:ascii="Arial" w:hAnsi="Arial"/>
                <w:sz w:val="18"/>
              </w:rPr>
            </w:pPr>
            <w:r w:rsidRPr="00BE7252">
              <w:rPr>
                <w:rFonts w:ascii="Arial" w:hAnsi="Arial"/>
                <w:sz w:val="18"/>
              </w:rPr>
              <w:t>Streamlining tax file number collection</w:t>
            </w:r>
          </w:p>
          <w:p w14:paraId="302471AF" w14:textId="77777777" w:rsidR="009A4437" w:rsidRPr="00BE7252" w:rsidRDefault="009A4437" w:rsidP="009A4437">
            <w:pPr>
              <w:pStyle w:val="TableTextSmall"/>
              <w:rPr>
                <w:rFonts w:ascii="Arial" w:hAnsi="Arial"/>
                <w:sz w:val="18"/>
              </w:rPr>
            </w:pPr>
            <w:r w:rsidRPr="00BE7252">
              <w:rPr>
                <w:rFonts w:ascii="Arial" w:hAnsi="Arial"/>
                <w:sz w:val="18"/>
              </w:rPr>
              <w:t>Social Services Legislation Amendment (Welfare Reform) Act 2018</w:t>
            </w:r>
          </w:p>
        </w:tc>
        <w:tc>
          <w:tcPr>
            <w:tcW w:w="920" w:type="dxa"/>
            <w:gridSpan w:val="2"/>
            <w:hideMark/>
          </w:tcPr>
          <w:p w14:paraId="012A1999" w14:textId="77777777" w:rsidR="009A4437" w:rsidRPr="00262211" w:rsidRDefault="009A4437" w:rsidP="009A4437">
            <w:pPr>
              <w:pStyle w:val="TableTextSmall"/>
              <w:cnfStyle w:val="000000000000" w:firstRow="0" w:lastRow="0" w:firstColumn="0" w:lastColumn="0" w:oddVBand="0" w:evenVBand="0" w:oddHBand="0" w:evenHBand="0" w:firstRowFirstColumn="0" w:firstRowLastColumn="0" w:lastRowFirstColumn="0" w:lastRowLastColumn="0"/>
              <w:rPr>
                <w:rFonts w:ascii="Arial" w:hAnsi="Arial"/>
                <w:sz w:val="18"/>
              </w:rPr>
            </w:pPr>
            <w:r w:rsidRPr="00262211">
              <w:rPr>
                <w:rFonts w:ascii="Arial" w:hAnsi="Arial"/>
                <w:sz w:val="18"/>
              </w:rPr>
              <w:t>2019</w:t>
            </w:r>
          </w:p>
        </w:tc>
        <w:tc>
          <w:tcPr>
            <w:tcW w:w="4505" w:type="dxa"/>
            <w:gridSpan w:val="3"/>
            <w:hideMark/>
          </w:tcPr>
          <w:p w14:paraId="4724BFF3" w14:textId="77777777" w:rsidR="009A4437" w:rsidRPr="00262211" w:rsidRDefault="009A4437" w:rsidP="009A4437">
            <w:pPr>
              <w:pStyle w:val="TableTextSmall"/>
              <w:cnfStyle w:val="000000000000" w:firstRow="0" w:lastRow="0" w:firstColumn="0" w:lastColumn="0" w:oddVBand="0" w:evenVBand="0" w:oddHBand="0" w:evenHBand="0" w:firstRowFirstColumn="0" w:firstRowLastColumn="0" w:lastRowFirstColumn="0" w:lastRowLastColumn="0"/>
              <w:rPr>
                <w:rFonts w:ascii="Arial" w:hAnsi="Arial"/>
                <w:sz w:val="18"/>
              </w:rPr>
            </w:pPr>
            <w:r w:rsidRPr="00262211">
              <w:rPr>
                <w:rFonts w:ascii="Arial" w:hAnsi="Arial"/>
                <w:sz w:val="18"/>
              </w:rPr>
              <w:t>Allows for a request to provide a tax file number and/or a relevant third party’s tax file number as part of a claim for a social security payment, seniors health card or income-tested health care card. Payments or the provision of the cards can be prevented until the request is satisfied.</w:t>
            </w:r>
          </w:p>
        </w:tc>
      </w:tr>
      <w:tr w:rsidR="009A4437" w14:paraId="68F3CBA1" w14:textId="77777777" w:rsidTr="00EB5B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2" w:type="dxa"/>
            <w:hideMark/>
          </w:tcPr>
          <w:p w14:paraId="489036AF" w14:textId="77777777" w:rsidR="009A4437" w:rsidRPr="00BE7252" w:rsidRDefault="009A4437" w:rsidP="009A4437">
            <w:pPr>
              <w:pStyle w:val="TableTextSmall"/>
              <w:rPr>
                <w:rFonts w:ascii="Arial" w:hAnsi="Arial"/>
                <w:sz w:val="18"/>
              </w:rPr>
            </w:pPr>
            <w:r w:rsidRPr="00BE7252">
              <w:rPr>
                <w:rFonts w:ascii="Arial" w:hAnsi="Arial"/>
                <w:sz w:val="18"/>
              </w:rPr>
              <w:t>Information management</w:t>
            </w:r>
          </w:p>
          <w:p w14:paraId="5F8EA8DF" w14:textId="77777777" w:rsidR="009A4437" w:rsidRPr="00BE7252" w:rsidRDefault="009A4437" w:rsidP="009A4437">
            <w:pPr>
              <w:pStyle w:val="TableTextSmall"/>
              <w:rPr>
                <w:rFonts w:ascii="Arial" w:hAnsi="Arial"/>
                <w:sz w:val="18"/>
              </w:rPr>
            </w:pPr>
            <w:r w:rsidRPr="00BE7252">
              <w:rPr>
                <w:rFonts w:ascii="Arial" w:hAnsi="Arial"/>
                <w:sz w:val="18"/>
              </w:rPr>
              <w:t>Social Services Legislation Amendment (Welfare Reform) Act 2018</w:t>
            </w:r>
          </w:p>
        </w:tc>
        <w:tc>
          <w:tcPr>
            <w:tcW w:w="920" w:type="dxa"/>
            <w:gridSpan w:val="2"/>
            <w:hideMark/>
          </w:tcPr>
          <w:p w14:paraId="7EF14FEB" w14:textId="77777777" w:rsidR="009A4437" w:rsidRPr="00262211" w:rsidRDefault="009A4437" w:rsidP="009A4437">
            <w:pPr>
              <w:pStyle w:val="TableTextSmall"/>
              <w:cnfStyle w:val="000000100000" w:firstRow="0" w:lastRow="0" w:firstColumn="0" w:lastColumn="0" w:oddVBand="0" w:evenVBand="0" w:oddHBand="1" w:evenHBand="0" w:firstRowFirstColumn="0" w:firstRowLastColumn="0" w:lastRowFirstColumn="0" w:lastRowLastColumn="0"/>
              <w:rPr>
                <w:rFonts w:ascii="Arial" w:hAnsi="Arial"/>
                <w:sz w:val="18"/>
              </w:rPr>
            </w:pPr>
            <w:r w:rsidRPr="00262211">
              <w:rPr>
                <w:rFonts w:ascii="Arial" w:hAnsi="Arial"/>
                <w:sz w:val="18"/>
              </w:rPr>
              <w:t>2019</w:t>
            </w:r>
          </w:p>
        </w:tc>
        <w:tc>
          <w:tcPr>
            <w:tcW w:w="4505" w:type="dxa"/>
            <w:gridSpan w:val="3"/>
            <w:hideMark/>
          </w:tcPr>
          <w:p w14:paraId="0A93F392" w14:textId="77777777" w:rsidR="009A4437" w:rsidRPr="00262211" w:rsidRDefault="009A4437" w:rsidP="009A4437">
            <w:pPr>
              <w:pStyle w:val="TableTextSmall"/>
              <w:cnfStyle w:val="000000100000" w:firstRow="0" w:lastRow="0" w:firstColumn="0" w:lastColumn="0" w:oddVBand="0" w:evenVBand="0" w:oddHBand="1" w:evenHBand="0" w:firstRowFirstColumn="0" w:firstRowLastColumn="0" w:lastRowFirstColumn="0" w:lastRowLastColumn="0"/>
              <w:rPr>
                <w:rFonts w:ascii="Arial" w:hAnsi="Arial"/>
                <w:sz w:val="18"/>
              </w:rPr>
            </w:pPr>
            <w:r w:rsidRPr="00262211">
              <w:rPr>
                <w:rFonts w:ascii="Arial" w:hAnsi="Arial"/>
                <w:sz w:val="18"/>
              </w:rPr>
              <w:t>Information or documents obtained about a person under the coercive information gathering provisions in the course of an administrative action by the Department of Human Services can now be used in subsequent investigation and prosecution of criminal offences.</w:t>
            </w:r>
          </w:p>
        </w:tc>
      </w:tr>
      <w:tr w:rsidR="009A4437" w14:paraId="4DA21FEF" w14:textId="77777777" w:rsidTr="00EB5BD4">
        <w:tc>
          <w:tcPr>
            <w:cnfStyle w:val="001000000000" w:firstRow="0" w:lastRow="0" w:firstColumn="1" w:lastColumn="0" w:oddVBand="0" w:evenVBand="0" w:oddHBand="0" w:evenHBand="0" w:firstRowFirstColumn="0" w:firstRowLastColumn="0" w:lastRowFirstColumn="0" w:lastRowLastColumn="0"/>
            <w:tcW w:w="3222" w:type="dxa"/>
            <w:hideMark/>
          </w:tcPr>
          <w:p w14:paraId="6BD7C40A" w14:textId="77777777" w:rsidR="009A4437" w:rsidRPr="00BE7252" w:rsidRDefault="009A4437" w:rsidP="009A4437">
            <w:pPr>
              <w:pStyle w:val="TableTextSmall"/>
              <w:rPr>
                <w:rFonts w:ascii="Arial" w:hAnsi="Arial"/>
                <w:sz w:val="18"/>
              </w:rPr>
            </w:pPr>
            <w:r w:rsidRPr="00BE7252">
              <w:rPr>
                <w:rFonts w:ascii="Arial" w:hAnsi="Arial"/>
                <w:sz w:val="18"/>
              </w:rPr>
              <w:t>Cashless debit card extensions</w:t>
            </w:r>
          </w:p>
          <w:p w14:paraId="4F88AAB1" w14:textId="77777777" w:rsidR="009A4437" w:rsidRPr="00BE7252" w:rsidRDefault="009A4437" w:rsidP="009A4437">
            <w:pPr>
              <w:pStyle w:val="TableTextSmall"/>
              <w:rPr>
                <w:rFonts w:ascii="Arial" w:hAnsi="Arial"/>
                <w:sz w:val="18"/>
              </w:rPr>
            </w:pPr>
            <w:r w:rsidRPr="00BE7252">
              <w:rPr>
                <w:rFonts w:ascii="Arial" w:hAnsi="Arial"/>
                <w:sz w:val="18"/>
              </w:rPr>
              <w:t>Social Services Legislation Amendment (Cashless Debit Card) Bill 2017</w:t>
            </w:r>
          </w:p>
        </w:tc>
        <w:tc>
          <w:tcPr>
            <w:tcW w:w="920" w:type="dxa"/>
            <w:gridSpan w:val="2"/>
            <w:hideMark/>
          </w:tcPr>
          <w:p w14:paraId="49093A44" w14:textId="77777777" w:rsidR="009A4437" w:rsidRPr="00262211" w:rsidRDefault="009A4437" w:rsidP="009A4437">
            <w:pPr>
              <w:pStyle w:val="TableTextSmall"/>
              <w:cnfStyle w:val="000000000000" w:firstRow="0" w:lastRow="0" w:firstColumn="0" w:lastColumn="0" w:oddVBand="0" w:evenVBand="0" w:oddHBand="0" w:evenHBand="0" w:firstRowFirstColumn="0" w:firstRowLastColumn="0" w:lastRowFirstColumn="0" w:lastRowLastColumn="0"/>
              <w:rPr>
                <w:rFonts w:ascii="Arial" w:hAnsi="Arial"/>
                <w:sz w:val="18"/>
              </w:rPr>
            </w:pPr>
            <w:r w:rsidRPr="00262211">
              <w:rPr>
                <w:rFonts w:ascii="Arial" w:hAnsi="Arial"/>
                <w:sz w:val="18"/>
              </w:rPr>
              <w:t>2019</w:t>
            </w:r>
          </w:p>
        </w:tc>
        <w:tc>
          <w:tcPr>
            <w:tcW w:w="4505" w:type="dxa"/>
            <w:gridSpan w:val="3"/>
            <w:hideMark/>
          </w:tcPr>
          <w:p w14:paraId="020D271C" w14:textId="77777777" w:rsidR="009A4437" w:rsidRPr="00262211" w:rsidRDefault="009A4437" w:rsidP="009A4437">
            <w:pPr>
              <w:pStyle w:val="TableTextSmall"/>
              <w:cnfStyle w:val="000000000000" w:firstRow="0" w:lastRow="0" w:firstColumn="0" w:lastColumn="0" w:oddVBand="0" w:evenVBand="0" w:oddHBand="0" w:evenHBand="0" w:firstRowFirstColumn="0" w:firstRowLastColumn="0" w:lastRowFirstColumn="0" w:lastRowLastColumn="0"/>
              <w:rPr>
                <w:rFonts w:ascii="Arial" w:hAnsi="Arial"/>
                <w:sz w:val="18"/>
              </w:rPr>
            </w:pPr>
            <w:r w:rsidRPr="00262211">
              <w:rPr>
                <w:rFonts w:ascii="Arial" w:hAnsi="Arial"/>
                <w:sz w:val="18"/>
              </w:rPr>
              <w:t xml:space="preserve">Amendments to support the </w:t>
            </w:r>
            <w:r w:rsidRPr="00262211">
              <w:rPr>
                <w:rFonts w:ascii="Arial" w:hAnsi="Arial"/>
                <w:color w:val="444444"/>
                <w:sz w:val="18"/>
              </w:rPr>
              <w:t>extension of cashless debit card arrangements in current sites, and enable the expansion of the cashless debit card to further sites.</w:t>
            </w:r>
          </w:p>
        </w:tc>
      </w:tr>
      <w:tr w:rsidR="009A4437" w14:paraId="5D77A5B7" w14:textId="77777777" w:rsidTr="00EB5B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2" w:type="dxa"/>
            <w:hideMark/>
          </w:tcPr>
          <w:p w14:paraId="5FAFE798" w14:textId="77777777" w:rsidR="009A4437" w:rsidRPr="00BE7252" w:rsidRDefault="009A4437" w:rsidP="009A4437">
            <w:pPr>
              <w:pStyle w:val="TableTextSmall"/>
              <w:rPr>
                <w:rFonts w:ascii="Arial" w:hAnsi="Arial"/>
                <w:sz w:val="18"/>
              </w:rPr>
            </w:pPr>
            <w:r w:rsidRPr="00BE7252">
              <w:rPr>
                <w:rFonts w:ascii="Arial" w:hAnsi="Arial"/>
                <w:sz w:val="18"/>
              </w:rPr>
              <w:t>Automatically issue Health Care Cards / Health care cards</w:t>
            </w:r>
          </w:p>
          <w:p w14:paraId="7A54A5E8" w14:textId="77777777" w:rsidR="009A4437" w:rsidRPr="00BE7252" w:rsidRDefault="009A4437" w:rsidP="009A4437">
            <w:pPr>
              <w:pStyle w:val="TableTextSmall"/>
              <w:rPr>
                <w:rFonts w:ascii="Arial" w:hAnsi="Arial"/>
                <w:sz w:val="18"/>
              </w:rPr>
            </w:pPr>
            <w:r w:rsidRPr="00BE7252">
              <w:rPr>
                <w:rFonts w:ascii="Arial" w:hAnsi="Arial"/>
                <w:sz w:val="18"/>
              </w:rPr>
              <w:t>Social Services Legislation Amendment (Simplifying Student Payments) Act 2017</w:t>
            </w:r>
          </w:p>
        </w:tc>
        <w:tc>
          <w:tcPr>
            <w:tcW w:w="920" w:type="dxa"/>
            <w:gridSpan w:val="2"/>
            <w:hideMark/>
          </w:tcPr>
          <w:p w14:paraId="1C6DA082" w14:textId="77777777" w:rsidR="009A4437" w:rsidRPr="00262211" w:rsidRDefault="009A4437" w:rsidP="009A4437">
            <w:pPr>
              <w:pStyle w:val="TableTextSmall"/>
              <w:cnfStyle w:val="000000100000" w:firstRow="0" w:lastRow="0" w:firstColumn="0" w:lastColumn="0" w:oddVBand="0" w:evenVBand="0" w:oddHBand="1" w:evenHBand="0" w:firstRowFirstColumn="0" w:firstRowLastColumn="0" w:lastRowFirstColumn="0" w:lastRowLastColumn="0"/>
              <w:rPr>
                <w:rFonts w:ascii="Arial" w:hAnsi="Arial"/>
                <w:sz w:val="18"/>
              </w:rPr>
            </w:pPr>
            <w:r w:rsidRPr="00262211">
              <w:rPr>
                <w:rFonts w:ascii="Arial" w:hAnsi="Arial"/>
                <w:sz w:val="18"/>
              </w:rPr>
              <w:t>2020</w:t>
            </w:r>
          </w:p>
        </w:tc>
        <w:tc>
          <w:tcPr>
            <w:tcW w:w="4505" w:type="dxa"/>
            <w:gridSpan w:val="3"/>
            <w:hideMark/>
          </w:tcPr>
          <w:p w14:paraId="34B34C02" w14:textId="77777777" w:rsidR="009A4437" w:rsidRPr="00262211" w:rsidRDefault="009A4437" w:rsidP="009A4437">
            <w:pPr>
              <w:pStyle w:val="TableTextSmall"/>
              <w:cnfStyle w:val="000000100000" w:firstRow="0" w:lastRow="0" w:firstColumn="0" w:lastColumn="0" w:oddVBand="0" w:evenVBand="0" w:oddHBand="1" w:evenHBand="0" w:firstRowFirstColumn="0" w:firstRowLastColumn="0" w:lastRowFirstColumn="0" w:lastRowLastColumn="0"/>
              <w:rPr>
                <w:rFonts w:ascii="Arial" w:hAnsi="Arial"/>
                <w:sz w:val="18"/>
              </w:rPr>
            </w:pPr>
            <w:r w:rsidRPr="00262211">
              <w:rPr>
                <w:rFonts w:ascii="Arial" w:hAnsi="Arial"/>
                <w:sz w:val="18"/>
              </w:rPr>
              <w:t>All students receiving income support will be automatically issued a health care card (HCC).</w:t>
            </w:r>
          </w:p>
        </w:tc>
      </w:tr>
      <w:tr w:rsidR="009A4437" w14:paraId="05E0F26B" w14:textId="77777777" w:rsidTr="00EB5BD4">
        <w:tc>
          <w:tcPr>
            <w:cnfStyle w:val="001000000000" w:firstRow="0" w:lastRow="0" w:firstColumn="1" w:lastColumn="0" w:oddVBand="0" w:evenVBand="0" w:oddHBand="0" w:evenHBand="0" w:firstRowFirstColumn="0" w:firstRowLastColumn="0" w:lastRowFirstColumn="0" w:lastRowLastColumn="0"/>
            <w:tcW w:w="3222" w:type="dxa"/>
            <w:hideMark/>
          </w:tcPr>
          <w:p w14:paraId="521D5823" w14:textId="57256948" w:rsidR="009A4437" w:rsidRPr="00BE7252" w:rsidRDefault="009A4437" w:rsidP="009A4437">
            <w:pPr>
              <w:pStyle w:val="TableTextSmall"/>
              <w:rPr>
                <w:rFonts w:ascii="Arial" w:hAnsi="Arial"/>
                <w:sz w:val="18"/>
              </w:rPr>
            </w:pPr>
            <w:r w:rsidRPr="00BE7252">
              <w:rPr>
                <w:rFonts w:ascii="Arial" w:hAnsi="Arial"/>
                <w:sz w:val="18"/>
              </w:rPr>
              <w:t>Creation of the JobSeeker Payment</w:t>
            </w:r>
          </w:p>
          <w:p w14:paraId="4ACB1DD1" w14:textId="77777777" w:rsidR="009A4437" w:rsidRPr="00BE7252" w:rsidRDefault="009A4437" w:rsidP="009A4437">
            <w:pPr>
              <w:pStyle w:val="TableTextSmall"/>
              <w:rPr>
                <w:rFonts w:ascii="Arial" w:hAnsi="Arial"/>
                <w:sz w:val="18"/>
              </w:rPr>
            </w:pPr>
            <w:r w:rsidRPr="00BE7252">
              <w:rPr>
                <w:rFonts w:ascii="Arial" w:hAnsi="Arial"/>
                <w:sz w:val="18"/>
              </w:rPr>
              <w:t>Social Services Legislation Amendment (Welfare Reform) Act 2017</w:t>
            </w:r>
          </w:p>
        </w:tc>
        <w:tc>
          <w:tcPr>
            <w:tcW w:w="920" w:type="dxa"/>
            <w:gridSpan w:val="2"/>
            <w:hideMark/>
          </w:tcPr>
          <w:p w14:paraId="6D43B25D" w14:textId="77777777" w:rsidR="009A4437" w:rsidRPr="00262211" w:rsidRDefault="009A4437" w:rsidP="009A4437">
            <w:pPr>
              <w:pStyle w:val="TableTextSmall"/>
              <w:cnfStyle w:val="000000000000" w:firstRow="0" w:lastRow="0" w:firstColumn="0" w:lastColumn="0" w:oddVBand="0" w:evenVBand="0" w:oddHBand="0" w:evenHBand="0" w:firstRowFirstColumn="0" w:firstRowLastColumn="0" w:lastRowFirstColumn="0" w:lastRowLastColumn="0"/>
              <w:rPr>
                <w:rFonts w:ascii="Arial" w:hAnsi="Arial"/>
                <w:sz w:val="18"/>
              </w:rPr>
            </w:pPr>
            <w:r w:rsidRPr="00262211">
              <w:rPr>
                <w:rFonts w:ascii="Arial" w:hAnsi="Arial"/>
                <w:sz w:val="18"/>
              </w:rPr>
              <w:t>2020</w:t>
            </w:r>
          </w:p>
        </w:tc>
        <w:tc>
          <w:tcPr>
            <w:tcW w:w="4505" w:type="dxa"/>
            <w:gridSpan w:val="3"/>
            <w:hideMark/>
          </w:tcPr>
          <w:p w14:paraId="591E9903" w14:textId="3E99ADFF" w:rsidR="009A4437" w:rsidRPr="00262211" w:rsidRDefault="009A4437" w:rsidP="009A4437">
            <w:pPr>
              <w:pStyle w:val="TableTextSmall"/>
              <w:cnfStyle w:val="000000000000" w:firstRow="0" w:lastRow="0" w:firstColumn="0" w:lastColumn="0" w:oddVBand="0" w:evenVBand="0" w:oddHBand="0" w:evenHBand="0" w:firstRowFirstColumn="0" w:firstRowLastColumn="0" w:lastRowFirstColumn="0" w:lastRowLastColumn="0"/>
              <w:rPr>
                <w:rFonts w:ascii="Arial" w:hAnsi="Arial"/>
                <w:sz w:val="18"/>
              </w:rPr>
            </w:pPr>
            <w:r w:rsidRPr="00262211">
              <w:rPr>
                <w:rFonts w:ascii="Arial" w:hAnsi="Arial"/>
                <w:sz w:val="18"/>
              </w:rPr>
              <w:t xml:space="preserve">Seven current working age payments </w:t>
            </w:r>
            <w:r>
              <w:rPr>
                <w:rFonts w:ascii="Arial" w:hAnsi="Arial"/>
                <w:sz w:val="18"/>
              </w:rPr>
              <w:t>have been</w:t>
            </w:r>
            <w:r w:rsidRPr="00262211">
              <w:rPr>
                <w:rFonts w:ascii="Arial" w:hAnsi="Arial"/>
                <w:sz w:val="18"/>
              </w:rPr>
              <w:t xml:space="preserve"> consolidated into the new Job</w:t>
            </w:r>
            <w:r>
              <w:rPr>
                <w:rFonts w:ascii="Arial" w:hAnsi="Arial"/>
                <w:sz w:val="18"/>
              </w:rPr>
              <w:t>S</w:t>
            </w:r>
            <w:r w:rsidRPr="00262211">
              <w:rPr>
                <w:rFonts w:ascii="Arial" w:hAnsi="Arial"/>
                <w:sz w:val="18"/>
              </w:rPr>
              <w:t xml:space="preserve">eeker Payment, creating a single payment for those of working age with capacity to work now or in the future. From 20 March 2020, recipients of Newstart Allowance, Sickness Allowance, Wife Pension, Bereavement Allowance and Widow B Pension </w:t>
            </w:r>
            <w:r>
              <w:rPr>
                <w:rFonts w:ascii="Arial" w:hAnsi="Arial"/>
                <w:sz w:val="18"/>
              </w:rPr>
              <w:t>were</w:t>
            </w:r>
            <w:r w:rsidRPr="00262211">
              <w:rPr>
                <w:rFonts w:ascii="Arial" w:hAnsi="Arial"/>
                <w:sz w:val="18"/>
              </w:rPr>
              <w:t xml:space="preserve"> transitioned into Job</w:t>
            </w:r>
            <w:r>
              <w:rPr>
                <w:rFonts w:ascii="Arial" w:hAnsi="Arial"/>
                <w:sz w:val="18"/>
              </w:rPr>
              <w:t>S</w:t>
            </w:r>
            <w:r w:rsidRPr="00262211">
              <w:rPr>
                <w:rFonts w:ascii="Arial" w:hAnsi="Arial"/>
                <w:sz w:val="18"/>
              </w:rPr>
              <w:t xml:space="preserve">eeker Payment, </w:t>
            </w:r>
            <w:r>
              <w:rPr>
                <w:rFonts w:ascii="Arial" w:hAnsi="Arial"/>
                <w:sz w:val="18"/>
              </w:rPr>
              <w:t>Age Pension</w:t>
            </w:r>
            <w:r w:rsidRPr="00262211">
              <w:rPr>
                <w:rFonts w:ascii="Arial" w:hAnsi="Arial"/>
                <w:sz w:val="18"/>
              </w:rPr>
              <w:t xml:space="preserve"> or Carer Payment depending on their circumstances. From 1</w:t>
            </w:r>
            <w:r w:rsidR="00986C32">
              <w:rPr>
                <w:rFonts w:ascii="Arial" w:hAnsi="Arial"/>
                <w:sz w:val="18"/>
              </w:rPr>
              <w:t> </w:t>
            </w:r>
            <w:r w:rsidRPr="00262211">
              <w:rPr>
                <w:rFonts w:ascii="Arial" w:hAnsi="Arial"/>
                <w:sz w:val="18"/>
              </w:rPr>
              <w:t>January</w:t>
            </w:r>
            <w:r w:rsidR="00986C32">
              <w:rPr>
                <w:rFonts w:ascii="Arial" w:hAnsi="Arial"/>
                <w:sz w:val="18"/>
              </w:rPr>
              <w:t> </w:t>
            </w:r>
            <w:r w:rsidRPr="00262211">
              <w:rPr>
                <w:rFonts w:ascii="Arial" w:hAnsi="Arial"/>
                <w:sz w:val="18"/>
              </w:rPr>
              <w:t xml:space="preserve">2022, recipients of Widow Allowance and Partner Allowance will transition to </w:t>
            </w:r>
            <w:r>
              <w:rPr>
                <w:rFonts w:ascii="Arial" w:hAnsi="Arial"/>
                <w:sz w:val="18"/>
              </w:rPr>
              <w:t>Age Pension</w:t>
            </w:r>
            <w:r w:rsidRPr="00262211">
              <w:rPr>
                <w:rFonts w:ascii="Arial" w:hAnsi="Arial"/>
                <w:sz w:val="18"/>
              </w:rPr>
              <w:t>.</w:t>
            </w:r>
          </w:p>
        </w:tc>
      </w:tr>
    </w:tbl>
    <w:p w14:paraId="7F7D8AEC" w14:textId="65B355A0" w:rsidR="00E11DE2" w:rsidRPr="00E11DE2" w:rsidRDefault="002B0D81" w:rsidP="00B752A1">
      <w:pPr>
        <w:pStyle w:val="Minorheading"/>
        <w:spacing w:before="200" w:after="240" w:line="260" w:lineRule="exact"/>
        <w:ind w:left="720" w:hanging="720"/>
        <w:rPr>
          <w:rFonts w:ascii="Arial" w:hAnsi="Arial"/>
          <w:i w:val="0"/>
          <w:color w:val="auto"/>
          <w:sz w:val="20"/>
          <w:szCs w:val="20"/>
        </w:rPr>
      </w:pPr>
      <w:bookmarkStart w:id="313" w:name="_Toc466019163"/>
      <w:r>
        <w:rPr>
          <w:rFonts w:ascii="Arial" w:hAnsi="Arial"/>
          <w:i w:val="0"/>
          <w:color w:val="auto"/>
          <w:sz w:val="20"/>
          <w:szCs w:val="20"/>
        </w:rPr>
        <w:lastRenderedPageBreak/>
        <w:t>B</w:t>
      </w:r>
      <w:r w:rsidR="00E57BE5">
        <w:rPr>
          <w:rFonts w:ascii="Arial" w:hAnsi="Arial"/>
          <w:i w:val="0"/>
          <w:color w:val="auto"/>
          <w:sz w:val="20"/>
          <w:szCs w:val="20"/>
        </w:rPr>
        <w:t>.3</w:t>
      </w:r>
      <w:r w:rsidR="00E11DE2" w:rsidRPr="00E11DE2">
        <w:rPr>
          <w:rFonts w:ascii="Arial" w:hAnsi="Arial"/>
          <w:i w:val="0"/>
          <w:color w:val="auto"/>
          <w:sz w:val="20"/>
          <w:szCs w:val="20"/>
        </w:rPr>
        <w:tab/>
        <w:t xml:space="preserve">In addition to the legislative changes above, prior </w:t>
      </w:r>
      <w:bookmarkEnd w:id="313"/>
      <w:r w:rsidR="006F28AC" w:rsidRPr="00E11DE2">
        <w:rPr>
          <w:rFonts w:ascii="Arial" w:hAnsi="Arial"/>
          <w:i w:val="0"/>
          <w:color w:val="auto"/>
          <w:sz w:val="20"/>
          <w:szCs w:val="20"/>
        </w:rPr>
        <w:t>operational developments</w:t>
      </w:r>
      <w:r w:rsidR="00E11DE2" w:rsidRPr="00E11DE2">
        <w:rPr>
          <w:rFonts w:ascii="Arial" w:hAnsi="Arial"/>
          <w:i w:val="0"/>
          <w:color w:val="auto"/>
          <w:sz w:val="20"/>
          <w:szCs w:val="20"/>
        </w:rPr>
        <w:t xml:space="preserve"> have also had a material impact on valuation outputs. In particular, changes </w:t>
      </w:r>
      <w:r w:rsidR="006F28AC" w:rsidRPr="00E11DE2">
        <w:rPr>
          <w:rFonts w:ascii="Arial" w:hAnsi="Arial"/>
          <w:i w:val="0"/>
          <w:color w:val="auto"/>
          <w:sz w:val="20"/>
          <w:szCs w:val="20"/>
        </w:rPr>
        <w:t>relating to the medical assessment for the Disability Support Pension</w:t>
      </w:r>
      <w:r w:rsidR="00E11DE2" w:rsidRPr="00E11DE2">
        <w:rPr>
          <w:rFonts w:ascii="Arial" w:hAnsi="Arial"/>
          <w:i w:val="0"/>
          <w:color w:val="auto"/>
          <w:sz w:val="20"/>
          <w:szCs w:val="20"/>
        </w:rPr>
        <w:t xml:space="preserve"> </w:t>
      </w:r>
      <w:r w:rsidR="00250AE3">
        <w:rPr>
          <w:rFonts w:ascii="Arial" w:hAnsi="Arial"/>
          <w:i w:val="0"/>
          <w:color w:val="auto"/>
          <w:sz w:val="20"/>
          <w:szCs w:val="20"/>
        </w:rPr>
        <w:t xml:space="preserve">are </w:t>
      </w:r>
      <w:r w:rsidR="00E11DE2" w:rsidRPr="00E11DE2">
        <w:rPr>
          <w:rFonts w:ascii="Arial" w:hAnsi="Arial"/>
          <w:i w:val="0"/>
          <w:color w:val="auto"/>
          <w:sz w:val="20"/>
          <w:szCs w:val="20"/>
        </w:rPr>
        <w:t>as follows</w:t>
      </w:r>
      <w:r w:rsidR="00250AE3">
        <w:rPr>
          <w:rFonts w:ascii="Arial" w:hAnsi="Arial"/>
          <w:i w:val="0"/>
          <w:color w:val="auto"/>
          <w:sz w:val="20"/>
          <w:szCs w:val="20"/>
        </w:rPr>
        <w:t>:</w:t>
      </w:r>
      <w:r w:rsidR="006F28AC" w:rsidRPr="00E11DE2">
        <w:rPr>
          <w:rFonts w:ascii="Arial" w:hAnsi="Arial"/>
          <w:i w:val="0"/>
          <w:color w:val="auto"/>
          <w:sz w:val="20"/>
          <w:szCs w:val="20"/>
        </w:rPr>
        <w:t xml:space="preserve"> </w:t>
      </w:r>
    </w:p>
    <w:p w14:paraId="0C99884C" w14:textId="77777777" w:rsidR="00E11DE2" w:rsidRPr="00E57BE5" w:rsidRDefault="00E11DE2" w:rsidP="0059710A">
      <w:pPr>
        <w:pStyle w:val="Minorheading"/>
        <w:numPr>
          <w:ilvl w:val="2"/>
          <w:numId w:val="18"/>
        </w:numPr>
        <w:spacing w:before="0" w:after="240" w:line="260" w:lineRule="exact"/>
        <w:ind w:left="1134" w:hanging="425"/>
        <w:rPr>
          <w:rFonts w:ascii="Arial" w:hAnsi="Arial"/>
          <w:i w:val="0"/>
          <w:color w:val="auto"/>
          <w:sz w:val="20"/>
          <w:szCs w:val="20"/>
        </w:rPr>
      </w:pPr>
      <w:r w:rsidRPr="00E57BE5">
        <w:rPr>
          <w:rFonts w:ascii="Arial" w:hAnsi="Arial"/>
          <w:i w:val="0"/>
          <w:color w:val="auto"/>
          <w:sz w:val="20"/>
          <w:szCs w:val="20"/>
        </w:rPr>
        <w:t>A</w:t>
      </w:r>
      <w:r w:rsidR="006F28AC" w:rsidRPr="00E57BE5">
        <w:rPr>
          <w:rFonts w:ascii="Arial" w:hAnsi="Arial"/>
          <w:i w:val="0"/>
          <w:color w:val="auto"/>
          <w:sz w:val="20"/>
          <w:szCs w:val="20"/>
        </w:rPr>
        <w:t>ssessments were first introduced as part of the process for new DSP claims from 1 January 2015.</w:t>
      </w:r>
    </w:p>
    <w:p w14:paraId="0EA6097B" w14:textId="77777777" w:rsidR="00E57BE5" w:rsidRPr="00E57BE5" w:rsidRDefault="006F28AC" w:rsidP="0059710A">
      <w:pPr>
        <w:pStyle w:val="Minorheading"/>
        <w:numPr>
          <w:ilvl w:val="2"/>
          <w:numId w:val="18"/>
        </w:numPr>
        <w:spacing w:before="0" w:after="240" w:line="260" w:lineRule="exact"/>
        <w:ind w:left="1134" w:hanging="425"/>
        <w:rPr>
          <w:rFonts w:ascii="Arial" w:hAnsi="Arial"/>
          <w:i w:val="0"/>
          <w:color w:val="auto"/>
          <w:sz w:val="20"/>
          <w:szCs w:val="20"/>
        </w:rPr>
      </w:pPr>
      <w:r w:rsidRPr="00E57BE5">
        <w:rPr>
          <w:rFonts w:ascii="Arial" w:hAnsi="Arial"/>
          <w:i w:val="0"/>
          <w:color w:val="auto"/>
          <w:sz w:val="20"/>
          <w:szCs w:val="20"/>
        </w:rPr>
        <w:t>A process of reviewing DSP medical assessments for current recipients under the age of 35 commenced from 1 July 2014.</w:t>
      </w:r>
    </w:p>
    <w:p w14:paraId="2A1D65C2" w14:textId="04CEB321" w:rsidR="006F28AC" w:rsidRPr="00E57BE5" w:rsidRDefault="00E11DE2" w:rsidP="0059710A">
      <w:pPr>
        <w:pStyle w:val="Minorheading"/>
        <w:numPr>
          <w:ilvl w:val="2"/>
          <w:numId w:val="18"/>
        </w:numPr>
        <w:spacing w:before="0" w:after="240" w:line="260" w:lineRule="exact"/>
        <w:ind w:left="1134" w:hanging="425"/>
        <w:rPr>
          <w:rFonts w:ascii="Arial" w:hAnsi="Arial"/>
          <w:i w:val="0"/>
          <w:color w:val="auto"/>
          <w:sz w:val="20"/>
          <w:szCs w:val="20"/>
        </w:rPr>
      </w:pPr>
      <w:r w:rsidRPr="00E57BE5">
        <w:rPr>
          <w:rFonts w:ascii="Arial" w:hAnsi="Arial"/>
          <w:i w:val="0"/>
          <w:color w:val="auto"/>
          <w:sz w:val="20"/>
          <w:szCs w:val="20"/>
        </w:rPr>
        <w:t>F</w:t>
      </w:r>
      <w:r w:rsidR="006F28AC" w:rsidRPr="00E57BE5">
        <w:rPr>
          <w:rFonts w:ascii="Arial" w:hAnsi="Arial"/>
          <w:i w:val="0"/>
          <w:color w:val="auto"/>
          <w:sz w:val="20"/>
          <w:szCs w:val="20"/>
        </w:rPr>
        <w:t>rom 1 July 2016</w:t>
      </w:r>
      <w:r w:rsidR="00250AE3">
        <w:rPr>
          <w:rFonts w:ascii="Arial" w:hAnsi="Arial"/>
          <w:i w:val="0"/>
          <w:color w:val="auto"/>
          <w:sz w:val="20"/>
          <w:szCs w:val="20"/>
        </w:rPr>
        <w:t>,</w:t>
      </w:r>
      <w:r w:rsidR="006F28AC" w:rsidRPr="00E57BE5">
        <w:rPr>
          <w:rFonts w:ascii="Arial" w:hAnsi="Arial"/>
          <w:i w:val="0"/>
          <w:color w:val="auto"/>
          <w:sz w:val="20"/>
          <w:szCs w:val="20"/>
        </w:rPr>
        <w:t xml:space="preserve"> additional medical reviews </w:t>
      </w:r>
      <w:r w:rsidR="00E57BE5" w:rsidRPr="00E57BE5">
        <w:rPr>
          <w:rFonts w:ascii="Arial" w:hAnsi="Arial"/>
          <w:i w:val="0"/>
          <w:color w:val="auto"/>
          <w:sz w:val="20"/>
          <w:szCs w:val="20"/>
        </w:rPr>
        <w:t>were</w:t>
      </w:r>
      <w:r w:rsidR="006F28AC" w:rsidRPr="00E57BE5">
        <w:rPr>
          <w:rFonts w:ascii="Arial" w:hAnsi="Arial"/>
          <w:i w:val="0"/>
          <w:color w:val="auto"/>
          <w:sz w:val="20"/>
          <w:szCs w:val="20"/>
        </w:rPr>
        <w:t xml:space="preserve"> undertaken for DSP recipients.</w:t>
      </w:r>
    </w:p>
    <w:p w14:paraId="5C1B933C" w14:textId="1AD7A95E" w:rsidR="008F7491" w:rsidRDefault="002B0D81" w:rsidP="00F029F9">
      <w:pPr>
        <w:pStyle w:val="Indent1"/>
        <w:numPr>
          <w:ilvl w:val="0"/>
          <w:numId w:val="0"/>
        </w:numPr>
        <w:spacing w:before="0" w:after="240" w:line="260" w:lineRule="exact"/>
        <w:ind w:left="709" w:hanging="709"/>
        <w:rPr>
          <w:rFonts w:ascii="Arial" w:hAnsi="Arial"/>
          <w:color w:val="auto"/>
        </w:rPr>
      </w:pPr>
      <w:r>
        <w:rPr>
          <w:rFonts w:ascii="Arial" w:hAnsi="Arial"/>
          <w:color w:val="auto"/>
        </w:rPr>
        <w:t>B</w:t>
      </w:r>
      <w:r w:rsidR="00E57BE5">
        <w:rPr>
          <w:rFonts w:ascii="Arial" w:hAnsi="Arial"/>
          <w:color w:val="auto"/>
        </w:rPr>
        <w:t>.4</w:t>
      </w:r>
      <w:r w:rsidR="00E57BE5">
        <w:rPr>
          <w:rFonts w:ascii="Arial" w:hAnsi="Arial"/>
          <w:color w:val="auto"/>
        </w:rPr>
        <w:tab/>
      </w:r>
      <w:r w:rsidR="006F28AC" w:rsidRPr="00E57BE5">
        <w:rPr>
          <w:rFonts w:ascii="Arial" w:hAnsi="Arial"/>
          <w:color w:val="auto"/>
        </w:rPr>
        <w:t xml:space="preserve">These developments have resulted in changes to the welfare population over recent years. In particular, as most of </w:t>
      </w:r>
      <w:r w:rsidR="002826B7">
        <w:rPr>
          <w:rFonts w:ascii="Arial" w:hAnsi="Arial"/>
          <w:color w:val="auto"/>
        </w:rPr>
        <w:t>those</w:t>
      </w:r>
      <w:r w:rsidR="006F28AC" w:rsidRPr="00E57BE5">
        <w:rPr>
          <w:rFonts w:ascii="Arial" w:hAnsi="Arial"/>
          <w:color w:val="auto"/>
        </w:rPr>
        <w:t xml:space="preserve"> impacted started receiving Newstart in place of Disability Support Pension</w:t>
      </w:r>
      <w:r w:rsidR="002826B7">
        <w:rPr>
          <w:rFonts w:ascii="Arial" w:hAnsi="Arial"/>
          <w:color w:val="auto"/>
        </w:rPr>
        <w:t>,</w:t>
      </w:r>
      <w:r w:rsidR="006F28AC" w:rsidRPr="00E57BE5">
        <w:rPr>
          <w:rFonts w:ascii="Arial" w:hAnsi="Arial"/>
          <w:color w:val="auto"/>
        </w:rPr>
        <w:t xml:space="preserve"> there was a reduction in the number of D</w:t>
      </w:r>
      <w:r w:rsidR="002826B7">
        <w:rPr>
          <w:rFonts w:ascii="Arial" w:hAnsi="Arial"/>
          <w:color w:val="auto"/>
        </w:rPr>
        <w:t xml:space="preserve">SP </w:t>
      </w:r>
      <w:r w:rsidR="006F28AC" w:rsidRPr="00E57BE5">
        <w:rPr>
          <w:rFonts w:ascii="Arial" w:hAnsi="Arial"/>
          <w:color w:val="auto"/>
        </w:rPr>
        <w:t xml:space="preserve">recipients and an equivalent increase in Working Age payment recipients. </w:t>
      </w:r>
      <w:r w:rsidR="00250AE3">
        <w:rPr>
          <w:rFonts w:ascii="Arial" w:hAnsi="Arial"/>
          <w:color w:val="auto"/>
        </w:rPr>
        <w:t xml:space="preserve">However, </w:t>
      </w:r>
      <w:r w:rsidR="002826B7">
        <w:rPr>
          <w:rFonts w:ascii="Arial" w:hAnsi="Arial"/>
          <w:color w:val="auto"/>
        </w:rPr>
        <w:t>w</w:t>
      </w:r>
      <w:r w:rsidR="006F28AC" w:rsidRPr="00E57BE5">
        <w:rPr>
          <w:rFonts w:ascii="Arial" w:hAnsi="Arial"/>
          <w:color w:val="auto"/>
        </w:rPr>
        <w:t>hil</w:t>
      </w:r>
      <w:r w:rsidR="002826B7">
        <w:rPr>
          <w:rFonts w:ascii="Arial" w:hAnsi="Arial"/>
          <w:color w:val="auto"/>
        </w:rPr>
        <w:t>st</w:t>
      </w:r>
      <w:r w:rsidR="006F28AC" w:rsidRPr="00E57BE5">
        <w:rPr>
          <w:rFonts w:ascii="Arial" w:hAnsi="Arial"/>
          <w:color w:val="auto"/>
        </w:rPr>
        <w:t xml:space="preserve"> the assessments resulted in reduced numbers of DSP recipients, they did not directly impact the average payment levels for Disability Support </w:t>
      </w:r>
      <w:r w:rsidR="00250AE3">
        <w:rPr>
          <w:rFonts w:ascii="Arial" w:hAnsi="Arial"/>
          <w:color w:val="auto"/>
        </w:rPr>
        <w:t>Pension</w:t>
      </w:r>
      <w:r w:rsidR="006F28AC" w:rsidRPr="00E57BE5">
        <w:rPr>
          <w:rFonts w:ascii="Arial" w:hAnsi="Arial"/>
          <w:color w:val="auto"/>
        </w:rPr>
        <w:t>.</w:t>
      </w:r>
      <w:bookmarkEnd w:id="303"/>
    </w:p>
    <w:p w14:paraId="2B797AFF" w14:textId="34DE7903" w:rsidR="00341FF4" w:rsidRDefault="00341FF4" w:rsidP="00350082">
      <w:pPr>
        <w:spacing w:after="200" w:line="276" w:lineRule="auto"/>
        <w:jc w:val="left"/>
        <w:rPr>
          <w:rFonts w:cs="Arial"/>
          <w:color w:val="404040" w:themeColor="text1" w:themeTint="BF"/>
          <w:lang w:eastAsia="en-US"/>
        </w:rPr>
      </w:pPr>
    </w:p>
    <w:p w14:paraId="49881C5B" w14:textId="70541FBD" w:rsidR="00A7152A" w:rsidRDefault="00A7152A" w:rsidP="00350082">
      <w:pPr>
        <w:spacing w:after="200" w:line="276" w:lineRule="auto"/>
        <w:jc w:val="left"/>
        <w:rPr>
          <w:rFonts w:cs="Arial"/>
          <w:color w:val="404040" w:themeColor="text1" w:themeTint="BF"/>
          <w:lang w:eastAsia="en-US"/>
        </w:rPr>
      </w:pPr>
    </w:p>
    <w:p w14:paraId="20F734E2" w14:textId="77777777" w:rsidR="000B5319" w:rsidRDefault="000B5319">
      <w:pPr>
        <w:spacing w:after="200" w:line="276" w:lineRule="auto"/>
        <w:jc w:val="left"/>
        <w:rPr>
          <w:rFonts w:ascii="Arial Bold" w:hAnsi="Arial Bold"/>
          <w:b/>
          <w:caps/>
          <w:color w:val="9B0014"/>
          <w:sz w:val="36"/>
          <w:szCs w:val="36"/>
        </w:rPr>
      </w:pPr>
      <w:r>
        <w:br w:type="page"/>
      </w:r>
    </w:p>
    <w:p w14:paraId="6652872D" w14:textId="70CE419E" w:rsidR="00A7152A" w:rsidRDefault="003C1359" w:rsidP="002B1B4A">
      <w:pPr>
        <w:pStyle w:val="AppendixHeading"/>
        <w:numPr>
          <w:ilvl w:val="0"/>
          <w:numId w:val="0"/>
        </w:numPr>
      </w:pPr>
      <w:bookmarkStart w:id="314" w:name="_Toc100131573"/>
      <w:r w:rsidRPr="00E83D93">
        <w:lastRenderedPageBreak/>
        <w:t xml:space="preserve">Appendix </w:t>
      </w:r>
      <w:r>
        <w:t>C</w:t>
      </w:r>
      <w:r w:rsidRPr="00E83D93">
        <w:t xml:space="preserve">: </w:t>
      </w:r>
      <w:r>
        <w:t>Payment mapping</w:t>
      </w:r>
      <w:bookmarkEnd w:id="314"/>
    </w:p>
    <w:p w14:paraId="33B8486E" w14:textId="75781C28" w:rsidR="000B1493" w:rsidRPr="000B1493" w:rsidRDefault="00C7682E" w:rsidP="00C7682E">
      <w:pPr>
        <w:pStyle w:val="Caption"/>
      </w:pPr>
      <w:r>
        <w:t xml:space="preserve">Table </w:t>
      </w:r>
      <w:r w:rsidR="00215A2C">
        <w:fldChar w:fldCharType="begin"/>
      </w:r>
      <w:r w:rsidR="00215A2C">
        <w:instrText xml:space="preserve"> SEQ Table \* ARABIC </w:instrText>
      </w:r>
      <w:r w:rsidR="00215A2C">
        <w:fldChar w:fldCharType="separate"/>
      </w:r>
      <w:r w:rsidR="00751625">
        <w:rPr>
          <w:noProof/>
        </w:rPr>
        <w:t>13</w:t>
      </w:r>
      <w:r w:rsidR="00215A2C">
        <w:rPr>
          <w:noProof/>
        </w:rPr>
        <w:fldChar w:fldCharType="end"/>
      </w:r>
      <w:r>
        <w:t>: Description of Payments</w:t>
      </w:r>
    </w:p>
    <w:tbl>
      <w:tblPr>
        <w:tblStyle w:val="ListTable3-Accent1"/>
        <w:tblW w:w="0" w:type="auto"/>
        <w:tblLook w:val="04A0" w:firstRow="1" w:lastRow="0" w:firstColumn="1" w:lastColumn="0" w:noHBand="0" w:noVBand="1"/>
      </w:tblPr>
      <w:tblGrid>
        <w:gridCol w:w="2159"/>
        <w:gridCol w:w="5541"/>
      </w:tblGrid>
      <w:tr w:rsidR="00A45F94" w:rsidRPr="002B553D" w14:paraId="62E08407" w14:textId="77777777" w:rsidTr="008A19EA">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0" w:type="auto"/>
            <w:vAlign w:val="center"/>
            <w:hideMark/>
          </w:tcPr>
          <w:p w14:paraId="2558A7D1" w14:textId="77777777" w:rsidR="00A7152A" w:rsidRPr="002B553D" w:rsidRDefault="00A7152A" w:rsidP="002B553D">
            <w:pPr>
              <w:spacing w:before="40" w:after="40" w:line="276" w:lineRule="auto"/>
              <w:jc w:val="left"/>
              <w:rPr>
                <w:rFonts w:cs="Arial"/>
                <w:color w:val="FFFFFF" w:themeColor="background1"/>
                <w:sz w:val="18"/>
                <w:szCs w:val="18"/>
                <w:lang w:eastAsia="en-US"/>
              </w:rPr>
            </w:pPr>
            <w:r w:rsidRPr="002B553D">
              <w:rPr>
                <w:rFonts w:cs="Arial"/>
                <w:color w:val="FFFFFF" w:themeColor="background1"/>
                <w:sz w:val="18"/>
                <w:szCs w:val="18"/>
                <w:lang w:eastAsia="en-US"/>
              </w:rPr>
              <w:t>Income support (IS) payment category</w:t>
            </w:r>
          </w:p>
        </w:tc>
        <w:tc>
          <w:tcPr>
            <w:tcW w:w="0" w:type="auto"/>
            <w:vAlign w:val="center"/>
            <w:hideMark/>
          </w:tcPr>
          <w:p w14:paraId="552AB7F8" w14:textId="77777777" w:rsidR="00A7152A" w:rsidRPr="002B553D" w:rsidRDefault="00A7152A" w:rsidP="002B553D">
            <w:pPr>
              <w:spacing w:before="40" w:after="40" w:line="276" w:lineRule="auto"/>
              <w:jc w:val="left"/>
              <w:cnfStyle w:val="100000000000" w:firstRow="1" w:lastRow="0" w:firstColumn="0" w:lastColumn="0" w:oddVBand="0" w:evenVBand="0" w:oddHBand="0" w:evenHBand="0" w:firstRowFirstColumn="0" w:firstRowLastColumn="0" w:lastRowFirstColumn="0" w:lastRowLastColumn="0"/>
              <w:rPr>
                <w:rFonts w:cs="Arial"/>
                <w:color w:val="FFFFFF" w:themeColor="background1"/>
                <w:sz w:val="18"/>
                <w:szCs w:val="18"/>
                <w:lang w:eastAsia="en-US"/>
              </w:rPr>
            </w:pPr>
            <w:r w:rsidRPr="002B553D">
              <w:rPr>
                <w:rFonts w:cs="Arial"/>
                <w:color w:val="FFFFFF" w:themeColor="background1"/>
                <w:sz w:val="18"/>
                <w:szCs w:val="18"/>
                <w:lang w:eastAsia="en-US"/>
              </w:rPr>
              <w:t>Components</w:t>
            </w:r>
          </w:p>
        </w:tc>
      </w:tr>
      <w:tr w:rsidR="00A45F94" w:rsidRPr="002B553D" w14:paraId="5AFCBC0E" w14:textId="77777777" w:rsidTr="008A19E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14:paraId="5A35DFB3" w14:textId="77777777" w:rsidR="00A7152A" w:rsidRPr="002B553D" w:rsidRDefault="00A7152A" w:rsidP="002B553D">
            <w:pPr>
              <w:spacing w:before="40" w:after="40" w:line="276" w:lineRule="auto"/>
              <w:jc w:val="left"/>
              <w:rPr>
                <w:rFonts w:cs="Arial"/>
                <w:color w:val="404040" w:themeColor="text1" w:themeTint="BF"/>
                <w:sz w:val="18"/>
                <w:szCs w:val="18"/>
                <w:lang w:eastAsia="en-US"/>
              </w:rPr>
            </w:pPr>
            <w:r w:rsidRPr="002B553D">
              <w:rPr>
                <w:rFonts w:cs="Arial"/>
                <w:color w:val="404040" w:themeColor="text1" w:themeTint="BF"/>
                <w:sz w:val="18"/>
                <w:szCs w:val="18"/>
                <w:lang w:eastAsia="en-US"/>
              </w:rPr>
              <w:t>A - IS Studying</w:t>
            </w:r>
          </w:p>
        </w:tc>
        <w:tc>
          <w:tcPr>
            <w:tcW w:w="0" w:type="auto"/>
            <w:vAlign w:val="center"/>
            <w:hideMark/>
          </w:tcPr>
          <w:p w14:paraId="5FD3CA17" w14:textId="77777777" w:rsidR="00A7152A" w:rsidRPr="002B553D" w:rsidRDefault="00A7152A" w:rsidP="002B553D">
            <w:pPr>
              <w:spacing w:before="40" w:after="40" w:line="276" w:lineRule="auto"/>
              <w:jc w:val="left"/>
              <w:cnfStyle w:val="000000100000" w:firstRow="0" w:lastRow="0" w:firstColumn="0" w:lastColumn="0" w:oddVBand="0" w:evenVBand="0" w:oddHBand="1" w:evenHBand="0" w:firstRowFirstColumn="0" w:firstRowLastColumn="0" w:lastRowFirstColumn="0" w:lastRowLastColumn="0"/>
              <w:rPr>
                <w:rFonts w:cs="Arial"/>
                <w:color w:val="404040" w:themeColor="text1" w:themeTint="BF"/>
                <w:sz w:val="18"/>
                <w:szCs w:val="18"/>
                <w:lang w:eastAsia="en-US"/>
              </w:rPr>
            </w:pPr>
            <w:r w:rsidRPr="002B553D">
              <w:rPr>
                <w:rFonts w:cs="Arial"/>
                <w:color w:val="404040" w:themeColor="text1" w:themeTint="BF"/>
                <w:sz w:val="18"/>
                <w:szCs w:val="18"/>
                <w:lang w:eastAsia="en-US"/>
              </w:rPr>
              <w:t>ABSTUDY - studying</w:t>
            </w:r>
          </w:p>
        </w:tc>
      </w:tr>
      <w:tr w:rsidR="00A45F94" w:rsidRPr="002B553D" w14:paraId="528FA816" w14:textId="77777777" w:rsidTr="008A19EA">
        <w:trPr>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2CC74DEA" w14:textId="77777777" w:rsidR="00A7152A" w:rsidRPr="002B553D" w:rsidRDefault="00A7152A" w:rsidP="002B553D">
            <w:pPr>
              <w:spacing w:before="40" w:after="40" w:line="276" w:lineRule="auto"/>
              <w:jc w:val="left"/>
              <w:rPr>
                <w:rFonts w:cs="Arial"/>
                <w:color w:val="404040" w:themeColor="text1" w:themeTint="BF"/>
                <w:sz w:val="18"/>
                <w:szCs w:val="18"/>
                <w:lang w:eastAsia="en-US"/>
              </w:rPr>
            </w:pPr>
          </w:p>
        </w:tc>
        <w:tc>
          <w:tcPr>
            <w:tcW w:w="0" w:type="auto"/>
            <w:vAlign w:val="center"/>
            <w:hideMark/>
          </w:tcPr>
          <w:p w14:paraId="7504C1E7" w14:textId="77777777" w:rsidR="00A7152A" w:rsidRPr="002B553D" w:rsidRDefault="00A7152A" w:rsidP="002B553D">
            <w:pPr>
              <w:spacing w:before="40" w:after="40" w:line="276" w:lineRule="auto"/>
              <w:jc w:val="left"/>
              <w:cnfStyle w:val="000000000000" w:firstRow="0" w:lastRow="0" w:firstColumn="0" w:lastColumn="0" w:oddVBand="0" w:evenVBand="0" w:oddHBand="0" w:evenHBand="0" w:firstRowFirstColumn="0" w:firstRowLastColumn="0" w:lastRowFirstColumn="0" w:lastRowLastColumn="0"/>
              <w:rPr>
                <w:rFonts w:cs="Arial"/>
                <w:color w:val="404040" w:themeColor="text1" w:themeTint="BF"/>
                <w:sz w:val="18"/>
                <w:szCs w:val="18"/>
                <w:lang w:eastAsia="en-US"/>
              </w:rPr>
            </w:pPr>
            <w:r w:rsidRPr="002B553D">
              <w:rPr>
                <w:rFonts w:cs="Arial"/>
                <w:color w:val="404040" w:themeColor="text1" w:themeTint="BF"/>
                <w:sz w:val="18"/>
                <w:szCs w:val="18"/>
                <w:lang w:eastAsia="en-US"/>
              </w:rPr>
              <w:t>Austudy</w:t>
            </w:r>
          </w:p>
        </w:tc>
      </w:tr>
      <w:tr w:rsidR="00A45F94" w:rsidRPr="002B553D" w14:paraId="1447F199" w14:textId="77777777" w:rsidTr="008A19E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6C3046DB" w14:textId="77777777" w:rsidR="00A7152A" w:rsidRPr="002B553D" w:rsidRDefault="00A7152A" w:rsidP="002B553D">
            <w:pPr>
              <w:spacing w:before="40" w:after="40" w:line="276" w:lineRule="auto"/>
              <w:jc w:val="left"/>
              <w:rPr>
                <w:rFonts w:cs="Arial"/>
                <w:color w:val="404040" w:themeColor="text1" w:themeTint="BF"/>
                <w:sz w:val="18"/>
                <w:szCs w:val="18"/>
                <w:lang w:eastAsia="en-US"/>
              </w:rPr>
            </w:pPr>
          </w:p>
        </w:tc>
        <w:tc>
          <w:tcPr>
            <w:tcW w:w="0" w:type="auto"/>
            <w:vAlign w:val="center"/>
            <w:hideMark/>
          </w:tcPr>
          <w:p w14:paraId="131B2ADC" w14:textId="77777777" w:rsidR="00A7152A" w:rsidRPr="002B553D" w:rsidRDefault="00A7152A" w:rsidP="002B553D">
            <w:pPr>
              <w:spacing w:before="40" w:after="40" w:line="276" w:lineRule="auto"/>
              <w:jc w:val="left"/>
              <w:cnfStyle w:val="000000100000" w:firstRow="0" w:lastRow="0" w:firstColumn="0" w:lastColumn="0" w:oddVBand="0" w:evenVBand="0" w:oddHBand="1" w:evenHBand="0" w:firstRowFirstColumn="0" w:firstRowLastColumn="0" w:lastRowFirstColumn="0" w:lastRowLastColumn="0"/>
              <w:rPr>
                <w:rFonts w:cs="Arial"/>
                <w:color w:val="404040" w:themeColor="text1" w:themeTint="BF"/>
                <w:sz w:val="18"/>
                <w:szCs w:val="18"/>
                <w:lang w:eastAsia="en-US"/>
              </w:rPr>
            </w:pPr>
            <w:r w:rsidRPr="002B553D">
              <w:rPr>
                <w:rFonts w:cs="Arial"/>
                <w:color w:val="404040" w:themeColor="text1" w:themeTint="BF"/>
                <w:sz w:val="18"/>
                <w:szCs w:val="18"/>
                <w:lang w:eastAsia="en-US"/>
              </w:rPr>
              <w:t>YA (Student)</w:t>
            </w:r>
          </w:p>
        </w:tc>
      </w:tr>
      <w:tr w:rsidR="00A45F94" w:rsidRPr="002B553D" w14:paraId="18D019F3" w14:textId="77777777" w:rsidTr="008A19EA">
        <w:trPr>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14:paraId="270C2C7C" w14:textId="77777777" w:rsidR="00A7152A" w:rsidRPr="002B553D" w:rsidRDefault="00A7152A" w:rsidP="002B553D">
            <w:pPr>
              <w:spacing w:before="40" w:after="40" w:line="276" w:lineRule="auto"/>
              <w:jc w:val="left"/>
              <w:rPr>
                <w:rFonts w:cs="Arial"/>
                <w:color w:val="404040" w:themeColor="text1" w:themeTint="BF"/>
                <w:sz w:val="18"/>
                <w:szCs w:val="18"/>
                <w:lang w:eastAsia="en-US"/>
              </w:rPr>
            </w:pPr>
            <w:r w:rsidRPr="002B553D">
              <w:rPr>
                <w:rFonts w:cs="Arial"/>
                <w:color w:val="404040" w:themeColor="text1" w:themeTint="BF"/>
                <w:sz w:val="18"/>
                <w:szCs w:val="18"/>
                <w:lang w:eastAsia="en-US"/>
              </w:rPr>
              <w:t>B - IS Working Age</w:t>
            </w:r>
          </w:p>
        </w:tc>
        <w:tc>
          <w:tcPr>
            <w:tcW w:w="0" w:type="auto"/>
            <w:vAlign w:val="center"/>
            <w:hideMark/>
          </w:tcPr>
          <w:p w14:paraId="191369D7" w14:textId="77777777" w:rsidR="00A7152A" w:rsidRPr="002B553D" w:rsidRDefault="00A7152A" w:rsidP="002B553D">
            <w:pPr>
              <w:spacing w:before="40" w:after="40" w:line="276" w:lineRule="auto"/>
              <w:jc w:val="left"/>
              <w:cnfStyle w:val="000000000000" w:firstRow="0" w:lastRow="0" w:firstColumn="0" w:lastColumn="0" w:oddVBand="0" w:evenVBand="0" w:oddHBand="0" w:evenHBand="0" w:firstRowFirstColumn="0" w:firstRowLastColumn="0" w:lastRowFirstColumn="0" w:lastRowLastColumn="0"/>
              <w:rPr>
                <w:rFonts w:cs="Arial"/>
                <w:color w:val="404040" w:themeColor="text1" w:themeTint="BF"/>
                <w:sz w:val="18"/>
                <w:szCs w:val="18"/>
                <w:lang w:eastAsia="en-US"/>
              </w:rPr>
            </w:pPr>
            <w:r w:rsidRPr="002B553D">
              <w:rPr>
                <w:rFonts w:cs="Arial"/>
                <w:color w:val="404040" w:themeColor="text1" w:themeTint="BF"/>
                <w:sz w:val="18"/>
                <w:szCs w:val="18"/>
                <w:lang w:eastAsia="en-US"/>
              </w:rPr>
              <w:t>ABSTUDY - working</w:t>
            </w:r>
          </w:p>
        </w:tc>
      </w:tr>
      <w:tr w:rsidR="00A45F94" w:rsidRPr="002B553D" w14:paraId="22441FDC" w14:textId="77777777" w:rsidTr="00E76ECB">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028045A4" w14:textId="77777777" w:rsidR="00A7152A" w:rsidRPr="002B553D" w:rsidRDefault="00A7152A" w:rsidP="002B553D">
            <w:pPr>
              <w:spacing w:before="40" w:after="40" w:line="276" w:lineRule="auto"/>
              <w:jc w:val="left"/>
              <w:rPr>
                <w:rFonts w:cs="Arial"/>
                <w:color w:val="404040" w:themeColor="text1" w:themeTint="BF"/>
                <w:sz w:val="18"/>
                <w:szCs w:val="18"/>
                <w:lang w:eastAsia="en-US"/>
              </w:rPr>
            </w:pPr>
          </w:p>
        </w:tc>
        <w:tc>
          <w:tcPr>
            <w:tcW w:w="0" w:type="auto"/>
            <w:vAlign w:val="center"/>
            <w:hideMark/>
          </w:tcPr>
          <w:p w14:paraId="0DFC4733" w14:textId="5D8272CC" w:rsidR="00A7152A" w:rsidRPr="002B553D" w:rsidRDefault="00A7152A" w:rsidP="002B553D">
            <w:pPr>
              <w:spacing w:before="40" w:after="40" w:line="276" w:lineRule="auto"/>
              <w:jc w:val="left"/>
              <w:cnfStyle w:val="000000100000" w:firstRow="0" w:lastRow="0" w:firstColumn="0" w:lastColumn="0" w:oddVBand="0" w:evenVBand="0" w:oddHBand="1" w:evenHBand="0" w:firstRowFirstColumn="0" w:firstRowLastColumn="0" w:lastRowFirstColumn="0" w:lastRowLastColumn="0"/>
              <w:rPr>
                <w:rFonts w:cs="Arial"/>
                <w:color w:val="404040" w:themeColor="text1" w:themeTint="BF"/>
                <w:sz w:val="18"/>
                <w:szCs w:val="18"/>
                <w:lang w:eastAsia="en-US"/>
              </w:rPr>
            </w:pPr>
            <w:r w:rsidRPr="002B553D">
              <w:rPr>
                <w:rFonts w:cs="Arial"/>
                <w:color w:val="404040" w:themeColor="text1" w:themeTint="BF"/>
                <w:sz w:val="18"/>
                <w:szCs w:val="18"/>
                <w:lang w:eastAsia="en-US"/>
              </w:rPr>
              <w:t xml:space="preserve">Austudy </w:t>
            </w:r>
            <w:r w:rsidR="00E131D6" w:rsidRPr="002B553D">
              <w:rPr>
                <w:rFonts w:cs="Arial"/>
                <w:color w:val="404040" w:themeColor="text1" w:themeTint="BF"/>
                <w:sz w:val="18"/>
                <w:szCs w:val="18"/>
                <w:lang w:eastAsia="en-US"/>
              </w:rPr>
              <w:t>–</w:t>
            </w:r>
            <w:r w:rsidRPr="002B553D">
              <w:rPr>
                <w:rFonts w:cs="Arial"/>
                <w:color w:val="404040" w:themeColor="text1" w:themeTint="BF"/>
                <w:sz w:val="18"/>
                <w:szCs w:val="18"/>
                <w:lang w:eastAsia="en-US"/>
              </w:rPr>
              <w:t xml:space="preserve"> working</w:t>
            </w:r>
            <w:r w:rsidR="00E131D6" w:rsidRPr="002B553D">
              <w:rPr>
                <w:rFonts w:cs="Arial"/>
                <w:color w:val="404040" w:themeColor="text1" w:themeTint="BF"/>
                <w:sz w:val="18"/>
                <w:szCs w:val="18"/>
                <w:lang w:eastAsia="en-US"/>
              </w:rPr>
              <w:t xml:space="preserve"> </w:t>
            </w:r>
          </w:p>
        </w:tc>
      </w:tr>
      <w:tr w:rsidR="00A45F94" w:rsidRPr="002B553D" w14:paraId="56998689" w14:textId="77777777" w:rsidTr="008A19EA">
        <w:trPr>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2A870B79" w14:textId="77777777" w:rsidR="00A7152A" w:rsidRPr="002B553D" w:rsidRDefault="00A7152A" w:rsidP="002B553D">
            <w:pPr>
              <w:spacing w:before="40" w:after="40" w:line="276" w:lineRule="auto"/>
              <w:jc w:val="left"/>
              <w:rPr>
                <w:rFonts w:cs="Arial"/>
                <w:color w:val="404040" w:themeColor="text1" w:themeTint="BF"/>
                <w:sz w:val="18"/>
                <w:szCs w:val="18"/>
                <w:lang w:eastAsia="en-US"/>
              </w:rPr>
            </w:pPr>
          </w:p>
        </w:tc>
        <w:tc>
          <w:tcPr>
            <w:tcW w:w="0" w:type="auto"/>
            <w:vAlign w:val="center"/>
            <w:hideMark/>
          </w:tcPr>
          <w:p w14:paraId="19CFDE8D" w14:textId="707AE754" w:rsidR="00A7152A" w:rsidRPr="002B553D" w:rsidRDefault="00A7152A" w:rsidP="002B553D">
            <w:pPr>
              <w:spacing w:before="40" w:after="40" w:line="276" w:lineRule="auto"/>
              <w:jc w:val="left"/>
              <w:cnfStyle w:val="000000000000" w:firstRow="0" w:lastRow="0" w:firstColumn="0" w:lastColumn="0" w:oddVBand="0" w:evenVBand="0" w:oddHBand="0" w:evenHBand="0" w:firstRowFirstColumn="0" w:firstRowLastColumn="0" w:lastRowFirstColumn="0" w:lastRowLastColumn="0"/>
              <w:rPr>
                <w:rFonts w:cs="Arial"/>
                <w:color w:val="404040" w:themeColor="text1" w:themeTint="BF"/>
                <w:sz w:val="18"/>
                <w:szCs w:val="18"/>
                <w:lang w:eastAsia="en-US"/>
              </w:rPr>
            </w:pPr>
            <w:r w:rsidRPr="002B553D">
              <w:rPr>
                <w:rFonts w:cs="Arial"/>
                <w:color w:val="404040" w:themeColor="text1" w:themeTint="BF"/>
                <w:sz w:val="18"/>
                <w:szCs w:val="18"/>
                <w:lang w:eastAsia="en-US"/>
              </w:rPr>
              <w:t>Newstart</w:t>
            </w:r>
            <w:r w:rsidR="00E131D6" w:rsidRPr="002B553D">
              <w:rPr>
                <w:rFonts w:cs="Arial"/>
                <w:color w:val="404040" w:themeColor="text1" w:themeTint="BF"/>
                <w:sz w:val="18"/>
                <w:szCs w:val="18"/>
                <w:lang w:eastAsia="en-US"/>
              </w:rPr>
              <w:t xml:space="preserve"> Allowance (</w:t>
            </w:r>
            <w:r w:rsidR="0062079E" w:rsidRPr="002B553D">
              <w:rPr>
                <w:rFonts w:cs="Arial"/>
                <w:color w:val="404040" w:themeColor="text1" w:themeTint="BF"/>
                <w:sz w:val="18"/>
                <w:szCs w:val="18"/>
                <w:lang w:eastAsia="en-US"/>
              </w:rPr>
              <w:t>c</w:t>
            </w:r>
            <w:r w:rsidR="00E131D6" w:rsidRPr="002B553D">
              <w:rPr>
                <w:rFonts w:cs="Arial"/>
                <w:color w:val="404040" w:themeColor="text1" w:themeTint="BF"/>
                <w:sz w:val="18"/>
                <w:szCs w:val="18"/>
                <w:lang w:eastAsia="en-US"/>
              </w:rPr>
              <w:t xml:space="preserve">losed on 20 March 2020, </w:t>
            </w:r>
            <w:r w:rsidR="00E76ECB" w:rsidRPr="002B553D">
              <w:rPr>
                <w:rFonts w:cs="Arial"/>
                <w:color w:val="404040" w:themeColor="text1" w:themeTint="BF"/>
                <w:sz w:val="18"/>
                <w:szCs w:val="18"/>
                <w:lang w:eastAsia="en-US"/>
              </w:rPr>
              <w:t>existing recipients transferred to</w:t>
            </w:r>
            <w:r w:rsidR="00E131D6" w:rsidRPr="002B553D">
              <w:rPr>
                <w:rFonts w:cs="Arial"/>
                <w:color w:val="404040" w:themeColor="text1" w:themeTint="BF"/>
                <w:sz w:val="18"/>
                <w:szCs w:val="18"/>
                <w:lang w:eastAsia="en-US"/>
              </w:rPr>
              <w:t xml:space="preserve"> JobSeeker Payment)</w:t>
            </w:r>
          </w:p>
        </w:tc>
      </w:tr>
      <w:tr w:rsidR="00A45F94" w:rsidRPr="002B553D" w14:paraId="7DAAF921" w14:textId="77777777" w:rsidTr="008A19E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5ACB2244" w14:textId="77777777" w:rsidR="00A7152A" w:rsidRPr="002B553D" w:rsidRDefault="00A7152A" w:rsidP="002B553D">
            <w:pPr>
              <w:spacing w:before="40" w:after="40" w:line="276" w:lineRule="auto"/>
              <w:jc w:val="left"/>
              <w:rPr>
                <w:rFonts w:cs="Arial"/>
                <w:color w:val="404040" w:themeColor="text1" w:themeTint="BF"/>
                <w:sz w:val="18"/>
                <w:szCs w:val="18"/>
                <w:lang w:eastAsia="en-US"/>
              </w:rPr>
            </w:pPr>
          </w:p>
        </w:tc>
        <w:tc>
          <w:tcPr>
            <w:tcW w:w="0" w:type="auto"/>
            <w:vAlign w:val="center"/>
            <w:hideMark/>
          </w:tcPr>
          <w:p w14:paraId="3DEE6524" w14:textId="36097EF2" w:rsidR="00A7152A" w:rsidRPr="002B553D" w:rsidRDefault="00A7152A" w:rsidP="002B553D">
            <w:pPr>
              <w:spacing w:before="40" w:after="40" w:line="276" w:lineRule="auto"/>
              <w:jc w:val="left"/>
              <w:cnfStyle w:val="000000100000" w:firstRow="0" w:lastRow="0" w:firstColumn="0" w:lastColumn="0" w:oddVBand="0" w:evenVBand="0" w:oddHBand="1" w:evenHBand="0" w:firstRowFirstColumn="0" w:firstRowLastColumn="0" w:lastRowFirstColumn="0" w:lastRowLastColumn="0"/>
              <w:rPr>
                <w:rFonts w:cs="Arial"/>
                <w:color w:val="404040" w:themeColor="text1" w:themeTint="BF"/>
                <w:sz w:val="18"/>
                <w:szCs w:val="18"/>
                <w:lang w:eastAsia="en-US"/>
              </w:rPr>
            </w:pPr>
            <w:r w:rsidRPr="002B553D">
              <w:rPr>
                <w:rFonts w:cs="Arial"/>
                <w:color w:val="404040" w:themeColor="text1" w:themeTint="BF"/>
                <w:sz w:val="18"/>
                <w:szCs w:val="18"/>
                <w:lang w:eastAsia="en-US"/>
              </w:rPr>
              <w:t>Sickness Allowance</w:t>
            </w:r>
            <w:r w:rsidR="00E131D6" w:rsidRPr="002B553D">
              <w:rPr>
                <w:rFonts w:cs="Arial"/>
                <w:color w:val="404040" w:themeColor="text1" w:themeTint="BF"/>
                <w:sz w:val="18"/>
                <w:szCs w:val="18"/>
                <w:lang w:eastAsia="en-US"/>
              </w:rPr>
              <w:t xml:space="preserve"> (</w:t>
            </w:r>
            <w:r w:rsidR="0062079E" w:rsidRPr="002B553D">
              <w:rPr>
                <w:rFonts w:cs="Arial"/>
                <w:color w:val="404040" w:themeColor="text1" w:themeTint="BF"/>
                <w:sz w:val="18"/>
                <w:szCs w:val="18"/>
                <w:lang w:eastAsia="en-US"/>
              </w:rPr>
              <w:t>c</w:t>
            </w:r>
            <w:r w:rsidR="00E131D6" w:rsidRPr="002B553D">
              <w:rPr>
                <w:rFonts w:cs="Arial"/>
                <w:color w:val="404040" w:themeColor="text1" w:themeTint="BF"/>
                <w:sz w:val="18"/>
                <w:szCs w:val="18"/>
                <w:lang w:eastAsia="en-US"/>
              </w:rPr>
              <w:t>losed to new entrants on 20 March 2020, ceases on 20 September 2020</w:t>
            </w:r>
            <w:r w:rsidR="00E76ECB" w:rsidRPr="002B553D">
              <w:rPr>
                <w:rFonts w:cs="Arial"/>
                <w:color w:val="404040" w:themeColor="text1" w:themeTint="BF"/>
                <w:sz w:val="18"/>
                <w:szCs w:val="18"/>
                <w:lang w:eastAsia="en-US"/>
              </w:rPr>
              <w:t>,</w:t>
            </w:r>
            <w:r w:rsidR="00112E88" w:rsidRPr="002B553D">
              <w:rPr>
                <w:rFonts w:cs="Arial"/>
                <w:color w:val="404040" w:themeColor="text1" w:themeTint="BF"/>
                <w:sz w:val="18"/>
                <w:szCs w:val="18"/>
                <w:lang w:eastAsia="en-US"/>
              </w:rPr>
              <w:t xml:space="preserve"> </w:t>
            </w:r>
            <w:r w:rsidR="00E76ECB" w:rsidRPr="002B553D">
              <w:rPr>
                <w:rFonts w:cs="Arial"/>
                <w:color w:val="404040" w:themeColor="text1" w:themeTint="BF"/>
                <w:sz w:val="18"/>
                <w:szCs w:val="18"/>
                <w:lang w:eastAsia="en-US"/>
              </w:rPr>
              <w:t xml:space="preserve">existing </w:t>
            </w:r>
            <w:r w:rsidR="00112E88" w:rsidRPr="002B553D">
              <w:rPr>
                <w:rFonts w:cs="Arial"/>
                <w:color w:val="404040" w:themeColor="text1" w:themeTint="BF"/>
                <w:sz w:val="18"/>
                <w:szCs w:val="18"/>
                <w:lang w:eastAsia="en-US"/>
              </w:rPr>
              <w:t xml:space="preserve">recipients </w:t>
            </w:r>
            <w:r w:rsidR="00E76ECB" w:rsidRPr="002B553D">
              <w:rPr>
                <w:rFonts w:cs="Arial"/>
                <w:color w:val="404040" w:themeColor="text1" w:themeTint="BF"/>
                <w:sz w:val="18"/>
                <w:szCs w:val="18"/>
                <w:lang w:eastAsia="en-US"/>
              </w:rPr>
              <w:t>transferred</w:t>
            </w:r>
            <w:r w:rsidR="00112E88" w:rsidRPr="002B553D">
              <w:rPr>
                <w:rFonts w:cs="Arial"/>
                <w:color w:val="404040" w:themeColor="text1" w:themeTint="BF"/>
                <w:sz w:val="18"/>
                <w:szCs w:val="18"/>
                <w:lang w:eastAsia="en-US"/>
              </w:rPr>
              <w:t xml:space="preserve"> to JobSeeker Payment)</w:t>
            </w:r>
          </w:p>
        </w:tc>
      </w:tr>
      <w:tr w:rsidR="00A45F94" w:rsidRPr="002B553D" w14:paraId="2E51EC01" w14:textId="77777777" w:rsidTr="008A19EA">
        <w:trPr>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23246C23" w14:textId="77777777" w:rsidR="00A7152A" w:rsidRPr="002B553D" w:rsidRDefault="00A7152A" w:rsidP="002B553D">
            <w:pPr>
              <w:spacing w:before="40" w:after="40" w:line="276" w:lineRule="auto"/>
              <w:jc w:val="left"/>
              <w:rPr>
                <w:rFonts w:cs="Arial"/>
                <w:color w:val="404040" w:themeColor="text1" w:themeTint="BF"/>
                <w:sz w:val="18"/>
                <w:szCs w:val="18"/>
                <w:lang w:eastAsia="en-US"/>
              </w:rPr>
            </w:pPr>
          </w:p>
        </w:tc>
        <w:tc>
          <w:tcPr>
            <w:tcW w:w="0" w:type="auto"/>
            <w:vAlign w:val="center"/>
            <w:hideMark/>
          </w:tcPr>
          <w:p w14:paraId="47554C03" w14:textId="77777777" w:rsidR="00A7152A" w:rsidRPr="002B553D" w:rsidRDefault="00A7152A" w:rsidP="002B553D">
            <w:pPr>
              <w:spacing w:before="40" w:after="40" w:line="276" w:lineRule="auto"/>
              <w:jc w:val="left"/>
              <w:cnfStyle w:val="000000000000" w:firstRow="0" w:lastRow="0" w:firstColumn="0" w:lastColumn="0" w:oddVBand="0" w:evenVBand="0" w:oddHBand="0" w:evenHBand="0" w:firstRowFirstColumn="0" w:firstRowLastColumn="0" w:lastRowFirstColumn="0" w:lastRowLastColumn="0"/>
              <w:rPr>
                <w:rFonts w:cs="Arial"/>
                <w:color w:val="404040" w:themeColor="text1" w:themeTint="BF"/>
                <w:sz w:val="18"/>
                <w:szCs w:val="18"/>
                <w:lang w:eastAsia="en-US"/>
              </w:rPr>
            </w:pPr>
            <w:r w:rsidRPr="002B553D">
              <w:rPr>
                <w:rFonts w:cs="Arial"/>
                <w:color w:val="404040" w:themeColor="text1" w:themeTint="BF"/>
                <w:sz w:val="18"/>
                <w:szCs w:val="18"/>
                <w:lang w:eastAsia="en-US"/>
              </w:rPr>
              <w:t>Special Benefit</w:t>
            </w:r>
          </w:p>
        </w:tc>
      </w:tr>
      <w:tr w:rsidR="00A45F94" w:rsidRPr="002B553D" w14:paraId="6723908F" w14:textId="77777777" w:rsidTr="008A19E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17D79ED5" w14:textId="77777777" w:rsidR="00A7152A" w:rsidRPr="002B553D" w:rsidRDefault="00A7152A" w:rsidP="002B553D">
            <w:pPr>
              <w:spacing w:before="40" w:after="40" w:line="276" w:lineRule="auto"/>
              <w:jc w:val="left"/>
              <w:rPr>
                <w:rFonts w:cs="Arial"/>
                <w:color w:val="404040" w:themeColor="text1" w:themeTint="BF"/>
                <w:sz w:val="18"/>
                <w:szCs w:val="18"/>
                <w:lang w:eastAsia="en-US"/>
              </w:rPr>
            </w:pPr>
          </w:p>
        </w:tc>
        <w:tc>
          <w:tcPr>
            <w:tcW w:w="0" w:type="auto"/>
            <w:vAlign w:val="center"/>
            <w:hideMark/>
          </w:tcPr>
          <w:p w14:paraId="45F51B42" w14:textId="77777777" w:rsidR="00A7152A" w:rsidRPr="002B553D" w:rsidRDefault="00A7152A" w:rsidP="002B553D">
            <w:pPr>
              <w:spacing w:before="40" w:after="40" w:line="276" w:lineRule="auto"/>
              <w:jc w:val="left"/>
              <w:cnfStyle w:val="000000100000" w:firstRow="0" w:lastRow="0" w:firstColumn="0" w:lastColumn="0" w:oddVBand="0" w:evenVBand="0" w:oddHBand="1" w:evenHBand="0" w:firstRowFirstColumn="0" w:firstRowLastColumn="0" w:lastRowFirstColumn="0" w:lastRowLastColumn="0"/>
              <w:rPr>
                <w:rFonts w:cs="Arial"/>
                <w:color w:val="404040" w:themeColor="text1" w:themeTint="BF"/>
                <w:sz w:val="18"/>
                <w:szCs w:val="18"/>
                <w:lang w:eastAsia="en-US"/>
              </w:rPr>
            </w:pPr>
            <w:r w:rsidRPr="002B553D">
              <w:rPr>
                <w:rFonts w:cs="Arial"/>
                <w:color w:val="404040" w:themeColor="text1" w:themeTint="BF"/>
                <w:sz w:val="18"/>
                <w:szCs w:val="18"/>
                <w:lang w:eastAsia="en-US"/>
              </w:rPr>
              <w:t>YA (Other)</w:t>
            </w:r>
          </w:p>
        </w:tc>
      </w:tr>
      <w:tr w:rsidR="00A45F94" w:rsidRPr="002B553D" w14:paraId="210CEDD3" w14:textId="77777777" w:rsidTr="008A19EA">
        <w:trPr>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14:paraId="5A6DB921" w14:textId="77777777" w:rsidR="00A7152A" w:rsidRPr="002B553D" w:rsidRDefault="00A7152A" w:rsidP="002B553D">
            <w:pPr>
              <w:spacing w:before="40" w:after="40" w:line="276" w:lineRule="auto"/>
              <w:jc w:val="left"/>
              <w:rPr>
                <w:rFonts w:cs="Arial"/>
                <w:color w:val="404040" w:themeColor="text1" w:themeTint="BF"/>
                <w:sz w:val="18"/>
                <w:szCs w:val="18"/>
                <w:lang w:eastAsia="en-US"/>
              </w:rPr>
            </w:pPr>
            <w:r w:rsidRPr="002B553D">
              <w:rPr>
                <w:rFonts w:cs="Arial"/>
                <w:color w:val="404040" w:themeColor="text1" w:themeTint="BF"/>
                <w:sz w:val="18"/>
                <w:szCs w:val="18"/>
                <w:lang w:eastAsia="en-US"/>
              </w:rPr>
              <w:t>C - IS Parents</w:t>
            </w:r>
          </w:p>
        </w:tc>
        <w:tc>
          <w:tcPr>
            <w:tcW w:w="0" w:type="auto"/>
            <w:vAlign w:val="center"/>
            <w:hideMark/>
          </w:tcPr>
          <w:p w14:paraId="3E641881" w14:textId="77777777" w:rsidR="00A7152A" w:rsidRPr="002B553D" w:rsidRDefault="00A7152A" w:rsidP="002B553D">
            <w:pPr>
              <w:spacing w:before="40" w:after="40" w:line="276" w:lineRule="auto"/>
              <w:jc w:val="left"/>
              <w:cnfStyle w:val="000000000000" w:firstRow="0" w:lastRow="0" w:firstColumn="0" w:lastColumn="0" w:oddVBand="0" w:evenVBand="0" w:oddHBand="0" w:evenHBand="0" w:firstRowFirstColumn="0" w:firstRowLastColumn="0" w:lastRowFirstColumn="0" w:lastRowLastColumn="0"/>
              <w:rPr>
                <w:rFonts w:cs="Arial"/>
                <w:color w:val="404040" w:themeColor="text1" w:themeTint="BF"/>
                <w:sz w:val="18"/>
                <w:szCs w:val="18"/>
                <w:lang w:eastAsia="en-US"/>
              </w:rPr>
            </w:pPr>
            <w:r w:rsidRPr="002B553D">
              <w:rPr>
                <w:rFonts w:cs="Arial"/>
                <w:color w:val="404040" w:themeColor="text1" w:themeTint="BF"/>
                <w:sz w:val="18"/>
                <w:szCs w:val="18"/>
                <w:lang w:eastAsia="en-US"/>
              </w:rPr>
              <w:t>Parenting Payment - Partnered</w:t>
            </w:r>
          </w:p>
        </w:tc>
      </w:tr>
      <w:tr w:rsidR="00A45F94" w:rsidRPr="002B553D" w14:paraId="5F582061" w14:textId="77777777" w:rsidTr="008A19E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080C6CC8" w14:textId="77777777" w:rsidR="00A7152A" w:rsidRPr="002B553D" w:rsidRDefault="00A7152A" w:rsidP="002B553D">
            <w:pPr>
              <w:spacing w:before="40" w:after="40" w:line="276" w:lineRule="auto"/>
              <w:jc w:val="left"/>
              <w:rPr>
                <w:rFonts w:cs="Arial"/>
                <w:color w:val="404040" w:themeColor="text1" w:themeTint="BF"/>
                <w:sz w:val="18"/>
                <w:szCs w:val="18"/>
                <w:lang w:eastAsia="en-US"/>
              </w:rPr>
            </w:pPr>
          </w:p>
        </w:tc>
        <w:tc>
          <w:tcPr>
            <w:tcW w:w="0" w:type="auto"/>
            <w:vAlign w:val="center"/>
            <w:hideMark/>
          </w:tcPr>
          <w:p w14:paraId="5FB5DFD0" w14:textId="77777777" w:rsidR="00A7152A" w:rsidRPr="002B553D" w:rsidRDefault="00A7152A" w:rsidP="002B553D">
            <w:pPr>
              <w:spacing w:before="40" w:after="40" w:line="276" w:lineRule="auto"/>
              <w:jc w:val="left"/>
              <w:cnfStyle w:val="000000100000" w:firstRow="0" w:lastRow="0" w:firstColumn="0" w:lastColumn="0" w:oddVBand="0" w:evenVBand="0" w:oddHBand="1" w:evenHBand="0" w:firstRowFirstColumn="0" w:firstRowLastColumn="0" w:lastRowFirstColumn="0" w:lastRowLastColumn="0"/>
              <w:rPr>
                <w:rFonts w:cs="Arial"/>
                <w:color w:val="404040" w:themeColor="text1" w:themeTint="BF"/>
                <w:sz w:val="18"/>
                <w:szCs w:val="18"/>
                <w:lang w:eastAsia="en-US"/>
              </w:rPr>
            </w:pPr>
            <w:r w:rsidRPr="002B553D">
              <w:rPr>
                <w:rFonts w:cs="Arial"/>
                <w:color w:val="404040" w:themeColor="text1" w:themeTint="BF"/>
                <w:sz w:val="18"/>
                <w:szCs w:val="18"/>
                <w:lang w:eastAsia="en-US"/>
              </w:rPr>
              <w:t>Parenting Payment - Single</w:t>
            </w:r>
          </w:p>
        </w:tc>
      </w:tr>
      <w:tr w:rsidR="00A45F94" w:rsidRPr="002B553D" w14:paraId="59BF1E7F" w14:textId="77777777" w:rsidTr="008A19EA">
        <w:trPr>
          <w:trHeight w:val="315"/>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2DEFFB4" w14:textId="77777777" w:rsidR="00A7152A" w:rsidRPr="002B553D" w:rsidRDefault="00A7152A" w:rsidP="002B553D">
            <w:pPr>
              <w:spacing w:before="40" w:after="40" w:line="276" w:lineRule="auto"/>
              <w:jc w:val="left"/>
              <w:rPr>
                <w:rFonts w:cs="Arial"/>
                <w:color w:val="404040" w:themeColor="text1" w:themeTint="BF"/>
                <w:sz w:val="18"/>
                <w:szCs w:val="18"/>
                <w:lang w:eastAsia="en-US"/>
              </w:rPr>
            </w:pPr>
            <w:r w:rsidRPr="002B553D">
              <w:rPr>
                <w:rFonts w:cs="Arial"/>
                <w:color w:val="404040" w:themeColor="text1" w:themeTint="BF"/>
                <w:sz w:val="18"/>
                <w:szCs w:val="18"/>
                <w:lang w:eastAsia="en-US"/>
              </w:rPr>
              <w:t>D - IS Carer</w:t>
            </w:r>
          </w:p>
        </w:tc>
        <w:tc>
          <w:tcPr>
            <w:tcW w:w="0" w:type="auto"/>
            <w:vAlign w:val="center"/>
            <w:hideMark/>
          </w:tcPr>
          <w:p w14:paraId="50048DC2" w14:textId="77777777" w:rsidR="00A7152A" w:rsidRPr="002B553D" w:rsidRDefault="00A7152A" w:rsidP="002B553D">
            <w:pPr>
              <w:spacing w:before="40" w:after="40" w:line="276" w:lineRule="auto"/>
              <w:jc w:val="left"/>
              <w:cnfStyle w:val="000000000000" w:firstRow="0" w:lastRow="0" w:firstColumn="0" w:lastColumn="0" w:oddVBand="0" w:evenVBand="0" w:oddHBand="0" w:evenHBand="0" w:firstRowFirstColumn="0" w:firstRowLastColumn="0" w:lastRowFirstColumn="0" w:lastRowLastColumn="0"/>
              <w:rPr>
                <w:rFonts w:cs="Arial"/>
                <w:color w:val="404040" w:themeColor="text1" w:themeTint="BF"/>
                <w:sz w:val="18"/>
                <w:szCs w:val="18"/>
                <w:lang w:eastAsia="en-US"/>
              </w:rPr>
            </w:pPr>
            <w:r w:rsidRPr="002B553D">
              <w:rPr>
                <w:rFonts w:cs="Arial"/>
                <w:color w:val="404040" w:themeColor="text1" w:themeTint="BF"/>
                <w:sz w:val="18"/>
                <w:szCs w:val="18"/>
                <w:lang w:eastAsia="en-US"/>
              </w:rPr>
              <w:t>Carer Payment</w:t>
            </w:r>
          </w:p>
        </w:tc>
      </w:tr>
      <w:tr w:rsidR="00A45F94" w:rsidRPr="002B553D" w14:paraId="4DB2BBBB" w14:textId="77777777" w:rsidTr="008A19E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401D1DF" w14:textId="77777777" w:rsidR="00A7152A" w:rsidRPr="002B553D" w:rsidRDefault="00A7152A" w:rsidP="002B553D">
            <w:pPr>
              <w:spacing w:before="40" w:after="40" w:line="276" w:lineRule="auto"/>
              <w:jc w:val="left"/>
              <w:rPr>
                <w:rFonts w:cs="Arial"/>
                <w:color w:val="404040" w:themeColor="text1" w:themeTint="BF"/>
                <w:sz w:val="18"/>
                <w:szCs w:val="18"/>
                <w:lang w:eastAsia="en-US"/>
              </w:rPr>
            </w:pPr>
            <w:r w:rsidRPr="002B553D">
              <w:rPr>
                <w:rFonts w:cs="Arial"/>
                <w:color w:val="404040" w:themeColor="text1" w:themeTint="BF"/>
                <w:sz w:val="18"/>
                <w:szCs w:val="18"/>
                <w:lang w:eastAsia="en-US"/>
              </w:rPr>
              <w:t>E - IS Disability</w:t>
            </w:r>
          </w:p>
        </w:tc>
        <w:tc>
          <w:tcPr>
            <w:tcW w:w="0" w:type="auto"/>
            <w:vAlign w:val="center"/>
            <w:hideMark/>
          </w:tcPr>
          <w:p w14:paraId="24DD026C" w14:textId="77777777" w:rsidR="00A7152A" w:rsidRPr="002B553D" w:rsidRDefault="00A7152A" w:rsidP="002B553D">
            <w:pPr>
              <w:spacing w:before="40" w:after="40" w:line="276" w:lineRule="auto"/>
              <w:jc w:val="left"/>
              <w:cnfStyle w:val="000000100000" w:firstRow="0" w:lastRow="0" w:firstColumn="0" w:lastColumn="0" w:oddVBand="0" w:evenVBand="0" w:oddHBand="1" w:evenHBand="0" w:firstRowFirstColumn="0" w:firstRowLastColumn="0" w:lastRowFirstColumn="0" w:lastRowLastColumn="0"/>
              <w:rPr>
                <w:rFonts w:cs="Arial"/>
                <w:color w:val="404040" w:themeColor="text1" w:themeTint="BF"/>
                <w:sz w:val="18"/>
                <w:szCs w:val="18"/>
                <w:lang w:eastAsia="en-US"/>
              </w:rPr>
            </w:pPr>
            <w:r w:rsidRPr="002B553D">
              <w:rPr>
                <w:rFonts w:cs="Arial"/>
                <w:color w:val="404040" w:themeColor="text1" w:themeTint="BF"/>
                <w:sz w:val="18"/>
                <w:szCs w:val="18"/>
                <w:lang w:eastAsia="en-US"/>
              </w:rPr>
              <w:t>Disability Support Pension</w:t>
            </w:r>
          </w:p>
        </w:tc>
      </w:tr>
      <w:tr w:rsidR="00A45F94" w:rsidRPr="002B553D" w14:paraId="6C842F19" w14:textId="77777777" w:rsidTr="008A19EA">
        <w:trPr>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14:paraId="5CD8CE3F" w14:textId="77777777" w:rsidR="00A7152A" w:rsidRPr="002B553D" w:rsidRDefault="00A7152A" w:rsidP="002B553D">
            <w:pPr>
              <w:spacing w:before="40" w:after="40" w:line="276" w:lineRule="auto"/>
              <w:jc w:val="left"/>
              <w:rPr>
                <w:rFonts w:cs="Arial"/>
                <w:color w:val="404040" w:themeColor="text1" w:themeTint="BF"/>
                <w:sz w:val="18"/>
                <w:szCs w:val="18"/>
                <w:lang w:eastAsia="en-US"/>
              </w:rPr>
            </w:pPr>
            <w:r w:rsidRPr="002B553D">
              <w:rPr>
                <w:rFonts w:cs="Arial"/>
                <w:color w:val="404040" w:themeColor="text1" w:themeTint="BF"/>
                <w:sz w:val="18"/>
                <w:szCs w:val="18"/>
                <w:lang w:eastAsia="en-US"/>
              </w:rPr>
              <w:t>F - IS Age</w:t>
            </w:r>
          </w:p>
        </w:tc>
        <w:tc>
          <w:tcPr>
            <w:tcW w:w="0" w:type="auto"/>
            <w:vAlign w:val="center"/>
            <w:hideMark/>
          </w:tcPr>
          <w:p w14:paraId="046D3483" w14:textId="77777777" w:rsidR="00A7152A" w:rsidRPr="002B553D" w:rsidRDefault="00A7152A" w:rsidP="002B553D">
            <w:pPr>
              <w:spacing w:before="40" w:after="40" w:line="276" w:lineRule="auto"/>
              <w:jc w:val="left"/>
              <w:cnfStyle w:val="000000000000" w:firstRow="0" w:lastRow="0" w:firstColumn="0" w:lastColumn="0" w:oddVBand="0" w:evenVBand="0" w:oddHBand="0" w:evenHBand="0" w:firstRowFirstColumn="0" w:firstRowLastColumn="0" w:lastRowFirstColumn="0" w:lastRowLastColumn="0"/>
              <w:rPr>
                <w:rFonts w:cs="Arial"/>
                <w:color w:val="404040" w:themeColor="text1" w:themeTint="BF"/>
                <w:sz w:val="18"/>
                <w:szCs w:val="18"/>
                <w:lang w:eastAsia="en-US"/>
              </w:rPr>
            </w:pPr>
            <w:r w:rsidRPr="002B553D">
              <w:rPr>
                <w:rFonts w:cs="Arial"/>
                <w:color w:val="404040" w:themeColor="text1" w:themeTint="BF"/>
                <w:sz w:val="18"/>
                <w:szCs w:val="18"/>
                <w:lang w:eastAsia="en-US"/>
              </w:rPr>
              <w:t>Age Pension</w:t>
            </w:r>
          </w:p>
        </w:tc>
      </w:tr>
      <w:tr w:rsidR="00A45F94" w:rsidRPr="002B553D" w14:paraId="5FB7D5D5" w14:textId="77777777" w:rsidTr="008A19E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260FC40D" w14:textId="77777777" w:rsidR="00A7152A" w:rsidRPr="002B553D" w:rsidRDefault="00A7152A" w:rsidP="002B553D">
            <w:pPr>
              <w:spacing w:before="40" w:after="40" w:line="276" w:lineRule="auto"/>
              <w:jc w:val="left"/>
              <w:rPr>
                <w:rFonts w:cs="Arial"/>
                <w:color w:val="404040" w:themeColor="text1" w:themeTint="BF"/>
                <w:sz w:val="18"/>
                <w:szCs w:val="18"/>
                <w:lang w:eastAsia="en-US"/>
              </w:rPr>
            </w:pPr>
          </w:p>
        </w:tc>
        <w:tc>
          <w:tcPr>
            <w:tcW w:w="0" w:type="auto"/>
            <w:vAlign w:val="center"/>
            <w:hideMark/>
          </w:tcPr>
          <w:p w14:paraId="45E0E4D7" w14:textId="2557E674" w:rsidR="00A7152A" w:rsidRPr="002B553D" w:rsidRDefault="00A7152A" w:rsidP="002B553D">
            <w:pPr>
              <w:spacing w:before="40" w:after="40" w:line="276" w:lineRule="auto"/>
              <w:jc w:val="left"/>
              <w:cnfStyle w:val="000000100000" w:firstRow="0" w:lastRow="0" w:firstColumn="0" w:lastColumn="0" w:oddVBand="0" w:evenVBand="0" w:oddHBand="1" w:evenHBand="0" w:firstRowFirstColumn="0" w:firstRowLastColumn="0" w:lastRowFirstColumn="0" w:lastRowLastColumn="0"/>
              <w:rPr>
                <w:rFonts w:cs="Arial"/>
                <w:color w:val="404040" w:themeColor="text1" w:themeTint="BF"/>
                <w:sz w:val="18"/>
                <w:szCs w:val="18"/>
                <w:lang w:eastAsia="en-US"/>
              </w:rPr>
            </w:pPr>
            <w:r w:rsidRPr="002B553D">
              <w:rPr>
                <w:rFonts w:cs="Arial"/>
                <w:color w:val="404040" w:themeColor="text1" w:themeTint="BF"/>
                <w:sz w:val="18"/>
                <w:szCs w:val="18"/>
                <w:lang w:eastAsia="en-US"/>
              </w:rPr>
              <w:t>Widow B Pension</w:t>
            </w:r>
            <w:r w:rsidR="00112E88" w:rsidRPr="002B553D">
              <w:rPr>
                <w:rFonts w:cs="Arial"/>
                <w:color w:val="404040" w:themeColor="text1" w:themeTint="BF"/>
                <w:sz w:val="18"/>
                <w:szCs w:val="18"/>
                <w:lang w:eastAsia="en-US"/>
              </w:rPr>
              <w:t xml:space="preserve"> (</w:t>
            </w:r>
            <w:r w:rsidR="0049578B" w:rsidRPr="002B553D">
              <w:rPr>
                <w:rFonts w:cs="Arial"/>
                <w:color w:val="404040" w:themeColor="text1" w:themeTint="BF"/>
                <w:sz w:val="18"/>
                <w:szCs w:val="18"/>
                <w:lang w:eastAsia="en-US"/>
              </w:rPr>
              <w:t>c</w:t>
            </w:r>
            <w:r w:rsidR="00112E88" w:rsidRPr="002B553D">
              <w:rPr>
                <w:rFonts w:cs="Arial"/>
                <w:color w:val="404040" w:themeColor="text1" w:themeTint="BF"/>
                <w:sz w:val="18"/>
                <w:szCs w:val="18"/>
                <w:lang w:eastAsia="en-US"/>
              </w:rPr>
              <w:t>losed on 20 March 2020</w:t>
            </w:r>
            <w:r w:rsidR="00E76ECB" w:rsidRPr="002B553D">
              <w:rPr>
                <w:rFonts w:cs="Arial"/>
                <w:color w:val="404040" w:themeColor="text1" w:themeTint="BF"/>
                <w:sz w:val="18"/>
                <w:szCs w:val="18"/>
                <w:lang w:eastAsia="en-US"/>
              </w:rPr>
              <w:t>, existing recipients transferred to Age Pension</w:t>
            </w:r>
            <w:r w:rsidR="00112E88" w:rsidRPr="002B553D">
              <w:rPr>
                <w:rFonts w:cs="Arial"/>
                <w:color w:val="404040" w:themeColor="text1" w:themeTint="BF"/>
                <w:sz w:val="18"/>
                <w:szCs w:val="18"/>
                <w:lang w:eastAsia="en-US"/>
              </w:rPr>
              <w:t>)</w:t>
            </w:r>
          </w:p>
        </w:tc>
      </w:tr>
      <w:tr w:rsidR="00A45F94" w:rsidRPr="002B553D" w14:paraId="79C86DBB" w14:textId="77777777" w:rsidTr="008A19EA">
        <w:trPr>
          <w:trHeight w:val="315"/>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2A934265" w14:textId="77777777" w:rsidR="00A7152A" w:rsidRPr="002B553D" w:rsidRDefault="00A7152A" w:rsidP="002B553D">
            <w:pPr>
              <w:spacing w:before="40" w:after="40" w:line="276" w:lineRule="auto"/>
              <w:jc w:val="left"/>
              <w:rPr>
                <w:rFonts w:cs="Arial"/>
                <w:color w:val="404040" w:themeColor="text1" w:themeTint="BF"/>
                <w:sz w:val="18"/>
                <w:szCs w:val="18"/>
                <w:lang w:eastAsia="en-US"/>
              </w:rPr>
            </w:pPr>
          </w:p>
        </w:tc>
        <w:tc>
          <w:tcPr>
            <w:tcW w:w="0" w:type="auto"/>
            <w:vAlign w:val="center"/>
            <w:hideMark/>
          </w:tcPr>
          <w:p w14:paraId="6E66D363" w14:textId="3830B021" w:rsidR="00A7152A" w:rsidRPr="002B553D" w:rsidRDefault="00A7152A" w:rsidP="002B553D">
            <w:pPr>
              <w:spacing w:before="40" w:after="40" w:line="276" w:lineRule="auto"/>
              <w:jc w:val="left"/>
              <w:cnfStyle w:val="000000000000" w:firstRow="0" w:lastRow="0" w:firstColumn="0" w:lastColumn="0" w:oddVBand="0" w:evenVBand="0" w:oddHBand="0" w:evenHBand="0" w:firstRowFirstColumn="0" w:firstRowLastColumn="0" w:lastRowFirstColumn="0" w:lastRowLastColumn="0"/>
              <w:rPr>
                <w:rFonts w:cs="Arial"/>
                <w:color w:val="404040" w:themeColor="text1" w:themeTint="BF"/>
                <w:sz w:val="18"/>
                <w:szCs w:val="18"/>
                <w:lang w:eastAsia="en-US"/>
              </w:rPr>
            </w:pPr>
            <w:r w:rsidRPr="002B553D">
              <w:rPr>
                <w:rFonts w:cs="Arial"/>
                <w:color w:val="404040" w:themeColor="text1" w:themeTint="BF"/>
                <w:sz w:val="18"/>
                <w:szCs w:val="18"/>
                <w:lang w:eastAsia="en-US"/>
              </w:rPr>
              <w:t>Wife Pension</w:t>
            </w:r>
            <w:r w:rsidR="00112E88" w:rsidRPr="002B553D">
              <w:rPr>
                <w:rFonts w:cs="Arial"/>
                <w:color w:val="404040" w:themeColor="text1" w:themeTint="BF"/>
                <w:sz w:val="18"/>
                <w:szCs w:val="18"/>
                <w:lang w:eastAsia="en-US"/>
              </w:rPr>
              <w:t xml:space="preserve"> (</w:t>
            </w:r>
            <w:r w:rsidR="0049578B" w:rsidRPr="002B553D">
              <w:rPr>
                <w:rFonts w:cs="Arial"/>
                <w:color w:val="404040" w:themeColor="text1" w:themeTint="BF"/>
                <w:sz w:val="18"/>
                <w:szCs w:val="18"/>
                <w:lang w:eastAsia="en-US"/>
              </w:rPr>
              <w:t>c</w:t>
            </w:r>
            <w:r w:rsidR="00112E88" w:rsidRPr="002B553D">
              <w:rPr>
                <w:rFonts w:cs="Arial"/>
                <w:color w:val="404040" w:themeColor="text1" w:themeTint="BF"/>
                <w:sz w:val="18"/>
                <w:szCs w:val="18"/>
                <w:lang w:eastAsia="en-US"/>
              </w:rPr>
              <w:t>losed on 20 March 2020</w:t>
            </w:r>
            <w:r w:rsidR="00E76ECB" w:rsidRPr="002B553D">
              <w:rPr>
                <w:rFonts w:cs="Arial"/>
                <w:color w:val="404040" w:themeColor="text1" w:themeTint="BF"/>
                <w:sz w:val="18"/>
                <w:szCs w:val="18"/>
                <w:lang w:eastAsia="en-US"/>
              </w:rPr>
              <w:t xml:space="preserve">, </w:t>
            </w:r>
            <w:r w:rsidR="00E7114C" w:rsidRPr="002B553D">
              <w:rPr>
                <w:rFonts w:cs="Arial"/>
                <w:color w:val="404040" w:themeColor="text1" w:themeTint="BF"/>
                <w:sz w:val="18"/>
                <w:szCs w:val="18"/>
                <w:lang w:eastAsia="en-US"/>
              </w:rPr>
              <w:t>recipients living in Australia who also receive Carer Allowance transferred to Carer Payment, recipients Age Pension age transferred to Age Pension, all other recipients living in Australia transferred to JobSeeker Payment)</w:t>
            </w:r>
          </w:p>
        </w:tc>
      </w:tr>
      <w:tr w:rsidR="00A45F94" w:rsidRPr="002B553D" w14:paraId="4E33056E" w14:textId="77777777" w:rsidTr="008A19E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14:paraId="19268703" w14:textId="77777777" w:rsidR="00A7152A" w:rsidRPr="002B553D" w:rsidRDefault="00A7152A" w:rsidP="002B553D">
            <w:pPr>
              <w:spacing w:before="40" w:after="40" w:line="276" w:lineRule="auto"/>
              <w:jc w:val="left"/>
              <w:rPr>
                <w:rFonts w:cs="Arial"/>
                <w:color w:val="404040" w:themeColor="text1" w:themeTint="BF"/>
                <w:sz w:val="18"/>
                <w:szCs w:val="18"/>
                <w:lang w:eastAsia="en-US"/>
              </w:rPr>
            </w:pPr>
            <w:r w:rsidRPr="002B553D">
              <w:rPr>
                <w:rFonts w:cs="Arial"/>
                <w:color w:val="404040" w:themeColor="text1" w:themeTint="BF"/>
                <w:sz w:val="18"/>
                <w:szCs w:val="18"/>
                <w:lang w:eastAsia="en-US"/>
              </w:rPr>
              <w:t>G - IS Dependent</w:t>
            </w:r>
          </w:p>
        </w:tc>
        <w:tc>
          <w:tcPr>
            <w:tcW w:w="0" w:type="auto"/>
            <w:vAlign w:val="center"/>
            <w:hideMark/>
          </w:tcPr>
          <w:p w14:paraId="76163D1A" w14:textId="58F62F8C" w:rsidR="00A7152A" w:rsidRPr="002B553D" w:rsidRDefault="00A7152A" w:rsidP="002B553D">
            <w:pPr>
              <w:spacing w:before="40" w:after="40" w:line="276" w:lineRule="auto"/>
              <w:jc w:val="left"/>
              <w:cnfStyle w:val="000000100000" w:firstRow="0" w:lastRow="0" w:firstColumn="0" w:lastColumn="0" w:oddVBand="0" w:evenVBand="0" w:oddHBand="1" w:evenHBand="0" w:firstRowFirstColumn="0" w:firstRowLastColumn="0" w:lastRowFirstColumn="0" w:lastRowLastColumn="0"/>
              <w:rPr>
                <w:rFonts w:cs="Arial"/>
                <w:color w:val="404040" w:themeColor="text1" w:themeTint="BF"/>
                <w:sz w:val="18"/>
                <w:szCs w:val="18"/>
                <w:lang w:eastAsia="en-US"/>
              </w:rPr>
            </w:pPr>
            <w:r w:rsidRPr="002B553D">
              <w:rPr>
                <w:rFonts w:cs="Arial"/>
                <w:color w:val="404040" w:themeColor="text1" w:themeTint="BF"/>
                <w:sz w:val="18"/>
                <w:szCs w:val="18"/>
                <w:lang w:eastAsia="en-US"/>
              </w:rPr>
              <w:t>Partner Allowance</w:t>
            </w:r>
            <w:r w:rsidR="00E131D6" w:rsidRPr="002B553D">
              <w:rPr>
                <w:rFonts w:cs="Arial"/>
                <w:color w:val="404040" w:themeColor="text1" w:themeTint="BF"/>
                <w:sz w:val="18"/>
                <w:szCs w:val="18"/>
                <w:lang w:eastAsia="en-US"/>
              </w:rPr>
              <w:t xml:space="preserve"> (ceases on 1 January 2022 </w:t>
            </w:r>
            <w:r w:rsidR="00D10EF7" w:rsidRPr="002B553D">
              <w:rPr>
                <w:rFonts w:cs="Arial"/>
                <w:color w:val="404040" w:themeColor="text1" w:themeTint="BF"/>
                <w:sz w:val="18"/>
                <w:szCs w:val="18"/>
                <w:lang w:eastAsia="en-US"/>
              </w:rPr>
              <w:t xml:space="preserve">by which time the remaining </w:t>
            </w:r>
            <w:r w:rsidR="00E131D6" w:rsidRPr="002B553D">
              <w:rPr>
                <w:rFonts w:cs="Arial"/>
                <w:color w:val="404040" w:themeColor="text1" w:themeTint="BF"/>
                <w:sz w:val="18"/>
                <w:szCs w:val="18"/>
                <w:lang w:eastAsia="en-US"/>
              </w:rPr>
              <w:t>recipients</w:t>
            </w:r>
            <w:r w:rsidR="00D10EF7" w:rsidRPr="002B553D">
              <w:rPr>
                <w:rFonts w:cs="Arial"/>
                <w:color w:val="404040" w:themeColor="text1" w:themeTint="BF"/>
                <w:sz w:val="18"/>
                <w:szCs w:val="18"/>
                <w:lang w:eastAsia="en-US"/>
              </w:rPr>
              <w:t xml:space="preserve"> will</w:t>
            </w:r>
            <w:r w:rsidR="00E131D6" w:rsidRPr="002B553D">
              <w:rPr>
                <w:rFonts w:cs="Arial"/>
                <w:color w:val="404040" w:themeColor="text1" w:themeTint="BF"/>
                <w:sz w:val="18"/>
                <w:szCs w:val="18"/>
                <w:lang w:eastAsia="en-US"/>
              </w:rPr>
              <w:t xml:space="preserve"> </w:t>
            </w:r>
            <w:r w:rsidR="00E76ECB" w:rsidRPr="002B553D">
              <w:rPr>
                <w:rFonts w:cs="Arial"/>
                <w:color w:val="404040" w:themeColor="text1" w:themeTint="BF"/>
                <w:sz w:val="18"/>
                <w:szCs w:val="18"/>
                <w:lang w:eastAsia="en-US"/>
              </w:rPr>
              <w:t xml:space="preserve">transfer </w:t>
            </w:r>
            <w:r w:rsidR="00E131D6" w:rsidRPr="002B553D">
              <w:rPr>
                <w:rFonts w:cs="Arial"/>
                <w:color w:val="404040" w:themeColor="text1" w:themeTint="BF"/>
                <w:sz w:val="18"/>
                <w:szCs w:val="18"/>
                <w:lang w:eastAsia="en-US"/>
              </w:rPr>
              <w:t xml:space="preserve">to </w:t>
            </w:r>
            <w:r w:rsidR="00E76ECB" w:rsidRPr="002B553D">
              <w:rPr>
                <w:rFonts w:cs="Arial"/>
                <w:color w:val="404040" w:themeColor="text1" w:themeTint="BF"/>
                <w:sz w:val="18"/>
                <w:szCs w:val="18"/>
                <w:lang w:eastAsia="en-US"/>
              </w:rPr>
              <w:t>Age Pension as they will be Age Pension age</w:t>
            </w:r>
            <w:r w:rsidR="00E131D6" w:rsidRPr="002B553D">
              <w:rPr>
                <w:rFonts w:cs="Arial"/>
                <w:color w:val="404040" w:themeColor="text1" w:themeTint="BF"/>
                <w:sz w:val="18"/>
                <w:szCs w:val="18"/>
                <w:lang w:eastAsia="en-US"/>
              </w:rPr>
              <w:t>)</w:t>
            </w:r>
          </w:p>
        </w:tc>
      </w:tr>
      <w:tr w:rsidR="00A45F94" w:rsidRPr="002B553D" w14:paraId="05C5ABE8" w14:textId="77777777" w:rsidTr="008A19EA">
        <w:trPr>
          <w:trHeight w:val="315"/>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166437E3" w14:textId="77777777" w:rsidR="00A7152A" w:rsidRPr="002B553D" w:rsidRDefault="00A7152A" w:rsidP="002B553D">
            <w:pPr>
              <w:spacing w:before="40" w:after="40" w:line="276" w:lineRule="auto"/>
              <w:jc w:val="left"/>
              <w:rPr>
                <w:rFonts w:cs="Arial"/>
                <w:color w:val="404040" w:themeColor="text1" w:themeTint="BF"/>
                <w:sz w:val="18"/>
                <w:szCs w:val="18"/>
                <w:lang w:eastAsia="en-US"/>
              </w:rPr>
            </w:pPr>
          </w:p>
        </w:tc>
        <w:tc>
          <w:tcPr>
            <w:tcW w:w="0" w:type="auto"/>
            <w:vAlign w:val="center"/>
            <w:hideMark/>
          </w:tcPr>
          <w:p w14:paraId="1DC0BAA9" w14:textId="3EE6E81A" w:rsidR="00A7152A" w:rsidRPr="002B553D" w:rsidRDefault="00A7152A" w:rsidP="002B553D">
            <w:pPr>
              <w:spacing w:before="40" w:after="40" w:line="276" w:lineRule="auto"/>
              <w:jc w:val="left"/>
              <w:cnfStyle w:val="000000000000" w:firstRow="0" w:lastRow="0" w:firstColumn="0" w:lastColumn="0" w:oddVBand="0" w:evenVBand="0" w:oddHBand="0" w:evenHBand="0" w:firstRowFirstColumn="0" w:firstRowLastColumn="0" w:lastRowFirstColumn="0" w:lastRowLastColumn="0"/>
              <w:rPr>
                <w:rFonts w:cs="Arial"/>
                <w:color w:val="404040" w:themeColor="text1" w:themeTint="BF"/>
                <w:sz w:val="18"/>
                <w:szCs w:val="18"/>
                <w:lang w:eastAsia="en-US"/>
              </w:rPr>
            </w:pPr>
            <w:r w:rsidRPr="002B553D">
              <w:rPr>
                <w:rFonts w:cs="Arial"/>
                <w:color w:val="404040" w:themeColor="text1" w:themeTint="BF"/>
                <w:sz w:val="18"/>
                <w:szCs w:val="18"/>
                <w:lang w:eastAsia="en-US"/>
              </w:rPr>
              <w:t>Widow Allowance</w:t>
            </w:r>
            <w:r w:rsidR="00E131D6" w:rsidRPr="002B553D">
              <w:rPr>
                <w:rFonts w:cs="Arial"/>
                <w:color w:val="404040" w:themeColor="text1" w:themeTint="BF"/>
                <w:sz w:val="18"/>
                <w:szCs w:val="18"/>
                <w:lang w:eastAsia="en-US"/>
              </w:rPr>
              <w:t xml:space="preserve"> (closed to new entrants on 1 July 2018</w:t>
            </w:r>
            <w:r w:rsidR="00164C5E" w:rsidRPr="002B553D">
              <w:rPr>
                <w:rFonts w:cs="Arial"/>
                <w:color w:val="404040" w:themeColor="text1" w:themeTint="BF"/>
                <w:sz w:val="18"/>
                <w:szCs w:val="18"/>
                <w:lang w:eastAsia="en-US"/>
              </w:rPr>
              <w:t>. New entrants under Age Pension age were required to claim Newstart Allowance (now JobSeeker Payment).</w:t>
            </w:r>
            <w:r w:rsidR="00E131D6" w:rsidRPr="002B553D">
              <w:rPr>
                <w:rFonts w:cs="Arial"/>
                <w:color w:val="404040" w:themeColor="text1" w:themeTint="BF"/>
                <w:sz w:val="18"/>
                <w:szCs w:val="18"/>
                <w:lang w:eastAsia="en-US"/>
              </w:rPr>
              <w:t xml:space="preserve">, </w:t>
            </w:r>
            <w:r w:rsidR="00164C5E" w:rsidRPr="002B553D">
              <w:rPr>
                <w:rFonts w:cs="Arial"/>
                <w:color w:val="404040" w:themeColor="text1" w:themeTint="BF"/>
                <w:sz w:val="18"/>
                <w:szCs w:val="18"/>
                <w:lang w:eastAsia="en-US"/>
              </w:rPr>
              <w:t>C</w:t>
            </w:r>
            <w:r w:rsidR="00E131D6" w:rsidRPr="002B553D">
              <w:rPr>
                <w:rFonts w:cs="Arial"/>
                <w:color w:val="404040" w:themeColor="text1" w:themeTint="BF"/>
                <w:sz w:val="18"/>
                <w:szCs w:val="18"/>
                <w:lang w:eastAsia="en-US"/>
              </w:rPr>
              <w:t>eases on 1</w:t>
            </w:r>
            <w:r w:rsidR="009D216E">
              <w:rPr>
                <w:rFonts w:cs="Arial"/>
                <w:color w:val="404040" w:themeColor="text1" w:themeTint="BF"/>
                <w:sz w:val="18"/>
                <w:szCs w:val="18"/>
                <w:lang w:eastAsia="en-US"/>
              </w:rPr>
              <w:t> </w:t>
            </w:r>
            <w:r w:rsidR="00E131D6" w:rsidRPr="002B553D">
              <w:rPr>
                <w:rFonts w:cs="Arial"/>
                <w:color w:val="404040" w:themeColor="text1" w:themeTint="BF"/>
                <w:sz w:val="18"/>
                <w:szCs w:val="18"/>
                <w:lang w:eastAsia="en-US"/>
              </w:rPr>
              <w:t>January</w:t>
            </w:r>
            <w:r w:rsidR="009D216E">
              <w:rPr>
                <w:rFonts w:cs="Arial"/>
                <w:color w:val="404040" w:themeColor="text1" w:themeTint="BF"/>
                <w:sz w:val="18"/>
                <w:szCs w:val="18"/>
                <w:lang w:eastAsia="en-US"/>
              </w:rPr>
              <w:t> </w:t>
            </w:r>
            <w:r w:rsidR="00E131D6" w:rsidRPr="002B553D">
              <w:rPr>
                <w:rFonts w:cs="Arial"/>
                <w:color w:val="404040" w:themeColor="text1" w:themeTint="BF"/>
                <w:sz w:val="18"/>
                <w:szCs w:val="18"/>
                <w:lang w:eastAsia="en-US"/>
              </w:rPr>
              <w:t xml:space="preserve">2022 </w:t>
            </w:r>
            <w:r w:rsidR="00164C5E" w:rsidRPr="002B553D">
              <w:rPr>
                <w:rFonts w:cs="Arial"/>
                <w:color w:val="404040" w:themeColor="text1" w:themeTint="BF"/>
                <w:sz w:val="18"/>
                <w:szCs w:val="18"/>
                <w:lang w:eastAsia="en-US"/>
              </w:rPr>
              <w:t>when</w:t>
            </w:r>
            <w:r w:rsidR="00E76ECB" w:rsidRPr="002B553D">
              <w:rPr>
                <w:rFonts w:cs="Arial"/>
                <w:color w:val="404040" w:themeColor="text1" w:themeTint="BF"/>
                <w:sz w:val="18"/>
                <w:szCs w:val="18"/>
                <w:lang w:eastAsia="en-US"/>
              </w:rPr>
              <w:t xml:space="preserve"> existing </w:t>
            </w:r>
            <w:r w:rsidR="00E131D6" w:rsidRPr="002B553D">
              <w:rPr>
                <w:rFonts w:cs="Arial"/>
                <w:color w:val="404040" w:themeColor="text1" w:themeTint="BF"/>
                <w:sz w:val="18"/>
                <w:szCs w:val="18"/>
                <w:lang w:eastAsia="en-US"/>
              </w:rPr>
              <w:t xml:space="preserve">recipients </w:t>
            </w:r>
            <w:r w:rsidR="00164C5E" w:rsidRPr="002B553D">
              <w:rPr>
                <w:rFonts w:cs="Arial"/>
                <w:color w:val="404040" w:themeColor="text1" w:themeTint="BF"/>
                <w:sz w:val="18"/>
                <w:szCs w:val="18"/>
                <w:lang w:eastAsia="en-US"/>
              </w:rPr>
              <w:t xml:space="preserve">will </w:t>
            </w:r>
            <w:r w:rsidR="00E76ECB" w:rsidRPr="002B553D">
              <w:rPr>
                <w:rFonts w:cs="Arial"/>
                <w:color w:val="404040" w:themeColor="text1" w:themeTint="BF"/>
                <w:sz w:val="18"/>
                <w:szCs w:val="18"/>
                <w:lang w:eastAsia="en-US"/>
              </w:rPr>
              <w:t>transfer</w:t>
            </w:r>
            <w:r w:rsidR="00E131D6" w:rsidRPr="002B553D">
              <w:rPr>
                <w:rFonts w:cs="Arial"/>
                <w:color w:val="404040" w:themeColor="text1" w:themeTint="BF"/>
                <w:sz w:val="18"/>
                <w:szCs w:val="18"/>
                <w:lang w:eastAsia="en-US"/>
              </w:rPr>
              <w:t xml:space="preserve"> to </w:t>
            </w:r>
            <w:r w:rsidR="00E76ECB" w:rsidRPr="002B553D">
              <w:rPr>
                <w:rFonts w:cs="Arial"/>
                <w:color w:val="404040" w:themeColor="text1" w:themeTint="BF"/>
                <w:sz w:val="18"/>
                <w:szCs w:val="18"/>
                <w:lang w:eastAsia="en-US"/>
              </w:rPr>
              <w:t>Age Pension as they will be Age Pension age</w:t>
            </w:r>
            <w:r w:rsidR="00E131D6" w:rsidRPr="002B553D">
              <w:rPr>
                <w:rFonts w:cs="Arial"/>
                <w:color w:val="404040" w:themeColor="text1" w:themeTint="BF"/>
                <w:sz w:val="18"/>
                <w:szCs w:val="18"/>
                <w:lang w:eastAsia="en-US"/>
              </w:rPr>
              <w:t>)</w:t>
            </w:r>
          </w:p>
        </w:tc>
      </w:tr>
      <w:tr w:rsidR="00A45F94" w:rsidRPr="002B553D" w14:paraId="06C5CD42" w14:textId="77777777" w:rsidTr="008A19E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14:paraId="5E1D857B" w14:textId="77777777" w:rsidR="00A7152A" w:rsidRPr="002B553D" w:rsidRDefault="00A7152A" w:rsidP="002B553D">
            <w:pPr>
              <w:spacing w:before="40" w:after="40" w:line="276" w:lineRule="auto"/>
              <w:jc w:val="left"/>
              <w:rPr>
                <w:rFonts w:cs="Arial"/>
                <w:color w:val="404040" w:themeColor="text1" w:themeTint="BF"/>
                <w:sz w:val="18"/>
                <w:szCs w:val="18"/>
                <w:lang w:eastAsia="en-US"/>
              </w:rPr>
            </w:pPr>
            <w:r w:rsidRPr="002B553D">
              <w:rPr>
                <w:rFonts w:cs="Arial"/>
                <w:color w:val="404040" w:themeColor="text1" w:themeTint="BF"/>
                <w:sz w:val="18"/>
                <w:szCs w:val="18"/>
                <w:lang w:eastAsia="en-US"/>
              </w:rPr>
              <w:t>H - Other FTB</w:t>
            </w:r>
          </w:p>
        </w:tc>
        <w:tc>
          <w:tcPr>
            <w:tcW w:w="0" w:type="auto"/>
            <w:vAlign w:val="center"/>
            <w:hideMark/>
          </w:tcPr>
          <w:p w14:paraId="2D96A1B1" w14:textId="77777777" w:rsidR="00A7152A" w:rsidRPr="002B553D" w:rsidRDefault="00A7152A" w:rsidP="002B553D">
            <w:pPr>
              <w:spacing w:before="40" w:after="40" w:line="276" w:lineRule="auto"/>
              <w:jc w:val="left"/>
              <w:cnfStyle w:val="000000100000" w:firstRow="0" w:lastRow="0" w:firstColumn="0" w:lastColumn="0" w:oddVBand="0" w:evenVBand="0" w:oddHBand="1" w:evenHBand="0" w:firstRowFirstColumn="0" w:firstRowLastColumn="0" w:lastRowFirstColumn="0" w:lastRowLastColumn="0"/>
              <w:rPr>
                <w:rFonts w:cs="Arial"/>
                <w:color w:val="404040" w:themeColor="text1" w:themeTint="BF"/>
                <w:sz w:val="18"/>
                <w:szCs w:val="18"/>
                <w:lang w:eastAsia="en-US"/>
              </w:rPr>
            </w:pPr>
            <w:r w:rsidRPr="002B553D">
              <w:rPr>
                <w:rFonts w:cs="Arial"/>
                <w:color w:val="404040" w:themeColor="text1" w:themeTint="BF"/>
                <w:sz w:val="18"/>
                <w:szCs w:val="18"/>
                <w:lang w:eastAsia="en-US"/>
              </w:rPr>
              <w:t>Family Tax Benefit A</w:t>
            </w:r>
          </w:p>
        </w:tc>
      </w:tr>
      <w:tr w:rsidR="00A45F94" w:rsidRPr="002B553D" w14:paraId="46484264" w14:textId="77777777" w:rsidTr="008A19EA">
        <w:trPr>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6D601B2A" w14:textId="77777777" w:rsidR="00A7152A" w:rsidRPr="002B553D" w:rsidRDefault="00A7152A" w:rsidP="002B553D">
            <w:pPr>
              <w:spacing w:before="40" w:after="40" w:line="276" w:lineRule="auto"/>
              <w:jc w:val="left"/>
              <w:rPr>
                <w:rFonts w:cs="Arial"/>
                <w:color w:val="404040" w:themeColor="text1" w:themeTint="BF"/>
                <w:sz w:val="18"/>
                <w:szCs w:val="18"/>
                <w:lang w:eastAsia="en-US"/>
              </w:rPr>
            </w:pPr>
          </w:p>
        </w:tc>
        <w:tc>
          <w:tcPr>
            <w:tcW w:w="0" w:type="auto"/>
            <w:vAlign w:val="center"/>
            <w:hideMark/>
          </w:tcPr>
          <w:p w14:paraId="1AFF1152" w14:textId="77777777" w:rsidR="00A7152A" w:rsidRPr="002B553D" w:rsidRDefault="00A7152A" w:rsidP="002B553D">
            <w:pPr>
              <w:spacing w:before="40" w:after="40" w:line="276" w:lineRule="auto"/>
              <w:jc w:val="left"/>
              <w:cnfStyle w:val="000000000000" w:firstRow="0" w:lastRow="0" w:firstColumn="0" w:lastColumn="0" w:oddVBand="0" w:evenVBand="0" w:oddHBand="0" w:evenHBand="0" w:firstRowFirstColumn="0" w:firstRowLastColumn="0" w:lastRowFirstColumn="0" w:lastRowLastColumn="0"/>
              <w:rPr>
                <w:rFonts w:cs="Arial"/>
                <w:color w:val="404040" w:themeColor="text1" w:themeTint="BF"/>
                <w:sz w:val="18"/>
                <w:szCs w:val="18"/>
                <w:lang w:eastAsia="en-US"/>
              </w:rPr>
            </w:pPr>
            <w:r w:rsidRPr="002B553D">
              <w:rPr>
                <w:rFonts w:cs="Arial"/>
                <w:color w:val="404040" w:themeColor="text1" w:themeTint="BF"/>
                <w:sz w:val="18"/>
                <w:szCs w:val="18"/>
                <w:lang w:eastAsia="en-US"/>
              </w:rPr>
              <w:t>Family Tax Benefit A Supplement</w:t>
            </w:r>
          </w:p>
        </w:tc>
      </w:tr>
      <w:tr w:rsidR="00A45F94" w:rsidRPr="002B553D" w14:paraId="42A41038" w14:textId="77777777" w:rsidTr="008A19E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5D27DABB" w14:textId="77777777" w:rsidR="00A7152A" w:rsidRPr="002B553D" w:rsidRDefault="00A7152A" w:rsidP="002B553D">
            <w:pPr>
              <w:spacing w:before="40" w:after="40" w:line="276" w:lineRule="auto"/>
              <w:jc w:val="left"/>
              <w:rPr>
                <w:rFonts w:cs="Arial"/>
                <w:color w:val="404040" w:themeColor="text1" w:themeTint="BF"/>
                <w:sz w:val="18"/>
                <w:szCs w:val="18"/>
                <w:lang w:eastAsia="en-US"/>
              </w:rPr>
            </w:pPr>
          </w:p>
        </w:tc>
        <w:tc>
          <w:tcPr>
            <w:tcW w:w="0" w:type="auto"/>
            <w:vAlign w:val="center"/>
            <w:hideMark/>
          </w:tcPr>
          <w:p w14:paraId="5CFF210E" w14:textId="77777777" w:rsidR="00A7152A" w:rsidRPr="002B553D" w:rsidRDefault="00A7152A" w:rsidP="002B553D">
            <w:pPr>
              <w:spacing w:before="40" w:after="40" w:line="276" w:lineRule="auto"/>
              <w:jc w:val="left"/>
              <w:cnfStyle w:val="000000100000" w:firstRow="0" w:lastRow="0" w:firstColumn="0" w:lastColumn="0" w:oddVBand="0" w:evenVBand="0" w:oddHBand="1" w:evenHBand="0" w:firstRowFirstColumn="0" w:firstRowLastColumn="0" w:lastRowFirstColumn="0" w:lastRowLastColumn="0"/>
              <w:rPr>
                <w:rFonts w:cs="Arial"/>
                <w:color w:val="404040" w:themeColor="text1" w:themeTint="BF"/>
                <w:sz w:val="18"/>
                <w:szCs w:val="18"/>
                <w:lang w:eastAsia="en-US"/>
              </w:rPr>
            </w:pPr>
            <w:r w:rsidRPr="002B553D">
              <w:rPr>
                <w:rFonts w:cs="Arial"/>
                <w:color w:val="404040" w:themeColor="text1" w:themeTint="BF"/>
                <w:sz w:val="18"/>
                <w:szCs w:val="18"/>
                <w:lang w:eastAsia="en-US"/>
              </w:rPr>
              <w:t>Family Tax Benefit B</w:t>
            </w:r>
          </w:p>
        </w:tc>
      </w:tr>
      <w:tr w:rsidR="00A45F94" w:rsidRPr="002B553D" w14:paraId="20A41AA0" w14:textId="77777777" w:rsidTr="008A19EA">
        <w:trPr>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2B0F1108" w14:textId="77777777" w:rsidR="00A7152A" w:rsidRPr="002B553D" w:rsidRDefault="00A7152A" w:rsidP="002B553D">
            <w:pPr>
              <w:spacing w:before="40" w:after="40" w:line="276" w:lineRule="auto"/>
              <w:jc w:val="left"/>
              <w:rPr>
                <w:rFonts w:cs="Arial"/>
                <w:color w:val="404040" w:themeColor="text1" w:themeTint="BF"/>
                <w:sz w:val="18"/>
                <w:szCs w:val="18"/>
                <w:lang w:eastAsia="en-US"/>
              </w:rPr>
            </w:pPr>
          </w:p>
        </w:tc>
        <w:tc>
          <w:tcPr>
            <w:tcW w:w="0" w:type="auto"/>
            <w:vAlign w:val="center"/>
            <w:hideMark/>
          </w:tcPr>
          <w:p w14:paraId="7C0D2DD4" w14:textId="77777777" w:rsidR="00A7152A" w:rsidRPr="002B553D" w:rsidRDefault="00A7152A" w:rsidP="002B553D">
            <w:pPr>
              <w:spacing w:before="40" w:after="40" w:line="276" w:lineRule="auto"/>
              <w:jc w:val="left"/>
              <w:cnfStyle w:val="000000000000" w:firstRow="0" w:lastRow="0" w:firstColumn="0" w:lastColumn="0" w:oddVBand="0" w:evenVBand="0" w:oddHBand="0" w:evenHBand="0" w:firstRowFirstColumn="0" w:firstRowLastColumn="0" w:lastRowFirstColumn="0" w:lastRowLastColumn="0"/>
              <w:rPr>
                <w:rFonts w:cs="Arial"/>
                <w:color w:val="404040" w:themeColor="text1" w:themeTint="BF"/>
                <w:sz w:val="18"/>
                <w:szCs w:val="18"/>
                <w:lang w:eastAsia="en-US"/>
              </w:rPr>
            </w:pPr>
            <w:r w:rsidRPr="002B553D">
              <w:rPr>
                <w:rFonts w:cs="Arial"/>
                <w:color w:val="404040" w:themeColor="text1" w:themeTint="BF"/>
                <w:sz w:val="18"/>
                <w:szCs w:val="18"/>
                <w:lang w:eastAsia="en-US"/>
              </w:rPr>
              <w:t>Family Tax Benefit B Supplement</w:t>
            </w:r>
          </w:p>
        </w:tc>
      </w:tr>
      <w:tr w:rsidR="00A45F94" w:rsidRPr="002B553D" w14:paraId="3C01B735" w14:textId="77777777" w:rsidTr="008A19E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369D70E9" w14:textId="77777777" w:rsidR="00A7152A" w:rsidRPr="002B553D" w:rsidRDefault="00A7152A" w:rsidP="002B553D">
            <w:pPr>
              <w:spacing w:before="40" w:after="40" w:line="276" w:lineRule="auto"/>
              <w:jc w:val="left"/>
              <w:rPr>
                <w:rFonts w:cs="Arial"/>
                <w:color w:val="404040" w:themeColor="text1" w:themeTint="BF"/>
                <w:sz w:val="18"/>
                <w:szCs w:val="18"/>
                <w:lang w:eastAsia="en-US"/>
              </w:rPr>
            </w:pPr>
          </w:p>
        </w:tc>
        <w:tc>
          <w:tcPr>
            <w:tcW w:w="0" w:type="auto"/>
            <w:vAlign w:val="center"/>
            <w:hideMark/>
          </w:tcPr>
          <w:p w14:paraId="51015AB5" w14:textId="77777777" w:rsidR="00A7152A" w:rsidRPr="002B553D" w:rsidRDefault="00A7152A" w:rsidP="002B553D">
            <w:pPr>
              <w:spacing w:before="40" w:after="40" w:line="276" w:lineRule="auto"/>
              <w:jc w:val="left"/>
              <w:cnfStyle w:val="000000100000" w:firstRow="0" w:lastRow="0" w:firstColumn="0" w:lastColumn="0" w:oddVBand="0" w:evenVBand="0" w:oddHBand="1" w:evenHBand="0" w:firstRowFirstColumn="0" w:firstRowLastColumn="0" w:lastRowFirstColumn="0" w:lastRowLastColumn="0"/>
              <w:rPr>
                <w:rFonts w:cs="Arial"/>
                <w:color w:val="404040" w:themeColor="text1" w:themeTint="BF"/>
                <w:sz w:val="18"/>
                <w:szCs w:val="18"/>
                <w:lang w:eastAsia="en-US"/>
              </w:rPr>
            </w:pPr>
            <w:r w:rsidRPr="002B553D">
              <w:rPr>
                <w:rFonts w:cs="Arial"/>
                <w:color w:val="404040" w:themeColor="text1" w:themeTint="BF"/>
                <w:sz w:val="18"/>
                <w:szCs w:val="18"/>
                <w:lang w:eastAsia="en-US"/>
              </w:rPr>
              <w:t>Multiple Birth Allowance</w:t>
            </w:r>
          </w:p>
        </w:tc>
      </w:tr>
      <w:tr w:rsidR="00A45F94" w:rsidRPr="002B553D" w14:paraId="5DC0E4FF" w14:textId="77777777" w:rsidTr="008A19EA">
        <w:trPr>
          <w:trHeight w:val="315"/>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28DE43D9" w14:textId="77777777" w:rsidR="00A7152A" w:rsidRPr="002B553D" w:rsidRDefault="00A7152A" w:rsidP="002B553D">
            <w:pPr>
              <w:spacing w:before="40" w:after="40" w:line="276" w:lineRule="auto"/>
              <w:jc w:val="left"/>
              <w:rPr>
                <w:rFonts w:cs="Arial"/>
                <w:color w:val="404040" w:themeColor="text1" w:themeTint="BF"/>
                <w:sz w:val="18"/>
                <w:szCs w:val="18"/>
                <w:lang w:eastAsia="en-US"/>
              </w:rPr>
            </w:pPr>
          </w:p>
        </w:tc>
        <w:tc>
          <w:tcPr>
            <w:tcW w:w="0" w:type="auto"/>
            <w:vAlign w:val="center"/>
            <w:hideMark/>
          </w:tcPr>
          <w:p w14:paraId="71DD9C45" w14:textId="73E331A1" w:rsidR="00257BFF" w:rsidRPr="002B553D" w:rsidRDefault="00257BFF" w:rsidP="002B553D">
            <w:pPr>
              <w:spacing w:before="40" w:after="40" w:line="276" w:lineRule="auto"/>
              <w:jc w:val="left"/>
              <w:cnfStyle w:val="000000000000" w:firstRow="0" w:lastRow="0" w:firstColumn="0" w:lastColumn="0" w:oddVBand="0" w:evenVBand="0" w:oddHBand="0" w:evenHBand="0" w:firstRowFirstColumn="0" w:firstRowLastColumn="0" w:lastRowFirstColumn="0" w:lastRowLastColumn="0"/>
              <w:rPr>
                <w:rFonts w:cs="Arial"/>
                <w:color w:val="404040" w:themeColor="text1" w:themeTint="BF"/>
                <w:sz w:val="18"/>
                <w:szCs w:val="18"/>
                <w:lang w:eastAsia="en-US"/>
              </w:rPr>
            </w:pPr>
            <w:r w:rsidRPr="002B553D">
              <w:rPr>
                <w:rFonts w:cs="Arial"/>
                <w:color w:val="404040" w:themeColor="text1" w:themeTint="BF"/>
                <w:sz w:val="18"/>
                <w:szCs w:val="18"/>
                <w:lang w:eastAsia="en-US"/>
              </w:rPr>
              <w:t>Family Tax Benefit Bereavement Payment</w:t>
            </w:r>
          </w:p>
        </w:tc>
      </w:tr>
      <w:tr w:rsidR="00A45F94" w:rsidRPr="002B553D" w14:paraId="1D370BEC" w14:textId="77777777" w:rsidTr="008A19E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14:paraId="4C1DF40F" w14:textId="77777777" w:rsidR="00A7152A" w:rsidRPr="002B553D" w:rsidRDefault="00A7152A" w:rsidP="002B553D">
            <w:pPr>
              <w:spacing w:before="40" w:after="40" w:line="276" w:lineRule="auto"/>
              <w:jc w:val="left"/>
              <w:rPr>
                <w:rFonts w:cs="Arial"/>
                <w:color w:val="404040" w:themeColor="text1" w:themeTint="BF"/>
                <w:sz w:val="18"/>
                <w:szCs w:val="18"/>
                <w:lang w:eastAsia="en-US"/>
              </w:rPr>
            </w:pPr>
            <w:r w:rsidRPr="002B553D">
              <w:rPr>
                <w:rFonts w:cs="Arial"/>
                <w:color w:val="404040" w:themeColor="text1" w:themeTint="BF"/>
                <w:sz w:val="18"/>
                <w:szCs w:val="18"/>
                <w:lang w:eastAsia="en-US"/>
              </w:rPr>
              <w:t>I - Other Family</w:t>
            </w:r>
          </w:p>
        </w:tc>
        <w:tc>
          <w:tcPr>
            <w:tcW w:w="0" w:type="auto"/>
            <w:vAlign w:val="center"/>
            <w:hideMark/>
          </w:tcPr>
          <w:p w14:paraId="3428D318" w14:textId="1EAF4F88" w:rsidR="00A7152A" w:rsidRPr="002B553D" w:rsidRDefault="006329B9" w:rsidP="002B553D">
            <w:pPr>
              <w:spacing w:before="40" w:after="40" w:line="276" w:lineRule="auto"/>
              <w:jc w:val="left"/>
              <w:cnfStyle w:val="000000100000" w:firstRow="0" w:lastRow="0" w:firstColumn="0" w:lastColumn="0" w:oddVBand="0" w:evenVBand="0" w:oddHBand="1" w:evenHBand="0" w:firstRowFirstColumn="0" w:firstRowLastColumn="0" w:lastRowFirstColumn="0" w:lastRowLastColumn="0"/>
              <w:rPr>
                <w:rFonts w:cs="Arial"/>
                <w:color w:val="404040" w:themeColor="text1" w:themeTint="BF"/>
                <w:sz w:val="18"/>
                <w:szCs w:val="18"/>
                <w:lang w:eastAsia="en-US"/>
              </w:rPr>
            </w:pPr>
            <w:r w:rsidRPr="002B553D">
              <w:rPr>
                <w:rFonts w:cs="Arial"/>
                <w:color w:val="404040" w:themeColor="text1" w:themeTint="BF"/>
                <w:sz w:val="18"/>
                <w:szCs w:val="18"/>
                <w:lang w:eastAsia="en-US"/>
              </w:rPr>
              <w:t>Child Care Subsidy</w:t>
            </w:r>
          </w:p>
        </w:tc>
      </w:tr>
      <w:tr w:rsidR="00A45F94" w:rsidRPr="002B553D" w14:paraId="05831B1A" w14:textId="77777777" w:rsidTr="008A19EA">
        <w:trPr>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509F9849" w14:textId="77777777" w:rsidR="00A7152A" w:rsidRPr="002B553D" w:rsidRDefault="00A7152A" w:rsidP="002B553D">
            <w:pPr>
              <w:spacing w:before="40" w:after="40" w:line="276" w:lineRule="auto"/>
              <w:jc w:val="left"/>
              <w:rPr>
                <w:rFonts w:cs="Arial"/>
                <w:color w:val="404040" w:themeColor="text1" w:themeTint="BF"/>
                <w:sz w:val="18"/>
                <w:szCs w:val="18"/>
                <w:lang w:eastAsia="en-US"/>
              </w:rPr>
            </w:pPr>
          </w:p>
        </w:tc>
        <w:tc>
          <w:tcPr>
            <w:tcW w:w="0" w:type="auto"/>
            <w:vAlign w:val="center"/>
            <w:hideMark/>
          </w:tcPr>
          <w:p w14:paraId="15A2116C" w14:textId="7FA34BD0" w:rsidR="00A45F94" w:rsidRPr="002B553D" w:rsidRDefault="00A45F94" w:rsidP="002B553D">
            <w:pPr>
              <w:spacing w:before="40" w:after="40" w:line="276" w:lineRule="auto"/>
              <w:jc w:val="left"/>
              <w:cnfStyle w:val="000000000000" w:firstRow="0" w:lastRow="0" w:firstColumn="0" w:lastColumn="0" w:oddVBand="0" w:evenVBand="0" w:oddHBand="0" w:evenHBand="0" w:firstRowFirstColumn="0" w:firstRowLastColumn="0" w:lastRowFirstColumn="0" w:lastRowLastColumn="0"/>
              <w:rPr>
                <w:rFonts w:cs="Arial"/>
                <w:color w:val="404040" w:themeColor="text1" w:themeTint="BF"/>
                <w:sz w:val="18"/>
                <w:szCs w:val="18"/>
                <w:lang w:eastAsia="en-US"/>
              </w:rPr>
            </w:pPr>
            <w:r w:rsidRPr="002B553D">
              <w:rPr>
                <w:rFonts w:cs="Arial"/>
                <w:color w:val="404040" w:themeColor="text1" w:themeTint="BF"/>
                <w:sz w:val="18"/>
                <w:szCs w:val="18"/>
                <w:lang w:eastAsia="en-US"/>
              </w:rPr>
              <w:t>Additional Childcare Subsidy</w:t>
            </w:r>
          </w:p>
        </w:tc>
      </w:tr>
      <w:tr w:rsidR="00A45F94" w:rsidRPr="002B553D" w14:paraId="465458FA" w14:textId="77777777" w:rsidTr="008A19E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11B37722" w14:textId="77777777" w:rsidR="00A7152A" w:rsidRPr="002B553D" w:rsidRDefault="00A7152A" w:rsidP="002B553D">
            <w:pPr>
              <w:spacing w:before="40" w:after="40" w:line="276" w:lineRule="auto"/>
              <w:jc w:val="left"/>
              <w:rPr>
                <w:rFonts w:cs="Arial"/>
                <w:color w:val="404040" w:themeColor="text1" w:themeTint="BF"/>
                <w:sz w:val="18"/>
                <w:szCs w:val="18"/>
                <w:lang w:eastAsia="en-US"/>
              </w:rPr>
            </w:pPr>
          </w:p>
        </w:tc>
        <w:tc>
          <w:tcPr>
            <w:tcW w:w="0" w:type="auto"/>
            <w:vAlign w:val="center"/>
            <w:hideMark/>
          </w:tcPr>
          <w:p w14:paraId="2CEE2028" w14:textId="77777777" w:rsidR="00A7152A" w:rsidRPr="002B553D" w:rsidRDefault="00A7152A" w:rsidP="002B553D">
            <w:pPr>
              <w:spacing w:before="40" w:after="40" w:line="276" w:lineRule="auto"/>
              <w:jc w:val="left"/>
              <w:cnfStyle w:val="000000100000" w:firstRow="0" w:lastRow="0" w:firstColumn="0" w:lastColumn="0" w:oddVBand="0" w:evenVBand="0" w:oddHBand="1" w:evenHBand="0" w:firstRowFirstColumn="0" w:firstRowLastColumn="0" w:lastRowFirstColumn="0" w:lastRowLastColumn="0"/>
              <w:rPr>
                <w:rFonts w:cs="Arial"/>
                <w:color w:val="404040" w:themeColor="text1" w:themeTint="BF"/>
                <w:sz w:val="18"/>
                <w:szCs w:val="18"/>
                <w:lang w:eastAsia="en-US"/>
              </w:rPr>
            </w:pPr>
            <w:r w:rsidRPr="002B553D">
              <w:rPr>
                <w:rFonts w:cs="Arial"/>
                <w:color w:val="404040" w:themeColor="text1" w:themeTint="BF"/>
                <w:sz w:val="18"/>
                <w:szCs w:val="18"/>
                <w:lang w:eastAsia="en-US"/>
              </w:rPr>
              <w:t>Double Orphan Pension</w:t>
            </w:r>
          </w:p>
        </w:tc>
      </w:tr>
      <w:tr w:rsidR="00A45F94" w:rsidRPr="002B553D" w14:paraId="764478CD" w14:textId="77777777" w:rsidTr="008A19EA">
        <w:trPr>
          <w:trHeight w:val="315"/>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51D84DA5" w14:textId="77777777" w:rsidR="00A7152A" w:rsidRPr="002B553D" w:rsidRDefault="00A7152A" w:rsidP="002B553D">
            <w:pPr>
              <w:spacing w:before="40" w:after="40" w:line="276" w:lineRule="auto"/>
              <w:jc w:val="left"/>
              <w:rPr>
                <w:rFonts w:cs="Arial"/>
                <w:color w:val="404040" w:themeColor="text1" w:themeTint="BF"/>
                <w:sz w:val="18"/>
                <w:szCs w:val="18"/>
                <w:lang w:eastAsia="en-US"/>
              </w:rPr>
            </w:pPr>
          </w:p>
        </w:tc>
        <w:tc>
          <w:tcPr>
            <w:tcW w:w="0" w:type="auto"/>
            <w:vAlign w:val="center"/>
            <w:hideMark/>
          </w:tcPr>
          <w:p w14:paraId="7227A727" w14:textId="3F26E9CB" w:rsidR="004664AF" w:rsidRPr="002B553D" w:rsidRDefault="00A7152A" w:rsidP="002B553D">
            <w:pPr>
              <w:spacing w:before="40" w:after="40" w:line="276" w:lineRule="auto"/>
              <w:jc w:val="left"/>
              <w:cnfStyle w:val="000000000000" w:firstRow="0" w:lastRow="0" w:firstColumn="0" w:lastColumn="0" w:oddVBand="0" w:evenVBand="0" w:oddHBand="0" w:evenHBand="0" w:firstRowFirstColumn="0" w:firstRowLastColumn="0" w:lastRowFirstColumn="0" w:lastRowLastColumn="0"/>
              <w:rPr>
                <w:rFonts w:cs="Arial"/>
                <w:color w:val="404040" w:themeColor="text1" w:themeTint="BF"/>
                <w:sz w:val="18"/>
                <w:szCs w:val="18"/>
                <w:lang w:eastAsia="en-US"/>
              </w:rPr>
            </w:pPr>
            <w:r w:rsidRPr="002B553D">
              <w:rPr>
                <w:rFonts w:cs="Arial"/>
                <w:color w:val="404040" w:themeColor="text1" w:themeTint="BF"/>
                <w:sz w:val="18"/>
                <w:szCs w:val="18"/>
                <w:lang w:eastAsia="en-US"/>
              </w:rPr>
              <w:t>Single Income Family Supplement</w:t>
            </w:r>
          </w:p>
        </w:tc>
      </w:tr>
      <w:tr w:rsidR="00A45F94" w:rsidRPr="002B553D" w14:paraId="72FA8B84" w14:textId="77777777" w:rsidTr="008A19E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14:paraId="3BDB5792" w14:textId="77777777" w:rsidR="00A7152A" w:rsidRPr="002B553D" w:rsidRDefault="00A7152A" w:rsidP="002B553D">
            <w:pPr>
              <w:spacing w:before="40" w:after="40" w:line="276" w:lineRule="auto"/>
              <w:jc w:val="left"/>
              <w:rPr>
                <w:rFonts w:cs="Arial"/>
                <w:color w:val="404040" w:themeColor="text1" w:themeTint="BF"/>
                <w:sz w:val="18"/>
                <w:szCs w:val="18"/>
                <w:lang w:eastAsia="en-US"/>
              </w:rPr>
            </w:pPr>
            <w:r w:rsidRPr="002B553D">
              <w:rPr>
                <w:rFonts w:cs="Arial"/>
                <w:color w:val="404040" w:themeColor="text1" w:themeTint="BF"/>
                <w:sz w:val="18"/>
                <w:szCs w:val="18"/>
                <w:lang w:eastAsia="en-US"/>
              </w:rPr>
              <w:t>J - Other New Parent</w:t>
            </w:r>
          </w:p>
        </w:tc>
        <w:tc>
          <w:tcPr>
            <w:tcW w:w="0" w:type="auto"/>
            <w:vAlign w:val="center"/>
            <w:hideMark/>
          </w:tcPr>
          <w:p w14:paraId="68BB42B2" w14:textId="77777777" w:rsidR="00A7152A" w:rsidRPr="002B553D" w:rsidRDefault="00A7152A" w:rsidP="002B553D">
            <w:pPr>
              <w:spacing w:before="40" w:after="40" w:line="276" w:lineRule="auto"/>
              <w:jc w:val="left"/>
              <w:cnfStyle w:val="000000100000" w:firstRow="0" w:lastRow="0" w:firstColumn="0" w:lastColumn="0" w:oddVBand="0" w:evenVBand="0" w:oddHBand="1" w:evenHBand="0" w:firstRowFirstColumn="0" w:firstRowLastColumn="0" w:lastRowFirstColumn="0" w:lastRowLastColumn="0"/>
              <w:rPr>
                <w:rFonts w:cs="Arial"/>
                <w:color w:val="404040" w:themeColor="text1" w:themeTint="BF"/>
                <w:sz w:val="18"/>
                <w:szCs w:val="18"/>
                <w:lang w:eastAsia="en-US"/>
              </w:rPr>
            </w:pPr>
            <w:r w:rsidRPr="002B553D">
              <w:rPr>
                <w:rFonts w:cs="Arial"/>
                <w:color w:val="404040" w:themeColor="text1" w:themeTint="BF"/>
                <w:sz w:val="18"/>
                <w:szCs w:val="18"/>
                <w:lang w:eastAsia="en-US"/>
              </w:rPr>
              <w:t>Dad and Partner Pay</w:t>
            </w:r>
          </w:p>
        </w:tc>
      </w:tr>
      <w:tr w:rsidR="00A45F94" w:rsidRPr="002B553D" w14:paraId="249E73CD" w14:textId="77777777" w:rsidTr="008A19EA">
        <w:trPr>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10C73387" w14:textId="77777777" w:rsidR="00A7152A" w:rsidRPr="002B553D" w:rsidRDefault="00A7152A" w:rsidP="002B553D">
            <w:pPr>
              <w:spacing w:before="40" w:after="40" w:line="276" w:lineRule="auto"/>
              <w:jc w:val="left"/>
              <w:rPr>
                <w:rFonts w:cs="Arial"/>
                <w:color w:val="404040" w:themeColor="text1" w:themeTint="BF"/>
                <w:sz w:val="18"/>
                <w:szCs w:val="18"/>
                <w:lang w:eastAsia="en-US"/>
              </w:rPr>
            </w:pPr>
          </w:p>
        </w:tc>
        <w:tc>
          <w:tcPr>
            <w:tcW w:w="0" w:type="auto"/>
            <w:vAlign w:val="center"/>
            <w:hideMark/>
          </w:tcPr>
          <w:p w14:paraId="45107D29" w14:textId="32778FAB" w:rsidR="00A7152A" w:rsidRPr="002B553D" w:rsidRDefault="00A04E82" w:rsidP="002B553D">
            <w:pPr>
              <w:spacing w:before="40" w:after="40" w:line="276" w:lineRule="auto"/>
              <w:jc w:val="left"/>
              <w:cnfStyle w:val="000000000000" w:firstRow="0" w:lastRow="0" w:firstColumn="0" w:lastColumn="0" w:oddVBand="0" w:evenVBand="0" w:oddHBand="0" w:evenHBand="0" w:firstRowFirstColumn="0" w:firstRowLastColumn="0" w:lastRowFirstColumn="0" w:lastRowLastColumn="0"/>
              <w:rPr>
                <w:rFonts w:cs="Arial"/>
                <w:color w:val="404040" w:themeColor="text1" w:themeTint="BF"/>
                <w:sz w:val="18"/>
                <w:szCs w:val="18"/>
                <w:lang w:eastAsia="en-US"/>
              </w:rPr>
            </w:pPr>
            <w:r w:rsidRPr="002B553D">
              <w:rPr>
                <w:rFonts w:cs="Arial"/>
                <w:color w:val="404040" w:themeColor="text1" w:themeTint="BF"/>
                <w:sz w:val="18"/>
                <w:szCs w:val="18"/>
                <w:lang w:eastAsia="en-US"/>
              </w:rPr>
              <w:t xml:space="preserve">Multiple Birth Allowance </w:t>
            </w:r>
          </w:p>
        </w:tc>
      </w:tr>
      <w:tr w:rsidR="00A45F94" w:rsidRPr="002B553D" w14:paraId="31429312" w14:textId="77777777" w:rsidTr="008A19E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6DCD3425" w14:textId="77777777" w:rsidR="00A7152A" w:rsidRPr="002B553D" w:rsidRDefault="00A7152A" w:rsidP="002B553D">
            <w:pPr>
              <w:spacing w:before="40" w:after="40" w:line="276" w:lineRule="auto"/>
              <w:jc w:val="left"/>
              <w:rPr>
                <w:rFonts w:cs="Arial"/>
                <w:color w:val="404040" w:themeColor="text1" w:themeTint="BF"/>
                <w:sz w:val="18"/>
                <w:szCs w:val="18"/>
                <w:lang w:eastAsia="en-US"/>
              </w:rPr>
            </w:pPr>
          </w:p>
        </w:tc>
        <w:tc>
          <w:tcPr>
            <w:tcW w:w="0" w:type="auto"/>
            <w:vAlign w:val="center"/>
            <w:hideMark/>
          </w:tcPr>
          <w:p w14:paraId="745663E1" w14:textId="2D246FD7" w:rsidR="00A7152A" w:rsidRPr="002B553D" w:rsidRDefault="00A7152A" w:rsidP="002B553D">
            <w:pPr>
              <w:spacing w:before="40" w:after="40" w:line="276" w:lineRule="auto"/>
              <w:jc w:val="left"/>
              <w:cnfStyle w:val="000000100000" w:firstRow="0" w:lastRow="0" w:firstColumn="0" w:lastColumn="0" w:oddVBand="0" w:evenVBand="0" w:oddHBand="1" w:evenHBand="0" w:firstRowFirstColumn="0" w:firstRowLastColumn="0" w:lastRowFirstColumn="0" w:lastRowLastColumn="0"/>
              <w:rPr>
                <w:rFonts w:cs="Arial"/>
                <w:color w:val="404040" w:themeColor="text1" w:themeTint="BF"/>
                <w:sz w:val="18"/>
                <w:szCs w:val="18"/>
                <w:lang w:eastAsia="en-US"/>
              </w:rPr>
            </w:pPr>
            <w:r w:rsidRPr="002B553D">
              <w:rPr>
                <w:rFonts w:cs="Arial"/>
                <w:color w:val="404040" w:themeColor="text1" w:themeTint="BF"/>
                <w:sz w:val="18"/>
                <w:szCs w:val="18"/>
                <w:lang w:eastAsia="en-US"/>
              </w:rPr>
              <w:t>Newborn</w:t>
            </w:r>
            <w:r w:rsidR="00A04E82" w:rsidRPr="002B553D">
              <w:rPr>
                <w:rFonts w:cs="Arial"/>
                <w:color w:val="404040" w:themeColor="text1" w:themeTint="BF"/>
                <w:sz w:val="18"/>
                <w:szCs w:val="18"/>
                <w:lang w:eastAsia="en-US"/>
              </w:rPr>
              <w:t xml:space="preserve"> Supplement and Newborn Upfront</w:t>
            </w:r>
            <w:r w:rsidRPr="002B553D">
              <w:rPr>
                <w:rFonts w:cs="Arial"/>
                <w:color w:val="404040" w:themeColor="text1" w:themeTint="BF"/>
                <w:sz w:val="18"/>
                <w:szCs w:val="18"/>
                <w:lang w:eastAsia="en-US"/>
              </w:rPr>
              <w:t xml:space="preserve"> Payment</w:t>
            </w:r>
          </w:p>
        </w:tc>
      </w:tr>
      <w:tr w:rsidR="00A45F94" w:rsidRPr="002B553D" w14:paraId="052BCCC6" w14:textId="77777777" w:rsidTr="008A19EA">
        <w:trPr>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6210D568" w14:textId="77777777" w:rsidR="00A7152A" w:rsidRPr="002B553D" w:rsidRDefault="00A7152A" w:rsidP="002B553D">
            <w:pPr>
              <w:spacing w:before="40" w:after="40" w:line="276" w:lineRule="auto"/>
              <w:jc w:val="left"/>
              <w:rPr>
                <w:rFonts w:cs="Arial"/>
                <w:color w:val="404040" w:themeColor="text1" w:themeTint="BF"/>
                <w:sz w:val="18"/>
                <w:szCs w:val="18"/>
                <w:lang w:eastAsia="en-US"/>
              </w:rPr>
            </w:pPr>
          </w:p>
        </w:tc>
        <w:tc>
          <w:tcPr>
            <w:tcW w:w="0" w:type="auto"/>
            <w:vAlign w:val="center"/>
            <w:hideMark/>
          </w:tcPr>
          <w:p w14:paraId="3AD7D5A4" w14:textId="77777777" w:rsidR="00A7152A" w:rsidRPr="002B553D" w:rsidRDefault="00A7152A" w:rsidP="002B553D">
            <w:pPr>
              <w:spacing w:before="40" w:after="40" w:line="276" w:lineRule="auto"/>
              <w:jc w:val="left"/>
              <w:cnfStyle w:val="000000000000" w:firstRow="0" w:lastRow="0" w:firstColumn="0" w:lastColumn="0" w:oddVBand="0" w:evenVBand="0" w:oddHBand="0" w:evenHBand="0" w:firstRowFirstColumn="0" w:firstRowLastColumn="0" w:lastRowFirstColumn="0" w:lastRowLastColumn="0"/>
              <w:rPr>
                <w:rFonts w:cs="Arial"/>
                <w:color w:val="404040" w:themeColor="text1" w:themeTint="BF"/>
                <w:sz w:val="18"/>
                <w:szCs w:val="18"/>
                <w:lang w:eastAsia="en-US"/>
              </w:rPr>
            </w:pPr>
            <w:r w:rsidRPr="002B553D">
              <w:rPr>
                <w:rFonts w:cs="Arial"/>
                <w:color w:val="404040" w:themeColor="text1" w:themeTint="BF"/>
                <w:sz w:val="18"/>
                <w:szCs w:val="18"/>
                <w:lang w:eastAsia="en-US"/>
              </w:rPr>
              <w:t>Parental Leave Pay</w:t>
            </w:r>
          </w:p>
        </w:tc>
      </w:tr>
      <w:tr w:rsidR="00A45F94" w:rsidRPr="002B553D" w14:paraId="06EDF74F" w14:textId="77777777" w:rsidTr="008A19E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7C5B7362" w14:textId="77777777" w:rsidR="00A7152A" w:rsidRPr="002B553D" w:rsidRDefault="00A7152A" w:rsidP="002B553D">
            <w:pPr>
              <w:spacing w:before="40" w:after="40" w:line="276" w:lineRule="auto"/>
              <w:jc w:val="left"/>
              <w:rPr>
                <w:rFonts w:cs="Arial"/>
                <w:color w:val="404040" w:themeColor="text1" w:themeTint="BF"/>
                <w:sz w:val="18"/>
                <w:szCs w:val="18"/>
                <w:lang w:eastAsia="en-US"/>
              </w:rPr>
            </w:pPr>
          </w:p>
        </w:tc>
        <w:tc>
          <w:tcPr>
            <w:tcW w:w="0" w:type="auto"/>
            <w:vAlign w:val="center"/>
            <w:hideMark/>
          </w:tcPr>
          <w:p w14:paraId="5B66844A" w14:textId="77777777" w:rsidR="00A7152A" w:rsidRPr="002B553D" w:rsidRDefault="00A7152A" w:rsidP="002B553D">
            <w:pPr>
              <w:spacing w:before="40" w:after="40" w:line="276" w:lineRule="auto"/>
              <w:jc w:val="left"/>
              <w:cnfStyle w:val="000000100000" w:firstRow="0" w:lastRow="0" w:firstColumn="0" w:lastColumn="0" w:oddVBand="0" w:evenVBand="0" w:oddHBand="1" w:evenHBand="0" w:firstRowFirstColumn="0" w:firstRowLastColumn="0" w:lastRowFirstColumn="0" w:lastRowLastColumn="0"/>
              <w:rPr>
                <w:rFonts w:cs="Arial"/>
                <w:color w:val="404040" w:themeColor="text1" w:themeTint="BF"/>
                <w:sz w:val="18"/>
                <w:szCs w:val="18"/>
                <w:lang w:eastAsia="en-US"/>
              </w:rPr>
            </w:pPr>
            <w:r w:rsidRPr="002B553D">
              <w:rPr>
                <w:rFonts w:cs="Arial"/>
                <w:color w:val="404040" w:themeColor="text1" w:themeTint="BF"/>
                <w:sz w:val="18"/>
                <w:szCs w:val="18"/>
                <w:lang w:eastAsia="en-US"/>
              </w:rPr>
              <w:t>Stillborn Baby Payment</w:t>
            </w:r>
          </w:p>
        </w:tc>
      </w:tr>
      <w:tr w:rsidR="00A45F94" w:rsidRPr="002B553D" w14:paraId="10AE8EB7" w14:textId="77777777" w:rsidTr="008A19EA">
        <w:trPr>
          <w:trHeight w:val="315"/>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705FC31" w14:textId="77777777" w:rsidR="00A7152A" w:rsidRPr="002B553D" w:rsidRDefault="00A7152A" w:rsidP="002B553D">
            <w:pPr>
              <w:spacing w:before="40" w:after="40" w:line="276" w:lineRule="auto"/>
              <w:jc w:val="left"/>
              <w:rPr>
                <w:rFonts w:cs="Arial"/>
                <w:color w:val="404040" w:themeColor="text1" w:themeTint="BF"/>
                <w:sz w:val="18"/>
                <w:szCs w:val="18"/>
                <w:lang w:eastAsia="en-US"/>
              </w:rPr>
            </w:pPr>
            <w:r w:rsidRPr="002B553D">
              <w:rPr>
                <w:rFonts w:cs="Arial"/>
                <w:color w:val="404040" w:themeColor="text1" w:themeTint="BF"/>
                <w:sz w:val="18"/>
                <w:szCs w:val="18"/>
                <w:lang w:eastAsia="en-US"/>
              </w:rPr>
              <w:t xml:space="preserve">K - Other Living </w:t>
            </w:r>
          </w:p>
        </w:tc>
        <w:tc>
          <w:tcPr>
            <w:tcW w:w="0" w:type="auto"/>
            <w:vAlign w:val="center"/>
            <w:hideMark/>
          </w:tcPr>
          <w:p w14:paraId="7BA8AAD4" w14:textId="77777777" w:rsidR="00A7152A" w:rsidRPr="002B553D" w:rsidRDefault="00A7152A" w:rsidP="002B553D">
            <w:pPr>
              <w:spacing w:before="40" w:after="40" w:line="276" w:lineRule="auto"/>
              <w:jc w:val="left"/>
              <w:cnfStyle w:val="000000000000" w:firstRow="0" w:lastRow="0" w:firstColumn="0" w:lastColumn="0" w:oddVBand="0" w:evenVBand="0" w:oddHBand="0" w:evenHBand="0" w:firstRowFirstColumn="0" w:firstRowLastColumn="0" w:lastRowFirstColumn="0" w:lastRowLastColumn="0"/>
              <w:rPr>
                <w:rFonts w:cs="Arial"/>
                <w:i/>
                <w:iCs/>
                <w:color w:val="404040" w:themeColor="text1" w:themeTint="BF"/>
                <w:sz w:val="18"/>
                <w:szCs w:val="18"/>
                <w:lang w:eastAsia="en-US"/>
              </w:rPr>
            </w:pPr>
            <w:r w:rsidRPr="002B553D">
              <w:rPr>
                <w:rFonts w:cs="Arial"/>
                <w:i/>
                <w:iCs/>
                <w:color w:val="404040" w:themeColor="text1" w:themeTint="BF"/>
                <w:sz w:val="18"/>
                <w:szCs w:val="18"/>
                <w:lang w:eastAsia="en-US"/>
              </w:rPr>
              <w:t>(None - this category was discontinued in the 2017 valuation)</w:t>
            </w:r>
          </w:p>
        </w:tc>
      </w:tr>
      <w:tr w:rsidR="00A45F94" w:rsidRPr="002B553D" w14:paraId="4E775DDC" w14:textId="77777777" w:rsidTr="008A19E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14:paraId="13A5B429" w14:textId="77777777" w:rsidR="00A7152A" w:rsidRPr="002B553D" w:rsidRDefault="00A7152A" w:rsidP="002B553D">
            <w:pPr>
              <w:spacing w:before="40" w:after="40" w:line="276" w:lineRule="auto"/>
              <w:jc w:val="left"/>
              <w:rPr>
                <w:rFonts w:cs="Arial"/>
                <w:color w:val="404040" w:themeColor="text1" w:themeTint="BF"/>
                <w:sz w:val="18"/>
                <w:szCs w:val="18"/>
                <w:lang w:eastAsia="en-US"/>
              </w:rPr>
            </w:pPr>
            <w:r w:rsidRPr="002B553D">
              <w:rPr>
                <w:rFonts w:cs="Arial"/>
                <w:color w:val="404040" w:themeColor="text1" w:themeTint="BF"/>
                <w:sz w:val="18"/>
                <w:szCs w:val="18"/>
                <w:lang w:eastAsia="en-US"/>
              </w:rPr>
              <w:t>L - Other Health &amp; Disability</w:t>
            </w:r>
          </w:p>
        </w:tc>
        <w:tc>
          <w:tcPr>
            <w:tcW w:w="0" w:type="auto"/>
            <w:vAlign w:val="center"/>
            <w:hideMark/>
          </w:tcPr>
          <w:p w14:paraId="56FD4CC7" w14:textId="77777777" w:rsidR="00A7152A" w:rsidRPr="002B553D" w:rsidRDefault="00A7152A" w:rsidP="002B553D">
            <w:pPr>
              <w:spacing w:before="40" w:after="40" w:line="276" w:lineRule="auto"/>
              <w:jc w:val="left"/>
              <w:cnfStyle w:val="000000100000" w:firstRow="0" w:lastRow="0" w:firstColumn="0" w:lastColumn="0" w:oddVBand="0" w:evenVBand="0" w:oddHBand="1" w:evenHBand="0" w:firstRowFirstColumn="0" w:firstRowLastColumn="0" w:lastRowFirstColumn="0" w:lastRowLastColumn="0"/>
              <w:rPr>
                <w:rFonts w:cs="Arial"/>
                <w:color w:val="404040" w:themeColor="text1" w:themeTint="BF"/>
                <w:sz w:val="18"/>
                <w:szCs w:val="18"/>
                <w:lang w:eastAsia="en-US"/>
              </w:rPr>
            </w:pPr>
            <w:r w:rsidRPr="002B553D">
              <w:rPr>
                <w:rFonts w:cs="Arial"/>
                <w:color w:val="404040" w:themeColor="text1" w:themeTint="BF"/>
                <w:sz w:val="18"/>
                <w:szCs w:val="18"/>
                <w:lang w:eastAsia="en-US"/>
              </w:rPr>
              <w:t>Mobility Allowance</w:t>
            </w:r>
          </w:p>
        </w:tc>
      </w:tr>
      <w:tr w:rsidR="00A45F94" w:rsidRPr="002B553D" w14:paraId="57550F11" w14:textId="77777777" w:rsidTr="008A19EA">
        <w:trPr>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5458AC85" w14:textId="77777777" w:rsidR="00A7152A" w:rsidRPr="002B553D" w:rsidRDefault="00A7152A" w:rsidP="002B553D">
            <w:pPr>
              <w:spacing w:before="40" w:after="40" w:line="276" w:lineRule="auto"/>
              <w:jc w:val="left"/>
              <w:rPr>
                <w:rFonts w:cs="Arial"/>
                <w:color w:val="404040" w:themeColor="text1" w:themeTint="BF"/>
                <w:sz w:val="18"/>
                <w:szCs w:val="18"/>
                <w:lang w:eastAsia="en-US"/>
              </w:rPr>
            </w:pPr>
          </w:p>
        </w:tc>
        <w:tc>
          <w:tcPr>
            <w:tcW w:w="0" w:type="auto"/>
            <w:vAlign w:val="center"/>
            <w:hideMark/>
          </w:tcPr>
          <w:p w14:paraId="68DF3DDC" w14:textId="77777777" w:rsidR="00A7152A" w:rsidRPr="002B553D" w:rsidRDefault="00A7152A" w:rsidP="002B553D">
            <w:pPr>
              <w:spacing w:before="40" w:after="40" w:line="276" w:lineRule="auto"/>
              <w:jc w:val="left"/>
              <w:cnfStyle w:val="000000000000" w:firstRow="0" w:lastRow="0" w:firstColumn="0" w:lastColumn="0" w:oddVBand="0" w:evenVBand="0" w:oddHBand="0" w:evenHBand="0" w:firstRowFirstColumn="0" w:firstRowLastColumn="0" w:lastRowFirstColumn="0" w:lastRowLastColumn="0"/>
              <w:rPr>
                <w:rFonts w:cs="Arial"/>
                <w:color w:val="404040" w:themeColor="text1" w:themeTint="BF"/>
                <w:sz w:val="18"/>
                <w:szCs w:val="18"/>
                <w:lang w:eastAsia="en-US"/>
              </w:rPr>
            </w:pPr>
            <w:r w:rsidRPr="002B553D">
              <w:rPr>
                <w:rFonts w:cs="Arial"/>
                <w:color w:val="404040" w:themeColor="text1" w:themeTint="BF"/>
                <w:sz w:val="18"/>
                <w:szCs w:val="18"/>
                <w:lang w:eastAsia="en-US"/>
              </w:rPr>
              <w:t>Essential Medical Equipment Payment</w:t>
            </w:r>
          </w:p>
        </w:tc>
      </w:tr>
      <w:tr w:rsidR="00A45F94" w:rsidRPr="002B553D" w14:paraId="3F40605C" w14:textId="77777777" w:rsidTr="008A19E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752FD976" w14:textId="77777777" w:rsidR="00A7152A" w:rsidRPr="002B553D" w:rsidRDefault="00A7152A" w:rsidP="002B553D">
            <w:pPr>
              <w:spacing w:before="40" w:after="40" w:line="276" w:lineRule="auto"/>
              <w:jc w:val="left"/>
              <w:rPr>
                <w:rFonts w:cs="Arial"/>
                <w:color w:val="404040" w:themeColor="text1" w:themeTint="BF"/>
                <w:sz w:val="18"/>
                <w:szCs w:val="18"/>
                <w:lang w:eastAsia="en-US"/>
              </w:rPr>
            </w:pPr>
          </w:p>
        </w:tc>
        <w:tc>
          <w:tcPr>
            <w:tcW w:w="0" w:type="auto"/>
            <w:vAlign w:val="center"/>
            <w:hideMark/>
          </w:tcPr>
          <w:p w14:paraId="47B67F59" w14:textId="15C4D0E1" w:rsidR="00A7152A" w:rsidRPr="002B553D" w:rsidRDefault="00A7152A" w:rsidP="002B553D">
            <w:pPr>
              <w:pStyle w:val="NormalWeb"/>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111111"/>
                <w:sz w:val="18"/>
                <w:szCs w:val="18"/>
                <w:lang w:val="en"/>
              </w:rPr>
            </w:pPr>
            <w:r w:rsidRPr="002B553D">
              <w:rPr>
                <w:rFonts w:asciiTheme="minorHAnsi" w:hAnsiTheme="minorHAnsi" w:cstheme="minorHAnsi"/>
                <w:color w:val="404040" w:themeColor="text1" w:themeTint="BF"/>
                <w:sz w:val="18"/>
                <w:szCs w:val="18"/>
                <w:lang w:eastAsia="en-US"/>
              </w:rPr>
              <w:t>Incentive Allowance</w:t>
            </w:r>
            <w:r w:rsidR="00A45F94" w:rsidRPr="002B553D">
              <w:rPr>
                <w:rFonts w:asciiTheme="minorHAnsi" w:hAnsiTheme="minorHAnsi" w:cstheme="minorHAnsi"/>
                <w:color w:val="404040" w:themeColor="text1" w:themeTint="BF"/>
                <w:sz w:val="18"/>
                <w:szCs w:val="18"/>
                <w:lang w:eastAsia="en-US"/>
              </w:rPr>
              <w:t xml:space="preserve"> (</w:t>
            </w:r>
            <w:r w:rsidR="00A45F94" w:rsidRPr="002B553D">
              <w:rPr>
                <w:rFonts w:asciiTheme="minorHAnsi" w:hAnsiTheme="minorHAnsi" w:cstheme="minorHAnsi"/>
                <w:color w:val="111111"/>
                <w:sz w:val="18"/>
                <w:szCs w:val="18"/>
                <w:lang w:val="en"/>
              </w:rPr>
              <w:t>abolished when DSP was introduced. However, IA remains payable at the rate applicable at 11</w:t>
            </w:r>
            <w:r w:rsidR="009D216E">
              <w:rPr>
                <w:rFonts w:asciiTheme="minorHAnsi" w:hAnsiTheme="minorHAnsi" w:cstheme="minorHAnsi"/>
                <w:color w:val="111111"/>
                <w:sz w:val="18"/>
                <w:szCs w:val="18"/>
                <w:lang w:val="en"/>
              </w:rPr>
              <w:t> </w:t>
            </w:r>
            <w:r w:rsidR="00A45F94" w:rsidRPr="002B553D">
              <w:rPr>
                <w:rFonts w:asciiTheme="minorHAnsi" w:hAnsiTheme="minorHAnsi" w:cstheme="minorHAnsi"/>
                <w:color w:val="111111"/>
                <w:sz w:val="18"/>
                <w:szCs w:val="18"/>
                <w:lang w:val="en"/>
              </w:rPr>
              <w:t>November</w:t>
            </w:r>
            <w:r w:rsidR="009D216E">
              <w:rPr>
                <w:rFonts w:asciiTheme="minorHAnsi" w:hAnsiTheme="minorHAnsi" w:cstheme="minorHAnsi"/>
                <w:color w:val="111111"/>
                <w:sz w:val="18"/>
                <w:szCs w:val="18"/>
                <w:lang w:val="en"/>
              </w:rPr>
              <w:t> </w:t>
            </w:r>
            <w:r w:rsidR="00A45F94" w:rsidRPr="002B553D">
              <w:rPr>
                <w:rFonts w:asciiTheme="minorHAnsi" w:hAnsiTheme="minorHAnsi" w:cstheme="minorHAnsi"/>
                <w:color w:val="111111"/>
                <w:sz w:val="18"/>
                <w:szCs w:val="18"/>
                <w:lang w:val="en"/>
              </w:rPr>
              <w:t>1991 to recipients who were qualified for IA immediately before 12</w:t>
            </w:r>
            <w:r w:rsidR="009D216E">
              <w:rPr>
                <w:rFonts w:asciiTheme="minorHAnsi" w:hAnsiTheme="minorHAnsi" w:cstheme="minorHAnsi"/>
                <w:color w:val="111111"/>
                <w:sz w:val="18"/>
                <w:szCs w:val="18"/>
                <w:lang w:val="en"/>
              </w:rPr>
              <w:t> </w:t>
            </w:r>
            <w:r w:rsidR="00A45F94" w:rsidRPr="002B553D">
              <w:rPr>
                <w:rFonts w:asciiTheme="minorHAnsi" w:hAnsiTheme="minorHAnsi" w:cstheme="minorHAnsi"/>
                <w:color w:val="111111"/>
                <w:sz w:val="18"/>
                <w:szCs w:val="18"/>
                <w:lang w:val="en"/>
              </w:rPr>
              <w:t>November</w:t>
            </w:r>
            <w:r w:rsidR="009D216E">
              <w:rPr>
                <w:rFonts w:asciiTheme="minorHAnsi" w:hAnsiTheme="minorHAnsi" w:cstheme="minorHAnsi"/>
                <w:color w:val="111111"/>
                <w:sz w:val="18"/>
                <w:szCs w:val="18"/>
                <w:lang w:val="en"/>
              </w:rPr>
              <w:t> </w:t>
            </w:r>
            <w:r w:rsidR="00A45F94" w:rsidRPr="002B553D">
              <w:rPr>
                <w:rFonts w:asciiTheme="minorHAnsi" w:hAnsiTheme="minorHAnsi" w:cstheme="minorHAnsi"/>
                <w:color w:val="111111"/>
                <w:sz w:val="18"/>
                <w:szCs w:val="18"/>
                <w:lang w:val="en"/>
              </w:rPr>
              <w:t>1991, and were receiving DSP on 12</w:t>
            </w:r>
            <w:r w:rsidR="009D216E">
              <w:rPr>
                <w:rFonts w:asciiTheme="minorHAnsi" w:hAnsiTheme="minorHAnsi" w:cstheme="minorHAnsi"/>
                <w:color w:val="111111"/>
                <w:sz w:val="18"/>
                <w:szCs w:val="18"/>
                <w:lang w:val="en"/>
              </w:rPr>
              <w:t> </w:t>
            </w:r>
            <w:r w:rsidR="00A45F94" w:rsidRPr="002B553D">
              <w:rPr>
                <w:rFonts w:asciiTheme="minorHAnsi" w:hAnsiTheme="minorHAnsi" w:cstheme="minorHAnsi"/>
                <w:color w:val="111111"/>
                <w:sz w:val="18"/>
                <w:szCs w:val="18"/>
                <w:lang w:val="en"/>
              </w:rPr>
              <w:t>November</w:t>
            </w:r>
            <w:r w:rsidR="009D216E">
              <w:rPr>
                <w:rFonts w:asciiTheme="minorHAnsi" w:hAnsiTheme="minorHAnsi" w:cstheme="minorHAnsi"/>
                <w:color w:val="111111"/>
                <w:sz w:val="18"/>
                <w:szCs w:val="18"/>
                <w:lang w:val="en"/>
              </w:rPr>
              <w:t> </w:t>
            </w:r>
            <w:r w:rsidR="00A45F94" w:rsidRPr="002B553D">
              <w:rPr>
                <w:rFonts w:asciiTheme="minorHAnsi" w:hAnsiTheme="minorHAnsi" w:cstheme="minorHAnsi"/>
                <w:color w:val="111111"/>
                <w:sz w:val="18"/>
                <w:szCs w:val="18"/>
                <w:lang w:val="en"/>
              </w:rPr>
              <w:t>1991.)</w:t>
            </w:r>
          </w:p>
        </w:tc>
      </w:tr>
      <w:tr w:rsidR="00A45F94" w:rsidRPr="002B553D" w14:paraId="35245F26" w14:textId="77777777" w:rsidTr="008A19EA">
        <w:trPr>
          <w:trHeight w:val="315"/>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23BD79E6" w14:textId="77777777" w:rsidR="00A7152A" w:rsidRPr="002B553D" w:rsidRDefault="00A7152A" w:rsidP="002B553D">
            <w:pPr>
              <w:spacing w:before="40" w:after="40" w:line="276" w:lineRule="auto"/>
              <w:jc w:val="left"/>
              <w:rPr>
                <w:rFonts w:cs="Arial"/>
                <w:color w:val="404040" w:themeColor="text1" w:themeTint="BF"/>
                <w:sz w:val="18"/>
                <w:szCs w:val="18"/>
                <w:lang w:eastAsia="en-US"/>
              </w:rPr>
            </w:pPr>
          </w:p>
        </w:tc>
        <w:tc>
          <w:tcPr>
            <w:tcW w:w="0" w:type="auto"/>
            <w:vAlign w:val="center"/>
            <w:hideMark/>
          </w:tcPr>
          <w:p w14:paraId="36FA232E" w14:textId="77777777" w:rsidR="00A7152A" w:rsidRPr="002B553D" w:rsidRDefault="00A7152A" w:rsidP="002B553D">
            <w:pPr>
              <w:spacing w:before="40" w:after="40" w:line="276" w:lineRule="auto"/>
              <w:jc w:val="left"/>
              <w:cnfStyle w:val="000000000000" w:firstRow="0" w:lastRow="0" w:firstColumn="0" w:lastColumn="0" w:oddVBand="0" w:evenVBand="0" w:oddHBand="0" w:evenHBand="0" w:firstRowFirstColumn="0" w:firstRowLastColumn="0" w:lastRowFirstColumn="0" w:lastRowLastColumn="0"/>
              <w:rPr>
                <w:rFonts w:cs="Arial"/>
                <w:color w:val="404040" w:themeColor="text1" w:themeTint="BF"/>
                <w:sz w:val="18"/>
                <w:szCs w:val="18"/>
                <w:lang w:eastAsia="en-US"/>
              </w:rPr>
            </w:pPr>
            <w:r w:rsidRPr="002B553D">
              <w:rPr>
                <w:rFonts w:cs="Arial"/>
                <w:color w:val="404040" w:themeColor="text1" w:themeTint="BF"/>
                <w:sz w:val="18"/>
                <w:szCs w:val="18"/>
                <w:lang w:eastAsia="en-US"/>
              </w:rPr>
              <w:t>Youth Disability Supplement</w:t>
            </w:r>
          </w:p>
        </w:tc>
      </w:tr>
      <w:tr w:rsidR="00A45F94" w:rsidRPr="002B553D" w14:paraId="00CF02BB" w14:textId="77777777" w:rsidTr="008A19E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14:paraId="4F62FA90" w14:textId="77777777" w:rsidR="00A7152A" w:rsidRPr="002B553D" w:rsidRDefault="00A7152A" w:rsidP="002B553D">
            <w:pPr>
              <w:spacing w:before="40" w:after="40" w:line="276" w:lineRule="auto"/>
              <w:jc w:val="left"/>
              <w:rPr>
                <w:rFonts w:cs="Arial"/>
                <w:color w:val="404040" w:themeColor="text1" w:themeTint="BF"/>
                <w:sz w:val="18"/>
                <w:szCs w:val="18"/>
                <w:lang w:eastAsia="en-US"/>
              </w:rPr>
            </w:pPr>
            <w:r w:rsidRPr="002B553D">
              <w:rPr>
                <w:rFonts w:cs="Arial"/>
                <w:color w:val="404040" w:themeColor="text1" w:themeTint="BF"/>
                <w:sz w:val="18"/>
                <w:szCs w:val="18"/>
                <w:lang w:eastAsia="en-US"/>
              </w:rPr>
              <w:t>M - Other Carer</w:t>
            </w:r>
          </w:p>
        </w:tc>
        <w:tc>
          <w:tcPr>
            <w:tcW w:w="0" w:type="auto"/>
            <w:vAlign w:val="center"/>
            <w:hideMark/>
          </w:tcPr>
          <w:p w14:paraId="23334446" w14:textId="77777777" w:rsidR="00A7152A" w:rsidRPr="002B553D" w:rsidRDefault="00A7152A" w:rsidP="002B553D">
            <w:pPr>
              <w:spacing w:before="40" w:after="40" w:line="276" w:lineRule="auto"/>
              <w:jc w:val="left"/>
              <w:cnfStyle w:val="000000100000" w:firstRow="0" w:lastRow="0" w:firstColumn="0" w:lastColumn="0" w:oddVBand="0" w:evenVBand="0" w:oddHBand="1" w:evenHBand="0" w:firstRowFirstColumn="0" w:firstRowLastColumn="0" w:lastRowFirstColumn="0" w:lastRowLastColumn="0"/>
              <w:rPr>
                <w:rFonts w:cs="Arial"/>
                <w:color w:val="404040" w:themeColor="text1" w:themeTint="BF"/>
                <w:sz w:val="18"/>
                <w:szCs w:val="18"/>
                <w:lang w:eastAsia="en-US"/>
              </w:rPr>
            </w:pPr>
            <w:r w:rsidRPr="002B553D">
              <w:rPr>
                <w:rFonts w:cs="Arial"/>
                <w:color w:val="404040" w:themeColor="text1" w:themeTint="BF"/>
                <w:sz w:val="18"/>
                <w:szCs w:val="18"/>
                <w:lang w:eastAsia="en-US"/>
              </w:rPr>
              <w:t>Carer Allowance</w:t>
            </w:r>
          </w:p>
        </w:tc>
      </w:tr>
      <w:tr w:rsidR="00A45F94" w:rsidRPr="002B553D" w14:paraId="28E9B056" w14:textId="77777777" w:rsidTr="008A19EA">
        <w:trPr>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20A8767C" w14:textId="77777777" w:rsidR="00A7152A" w:rsidRPr="002B553D" w:rsidRDefault="00A7152A" w:rsidP="002B553D">
            <w:pPr>
              <w:spacing w:before="40" w:after="40" w:line="276" w:lineRule="auto"/>
              <w:jc w:val="left"/>
              <w:rPr>
                <w:rFonts w:cs="Arial"/>
                <w:color w:val="404040" w:themeColor="text1" w:themeTint="BF"/>
                <w:sz w:val="18"/>
                <w:szCs w:val="18"/>
                <w:lang w:eastAsia="en-US"/>
              </w:rPr>
            </w:pPr>
          </w:p>
        </w:tc>
        <w:tc>
          <w:tcPr>
            <w:tcW w:w="0" w:type="auto"/>
            <w:vAlign w:val="center"/>
            <w:hideMark/>
          </w:tcPr>
          <w:p w14:paraId="79D62F83" w14:textId="77777777" w:rsidR="00A7152A" w:rsidRPr="002B553D" w:rsidRDefault="00A7152A" w:rsidP="002B553D">
            <w:pPr>
              <w:spacing w:before="40" w:after="40" w:line="276" w:lineRule="auto"/>
              <w:jc w:val="left"/>
              <w:cnfStyle w:val="000000000000" w:firstRow="0" w:lastRow="0" w:firstColumn="0" w:lastColumn="0" w:oddVBand="0" w:evenVBand="0" w:oddHBand="0" w:evenHBand="0" w:firstRowFirstColumn="0" w:firstRowLastColumn="0" w:lastRowFirstColumn="0" w:lastRowLastColumn="0"/>
              <w:rPr>
                <w:rFonts w:cs="Arial"/>
                <w:color w:val="404040" w:themeColor="text1" w:themeTint="BF"/>
                <w:sz w:val="18"/>
                <w:szCs w:val="18"/>
                <w:lang w:eastAsia="en-US"/>
              </w:rPr>
            </w:pPr>
            <w:r w:rsidRPr="002B553D">
              <w:rPr>
                <w:rFonts w:cs="Arial"/>
                <w:color w:val="404040" w:themeColor="text1" w:themeTint="BF"/>
                <w:sz w:val="18"/>
                <w:szCs w:val="18"/>
                <w:lang w:eastAsia="en-US"/>
              </w:rPr>
              <w:t>Carer Supplement</w:t>
            </w:r>
          </w:p>
        </w:tc>
      </w:tr>
      <w:tr w:rsidR="00A45F94" w:rsidRPr="002B553D" w14:paraId="7233EC71" w14:textId="77777777" w:rsidTr="008A19E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281E9927" w14:textId="77777777" w:rsidR="00A7152A" w:rsidRPr="002B553D" w:rsidRDefault="00A7152A" w:rsidP="002B553D">
            <w:pPr>
              <w:spacing w:before="40" w:after="40" w:line="276" w:lineRule="auto"/>
              <w:jc w:val="left"/>
              <w:rPr>
                <w:rFonts w:cs="Arial"/>
                <w:color w:val="404040" w:themeColor="text1" w:themeTint="BF"/>
                <w:sz w:val="18"/>
                <w:szCs w:val="18"/>
                <w:lang w:eastAsia="en-US"/>
              </w:rPr>
            </w:pPr>
          </w:p>
        </w:tc>
        <w:tc>
          <w:tcPr>
            <w:tcW w:w="0" w:type="auto"/>
            <w:vAlign w:val="center"/>
            <w:hideMark/>
          </w:tcPr>
          <w:p w14:paraId="38E632B4" w14:textId="77777777" w:rsidR="00A7152A" w:rsidRPr="002B553D" w:rsidRDefault="00A7152A" w:rsidP="002B553D">
            <w:pPr>
              <w:spacing w:before="40" w:after="40" w:line="276" w:lineRule="auto"/>
              <w:jc w:val="left"/>
              <w:cnfStyle w:val="000000100000" w:firstRow="0" w:lastRow="0" w:firstColumn="0" w:lastColumn="0" w:oddVBand="0" w:evenVBand="0" w:oddHBand="1" w:evenHBand="0" w:firstRowFirstColumn="0" w:firstRowLastColumn="0" w:lastRowFirstColumn="0" w:lastRowLastColumn="0"/>
              <w:rPr>
                <w:rFonts w:cs="Arial"/>
                <w:color w:val="404040" w:themeColor="text1" w:themeTint="BF"/>
                <w:sz w:val="18"/>
                <w:szCs w:val="18"/>
                <w:lang w:eastAsia="en-US"/>
              </w:rPr>
            </w:pPr>
            <w:r w:rsidRPr="002B553D">
              <w:rPr>
                <w:rFonts w:cs="Arial"/>
                <w:color w:val="404040" w:themeColor="text1" w:themeTint="BF"/>
                <w:sz w:val="18"/>
                <w:szCs w:val="18"/>
                <w:lang w:eastAsia="en-US"/>
              </w:rPr>
              <w:t>Child Disability Assistance Payment</w:t>
            </w:r>
          </w:p>
        </w:tc>
      </w:tr>
      <w:tr w:rsidR="00DA7CBB" w:rsidRPr="002B553D" w14:paraId="5BF412ED" w14:textId="77777777" w:rsidTr="008A19EA">
        <w:trPr>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14:paraId="24592A25" w14:textId="77777777" w:rsidR="00DA7CBB" w:rsidRPr="002B553D" w:rsidRDefault="00DA7CBB" w:rsidP="002B553D">
            <w:pPr>
              <w:spacing w:before="40" w:after="40" w:line="276" w:lineRule="auto"/>
              <w:jc w:val="left"/>
              <w:rPr>
                <w:rFonts w:cs="Arial"/>
                <w:color w:val="404040" w:themeColor="text1" w:themeTint="BF"/>
                <w:sz w:val="18"/>
                <w:szCs w:val="18"/>
                <w:lang w:eastAsia="en-US"/>
              </w:rPr>
            </w:pPr>
            <w:r w:rsidRPr="002B553D">
              <w:rPr>
                <w:rFonts w:cs="Arial"/>
                <w:color w:val="404040" w:themeColor="text1" w:themeTint="BF"/>
                <w:sz w:val="18"/>
                <w:szCs w:val="18"/>
                <w:lang w:eastAsia="en-US"/>
              </w:rPr>
              <w:t>N - Other Study &amp; Skills</w:t>
            </w:r>
          </w:p>
        </w:tc>
        <w:tc>
          <w:tcPr>
            <w:tcW w:w="0" w:type="auto"/>
            <w:vAlign w:val="center"/>
            <w:hideMark/>
          </w:tcPr>
          <w:p w14:paraId="0BB28DBC" w14:textId="2FCF5E20" w:rsidR="00DA7CBB" w:rsidRPr="002B553D" w:rsidRDefault="00DA7CBB" w:rsidP="002B553D">
            <w:pPr>
              <w:spacing w:before="40" w:after="40" w:line="276" w:lineRule="auto"/>
              <w:jc w:val="left"/>
              <w:cnfStyle w:val="000000000000" w:firstRow="0" w:lastRow="0" w:firstColumn="0" w:lastColumn="0" w:oddVBand="0" w:evenVBand="0" w:oddHBand="0" w:evenHBand="0" w:firstRowFirstColumn="0" w:firstRowLastColumn="0" w:lastRowFirstColumn="0" w:lastRowLastColumn="0"/>
              <w:rPr>
                <w:rFonts w:cs="Arial"/>
                <w:color w:val="404040" w:themeColor="text1" w:themeTint="BF"/>
                <w:sz w:val="18"/>
                <w:szCs w:val="18"/>
                <w:lang w:eastAsia="en-US"/>
              </w:rPr>
            </w:pPr>
            <w:r w:rsidRPr="002B553D">
              <w:rPr>
                <w:rFonts w:cs="Arial"/>
                <w:color w:val="404040" w:themeColor="text1" w:themeTint="BF"/>
                <w:sz w:val="18"/>
                <w:szCs w:val="18"/>
                <w:lang w:eastAsia="en-US"/>
              </w:rPr>
              <w:t>Pensioner Education Supplement</w:t>
            </w:r>
          </w:p>
        </w:tc>
      </w:tr>
      <w:tr w:rsidR="00DA7CBB" w:rsidRPr="002B553D" w14:paraId="7DE29B76" w14:textId="77777777" w:rsidTr="008A19E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6F5293B6" w14:textId="77777777" w:rsidR="00DA7CBB" w:rsidRPr="002B553D" w:rsidRDefault="00DA7CBB" w:rsidP="002B553D">
            <w:pPr>
              <w:spacing w:before="40" w:after="40" w:line="276" w:lineRule="auto"/>
              <w:jc w:val="left"/>
              <w:rPr>
                <w:rFonts w:cs="Arial"/>
                <w:color w:val="404040" w:themeColor="text1" w:themeTint="BF"/>
                <w:sz w:val="18"/>
                <w:szCs w:val="18"/>
                <w:lang w:eastAsia="en-US"/>
              </w:rPr>
            </w:pPr>
          </w:p>
        </w:tc>
        <w:tc>
          <w:tcPr>
            <w:tcW w:w="0" w:type="auto"/>
            <w:vAlign w:val="center"/>
            <w:hideMark/>
          </w:tcPr>
          <w:p w14:paraId="4DF9A959" w14:textId="77777777" w:rsidR="00DA7CBB" w:rsidRPr="002B553D" w:rsidRDefault="00DA7CBB" w:rsidP="002B553D">
            <w:pPr>
              <w:spacing w:before="40" w:after="40" w:line="276" w:lineRule="auto"/>
              <w:jc w:val="left"/>
              <w:cnfStyle w:val="000000100000" w:firstRow="0" w:lastRow="0" w:firstColumn="0" w:lastColumn="0" w:oddVBand="0" w:evenVBand="0" w:oddHBand="1" w:evenHBand="0" w:firstRowFirstColumn="0" w:firstRowLastColumn="0" w:lastRowFirstColumn="0" w:lastRowLastColumn="0"/>
              <w:rPr>
                <w:rFonts w:cs="Arial"/>
                <w:color w:val="404040" w:themeColor="text1" w:themeTint="BF"/>
                <w:sz w:val="18"/>
                <w:szCs w:val="18"/>
                <w:lang w:eastAsia="en-US"/>
              </w:rPr>
            </w:pPr>
            <w:r w:rsidRPr="002B553D">
              <w:rPr>
                <w:rFonts w:cs="Arial"/>
                <w:color w:val="404040" w:themeColor="text1" w:themeTint="BF"/>
                <w:sz w:val="18"/>
                <w:szCs w:val="18"/>
                <w:lang w:eastAsia="en-US"/>
              </w:rPr>
              <w:t>Fares Allowance</w:t>
            </w:r>
          </w:p>
        </w:tc>
      </w:tr>
      <w:tr w:rsidR="00DA7CBB" w:rsidRPr="002B553D" w14:paraId="6878964E" w14:textId="77777777" w:rsidTr="008A19EA">
        <w:trPr>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7972FFCA" w14:textId="77777777" w:rsidR="00DA7CBB" w:rsidRPr="002B553D" w:rsidRDefault="00DA7CBB" w:rsidP="002B553D">
            <w:pPr>
              <w:spacing w:before="40" w:after="40" w:line="276" w:lineRule="auto"/>
              <w:jc w:val="left"/>
              <w:rPr>
                <w:rFonts w:cs="Arial"/>
                <w:color w:val="404040" w:themeColor="text1" w:themeTint="BF"/>
                <w:sz w:val="18"/>
                <w:szCs w:val="18"/>
                <w:lang w:eastAsia="en-US"/>
              </w:rPr>
            </w:pPr>
          </w:p>
        </w:tc>
        <w:tc>
          <w:tcPr>
            <w:tcW w:w="0" w:type="auto"/>
            <w:vAlign w:val="center"/>
            <w:hideMark/>
          </w:tcPr>
          <w:p w14:paraId="4BCBE763" w14:textId="415AC4A5" w:rsidR="00DA7CBB" w:rsidRPr="002B553D" w:rsidRDefault="00DA7CBB" w:rsidP="002B553D">
            <w:pPr>
              <w:spacing w:before="40" w:after="40" w:line="276" w:lineRule="auto"/>
              <w:jc w:val="left"/>
              <w:cnfStyle w:val="000000000000" w:firstRow="0" w:lastRow="0" w:firstColumn="0" w:lastColumn="0" w:oddVBand="0" w:evenVBand="0" w:oddHBand="0" w:evenHBand="0" w:firstRowFirstColumn="0" w:firstRowLastColumn="0" w:lastRowFirstColumn="0" w:lastRowLastColumn="0"/>
              <w:rPr>
                <w:rFonts w:cs="Arial"/>
                <w:color w:val="404040" w:themeColor="text1" w:themeTint="BF"/>
                <w:sz w:val="18"/>
                <w:szCs w:val="18"/>
                <w:lang w:eastAsia="en-US"/>
              </w:rPr>
            </w:pPr>
            <w:r w:rsidRPr="002B553D">
              <w:rPr>
                <w:rFonts w:cs="Arial"/>
                <w:color w:val="404040" w:themeColor="text1" w:themeTint="BF"/>
                <w:sz w:val="18"/>
                <w:szCs w:val="18"/>
                <w:lang w:eastAsia="en-US"/>
              </w:rPr>
              <w:t>Relocation Scholarships</w:t>
            </w:r>
          </w:p>
        </w:tc>
      </w:tr>
      <w:tr w:rsidR="00DA7CBB" w:rsidRPr="002B553D" w14:paraId="1CD6CD60" w14:textId="77777777" w:rsidTr="008A19E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7423F89B" w14:textId="77777777" w:rsidR="00DA7CBB" w:rsidRPr="002B553D" w:rsidRDefault="00DA7CBB" w:rsidP="002B553D">
            <w:pPr>
              <w:spacing w:before="40" w:after="40" w:line="276" w:lineRule="auto"/>
              <w:jc w:val="left"/>
              <w:rPr>
                <w:rFonts w:cs="Arial"/>
                <w:color w:val="404040" w:themeColor="text1" w:themeTint="BF"/>
                <w:sz w:val="18"/>
                <w:szCs w:val="18"/>
                <w:lang w:eastAsia="en-US"/>
              </w:rPr>
            </w:pPr>
          </w:p>
        </w:tc>
        <w:tc>
          <w:tcPr>
            <w:tcW w:w="0" w:type="auto"/>
            <w:vAlign w:val="center"/>
            <w:hideMark/>
          </w:tcPr>
          <w:p w14:paraId="23054939" w14:textId="77777777" w:rsidR="00DA7CBB" w:rsidRPr="002B553D" w:rsidRDefault="00DA7CBB" w:rsidP="002B553D">
            <w:pPr>
              <w:spacing w:before="40" w:after="40" w:line="276" w:lineRule="auto"/>
              <w:jc w:val="left"/>
              <w:cnfStyle w:val="000000100000" w:firstRow="0" w:lastRow="0" w:firstColumn="0" w:lastColumn="0" w:oddVBand="0" w:evenVBand="0" w:oddHBand="1" w:evenHBand="0" w:firstRowFirstColumn="0" w:firstRowLastColumn="0" w:lastRowFirstColumn="0" w:lastRowLastColumn="0"/>
              <w:rPr>
                <w:rFonts w:cs="Arial"/>
                <w:color w:val="404040" w:themeColor="text1" w:themeTint="BF"/>
                <w:sz w:val="18"/>
                <w:szCs w:val="18"/>
                <w:lang w:eastAsia="en-US"/>
              </w:rPr>
            </w:pPr>
            <w:r w:rsidRPr="002B553D">
              <w:rPr>
                <w:rFonts w:cs="Arial"/>
                <w:color w:val="404040" w:themeColor="text1" w:themeTint="BF"/>
                <w:sz w:val="18"/>
                <w:szCs w:val="18"/>
                <w:lang w:eastAsia="en-US"/>
              </w:rPr>
              <w:t>Education Entry Payment</w:t>
            </w:r>
          </w:p>
        </w:tc>
      </w:tr>
      <w:tr w:rsidR="00DA7CBB" w:rsidRPr="002B553D" w14:paraId="03235F2C" w14:textId="77777777" w:rsidTr="008A19EA">
        <w:trPr>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7791A228" w14:textId="77777777" w:rsidR="00DA7CBB" w:rsidRPr="002B553D" w:rsidRDefault="00DA7CBB" w:rsidP="002B553D">
            <w:pPr>
              <w:spacing w:before="40" w:after="40" w:line="276" w:lineRule="auto"/>
              <w:jc w:val="left"/>
              <w:rPr>
                <w:rFonts w:cs="Arial"/>
                <w:color w:val="404040" w:themeColor="text1" w:themeTint="BF"/>
                <w:sz w:val="18"/>
                <w:szCs w:val="18"/>
                <w:lang w:eastAsia="en-US"/>
              </w:rPr>
            </w:pPr>
          </w:p>
        </w:tc>
        <w:tc>
          <w:tcPr>
            <w:tcW w:w="0" w:type="auto"/>
            <w:vAlign w:val="center"/>
            <w:hideMark/>
          </w:tcPr>
          <w:p w14:paraId="2906C0E8" w14:textId="77777777" w:rsidR="00DA7CBB" w:rsidRPr="002B553D" w:rsidRDefault="00DA7CBB" w:rsidP="002B553D">
            <w:pPr>
              <w:spacing w:before="40" w:after="40" w:line="276" w:lineRule="auto"/>
              <w:jc w:val="left"/>
              <w:cnfStyle w:val="000000000000" w:firstRow="0" w:lastRow="0" w:firstColumn="0" w:lastColumn="0" w:oddVBand="0" w:evenVBand="0" w:oddHBand="0" w:evenHBand="0" w:firstRowFirstColumn="0" w:firstRowLastColumn="0" w:lastRowFirstColumn="0" w:lastRowLastColumn="0"/>
              <w:rPr>
                <w:rFonts w:cs="Arial"/>
                <w:color w:val="404040" w:themeColor="text1" w:themeTint="BF"/>
                <w:sz w:val="18"/>
                <w:szCs w:val="18"/>
                <w:lang w:eastAsia="en-US"/>
              </w:rPr>
            </w:pPr>
            <w:r w:rsidRPr="002B553D">
              <w:rPr>
                <w:rFonts w:cs="Arial"/>
                <w:color w:val="404040" w:themeColor="text1" w:themeTint="BF"/>
                <w:sz w:val="18"/>
                <w:szCs w:val="18"/>
                <w:lang w:eastAsia="en-US"/>
              </w:rPr>
              <w:t>Language Literacy &amp; Numeracy Supplement</w:t>
            </w:r>
          </w:p>
        </w:tc>
      </w:tr>
      <w:tr w:rsidR="00DA7CBB" w:rsidRPr="002B553D" w14:paraId="4FC25B63" w14:textId="77777777" w:rsidTr="008A19E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1A203228" w14:textId="77777777" w:rsidR="00DA7CBB" w:rsidRPr="002B553D" w:rsidRDefault="00DA7CBB" w:rsidP="002B553D">
            <w:pPr>
              <w:spacing w:before="40" w:after="40" w:line="276" w:lineRule="auto"/>
              <w:jc w:val="left"/>
              <w:rPr>
                <w:rFonts w:cs="Arial"/>
                <w:color w:val="404040" w:themeColor="text1" w:themeTint="BF"/>
                <w:sz w:val="18"/>
                <w:szCs w:val="18"/>
                <w:lang w:eastAsia="en-US"/>
              </w:rPr>
            </w:pPr>
          </w:p>
        </w:tc>
        <w:tc>
          <w:tcPr>
            <w:tcW w:w="0" w:type="auto"/>
            <w:vAlign w:val="center"/>
            <w:hideMark/>
          </w:tcPr>
          <w:p w14:paraId="6030EB5E" w14:textId="77777777" w:rsidR="00DA7CBB" w:rsidRPr="002B553D" w:rsidRDefault="00DA7CBB" w:rsidP="002B553D">
            <w:pPr>
              <w:spacing w:before="40" w:after="40" w:line="276" w:lineRule="auto"/>
              <w:jc w:val="left"/>
              <w:cnfStyle w:val="000000100000" w:firstRow="0" w:lastRow="0" w:firstColumn="0" w:lastColumn="0" w:oddVBand="0" w:evenVBand="0" w:oddHBand="1" w:evenHBand="0" w:firstRowFirstColumn="0" w:firstRowLastColumn="0" w:lastRowFirstColumn="0" w:lastRowLastColumn="0"/>
              <w:rPr>
                <w:rFonts w:cs="Arial"/>
                <w:color w:val="404040" w:themeColor="text1" w:themeTint="BF"/>
                <w:sz w:val="18"/>
                <w:szCs w:val="18"/>
                <w:lang w:eastAsia="en-US"/>
              </w:rPr>
            </w:pPr>
            <w:r w:rsidRPr="002B553D">
              <w:rPr>
                <w:rFonts w:cs="Arial"/>
                <w:color w:val="404040" w:themeColor="text1" w:themeTint="BF"/>
                <w:sz w:val="18"/>
                <w:szCs w:val="18"/>
                <w:lang w:eastAsia="en-US"/>
              </w:rPr>
              <w:t>School Fees Allowance</w:t>
            </w:r>
          </w:p>
        </w:tc>
      </w:tr>
      <w:tr w:rsidR="00DA7CBB" w:rsidRPr="002B553D" w14:paraId="422E7D1F" w14:textId="77777777" w:rsidTr="008A19EA">
        <w:trPr>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6E38CC37" w14:textId="77777777" w:rsidR="00DA7CBB" w:rsidRPr="002B553D" w:rsidRDefault="00DA7CBB" w:rsidP="002B553D">
            <w:pPr>
              <w:spacing w:before="40" w:after="40" w:line="276" w:lineRule="auto"/>
              <w:jc w:val="left"/>
              <w:rPr>
                <w:rFonts w:cs="Arial"/>
                <w:color w:val="404040" w:themeColor="text1" w:themeTint="BF"/>
                <w:sz w:val="18"/>
                <w:szCs w:val="18"/>
                <w:lang w:eastAsia="en-US"/>
              </w:rPr>
            </w:pPr>
          </w:p>
        </w:tc>
        <w:tc>
          <w:tcPr>
            <w:tcW w:w="0" w:type="auto"/>
            <w:vAlign w:val="center"/>
            <w:hideMark/>
          </w:tcPr>
          <w:p w14:paraId="13FF3F5D" w14:textId="77777777" w:rsidR="00DA7CBB" w:rsidRPr="002B553D" w:rsidRDefault="00DA7CBB" w:rsidP="002B553D">
            <w:pPr>
              <w:spacing w:before="40" w:after="40" w:line="276" w:lineRule="auto"/>
              <w:jc w:val="left"/>
              <w:cnfStyle w:val="000000000000" w:firstRow="0" w:lastRow="0" w:firstColumn="0" w:lastColumn="0" w:oddVBand="0" w:evenVBand="0" w:oddHBand="0" w:evenHBand="0" w:firstRowFirstColumn="0" w:firstRowLastColumn="0" w:lastRowFirstColumn="0" w:lastRowLastColumn="0"/>
              <w:rPr>
                <w:rFonts w:cs="Arial"/>
                <w:color w:val="404040" w:themeColor="text1" w:themeTint="BF"/>
                <w:sz w:val="18"/>
                <w:szCs w:val="18"/>
                <w:lang w:eastAsia="en-US"/>
              </w:rPr>
            </w:pPr>
            <w:r w:rsidRPr="002B553D">
              <w:rPr>
                <w:rFonts w:cs="Arial"/>
                <w:color w:val="404040" w:themeColor="text1" w:themeTint="BF"/>
                <w:sz w:val="18"/>
                <w:szCs w:val="18"/>
                <w:lang w:eastAsia="en-US"/>
              </w:rPr>
              <w:t>School Term Allowance</w:t>
            </w:r>
          </w:p>
        </w:tc>
      </w:tr>
      <w:tr w:rsidR="00DA7CBB" w:rsidRPr="002B553D" w14:paraId="34D4FA2C" w14:textId="77777777" w:rsidTr="008A19E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0C82D9CB" w14:textId="77777777" w:rsidR="00DA7CBB" w:rsidRPr="002B553D" w:rsidRDefault="00DA7CBB" w:rsidP="002B553D">
            <w:pPr>
              <w:spacing w:before="40" w:after="40" w:line="276" w:lineRule="auto"/>
              <w:jc w:val="left"/>
              <w:rPr>
                <w:rFonts w:cs="Arial"/>
                <w:color w:val="404040" w:themeColor="text1" w:themeTint="BF"/>
                <w:sz w:val="18"/>
                <w:szCs w:val="18"/>
                <w:lang w:eastAsia="en-US"/>
              </w:rPr>
            </w:pPr>
          </w:p>
        </w:tc>
        <w:tc>
          <w:tcPr>
            <w:tcW w:w="0" w:type="auto"/>
            <w:vAlign w:val="center"/>
            <w:hideMark/>
          </w:tcPr>
          <w:p w14:paraId="12E9F7D2" w14:textId="1C168442" w:rsidR="00DA7CBB" w:rsidRPr="002B553D" w:rsidRDefault="00DA7CBB" w:rsidP="002B553D">
            <w:pPr>
              <w:spacing w:before="40" w:after="40" w:line="276" w:lineRule="auto"/>
              <w:jc w:val="left"/>
              <w:cnfStyle w:val="000000100000" w:firstRow="0" w:lastRow="0" w:firstColumn="0" w:lastColumn="0" w:oddVBand="0" w:evenVBand="0" w:oddHBand="1" w:evenHBand="0" w:firstRowFirstColumn="0" w:firstRowLastColumn="0" w:lastRowFirstColumn="0" w:lastRowLastColumn="0"/>
              <w:rPr>
                <w:rFonts w:cs="Arial"/>
                <w:color w:val="404040" w:themeColor="text1" w:themeTint="BF"/>
                <w:sz w:val="18"/>
                <w:szCs w:val="18"/>
                <w:lang w:eastAsia="en-US"/>
              </w:rPr>
            </w:pPr>
            <w:r w:rsidRPr="002B553D">
              <w:rPr>
                <w:rFonts w:cs="Arial"/>
                <w:color w:val="404040" w:themeColor="text1" w:themeTint="BF"/>
                <w:sz w:val="18"/>
                <w:szCs w:val="18"/>
                <w:lang w:eastAsia="en-US"/>
              </w:rPr>
              <w:t>Student Start-up Loan</w:t>
            </w:r>
          </w:p>
        </w:tc>
      </w:tr>
      <w:tr w:rsidR="00DA7CBB" w:rsidRPr="002B553D" w14:paraId="69F4F921" w14:textId="77777777" w:rsidTr="008A19EA">
        <w:trPr>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3A377549" w14:textId="77777777" w:rsidR="00DA7CBB" w:rsidRPr="002B553D" w:rsidRDefault="00DA7CBB" w:rsidP="002B553D">
            <w:pPr>
              <w:spacing w:before="40" w:after="40" w:line="276" w:lineRule="auto"/>
              <w:jc w:val="left"/>
              <w:rPr>
                <w:rFonts w:cs="Arial"/>
                <w:color w:val="404040" w:themeColor="text1" w:themeTint="BF"/>
                <w:sz w:val="18"/>
                <w:szCs w:val="18"/>
                <w:lang w:eastAsia="en-US"/>
              </w:rPr>
            </w:pPr>
          </w:p>
        </w:tc>
        <w:tc>
          <w:tcPr>
            <w:tcW w:w="0" w:type="auto"/>
            <w:vAlign w:val="center"/>
            <w:hideMark/>
          </w:tcPr>
          <w:p w14:paraId="7C9B395F" w14:textId="77777777" w:rsidR="00DA7CBB" w:rsidRPr="002B553D" w:rsidRDefault="00DA7CBB" w:rsidP="002B553D">
            <w:pPr>
              <w:spacing w:before="40" w:after="40" w:line="276" w:lineRule="auto"/>
              <w:jc w:val="left"/>
              <w:cnfStyle w:val="000000000000" w:firstRow="0" w:lastRow="0" w:firstColumn="0" w:lastColumn="0" w:oddVBand="0" w:evenVBand="0" w:oddHBand="0" w:evenHBand="0" w:firstRowFirstColumn="0" w:firstRowLastColumn="0" w:lastRowFirstColumn="0" w:lastRowLastColumn="0"/>
              <w:rPr>
                <w:rFonts w:cs="Arial"/>
                <w:color w:val="404040" w:themeColor="text1" w:themeTint="BF"/>
                <w:sz w:val="18"/>
                <w:szCs w:val="18"/>
                <w:lang w:eastAsia="en-US"/>
              </w:rPr>
            </w:pPr>
            <w:r w:rsidRPr="002B553D">
              <w:rPr>
                <w:rFonts w:cs="Arial"/>
                <w:color w:val="404040" w:themeColor="text1" w:themeTint="BF"/>
                <w:sz w:val="18"/>
                <w:szCs w:val="18"/>
                <w:lang w:eastAsia="en-US"/>
              </w:rPr>
              <w:t>Work for the dole</w:t>
            </w:r>
          </w:p>
        </w:tc>
      </w:tr>
      <w:tr w:rsidR="00DA7CBB" w:rsidRPr="002B553D" w14:paraId="35B1C42E" w14:textId="77777777" w:rsidTr="008A19E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76065E7F" w14:textId="77777777" w:rsidR="00DA7CBB" w:rsidRPr="002B553D" w:rsidRDefault="00DA7CBB" w:rsidP="002B553D">
            <w:pPr>
              <w:spacing w:before="40" w:after="40" w:line="276" w:lineRule="auto"/>
              <w:jc w:val="left"/>
              <w:rPr>
                <w:rFonts w:cs="Arial"/>
                <w:color w:val="404040" w:themeColor="text1" w:themeTint="BF"/>
                <w:sz w:val="18"/>
                <w:szCs w:val="18"/>
                <w:lang w:eastAsia="en-US"/>
              </w:rPr>
            </w:pPr>
          </w:p>
        </w:tc>
        <w:tc>
          <w:tcPr>
            <w:tcW w:w="0" w:type="auto"/>
            <w:vAlign w:val="center"/>
            <w:hideMark/>
          </w:tcPr>
          <w:p w14:paraId="47F326D4" w14:textId="7A84BD45" w:rsidR="00DA7CBB" w:rsidRPr="002B553D" w:rsidRDefault="00DA7CBB" w:rsidP="002B553D">
            <w:pPr>
              <w:spacing w:before="40" w:after="40" w:line="276" w:lineRule="auto"/>
              <w:jc w:val="left"/>
              <w:cnfStyle w:val="000000100000" w:firstRow="0" w:lastRow="0" w:firstColumn="0" w:lastColumn="0" w:oddVBand="0" w:evenVBand="0" w:oddHBand="1" w:evenHBand="0" w:firstRowFirstColumn="0" w:firstRowLastColumn="0" w:lastRowFirstColumn="0" w:lastRowLastColumn="0"/>
              <w:rPr>
                <w:rFonts w:cs="Arial"/>
                <w:color w:val="404040" w:themeColor="text1" w:themeTint="BF"/>
                <w:sz w:val="18"/>
                <w:szCs w:val="18"/>
                <w:lang w:eastAsia="en-US"/>
              </w:rPr>
            </w:pPr>
            <w:r w:rsidRPr="002B553D">
              <w:rPr>
                <w:rFonts w:cs="Arial"/>
                <w:color w:val="404040" w:themeColor="text1" w:themeTint="BF"/>
                <w:sz w:val="18"/>
                <w:szCs w:val="18"/>
                <w:lang w:eastAsia="en-US"/>
              </w:rPr>
              <w:t>Approved Program of Work Supplement</w:t>
            </w:r>
          </w:p>
          <w:p w14:paraId="6D642379" w14:textId="09AA70AF" w:rsidR="00DA7CBB" w:rsidRPr="002B553D" w:rsidRDefault="00DA7CBB" w:rsidP="002B553D">
            <w:pPr>
              <w:spacing w:before="40" w:after="40" w:line="276" w:lineRule="auto"/>
              <w:jc w:val="left"/>
              <w:cnfStyle w:val="000000100000" w:firstRow="0" w:lastRow="0" w:firstColumn="0" w:lastColumn="0" w:oddVBand="0" w:evenVBand="0" w:oddHBand="1" w:evenHBand="0" w:firstRowFirstColumn="0" w:firstRowLastColumn="0" w:lastRowFirstColumn="0" w:lastRowLastColumn="0"/>
              <w:rPr>
                <w:rFonts w:cs="Arial"/>
                <w:color w:val="404040" w:themeColor="text1" w:themeTint="BF"/>
                <w:sz w:val="18"/>
                <w:szCs w:val="18"/>
                <w:lang w:eastAsia="en-US"/>
              </w:rPr>
            </w:pPr>
            <w:r w:rsidRPr="002B553D">
              <w:rPr>
                <w:rFonts w:cs="Arial"/>
                <w:color w:val="404040" w:themeColor="text1" w:themeTint="BF"/>
                <w:sz w:val="18"/>
                <w:szCs w:val="18"/>
                <w:lang w:eastAsia="en-US"/>
              </w:rPr>
              <w:lastRenderedPageBreak/>
              <w:t>Energy Supplement for ABSTUDY Masters and Doctorate Living Allowance</w:t>
            </w:r>
          </w:p>
        </w:tc>
      </w:tr>
      <w:tr w:rsidR="00DA7CBB" w:rsidRPr="002B553D" w14:paraId="0FE832AC" w14:textId="77777777" w:rsidTr="008A19EA">
        <w:trPr>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14:paraId="7FBFEFD9" w14:textId="77777777" w:rsidR="00DA7CBB" w:rsidRPr="002B553D" w:rsidRDefault="00DA7CBB" w:rsidP="002B553D">
            <w:pPr>
              <w:spacing w:before="40" w:after="40" w:line="276" w:lineRule="auto"/>
              <w:jc w:val="left"/>
              <w:rPr>
                <w:rFonts w:cs="Arial"/>
                <w:color w:val="404040" w:themeColor="text1" w:themeTint="BF"/>
                <w:sz w:val="18"/>
                <w:szCs w:val="18"/>
                <w:lang w:eastAsia="en-US"/>
              </w:rPr>
            </w:pPr>
            <w:r w:rsidRPr="002B553D">
              <w:rPr>
                <w:rFonts w:cs="Arial"/>
                <w:color w:val="404040" w:themeColor="text1" w:themeTint="BF"/>
                <w:sz w:val="18"/>
                <w:szCs w:val="18"/>
                <w:lang w:eastAsia="en-US"/>
              </w:rPr>
              <w:lastRenderedPageBreak/>
              <w:t>O - Other Remote &amp; Regional</w:t>
            </w:r>
          </w:p>
        </w:tc>
        <w:tc>
          <w:tcPr>
            <w:tcW w:w="0" w:type="auto"/>
            <w:vAlign w:val="center"/>
            <w:hideMark/>
          </w:tcPr>
          <w:p w14:paraId="0161618E" w14:textId="77777777" w:rsidR="00DA7CBB" w:rsidRPr="002B553D" w:rsidRDefault="00DA7CBB" w:rsidP="002B553D">
            <w:pPr>
              <w:spacing w:before="40" w:after="40" w:line="276" w:lineRule="auto"/>
              <w:jc w:val="left"/>
              <w:cnfStyle w:val="000000000000" w:firstRow="0" w:lastRow="0" w:firstColumn="0" w:lastColumn="0" w:oddVBand="0" w:evenVBand="0" w:oddHBand="0" w:evenHBand="0" w:firstRowFirstColumn="0" w:firstRowLastColumn="0" w:lastRowFirstColumn="0" w:lastRowLastColumn="0"/>
              <w:rPr>
                <w:rFonts w:cs="Arial"/>
                <w:color w:val="404040" w:themeColor="text1" w:themeTint="BF"/>
                <w:sz w:val="18"/>
                <w:szCs w:val="18"/>
                <w:lang w:eastAsia="en-US"/>
              </w:rPr>
            </w:pPr>
            <w:r w:rsidRPr="002B553D">
              <w:rPr>
                <w:rFonts w:cs="Arial"/>
                <w:color w:val="404040" w:themeColor="text1" w:themeTint="BF"/>
                <w:sz w:val="18"/>
                <w:szCs w:val="18"/>
                <w:lang w:eastAsia="en-US"/>
              </w:rPr>
              <w:t>Assistance for Isolated Children</w:t>
            </w:r>
          </w:p>
        </w:tc>
      </w:tr>
      <w:tr w:rsidR="00DA7CBB" w:rsidRPr="002B553D" w14:paraId="1AF58181" w14:textId="77777777" w:rsidTr="008A19E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59EC98CC" w14:textId="77777777" w:rsidR="00DA7CBB" w:rsidRPr="002B553D" w:rsidRDefault="00DA7CBB" w:rsidP="002B553D">
            <w:pPr>
              <w:spacing w:before="40" w:after="40" w:line="276" w:lineRule="auto"/>
              <w:jc w:val="left"/>
              <w:rPr>
                <w:rFonts w:cs="Arial"/>
                <w:color w:val="404040" w:themeColor="text1" w:themeTint="BF"/>
                <w:sz w:val="18"/>
                <w:szCs w:val="18"/>
                <w:lang w:eastAsia="en-US"/>
              </w:rPr>
            </w:pPr>
          </w:p>
        </w:tc>
        <w:tc>
          <w:tcPr>
            <w:tcW w:w="0" w:type="auto"/>
            <w:vAlign w:val="center"/>
            <w:hideMark/>
          </w:tcPr>
          <w:p w14:paraId="64AEA4CF" w14:textId="77777777" w:rsidR="00DA7CBB" w:rsidRPr="002B553D" w:rsidRDefault="00DA7CBB" w:rsidP="002B553D">
            <w:pPr>
              <w:spacing w:before="40" w:after="40" w:line="276" w:lineRule="auto"/>
              <w:jc w:val="left"/>
              <w:cnfStyle w:val="000000100000" w:firstRow="0" w:lastRow="0" w:firstColumn="0" w:lastColumn="0" w:oddVBand="0" w:evenVBand="0" w:oddHBand="1" w:evenHBand="0" w:firstRowFirstColumn="0" w:firstRowLastColumn="0" w:lastRowFirstColumn="0" w:lastRowLastColumn="0"/>
              <w:rPr>
                <w:rFonts w:cs="Arial"/>
                <w:color w:val="404040" w:themeColor="text1" w:themeTint="BF"/>
                <w:sz w:val="18"/>
                <w:szCs w:val="18"/>
                <w:lang w:eastAsia="en-US"/>
              </w:rPr>
            </w:pPr>
            <w:r w:rsidRPr="002B553D">
              <w:rPr>
                <w:rFonts w:cs="Arial"/>
                <w:color w:val="404040" w:themeColor="text1" w:themeTint="BF"/>
                <w:sz w:val="18"/>
                <w:szCs w:val="18"/>
                <w:lang w:eastAsia="en-US"/>
              </w:rPr>
              <w:t>Remote Area Allowance</w:t>
            </w:r>
          </w:p>
        </w:tc>
      </w:tr>
      <w:tr w:rsidR="00DA7CBB" w:rsidRPr="002B553D" w14:paraId="649EC1ED" w14:textId="77777777" w:rsidTr="008A19EA">
        <w:trPr>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14:paraId="5775DF58" w14:textId="77777777" w:rsidR="00DA7CBB" w:rsidRPr="002B553D" w:rsidRDefault="00DA7CBB" w:rsidP="002B553D">
            <w:pPr>
              <w:spacing w:before="40" w:after="40" w:line="276" w:lineRule="auto"/>
              <w:jc w:val="left"/>
              <w:rPr>
                <w:rFonts w:cs="Arial"/>
                <w:color w:val="404040" w:themeColor="text1" w:themeTint="BF"/>
                <w:sz w:val="18"/>
                <w:szCs w:val="18"/>
                <w:lang w:eastAsia="en-US"/>
              </w:rPr>
            </w:pPr>
            <w:r w:rsidRPr="002B553D">
              <w:rPr>
                <w:rFonts w:cs="Arial"/>
                <w:color w:val="404040" w:themeColor="text1" w:themeTint="BF"/>
                <w:sz w:val="18"/>
                <w:szCs w:val="18"/>
                <w:lang w:eastAsia="en-US"/>
              </w:rPr>
              <w:t>P - Other General Allowances (for general pension supplements)</w:t>
            </w:r>
          </w:p>
        </w:tc>
        <w:tc>
          <w:tcPr>
            <w:tcW w:w="0" w:type="auto"/>
            <w:vAlign w:val="center"/>
            <w:hideMark/>
          </w:tcPr>
          <w:p w14:paraId="6006169F" w14:textId="515DEDB0" w:rsidR="00DA7CBB" w:rsidRPr="002B553D" w:rsidRDefault="00DA7CBB" w:rsidP="002B553D">
            <w:pPr>
              <w:spacing w:before="40" w:after="40" w:line="276" w:lineRule="auto"/>
              <w:jc w:val="left"/>
              <w:cnfStyle w:val="000000000000" w:firstRow="0" w:lastRow="0" w:firstColumn="0" w:lastColumn="0" w:oddVBand="0" w:evenVBand="0" w:oddHBand="0" w:evenHBand="0" w:firstRowFirstColumn="0" w:firstRowLastColumn="0" w:lastRowFirstColumn="0" w:lastRowLastColumn="0"/>
              <w:rPr>
                <w:rFonts w:cs="Arial"/>
                <w:color w:val="404040" w:themeColor="text1" w:themeTint="BF"/>
                <w:sz w:val="18"/>
                <w:szCs w:val="18"/>
                <w:lang w:eastAsia="en-US"/>
              </w:rPr>
            </w:pPr>
            <w:r w:rsidRPr="002B553D">
              <w:rPr>
                <w:rFonts w:cs="Arial"/>
                <w:color w:val="404040" w:themeColor="text1" w:themeTint="BF"/>
                <w:sz w:val="18"/>
                <w:szCs w:val="18"/>
                <w:lang w:eastAsia="en-US"/>
              </w:rPr>
              <w:t>Work Bonus</w:t>
            </w:r>
          </w:p>
        </w:tc>
      </w:tr>
      <w:tr w:rsidR="00DA7CBB" w:rsidRPr="002B553D" w14:paraId="1392A1D7" w14:textId="77777777" w:rsidTr="008A19E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59D076D4" w14:textId="77777777" w:rsidR="00DA7CBB" w:rsidRPr="002B553D" w:rsidRDefault="00DA7CBB" w:rsidP="002B553D">
            <w:pPr>
              <w:spacing w:before="40" w:after="40" w:line="276" w:lineRule="auto"/>
              <w:jc w:val="left"/>
              <w:rPr>
                <w:rFonts w:cs="Arial"/>
                <w:color w:val="404040" w:themeColor="text1" w:themeTint="BF"/>
                <w:sz w:val="18"/>
                <w:szCs w:val="18"/>
                <w:lang w:eastAsia="en-US"/>
              </w:rPr>
            </w:pPr>
          </w:p>
        </w:tc>
        <w:tc>
          <w:tcPr>
            <w:tcW w:w="0" w:type="auto"/>
            <w:vAlign w:val="center"/>
            <w:hideMark/>
          </w:tcPr>
          <w:p w14:paraId="2D6B9728" w14:textId="298E400A" w:rsidR="00DA7CBB" w:rsidRPr="002B553D" w:rsidRDefault="00DA7CBB" w:rsidP="002B553D">
            <w:pPr>
              <w:spacing w:before="40" w:after="40" w:line="276" w:lineRule="auto"/>
              <w:jc w:val="left"/>
              <w:cnfStyle w:val="000000100000" w:firstRow="0" w:lastRow="0" w:firstColumn="0" w:lastColumn="0" w:oddVBand="0" w:evenVBand="0" w:oddHBand="1" w:evenHBand="0" w:firstRowFirstColumn="0" w:firstRowLastColumn="0" w:lastRowFirstColumn="0" w:lastRowLastColumn="0"/>
              <w:rPr>
                <w:rFonts w:cs="Arial"/>
                <w:color w:val="404040" w:themeColor="text1" w:themeTint="BF"/>
                <w:sz w:val="18"/>
                <w:szCs w:val="18"/>
                <w:lang w:eastAsia="en-US"/>
              </w:rPr>
            </w:pPr>
            <w:r w:rsidRPr="002B553D">
              <w:rPr>
                <w:rFonts w:cs="Arial"/>
                <w:color w:val="404040" w:themeColor="text1" w:themeTint="BF"/>
                <w:sz w:val="18"/>
                <w:szCs w:val="18"/>
                <w:lang w:eastAsia="en-US"/>
              </w:rPr>
              <w:t>Pension Supplement</w:t>
            </w:r>
          </w:p>
        </w:tc>
      </w:tr>
      <w:tr w:rsidR="00DA7CBB" w:rsidRPr="002B553D" w14:paraId="1BB8A516" w14:textId="77777777" w:rsidTr="008A19EA">
        <w:trPr>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7B577371" w14:textId="77777777" w:rsidR="00DA7CBB" w:rsidRPr="002B553D" w:rsidRDefault="00DA7CBB" w:rsidP="002B553D">
            <w:pPr>
              <w:spacing w:before="40" w:after="40" w:line="276" w:lineRule="auto"/>
              <w:jc w:val="left"/>
              <w:rPr>
                <w:rFonts w:cs="Arial"/>
                <w:color w:val="404040" w:themeColor="text1" w:themeTint="BF"/>
                <w:sz w:val="18"/>
                <w:szCs w:val="18"/>
                <w:lang w:eastAsia="en-US"/>
              </w:rPr>
            </w:pPr>
          </w:p>
        </w:tc>
        <w:tc>
          <w:tcPr>
            <w:tcW w:w="0" w:type="auto"/>
            <w:vAlign w:val="center"/>
            <w:hideMark/>
          </w:tcPr>
          <w:p w14:paraId="64F4BB0C" w14:textId="1B7448E3" w:rsidR="00DA7CBB" w:rsidRPr="002B553D" w:rsidRDefault="00DA7CBB" w:rsidP="002B553D">
            <w:pPr>
              <w:spacing w:before="40" w:after="40" w:line="276" w:lineRule="auto"/>
              <w:jc w:val="left"/>
              <w:cnfStyle w:val="000000000000" w:firstRow="0" w:lastRow="0" w:firstColumn="0" w:lastColumn="0" w:oddVBand="0" w:evenVBand="0" w:oddHBand="0" w:evenHBand="0" w:firstRowFirstColumn="0" w:firstRowLastColumn="0" w:lastRowFirstColumn="0" w:lastRowLastColumn="0"/>
              <w:rPr>
                <w:rFonts w:cs="Arial"/>
                <w:color w:val="404040" w:themeColor="text1" w:themeTint="BF"/>
                <w:sz w:val="18"/>
                <w:szCs w:val="18"/>
                <w:lang w:eastAsia="en-US"/>
              </w:rPr>
            </w:pPr>
            <w:r w:rsidRPr="002B553D">
              <w:rPr>
                <w:rFonts w:cs="Arial"/>
                <w:color w:val="404040" w:themeColor="text1" w:themeTint="BF"/>
                <w:sz w:val="18"/>
                <w:szCs w:val="18"/>
                <w:lang w:eastAsia="en-US"/>
              </w:rPr>
              <w:t>Pension Bonus Scheme  (closed to new entrants)</w:t>
            </w:r>
          </w:p>
        </w:tc>
      </w:tr>
      <w:tr w:rsidR="00DA7CBB" w:rsidRPr="002B553D" w14:paraId="2D936896" w14:textId="77777777" w:rsidTr="008A19E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15A1FBC9" w14:textId="77777777" w:rsidR="00DA7CBB" w:rsidRPr="002B553D" w:rsidRDefault="00DA7CBB" w:rsidP="002B553D">
            <w:pPr>
              <w:spacing w:before="40" w:after="40" w:line="276" w:lineRule="auto"/>
              <w:jc w:val="left"/>
              <w:rPr>
                <w:rFonts w:cs="Arial"/>
                <w:color w:val="404040" w:themeColor="text1" w:themeTint="BF"/>
                <w:sz w:val="18"/>
                <w:szCs w:val="18"/>
                <w:lang w:eastAsia="en-US"/>
              </w:rPr>
            </w:pPr>
          </w:p>
        </w:tc>
        <w:tc>
          <w:tcPr>
            <w:tcW w:w="0" w:type="auto"/>
            <w:vAlign w:val="center"/>
            <w:hideMark/>
          </w:tcPr>
          <w:p w14:paraId="024509BE" w14:textId="571CFF09" w:rsidR="00DA7CBB" w:rsidRPr="002B553D" w:rsidRDefault="00DA7CBB" w:rsidP="002B553D">
            <w:pPr>
              <w:spacing w:before="40" w:after="40" w:line="276" w:lineRule="auto"/>
              <w:jc w:val="left"/>
              <w:cnfStyle w:val="000000100000" w:firstRow="0" w:lastRow="0" w:firstColumn="0" w:lastColumn="0" w:oddVBand="0" w:evenVBand="0" w:oddHBand="1" w:evenHBand="0" w:firstRowFirstColumn="0" w:firstRowLastColumn="0" w:lastRowFirstColumn="0" w:lastRowLastColumn="0"/>
              <w:rPr>
                <w:rFonts w:cs="Arial"/>
                <w:color w:val="404040" w:themeColor="text1" w:themeTint="BF"/>
                <w:sz w:val="18"/>
                <w:szCs w:val="18"/>
                <w:lang w:eastAsia="en-US"/>
              </w:rPr>
            </w:pPr>
            <w:r w:rsidRPr="002B553D">
              <w:rPr>
                <w:rFonts w:cs="Arial"/>
                <w:color w:val="404040" w:themeColor="text1" w:themeTint="BF"/>
                <w:sz w:val="18"/>
                <w:szCs w:val="18"/>
                <w:lang w:eastAsia="en-US"/>
              </w:rPr>
              <w:t>Pension Bonus Bereavement Payment</w:t>
            </w:r>
          </w:p>
        </w:tc>
      </w:tr>
      <w:tr w:rsidR="00DA7CBB" w:rsidRPr="002B553D" w14:paraId="7233A344" w14:textId="77777777" w:rsidTr="008A19EA">
        <w:trPr>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0B1FFC91" w14:textId="77777777" w:rsidR="00DA7CBB" w:rsidRPr="002B553D" w:rsidRDefault="00DA7CBB" w:rsidP="002B553D">
            <w:pPr>
              <w:spacing w:before="40" w:after="40" w:line="276" w:lineRule="auto"/>
              <w:jc w:val="left"/>
              <w:rPr>
                <w:rFonts w:cs="Arial"/>
                <w:color w:val="404040" w:themeColor="text1" w:themeTint="BF"/>
                <w:sz w:val="18"/>
                <w:szCs w:val="18"/>
                <w:lang w:eastAsia="en-US"/>
              </w:rPr>
            </w:pPr>
          </w:p>
        </w:tc>
        <w:tc>
          <w:tcPr>
            <w:tcW w:w="0" w:type="auto"/>
            <w:vAlign w:val="center"/>
            <w:hideMark/>
          </w:tcPr>
          <w:p w14:paraId="65290863" w14:textId="0E70DC8E" w:rsidR="00DA7CBB" w:rsidRPr="002B553D" w:rsidRDefault="00DA7CBB" w:rsidP="002B553D">
            <w:pPr>
              <w:spacing w:before="40" w:after="40" w:line="276" w:lineRule="auto"/>
              <w:jc w:val="left"/>
              <w:cnfStyle w:val="000000000000" w:firstRow="0" w:lastRow="0" w:firstColumn="0" w:lastColumn="0" w:oddVBand="0" w:evenVBand="0" w:oddHBand="0" w:evenHBand="0" w:firstRowFirstColumn="0" w:firstRowLastColumn="0" w:lastRowFirstColumn="0" w:lastRowLastColumn="0"/>
              <w:rPr>
                <w:rFonts w:cs="Arial"/>
                <w:color w:val="404040" w:themeColor="text1" w:themeTint="BF"/>
                <w:sz w:val="18"/>
                <w:szCs w:val="18"/>
                <w:lang w:eastAsia="en-US"/>
              </w:rPr>
            </w:pPr>
            <w:r w:rsidRPr="002B553D">
              <w:rPr>
                <w:rFonts w:cs="Arial"/>
                <w:color w:val="404040" w:themeColor="text1" w:themeTint="BF"/>
                <w:sz w:val="18"/>
                <w:szCs w:val="18"/>
                <w:lang w:eastAsia="en-US"/>
              </w:rPr>
              <w:t>Pension Loans Scheme</w:t>
            </w:r>
          </w:p>
        </w:tc>
      </w:tr>
      <w:tr w:rsidR="00DA7CBB" w:rsidRPr="002B553D" w14:paraId="1F30F185" w14:textId="77777777" w:rsidTr="008A19E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420B57B9" w14:textId="77777777" w:rsidR="00DA7CBB" w:rsidRPr="002B553D" w:rsidRDefault="00DA7CBB" w:rsidP="002B553D">
            <w:pPr>
              <w:spacing w:before="40" w:after="40" w:line="276" w:lineRule="auto"/>
              <w:jc w:val="left"/>
              <w:rPr>
                <w:rFonts w:cs="Arial"/>
                <w:color w:val="404040" w:themeColor="text1" w:themeTint="BF"/>
                <w:sz w:val="18"/>
                <w:szCs w:val="18"/>
                <w:lang w:eastAsia="en-US"/>
              </w:rPr>
            </w:pPr>
          </w:p>
        </w:tc>
        <w:tc>
          <w:tcPr>
            <w:tcW w:w="0" w:type="auto"/>
            <w:vAlign w:val="center"/>
            <w:hideMark/>
          </w:tcPr>
          <w:p w14:paraId="48311CF6" w14:textId="77777777" w:rsidR="00DA7CBB" w:rsidRPr="002B553D" w:rsidRDefault="00DA7CBB" w:rsidP="002B553D">
            <w:pPr>
              <w:spacing w:before="40" w:after="40" w:line="276" w:lineRule="auto"/>
              <w:jc w:val="left"/>
              <w:cnfStyle w:val="000000100000" w:firstRow="0" w:lastRow="0" w:firstColumn="0" w:lastColumn="0" w:oddVBand="0" w:evenVBand="0" w:oddHBand="1" w:evenHBand="0" w:firstRowFirstColumn="0" w:firstRowLastColumn="0" w:lastRowFirstColumn="0" w:lastRowLastColumn="0"/>
              <w:rPr>
                <w:rFonts w:cs="Arial"/>
                <w:color w:val="404040" w:themeColor="text1" w:themeTint="BF"/>
                <w:sz w:val="18"/>
                <w:szCs w:val="18"/>
                <w:lang w:eastAsia="en-US"/>
              </w:rPr>
            </w:pPr>
            <w:r w:rsidRPr="002B553D">
              <w:rPr>
                <w:rFonts w:cs="Arial"/>
                <w:color w:val="404040" w:themeColor="text1" w:themeTint="BF"/>
                <w:sz w:val="18"/>
                <w:szCs w:val="18"/>
                <w:lang w:eastAsia="en-US"/>
              </w:rPr>
              <w:t>Energy Supplement</w:t>
            </w:r>
          </w:p>
        </w:tc>
      </w:tr>
      <w:tr w:rsidR="00DA7CBB" w:rsidRPr="002B553D" w14:paraId="5A41EA5D" w14:textId="77777777" w:rsidTr="008A19EA">
        <w:trPr>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33AE413A" w14:textId="77777777" w:rsidR="00DA7CBB" w:rsidRPr="002B553D" w:rsidRDefault="00DA7CBB" w:rsidP="002B553D">
            <w:pPr>
              <w:spacing w:before="40" w:after="40" w:line="276" w:lineRule="auto"/>
              <w:jc w:val="left"/>
              <w:rPr>
                <w:rFonts w:cs="Arial"/>
                <w:color w:val="404040" w:themeColor="text1" w:themeTint="BF"/>
                <w:sz w:val="18"/>
                <w:szCs w:val="18"/>
                <w:lang w:eastAsia="en-US"/>
              </w:rPr>
            </w:pPr>
          </w:p>
        </w:tc>
        <w:tc>
          <w:tcPr>
            <w:tcW w:w="0" w:type="auto"/>
            <w:vAlign w:val="center"/>
            <w:hideMark/>
          </w:tcPr>
          <w:p w14:paraId="3F09139B" w14:textId="77777777" w:rsidR="00DA7CBB" w:rsidRPr="002B553D" w:rsidRDefault="00DA7CBB" w:rsidP="002B553D">
            <w:pPr>
              <w:spacing w:before="40" w:after="40" w:line="276" w:lineRule="auto"/>
              <w:jc w:val="left"/>
              <w:cnfStyle w:val="000000000000" w:firstRow="0" w:lastRow="0" w:firstColumn="0" w:lastColumn="0" w:oddVBand="0" w:evenVBand="0" w:oddHBand="0" w:evenHBand="0" w:firstRowFirstColumn="0" w:firstRowLastColumn="0" w:lastRowFirstColumn="0" w:lastRowLastColumn="0"/>
              <w:rPr>
                <w:rFonts w:cs="Arial"/>
                <w:color w:val="404040" w:themeColor="text1" w:themeTint="BF"/>
                <w:sz w:val="18"/>
                <w:szCs w:val="18"/>
                <w:lang w:eastAsia="en-US"/>
              </w:rPr>
            </w:pPr>
            <w:r w:rsidRPr="002B553D">
              <w:rPr>
                <w:rFonts w:cs="Arial"/>
                <w:color w:val="404040" w:themeColor="text1" w:themeTint="BF"/>
                <w:sz w:val="18"/>
                <w:szCs w:val="18"/>
                <w:lang w:eastAsia="en-US"/>
              </w:rPr>
              <w:t>Living Allowances</w:t>
            </w:r>
          </w:p>
        </w:tc>
      </w:tr>
      <w:tr w:rsidR="00DA7CBB" w:rsidRPr="002B553D" w14:paraId="0B38A5ED" w14:textId="77777777" w:rsidTr="008A19E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2DC8CF72" w14:textId="77777777" w:rsidR="00DA7CBB" w:rsidRPr="002B553D" w:rsidRDefault="00DA7CBB" w:rsidP="002B553D">
            <w:pPr>
              <w:spacing w:before="40" w:after="40" w:line="276" w:lineRule="auto"/>
              <w:jc w:val="left"/>
              <w:rPr>
                <w:rFonts w:cs="Arial"/>
                <w:color w:val="404040" w:themeColor="text1" w:themeTint="BF"/>
                <w:sz w:val="18"/>
                <w:szCs w:val="18"/>
                <w:lang w:eastAsia="en-US"/>
              </w:rPr>
            </w:pPr>
          </w:p>
        </w:tc>
        <w:tc>
          <w:tcPr>
            <w:tcW w:w="0" w:type="auto"/>
            <w:vAlign w:val="center"/>
            <w:hideMark/>
          </w:tcPr>
          <w:p w14:paraId="0BCB2434" w14:textId="77777777" w:rsidR="00DA7CBB" w:rsidRPr="002B553D" w:rsidRDefault="00DA7CBB" w:rsidP="002B553D">
            <w:pPr>
              <w:spacing w:before="40" w:after="40" w:line="276" w:lineRule="auto"/>
              <w:jc w:val="left"/>
              <w:cnfStyle w:val="000000100000" w:firstRow="0" w:lastRow="0" w:firstColumn="0" w:lastColumn="0" w:oddVBand="0" w:evenVBand="0" w:oddHBand="1" w:evenHBand="0" w:firstRowFirstColumn="0" w:firstRowLastColumn="0" w:lastRowFirstColumn="0" w:lastRowLastColumn="0"/>
              <w:rPr>
                <w:rFonts w:cs="Arial"/>
                <w:color w:val="404040" w:themeColor="text1" w:themeTint="BF"/>
                <w:sz w:val="18"/>
                <w:szCs w:val="18"/>
                <w:lang w:eastAsia="en-US"/>
              </w:rPr>
            </w:pPr>
            <w:r w:rsidRPr="002B553D">
              <w:rPr>
                <w:rFonts w:cs="Arial"/>
                <w:color w:val="404040" w:themeColor="text1" w:themeTint="BF"/>
                <w:sz w:val="18"/>
                <w:szCs w:val="18"/>
                <w:lang w:eastAsia="en-US"/>
              </w:rPr>
              <w:t>Pharmaceutical Allowance</w:t>
            </w:r>
          </w:p>
        </w:tc>
      </w:tr>
      <w:tr w:rsidR="00DA7CBB" w:rsidRPr="002B553D" w14:paraId="28E94C5C" w14:textId="77777777" w:rsidTr="008A19EA">
        <w:trPr>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17423012" w14:textId="77777777" w:rsidR="00DA7CBB" w:rsidRPr="002B553D" w:rsidRDefault="00DA7CBB" w:rsidP="002B553D">
            <w:pPr>
              <w:spacing w:before="40" w:after="40" w:line="276" w:lineRule="auto"/>
              <w:jc w:val="left"/>
              <w:rPr>
                <w:rFonts w:cs="Arial"/>
                <w:color w:val="404040" w:themeColor="text1" w:themeTint="BF"/>
                <w:sz w:val="18"/>
                <w:szCs w:val="18"/>
                <w:lang w:eastAsia="en-US"/>
              </w:rPr>
            </w:pPr>
          </w:p>
        </w:tc>
        <w:tc>
          <w:tcPr>
            <w:tcW w:w="0" w:type="auto"/>
            <w:vAlign w:val="center"/>
            <w:hideMark/>
          </w:tcPr>
          <w:p w14:paraId="613AD424" w14:textId="77777777" w:rsidR="00DA7CBB" w:rsidRPr="002B553D" w:rsidRDefault="00DA7CBB" w:rsidP="002B553D">
            <w:pPr>
              <w:spacing w:before="40" w:after="40" w:line="276" w:lineRule="auto"/>
              <w:jc w:val="left"/>
              <w:cnfStyle w:val="000000000000" w:firstRow="0" w:lastRow="0" w:firstColumn="0" w:lastColumn="0" w:oddVBand="0" w:evenVBand="0" w:oddHBand="0" w:evenHBand="0" w:firstRowFirstColumn="0" w:firstRowLastColumn="0" w:lastRowFirstColumn="0" w:lastRowLastColumn="0"/>
              <w:rPr>
                <w:rFonts w:cs="Arial"/>
                <w:color w:val="404040" w:themeColor="text1" w:themeTint="BF"/>
                <w:sz w:val="18"/>
                <w:szCs w:val="18"/>
                <w:lang w:eastAsia="en-US"/>
              </w:rPr>
            </w:pPr>
            <w:r w:rsidRPr="002B553D">
              <w:rPr>
                <w:rFonts w:cs="Arial"/>
                <w:color w:val="404040" w:themeColor="text1" w:themeTint="BF"/>
                <w:sz w:val="18"/>
                <w:szCs w:val="18"/>
                <w:lang w:eastAsia="en-US"/>
              </w:rPr>
              <w:t>Residential Costs</w:t>
            </w:r>
          </w:p>
        </w:tc>
      </w:tr>
      <w:tr w:rsidR="00DA7CBB" w:rsidRPr="002B553D" w14:paraId="2A439BBD" w14:textId="77777777" w:rsidTr="008A19E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192332C0" w14:textId="77777777" w:rsidR="00DA7CBB" w:rsidRPr="002B553D" w:rsidRDefault="00DA7CBB" w:rsidP="002B553D">
            <w:pPr>
              <w:spacing w:before="40" w:after="40" w:line="276" w:lineRule="auto"/>
              <w:jc w:val="left"/>
              <w:rPr>
                <w:rFonts w:cs="Arial"/>
                <w:color w:val="404040" w:themeColor="text1" w:themeTint="BF"/>
                <w:sz w:val="18"/>
                <w:szCs w:val="18"/>
                <w:lang w:eastAsia="en-US"/>
              </w:rPr>
            </w:pPr>
          </w:p>
        </w:tc>
        <w:tc>
          <w:tcPr>
            <w:tcW w:w="0" w:type="auto"/>
            <w:vAlign w:val="center"/>
            <w:hideMark/>
          </w:tcPr>
          <w:p w14:paraId="765EB49B" w14:textId="77777777" w:rsidR="00DA7CBB" w:rsidRPr="002B553D" w:rsidRDefault="00DA7CBB" w:rsidP="002B553D">
            <w:pPr>
              <w:spacing w:before="40" w:after="40" w:line="276" w:lineRule="auto"/>
              <w:jc w:val="left"/>
              <w:cnfStyle w:val="000000100000" w:firstRow="0" w:lastRow="0" w:firstColumn="0" w:lastColumn="0" w:oddVBand="0" w:evenVBand="0" w:oddHBand="1" w:evenHBand="0" w:firstRowFirstColumn="0" w:firstRowLastColumn="0" w:lastRowFirstColumn="0" w:lastRowLastColumn="0"/>
              <w:rPr>
                <w:rFonts w:cs="Arial"/>
                <w:color w:val="404040" w:themeColor="text1" w:themeTint="BF"/>
                <w:sz w:val="18"/>
                <w:szCs w:val="18"/>
                <w:lang w:eastAsia="en-US"/>
              </w:rPr>
            </w:pPr>
            <w:r w:rsidRPr="002B553D">
              <w:rPr>
                <w:rFonts w:cs="Arial"/>
                <w:color w:val="404040" w:themeColor="text1" w:themeTint="BF"/>
                <w:sz w:val="18"/>
                <w:szCs w:val="18"/>
                <w:lang w:eastAsia="en-US"/>
              </w:rPr>
              <w:t>Telephone Allowance</w:t>
            </w:r>
          </w:p>
        </w:tc>
      </w:tr>
      <w:tr w:rsidR="00DA7CBB" w:rsidRPr="002B553D" w14:paraId="29D3E897" w14:textId="77777777" w:rsidTr="008A19EA">
        <w:trPr>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7EBA7E31" w14:textId="77777777" w:rsidR="00DA7CBB" w:rsidRPr="002B553D" w:rsidRDefault="00DA7CBB" w:rsidP="002B553D">
            <w:pPr>
              <w:spacing w:before="40" w:after="40" w:line="276" w:lineRule="auto"/>
              <w:jc w:val="left"/>
              <w:rPr>
                <w:rFonts w:cs="Arial"/>
                <w:color w:val="404040" w:themeColor="text1" w:themeTint="BF"/>
                <w:sz w:val="18"/>
                <w:szCs w:val="18"/>
                <w:lang w:eastAsia="en-US"/>
              </w:rPr>
            </w:pPr>
          </w:p>
        </w:tc>
        <w:tc>
          <w:tcPr>
            <w:tcW w:w="0" w:type="auto"/>
            <w:vAlign w:val="center"/>
            <w:hideMark/>
          </w:tcPr>
          <w:p w14:paraId="53882A84" w14:textId="77777777" w:rsidR="00DA7CBB" w:rsidRPr="002B553D" w:rsidRDefault="00DA7CBB" w:rsidP="002B553D">
            <w:pPr>
              <w:spacing w:before="40" w:after="40" w:line="276" w:lineRule="auto"/>
              <w:jc w:val="left"/>
              <w:cnfStyle w:val="000000000000" w:firstRow="0" w:lastRow="0" w:firstColumn="0" w:lastColumn="0" w:oddVBand="0" w:evenVBand="0" w:oddHBand="0" w:evenHBand="0" w:firstRowFirstColumn="0" w:firstRowLastColumn="0" w:lastRowFirstColumn="0" w:lastRowLastColumn="0"/>
              <w:rPr>
                <w:rFonts w:cs="Arial"/>
                <w:color w:val="404040" w:themeColor="text1" w:themeTint="BF"/>
                <w:sz w:val="18"/>
                <w:szCs w:val="18"/>
                <w:lang w:eastAsia="en-US"/>
              </w:rPr>
            </w:pPr>
            <w:r w:rsidRPr="002B553D">
              <w:rPr>
                <w:rFonts w:cs="Arial"/>
                <w:color w:val="404040" w:themeColor="text1" w:themeTint="BF"/>
                <w:sz w:val="18"/>
                <w:szCs w:val="18"/>
                <w:lang w:eastAsia="en-US"/>
              </w:rPr>
              <w:t>Utilities Allowance</w:t>
            </w:r>
          </w:p>
        </w:tc>
      </w:tr>
      <w:tr w:rsidR="00DA7CBB" w:rsidRPr="002B553D" w14:paraId="48AC538B" w14:textId="77777777" w:rsidTr="008A19E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418EAC24" w14:textId="77777777" w:rsidR="00DA7CBB" w:rsidRPr="002B553D" w:rsidRDefault="00DA7CBB" w:rsidP="002B553D">
            <w:pPr>
              <w:spacing w:before="40" w:after="40" w:line="276" w:lineRule="auto"/>
              <w:jc w:val="left"/>
              <w:rPr>
                <w:rFonts w:cs="Arial"/>
                <w:color w:val="404040" w:themeColor="text1" w:themeTint="BF"/>
                <w:sz w:val="18"/>
                <w:szCs w:val="18"/>
                <w:lang w:eastAsia="en-US"/>
              </w:rPr>
            </w:pPr>
          </w:p>
        </w:tc>
        <w:tc>
          <w:tcPr>
            <w:tcW w:w="0" w:type="auto"/>
            <w:vAlign w:val="center"/>
            <w:hideMark/>
          </w:tcPr>
          <w:p w14:paraId="196EBF44" w14:textId="77777777" w:rsidR="00DA7CBB" w:rsidRPr="002B553D" w:rsidRDefault="00DA7CBB" w:rsidP="002B553D">
            <w:pPr>
              <w:spacing w:before="40" w:after="40" w:line="276" w:lineRule="auto"/>
              <w:jc w:val="left"/>
              <w:cnfStyle w:val="000000100000" w:firstRow="0" w:lastRow="0" w:firstColumn="0" w:lastColumn="0" w:oddVBand="0" w:evenVBand="0" w:oddHBand="1" w:evenHBand="0" w:firstRowFirstColumn="0" w:firstRowLastColumn="0" w:lastRowFirstColumn="0" w:lastRowLastColumn="0"/>
              <w:rPr>
                <w:rFonts w:cs="Arial"/>
                <w:color w:val="404040" w:themeColor="text1" w:themeTint="BF"/>
                <w:sz w:val="18"/>
                <w:szCs w:val="18"/>
                <w:lang w:eastAsia="en-US"/>
              </w:rPr>
            </w:pPr>
            <w:r w:rsidRPr="002B553D">
              <w:rPr>
                <w:rFonts w:cs="Arial"/>
                <w:color w:val="404040" w:themeColor="text1" w:themeTint="BF"/>
                <w:sz w:val="18"/>
                <w:szCs w:val="18"/>
                <w:lang w:eastAsia="en-US"/>
              </w:rPr>
              <w:t>Incidentals Allowances</w:t>
            </w:r>
          </w:p>
        </w:tc>
      </w:tr>
      <w:tr w:rsidR="00DA7CBB" w:rsidRPr="002B553D" w14:paraId="4C4040F4" w14:textId="77777777" w:rsidTr="008A19EA">
        <w:trPr>
          <w:trHeight w:val="315"/>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160DCC0C" w14:textId="77777777" w:rsidR="00DA7CBB" w:rsidRPr="002B553D" w:rsidRDefault="00DA7CBB" w:rsidP="002B553D">
            <w:pPr>
              <w:spacing w:before="40" w:after="40" w:line="276" w:lineRule="auto"/>
              <w:jc w:val="left"/>
              <w:rPr>
                <w:rFonts w:cs="Arial"/>
                <w:color w:val="404040" w:themeColor="text1" w:themeTint="BF"/>
                <w:sz w:val="18"/>
                <w:szCs w:val="18"/>
                <w:lang w:eastAsia="en-US"/>
              </w:rPr>
            </w:pPr>
          </w:p>
        </w:tc>
        <w:tc>
          <w:tcPr>
            <w:tcW w:w="0" w:type="auto"/>
            <w:vAlign w:val="center"/>
            <w:hideMark/>
          </w:tcPr>
          <w:p w14:paraId="2A59A5F4" w14:textId="77777777" w:rsidR="00DA7CBB" w:rsidRPr="002B553D" w:rsidRDefault="00DA7CBB" w:rsidP="002B553D">
            <w:pPr>
              <w:spacing w:before="40" w:after="40" w:line="276" w:lineRule="auto"/>
              <w:jc w:val="left"/>
              <w:cnfStyle w:val="000000000000" w:firstRow="0" w:lastRow="0" w:firstColumn="0" w:lastColumn="0" w:oddVBand="0" w:evenVBand="0" w:oddHBand="0" w:evenHBand="0" w:firstRowFirstColumn="0" w:firstRowLastColumn="0" w:lastRowFirstColumn="0" w:lastRowLastColumn="0"/>
              <w:rPr>
                <w:rFonts w:cs="Arial"/>
                <w:color w:val="404040" w:themeColor="text1" w:themeTint="BF"/>
                <w:sz w:val="18"/>
                <w:szCs w:val="18"/>
                <w:lang w:eastAsia="en-US"/>
              </w:rPr>
            </w:pPr>
            <w:r w:rsidRPr="002B553D">
              <w:rPr>
                <w:rFonts w:cs="Arial"/>
                <w:color w:val="404040" w:themeColor="text1" w:themeTint="BF"/>
                <w:sz w:val="18"/>
                <w:szCs w:val="18"/>
                <w:lang w:eastAsia="en-US"/>
              </w:rPr>
              <w:t>Seniors supplements and concessions</w:t>
            </w:r>
          </w:p>
        </w:tc>
      </w:tr>
      <w:tr w:rsidR="00DA7CBB" w:rsidRPr="002B553D" w14:paraId="35C13539" w14:textId="77777777" w:rsidTr="008A19E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14:paraId="5808BD23" w14:textId="77777777" w:rsidR="00DA7CBB" w:rsidRPr="002B553D" w:rsidRDefault="00DA7CBB" w:rsidP="002B553D">
            <w:pPr>
              <w:spacing w:before="40" w:after="40" w:line="276" w:lineRule="auto"/>
              <w:jc w:val="left"/>
              <w:rPr>
                <w:rFonts w:cs="Arial"/>
                <w:color w:val="404040" w:themeColor="text1" w:themeTint="BF"/>
                <w:sz w:val="18"/>
                <w:szCs w:val="18"/>
                <w:lang w:eastAsia="en-US"/>
              </w:rPr>
            </w:pPr>
            <w:r w:rsidRPr="002B553D">
              <w:rPr>
                <w:rFonts w:cs="Arial"/>
                <w:color w:val="404040" w:themeColor="text1" w:themeTint="BF"/>
                <w:sz w:val="18"/>
                <w:szCs w:val="18"/>
                <w:lang w:eastAsia="en-US"/>
              </w:rPr>
              <w:t>Q - All Other</w:t>
            </w:r>
          </w:p>
        </w:tc>
        <w:tc>
          <w:tcPr>
            <w:tcW w:w="0" w:type="auto"/>
            <w:vAlign w:val="center"/>
            <w:hideMark/>
          </w:tcPr>
          <w:p w14:paraId="624CC227" w14:textId="566CBB65" w:rsidR="00DA7CBB" w:rsidRPr="002B553D" w:rsidRDefault="00DA7CBB" w:rsidP="002B553D">
            <w:pPr>
              <w:spacing w:before="40" w:after="40" w:line="276" w:lineRule="auto"/>
              <w:jc w:val="left"/>
              <w:cnfStyle w:val="000000100000" w:firstRow="0" w:lastRow="0" w:firstColumn="0" w:lastColumn="0" w:oddVBand="0" w:evenVBand="0" w:oddHBand="1" w:evenHBand="0" w:firstRowFirstColumn="0" w:firstRowLastColumn="0" w:lastRowFirstColumn="0" w:lastRowLastColumn="0"/>
              <w:rPr>
                <w:rFonts w:cs="Arial"/>
                <w:color w:val="404040" w:themeColor="text1" w:themeTint="BF"/>
                <w:sz w:val="18"/>
                <w:szCs w:val="18"/>
                <w:lang w:eastAsia="en-US"/>
              </w:rPr>
            </w:pPr>
            <w:r w:rsidRPr="002B553D">
              <w:rPr>
                <w:rFonts w:cs="Arial"/>
                <w:color w:val="404040" w:themeColor="text1" w:themeTint="BF"/>
                <w:sz w:val="18"/>
                <w:szCs w:val="18"/>
                <w:lang w:eastAsia="en-US"/>
              </w:rPr>
              <w:t>Bereavement Allowance (closed to new entrants on 20 March 2020, ceases completely when all current recipients have completed their bereavement period)</w:t>
            </w:r>
          </w:p>
        </w:tc>
      </w:tr>
      <w:tr w:rsidR="00DA7CBB" w:rsidRPr="002B553D" w14:paraId="7AE6BFBC" w14:textId="77777777" w:rsidTr="008A19EA">
        <w:trPr>
          <w:trHeight w:val="315"/>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1C4584B9" w14:textId="77777777" w:rsidR="00DA7CBB" w:rsidRPr="002B553D" w:rsidRDefault="00DA7CBB" w:rsidP="002B553D">
            <w:pPr>
              <w:spacing w:before="40" w:after="40" w:line="276" w:lineRule="auto"/>
              <w:jc w:val="left"/>
              <w:rPr>
                <w:rFonts w:cs="Arial"/>
                <w:color w:val="404040" w:themeColor="text1" w:themeTint="BF"/>
                <w:sz w:val="18"/>
                <w:szCs w:val="18"/>
                <w:lang w:eastAsia="en-US"/>
              </w:rPr>
            </w:pPr>
          </w:p>
        </w:tc>
        <w:tc>
          <w:tcPr>
            <w:tcW w:w="0" w:type="auto"/>
            <w:vAlign w:val="center"/>
            <w:hideMark/>
          </w:tcPr>
          <w:p w14:paraId="3201675A" w14:textId="77777777" w:rsidR="00DA7CBB" w:rsidRPr="002B553D" w:rsidRDefault="00DA7CBB" w:rsidP="002B553D">
            <w:pPr>
              <w:spacing w:before="40" w:after="40" w:line="276" w:lineRule="auto"/>
              <w:jc w:val="left"/>
              <w:cnfStyle w:val="000000000000" w:firstRow="0" w:lastRow="0" w:firstColumn="0" w:lastColumn="0" w:oddVBand="0" w:evenVBand="0" w:oddHBand="0" w:evenHBand="0" w:firstRowFirstColumn="0" w:firstRowLastColumn="0" w:lastRowFirstColumn="0" w:lastRowLastColumn="0"/>
              <w:rPr>
                <w:rFonts w:cs="Arial"/>
                <w:color w:val="404040" w:themeColor="text1" w:themeTint="BF"/>
                <w:sz w:val="18"/>
                <w:szCs w:val="18"/>
                <w:lang w:eastAsia="en-US"/>
              </w:rPr>
            </w:pPr>
            <w:r w:rsidRPr="002B553D">
              <w:rPr>
                <w:rFonts w:cs="Arial"/>
                <w:color w:val="404040" w:themeColor="text1" w:themeTint="BF"/>
                <w:sz w:val="18"/>
                <w:szCs w:val="18"/>
                <w:lang w:eastAsia="en-US"/>
              </w:rPr>
              <w:t>Crisis Payment</w:t>
            </w:r>
          </w:p>
        </w:tc>
      </w:tr>
      <w:tr w:rsidR="00DA7CBB" w:rsidRPr="002B553D" w14:paraId="24AB4627" w14:textId="77777777" w:rsidTr="008A19E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156798D" w14:textId="77777777" w:rsidR="00DA7CBB" w:rsidRPr="002B553D" w:rsidRDefault="00DA7CBB" w:rsidP="002B553D">
            <w:pPr>
              <w:spacing w:before="40" w:after="40" w:line="276" w:lineRule="auto"/>
              <w:jc w:val="left"/>
              <w:rPr>
                <w:rFonts w:cs="Arial"/>
                <w:color w:val="404040" w:themeColor="text1" w:themeTint="BF"/>
                <w:sz w:val="18"/>
                <w:szCs w:val="18"/>
                <w:lang w:eastAsia="en-US"/>
              </w:rPr>
            </w:pPr>
            <w:r w:rsidRPr="002B553D">
              <w:rPr>
                <w:rFonts w:cs="Arial"/>
                <w:color w:val="404040" w:themeColor="text1" w:themeTint="BF"/>
                <w:sz w:val="18"/>
                <w:szCs w:val="18"/>
                <w:lang w:eastAsia="en-US"/>
              </w:rPr>
              <w:t>R – Rent Assistance</w:t>
            </w:r>
          </w:p>
        </w:tc>
        <w:tc>
          <w:tcPr>
            <w:tcW w:w="0" w:type="auto"/>
            <w:vAlign w:val="center"/>
            <w:hideMark/>
          </w:tcPr>
          <w:p w14:paraId="6D81B936" w14:textId="77777777" w:rsidR="00DA7CBB" w:rsidRPr="002B553D" w:rsidRDefault="00DA7CBB" w:rsidP="002B553D">
            <w:pPr>
              <w:spacing w:before="40" w:after="40" w:line="276" w:lineRule="auto"/>
              <w:jc w:val="left"/>
              <w:cnfStyle w:val="000000100000" w:firstRow="0" w:lastRow="0" w:firstColumn="0" w:lastColumn="0" w:oddVBand="0" w:evenVBand="0" w:oddHBand="1" w:evenHBand="0" w:firstRowFirstColumn="0" w:firstRowLastColumn="0" w:lastRowFirstColumn="0" w:lastRowLastColumn="0"/>
              <w:rPr>
                <w:rFonts w:cs="Arial"/>
                <w:color w:val="404040" w:themeColor="text1" w:themeTint="BF"/>
                <w:sz w:val="18"/>
                <w:szCs w:val="18"/>
                <w:lang w:eastAsia="en-US"/>
              </w:rPr>
            </w:pPr>
            <w:r w:rsidRPr="002B553D">
              <w:rPr>
                <w:rFonts w:cs="Arial"/>
                <w:color w:val="404040" w:themeColor="text1" w:themeTint="BF"/>
                <w:sz w:val="18"/>
                <w:szCs w:val="18"/>
                <w:lang w:eastAsia="en-US"/>
              </w:rPr>
              <w:t>Rent Assistance</w:t>
            </w:r>
          </w:p>
        </w:tc>
      </w:tr>
    </w:tbl>
    <w:p w14:paraId="0FABF23E" w14:textId="77777777" w:rsidR="00A7152A" w:rsidRPr="00350082" w:rsidRDefault="00A7152A" w:rsidP="00350082">
      <w:pPr>
        <w:spacing w:after="200" w:line="276" w:lineRule="auto"/>
        <w:jc w:val="left"/>
        <w:rPr>
          <w:rFonts w:cs="Arial"/>
          <w:color w:val="404040" w:themeColor="text1" w:themeTint="BF"/>
          <w:lang w:eastAsia="en-US"/>
        </w:rPr>
      </w:pPr>
    </w:p>
    <w:sectPr w:rsidR="00A7152A" w:rsidRPr="00350082" w:rsidSect="003C0142">
      <w:footerReference w:type="first" r:id="rId71"/>
      <w:pgSz w:w="11906" w:h="16838" w:code="9"/>
      <w:pgMar w:top="2466" w:right="2098" w:bottom="2466" w:left="2098" w:header="1899" w:footer="189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146142" w14:textId="77777777" w:rsidR="0042742F" w:rsidRDefault="0042742F" w:rsidP="008F7491">
      <w:pPr>
        <w:spacing w:after="0" w:line="240" w:lineRule="auto"/>
      </w:pPr>
      <w:r>
        <w:separator/>
      </w:r>
    </w:p>
    <w:p w14:paraId="5528D0C4" w14:textId="77777777" w:rsidR="0042742F" w:rsidRDefault="0042742F"/>
  </w:endnote>
  <w:endnote w:type="continuationSeparator" w:id="0">
    <w:p w14:paraId="1F438FDF" w14:textId="77777777" w:rsidR="0042742F" w:rsidRDefault="0042742F" w:rsidP="008F7491">
      <w:pPr>
        <w:spacing w:after="0" w:line="240" w:lineRule="auto"/>
      </w:pPr>
      <w:r>
        <w:continuationSeparator/>
      </w:r>
    </w:p>
    <w:p w14:paraId="1353A6B1" w14:textId="77777777" w:rsidR="0042742F" w:rsidRDefault="0042742F"/>
  </w:endnote>
  <w:endnote w:type="continuationNotice" w:id="1">
    <w:p w14:paraId="70C4BC26" w14:textId="77777777" w:rsidR="0042742F" w:rsidRDefault="0042742F">
      <w:pPr>
        <w:spacing w:after="0" w:line="240" w:lineRule="auto"/>
      </w:pPr>
    </w:p>
    <w:p w14:paraId="0B5342D1" w14:textId="77777777" w:rsidR="0042742F" w:rsidRDefault="004274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Univers 55">
    <w:altName w:val="Calibri"/>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0000000000000000000"/>
    <w:charset w:val="00"/>
    <w:family w:val="roman"/>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wiss 721 B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E578F" w14:textId="77777777" w:rsidR="0042742F" w:rsidRDefault="0042742F" w:rsidP="008E6BEA">
    <w:pPr>
      <w:pStyle w:val="FooterEven"/>
    </w:pPr>
    <w:r>
      <w:t>Page 2</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C0209" w14:textId="6B791070" w:rsidR="0042742F" w:rsidRPr="00EC0A7B" w:rsidRDefault="0042742F" w:rsidP="008E6BEA">
    <w:pPr>
      <w:pStyle w:val="FooterOdd"/>
    </w:pPr>
    <w:r w:rsidRPr="00EC0A7B">
      <w:t xml:space="preserve">Page </w:t>
    </w:r>
    <w:r w:rsidRPr="00EC0A7B">
      <w:rPr>
        <w:rStyle w:val="PageNumber"/>
      </w:rPr>
      <w:fldChar w:fldCharType="begin"/>
    </w:r>
    <w:r w:rsidRPr="00EC0A7B">
      <w:rPr>
        <w:rStyle w:val="PageNumber"/>
      </w:rPr>
      <w:instrText xml:space="preserve"> PAGE </w:instrText>
    </w:r>
    <w:r w:rsidRPr="00EC0A7B">
      <w:rPr>
        <w:rStyle w:val="PageNumber"/>
      </w:rPr>
      <w:fldChar w:fldCharType="separate"/>
    </w:r>
    <w:r w:rsidR="00B54AA7">
      <w:rPr>
        <w:rStyle w:val="PageNumber"/>
        <w:noProof/>
      </w:rPr>
      <w:t>59</w:t>
    </w:r>
    <w:r w:rsidRPr="00EC0A7B">
      <w:rPr>
        <w:rStyle w:v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6A022" w14:textId="64EB80F1" w:rsidR="0042742F" w:rsidRPr="00D611CC" w:rsidRDefault="0042742F" w:rsidP="00D611CC">
    <w:pPr>
      <w:pStyle w:val="FooterEven"/>
    </w:pPr>
    <w:r w:rsidRPr="00D611CC">
      <w:t xml:space="preserve">Page </w:t>
    </w:r>
    <w:r w:rsidRPr="00D611CC">
      <w:rPr>
        <w:rStyle w:val="PageNumber"/>
      </w:rPr>
      <w:fldChar w:fldCharType="begin"/>
    </w:r>
    <w:r w:rsidRPr="00D611CC">
      <w:rPr>
        <w:rStyle w:val="PageNumber"/>
      </w:rPr>
      <w:instrText xml:space="preserve"> PAGE </w:instrText>
    </w:r>
    <w:r w:rsidRPr="00D611CC">
      <w:rPr>
        <w:rStyle w:val="PageNumber"/>
      </w:rPr>
      <w:fldChar w:fldCharType="separate"/>
    </w:r>
    <w:r w:rsidR="007C62B8">
      <w:rPr>
        <w:rStyle w:val="PageNumber"/>
        <w:noProof/>
      </w:rPr>
      <w:t>65</w:t>
    </w:r>
    <w:r w:rsidRPr="00D611CC">
      <w:rPr>
        <w:rStyle w:val="PageNumber"/>
      </w:rPr>
      <w:fldChar w:fldCharType="end"/>
    </w:r>
  </w:p>
  <w:p w14:paraId="79E8C8B6" w14:textId="77777777" w:rsidR="0042742F" w:rsidRDefault="0042742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E9F01" w14:textId="77777777" w:rsidR="0042742F" w:rsidRDefault="0042742F" w:rsidP="008E6BEA">
    <w:pPr>
      <w:pStyle w:val="FooterOdd"/>
    </w:pPr>
    <w:r>
      <w:t>Page 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570"/>
      <w:gridCol w:w="2570"/>
      <w:gridCol w:w="2570"/>
    </w:tblGrid>
    <w:tr w:rsidR="0042742F" w14:paraId="1F02F09F" w14:textId="77777777" w:rsidTr="314A37BE">
      <w:tc>
        <w:tcPr>
          <w:tcW w:w="2570" w:type="dxa"/>
        </w:tcPr>
        <w:p w14:paraId="5AF1F853" w14:textId="4930BE9E" w:rsidR="0042742F" w:rsidRDefault="0042742F" w:rsidP="314A37BE">
          <w:pPr>
            <w:pStyle w:val="Header"/>
            <w:ind w:left="-115"/>
          </w:pPr>
        </w:p>
      </w:tc>
      <w:tc>
        <w:tcPr>
          <w:tcW w:w="2570" w:type="dxa"/>
        </w:tcPr>
        <w:p w14:paraId="29D5F960" w14:textId="61BC91F8" w:rsidR="0042742F" w:rsidRDefault="0042742F" w:rsidP="314A37BE">
          <w:pPr>
            <w:pStyle w:val="Header"/>
            <w:jc w:val="center"/>
          </w:pPr>
        </w:p>
      </w:tc>
      <w:tc>
        <w:tcPr>
          <w:tcW w:w="2570" w:type="dxa"/>
        </w:tcPr>
        <w:p w14:paraId="1C95F3B7" w14:textId="6FC1D331" w:rsidR="0042742F" w:rsidRDefault="0042742F" w:rsidP="314A37BE">
          <w:pPr>
            <w:pStyle w:val="Header"/>
            <w:ind w:right="-115"/>
            <w:jc w:val="right"/>
          </w:pPr>
        </w:p>
      </w:tc>
    </w:tr>
  </w:tbl>
  <w:p w14:paraId="5C4816AB" w14:textId="4BCB79BD" w:rsidR="0042742F" w:rsidRDefault="0042742F" w:rsidP="314A37B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FA654" w14:textId="77777777" w:rsidR="0042742F" w:rsidRDefault="0042742F" w:rsidP="008E6BEA">
    <w:pPr>
      <w:pStyle w:val="FooterOdd"/>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08E72" w14:textId="567BB595" w:rsidR="0042742F" w:rsidRPr="003F68E8" w:rsidRDefault="0042742F" w:rsidP="00D611CC">
    <w:pPr>
      <w:pStyle w:val="FooterEven"/>
    </w:pPr>
    <w:r>
      <w:t xml:space="preserve">Page </w:t>
    </w:r>
    <w:r>
      <w:rPr>
        <w:rStyle w:val="PageNumber"/>
      </w:rPr>
      <w:fldChar w:fldCharType="begin"/>
    </w:r>
    <w:r>
      <w:rPr>
        <w:rStyle w:val="PageNumber"/>
      </w:rPr>
      <w:instrText xml:space="preserve"> PAGE </w:instrText>
    </w:r>
    <w:r>
      <w:rPr>
        <w:rStyle w:val="PageNumber"/>
      </w:rPr>
      <w:fldChar w:fldCharType="separate"/>
    </w:r>
    <w:r w:rsidR="007C62B8">
      <w:rPr>
        <w:rStyle w:val="PageNumber"/>
        <w:noProof/>
      </w:rPr>
      <w:t>14</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6CEA4" w14:textId="75A31AB0" w:rsidR="0042742F" w:rsidRPr="00D611CC" w:rsidRDefault="0042742F" w:rsidP="00F714BF">
    <w:pPr>
      <w:pStyle w:val="FooterOdd"/>
      <w:spacing w:before="40"/>
    </w:pPr>
    <w:r w:rsidRPr="00D611CC">
      <w:t xml:space="preserve">Page </w:t>
    </w:r>
    <w:r w:rsidRPr="00D611CC">
      <w:rPr>
        <w:rStyle w:val="PageNumber"/>
      </w:rPr>
      <w:fldChar w:fldCharType="begin"/>
    </w:r>
    <w:r w:rsidRPr="00D611CC">
      <w:rPr>
        <w:rStyle w:val="PageNumber"/>
      </w:rPr>
      <w:instrText xml:space="preserve"> PAGE </w:instrText>
    </w:r>
    <w:r w:rsidRPr="00D611CC">
      <w:rPr>
        <w:rStyle w:val="PageNumber"/>
      </w:rPr>
      <w:fldChar w:fldCharType="separate"/>
    </w:r>
    <w:r w:rsidR="007C62B8">
      <w:rPr>
        <w:rStyle w:val="PageNumber"/>
        <w:noProof/>
      </w:rPr>
      <w:t>vii</w:t>
    </w:r>
    <w:r w:rsidRPr="00D611CC">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B0B91" w14:textId="0629D550" w:rsidR="0042742F" w:rsidRPr="00BD7360" w:rsidRDefault="0042742F" w:rsidP="008E6BEA">
    <w:pPr>
      <w:pStyle w:val="FooterOdd"/>
    </w:pPr>
    <w:r>
      <w:t xml:space="preserve">Page </w:t>
    </w:r>
    <w:r>
      <w:rPr>
        <w:rStyle w:val="PageNumber"/>
      </w:rPr>
      <w:fldChar w:fldCharType="begin"/>
    </w:r>
    <w:r>
      <w:rPr>
        <w:rStyle w:val="PageNumber"/>
      </w:rPr>
      <w:instrText xml:space="preserve"> PAGE </w:instrText>
    </w:r>
    <w:r>
      <w:rPr>
        <w:rStyle w:val="PageNumber"/>
      </w:rPr>
      <w:fldChar w:fldCharType="separate"/>
    </w:r>
    <w:r w:rsidR="00B54AA7">
      <w:rPr>
        <w:rStyle w:val="PageNumber"/>
        <w:noProof/>
      </w:rPr>
      <w:t>iii</w:t>
    </w:r>
    <w:r>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C54A4" w14:textId="59D5D26E" w:rsidR="0042742F" w:rsidRPr="00D611CC" w:rsidRDefault="0042742F" w:rsidP="00D611CC">
    <w:pPr>
      <w:pStyle w:val="FooterOdd"/>
    </w:pPr>
    <w:r w:rsidRPr="00D611CC">
      <w:t xml:space="preserve">Page </w:t>
    </w:r>
    <w:r w:rsidRPr="00D611CC">
      <w:rPr>
        <w:rStyle w:val="PageNumber"/>
      </w:rPr>
      <w:fldChar w:fldCharType="begin"/>
    </w:r>
    <w:r w:rsidRPr="00D611CC">
      <w:rPr>
        <w:rStyle w:val="PageNumber"/>
      </w:rPr>
      <w:instrText xml:space="preserve"> PAGE </w:instrText>
    </w:r>
    <w:r w:rsidRPr="00D611CC">
      <w:rPr>
        <w:rStyle w:val="PageNumber"/>
      </w:rPr>
      <w:fldChar w:fldCharType="separate"/>
    </w:r>
    <w:r w:rsidR="007C62B8">
      <w:rPr>
        <w:rStyle w:val="PageNumber"/>
        <w:noProof/>
      </w:rPr>
      <w:t>1</w:t>
    </w:r>
    <w:r w:rsidRPr="00D611CC">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D688" w14:textId="741DEF0A" w:rsidR="0042742F" w:rsidRPr="00BD7360" w:rsidRDefault="0042742F" w:rsidP="008E6BEA">
    <w:pPr>
      <w:pStyle w:val="FooterOdd"/>
    </w:pPr>
    <w:r>
      <w:t xml:space="preserve">Page </w:t>
    </w:r>
    <w:r>
      <w:rPr>
        <w:rStyle w:val="PageNumber"/>
      </w:rPr>
      <w:fldChar w:fldCharType="begin"/>
    </w:r>
    <w:r>
      <w:rPr>
        <w:rStyle w:val="PageNumber"/>
      </w:rPr>
      <w:instrText xml:space="preserve"> PAGE </w:instrText>
    </w:r>
    <w:r>
      <w:rPr>
        <w:rStyle w:val="PageNumber"/>
      </w:rPr>
      <w:fldChar w:fldCharType="separate"/>
    </w:r>
    <w:r w:rsidR="00B54AA7">
      <w:rPr>
        <w:rStyle w:val="PageNumber"/>
        <w:noProof/>
      </w:rPr>
      <w:t>41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5D2FDF" w14:textId="32ED0072" w:rsidR="0042742F" w:rsidRDefault="0042742F" w:rsidP="00630BF8">
      <w:pPr>
        <w:spacing w:after="0" w:line="240" w:lineRule="auto"/>
      </w:pPr>
      <w:r>
        <w:separator/>
      </w:r>
    </w:p>
  </w:footnote>
  <w:footnote w:type="continuationSeparator" w:id="0">
    <w:p w14:paraId="44686C0F" w14:textId="77777777" w:rsidR="0042742F" w:rsidRDefault="0042742F" w:rsidP="008F7491">
      <w:pPr>
        <w:spacing w:after="0" w:line="240" w:lineRule="auto"/>
      </w:pPr>
      <w:r>
        <w:continuationSeparator/>
      </w:r>
    </w:p>
    <w:p w14:paraId="3554E99F" w14:textId="77777777" w:rsidR="0042742F" w:rsidRDefault="0042742F"/>
  </w:footnote>
  <w:footnote w:type="continuationNotice" w:id="1">
    <w:p w14:paraId="0EC0AC88" w14:textId="77777777" w:rsidR="0042742F" w:rsidRDefault="0042742F">
      <w:pPr>
        <w:spacing w:after="0" w:line="240" w:lineRule="auto"/>
      </w:pPr>
    </w:p>
    <w:p w14:paraId="288B54AA" w14:textId="77777777" w:rsidR="0042742F" w:rsidRDefault="0042742F"/>
  </w:footnote>
  <w:footnote w:id="2">
    <w:p w14:paraId="5C79C9BA" w14:textId="598D10FE" w:rsidR="0042742F" w:rsidRPr="00B073BB" w:rsidRDefault="00630BF8" w:rsidP="00630BF8">
      <w:pPr>
        <w:tabs>
          <w:tab w:val="left" w:pos="0"/>
        </w:tabs>
        <w:spacing w:after="0"/>
        <w:ind w:left="340" w:hanging="340"/>
        <w:rPr>
          <w:color w:val="auto"/>
          <w:szCs w:val="17"/>
        </w:rPr>
      </w:pPr>
      <w:r w:rsidRPr="00630BF8">
        <w:rPr>
          <w:rStyle w:val="FootnoteReference"/>
          <w:color w:val="auto"/>
          <w:szCs w:val="17"/>
          <w:vertAlign w:val="baseline"/>
        </w:rPr>
        <w:footnoteRef/>
      </w:r>
      <w:r w:rsidR="0042742F" w:rsidRPr="00B073BB">
        <w:rPr>
          <w:color w:val="auto"/>
          <w:szCs w:val="17"/>
        </w:rPr>
        <w:t xml:space="preserve"> </w:t>
      </w:r>
      <w:r>
        <w:rPr>
          <w:color w:val="auto"/>
          <w:szCs w:val="17"/>
        </w:rPr>
        <w:tab/>
      </w:r>
      <w:r w:rsidR="0042742F" w:rsidRPr="00B073BB">
        <w:rPr>
          <w:color w:val="auto"/>
          <w:szCs w:val="17"/>
        </w:rPr>
        <w:t>It was announced in March</w:t>
      </w:r>
      <w:r w:rsidR="00986C32">
        <w:rPr>
          <w:color w:val="auto"/>
          <w:szCs w:val="17"/>
        </w:rPr>
        <w:t> </w:t>
      </w:r>
      <w:r w:rsidR="0042742F" w:rsidRPr="00B073BB">
        <w:rPr>
          <w:color w:val="auto"/>
          <w:szCs w:val="17"/>
        </w:rPr>
        <w:t>2020 that deeming rates will decrease further, and significantly, on 1</w:t>
      </w:r>
      <w:r w:rsidR="00986C32">
        <w:rPr>
          <w:color w:val="auto"/>
          <w:szCs w:val="17"/>
        </w:rPr>
        <w:t> </w:t>
      </w:r>
      <w:r w:rsidR="0042742F" w:rsidRPr="00B073BB">
        <w:rPr>
          <w:color w:val="auto"/>
          <w:szCs w:val="17"/>
        </w:rPr>
        <w:t>May</w:t>
      </w:r>
      <w:r w:rsidR="00986C32">
        <w:rPr>
          <w:color w:val="auto"/>
          <w:szCs w:val="17"/>
        </w:rPr>
        <w:t> </w:t>
      </w:r>
      <w:r w:rsidR="0042742F" w:rsidRPr="00B073BB">
        <w:rPr>
          <w:color w:val="auto"/>
          <w:szCs w:val="17"/>
        </w:rPr>
        <w:t>2020. For those earning below the threshold ($51,800 for singles), the deeming rate will reduce from 1.00% to 0.25%%, and for those above the threshold, the deeming rate will reduce from 3.00% to 2.25%. These changes will be reflected in the 2020 valuation.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549AF" w14:textId="77777777" w:rsidR="0042742F" w:rsidRDefault="0042742F" w:rsidP="008E6BEA">
    <w:pPr>
      <w:pStyle w:val="HeaderEven"/>
    </w:pPr>
    <w:r>
      <w:t>Second report on the costs of the Australian Government’s Run</w:t>
    </w:r>
    <w:r>
      <w:noBreakHyphen/>
      <w:t>Off Cover Scheme</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0169C" w14:textId="51B1C093" w:rsidR="0042742F" w:rsidRPr="00612A67" w:rsidRDefault="0042742F" w:rsidP="008E7F01">
    <w:pPr>
      <w:pStyle w:val="Header"/>
      <w:pBdr>
        <w:bottom w:val="single" w:sz="4" w:space="1" w:color="C00000"/>
      </w:pBdr>
      <w:tabs>
        <w:tab w:val="left" w:pos="7088"/>
      </w:tabs>
    </w:pPr>
    <w:r>
      <w:t>Australian Priority Investment Approach to Welfare: 30 June 2019 Valuation Report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AB147" w14:textId="77777777" w:rsidR="0042742F" w:rsidRPr="0052425B" w:rsidRDefault="0042742F" w:rsidP="008E6BEA">
    <w:pPr>
      <w:pStyle w:val="HeaderOdd"/>
      <w:jc w:val="left"/>
    </w:pPr>
    <w:r>
      <w:t xml:space="preserve">Second </w:t>
    </w:r>
    <w:r w:rsidRPr="0052425B">
      <w:t>Report on the costs of the Australian Government</w:t>
    </w:r>
    <w:r>
      <w:t>’</w:t>
    </w:r>
    <w:r w:rsidRPr="0052425B">
      <w:t xml:space="preserve">s </w:t>
    </w:r>
    <w:r w:rsidRPr="00FC6F97">
      <w:rPr>
        <w:lang w:val="en-US"/>
      </w:rPr>
      <w:t>Run</w:t>
    </w:r>
    <w:r>
      <w:rPr>
        <w:lang w:val="en-US"/>
      </w:rPr>
      <w:noBreakHyphen/>
    </w:r>
    <w:r w:rsidRPr="00FC6F97">
      <w:rPr>
        <w:lang w:val="en-US"/>
      </w:rPr>
      <w:t>Off Cover Scheme</w:t>
    </w:r>
    <w:r w:rsidRPr="0052425B">
      <w:t xml:space="preserve"> for Medical Indemnity Insurers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FB804" w14:textId="3DCB17DD" w:rsidR="0042742F" w:rsidRPr="0052425B" w:rsidRDefault="0042742F" w:rsidP="008E6BEA">
    <w:pPr>
      <w:pStyle w:val="Header"/>
      <w:jc w:val="center"/>
    </w:pPr>
    <w:r>
      <w:rPr>
        <w:noProof/>
      </w:rPr>
      <w:drawing>
        <wp:anchor distT="0" distB="0" distL="114300" distR="114300" simplePos="0" relativeHeight="251657216" behindDoc="1" locked="0" layoutInCell="1" allowOverlap="1" wp14:anchorId="120C237E" wp14:editId="7AFDFAB1">
          <wp:simplePos x="0" y="0"/>
          <wp:positionH relativeFrom="page">
            <wp:align>right</wp:align>
          </wp:positionH>
          <wp:positionV relativeFrom="paragraph">
            <wp:posOffset>-1534795</wp:posOffset>
          </wp:positionV>
          <wp:extent cx="7533317" cy="1065600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3317" cy="1065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A66CF" w14:textId="6DF7260D" w:rsidR="0042742F" w:rsidRPr="006E6B0A" w:rsidRDefault="0042742F" w:rsidP="00DA665A">
    <w:pPr>
      <w:pStyle w:val="Header"/>
      <w:pBdr>
        <w:bottom w:val="single" w:sz="4" w:space="1" w:color="C00000"/>
      </w:pBdr>
      <w:tabs>
        <w:tab w:val="left" w:pos="7088"/>
      </w:tabs>
    </w:pPr>
    <w:r>
      <w:t>Australian Priority Investment Approach to Welfare: 30 June 2019 Valuation Report</w:t>
    </w:r>
    <w:r w:rsidRPr="00520714" w:rsidDel="00DA665A">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68737" w14:textId="01E3687D" w:rsidR="0042742F" w:rsidRPr="006E6B0A" w:rsidRDefault="0042742F" w:rsidP="00DA665A">
    <w:pPr>
      <w:pStyle w:val="Header"/>
      <w:pBdr>
        <w:bottom w:val="single" w:sz="4" w:space="1" w:color="C00000"/>
      </w:pBdr>
      <w:tabs>
        <w:tab w:val="left" w:pos="7088"/>
      </w:tabs>
    </w:pPr>
    <w:r>
      <w:t>Australian Priority Investment Approach to Welfare: 30 June 2019 Valuation Report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61D4B" w14:textId="652D2D33" w:rsidR="0042742F" w:rsidRPr="0052425B" w:rsidRDefault="0042742F" w:rsidP="008E6BEA">
    <w:pPr>
      <w:pStyle w:val="Header"/>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FD75C" w14:textId="77777777" w:rsidR="0042742F" w:rsidRPr="003F68E8" w:rsidRDefault="0042742F" w:rsidP="008E6BE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73046" w14:textId="17C6AE31" w:rsidR="0042742F" w:rsidRPr="00EC0A7B" w:rsidRDefault="0042742F" w:rsidP="008E7F01">
    <w:pPr>
      <w:pStyle w:val="Header"/>
      <w:pBdr>
        <w:bottom w:val="single" w:sz="4" w:space="1" w:color="C00000"/>
      </w:pBdr>
      <w:tabs>
        <w:tab w:val="left" w:pos="7088"/>
      </w:tabs>
    </w:pPr>
    <w:r>
      <w:t>Australian Priority Investment Approach to Welfare: 30 June 2019 Valuation Report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C4789" w14:textId="4668B750" w:rsidR="0042742F" w:rsidRPr="008E7F01" w:rsidRDefault="0042742F" w:rsidP="008E7F01">
    <w:pPr>
      <w:pStyle w:val="Header"/>
      <w:pBdr>
        <w:bottom w:val="single" w:sz="4" w:space="1" w:color="C00000"/>
      </w:pBdr>
      <w:tabs>
        <w:tab w:val="left" w:pos="7088"/>
      </w:tabs>
    </w:pPr>
    <w:r>
      <w:t>Australian Priority Investment Approach to Welfare: 30 June 2019 Valuation 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F15E9"/>
    <w:multiLevelType w:val="multilevel"/>
    <w:tmpl w:val="0C70999A"/>
    <w:styleLink w:val="NormalWhiteBullet"/>
    <w:lvl w:ilvl="0">
      <w:start w:val="1"/>
      <w:numFmt w:val="bullet"/>
      <w:pStyle w:val="TableTextNormalWhiteBullet"/>
      <w:lvlText w:val=""/>
      <w:lvlJc w:val="left"/>
      <w:pPr>
        <w:ind w:left="284" w:hanging="284"/>
      </w:pPr>
      <w:rPr>
        <w:rFonts w:ascii="Symbol" w:hAnsi="Symbol"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57214D9"/>
    <w:multiLevelType w:val="multilevel"/>
    <w:tmpl w:val="3F3A237A"/>
    <w:name w:val="StandardBulletedList"/>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8112352"/>
    <w:multiLevelType w:val="multilevel"/>
    <w:tmpl w:val="A0E0581C"/>
    <w:styleLink w:val="Bullets"/>
    <w:lvl w:ilvl="0">
      <w:start w:val="1"/>
      <w:numFmt w:val="bullet"/>
      <w:lvlText w:val=""/>
      <w:lvlJc w:val="left"/>
      <w:pPr>
        <w:tabs>
          <w:tab w:val="num" w:pos="284"/>
        </w:tabs>
        <w:ind w:left="284" w:hanging="284"/>
      </w:pPr>
      <w:rPr>
        <w:rFonts w:ascii="Symbol" w:hAnsi="Symbol" w:hint="default"/>
        <w:color w:val="404040" w:themeColor="text1" w:themeTint="BF"/>
      </w:rPr>
    </w:lvl>
    <w:lvl w:ilvl="1">
      <w:start w:val="1"/>
      <w:numFmt w:val="bullet"/>
      <w:lvlText w:val="–"/>
      <w:lvlJc w:val="left"/>
      <w:pPr>
        <w:tabs>
          <w:tab w:val="num" w:pos="567"/>
        </w:tabs>
        <w:ind w:left="568" w:hanging="284"/>
      </w:pPr>
      <w:rPr>
        <w:rFonts w:ascii="Arial" w:hAnsi="Arial" w:cs="Times New Roman" w:hint="default"/>
        <w:color w:val="404040" w:themeColor="text1" w:themeTint="BF"/>
      </w:rPr>
    </w:lvl>
    <w:lvl w:ilvl="2">
      <w:start w:val="1"/>
      <w:numFmt w:val="bullet"/>
      <w:lvlText w:val="◦"/>
      <w:lvlJc w:val="left"/>
      <w:pPr>
        <w:tabs>
          <w:tab w:val="num" w:pos="851"/>
        </w:tabs>
        <w:ind w:left="852" w:hanging="284"/>
      </w:pPr>
      <w:rPr>
        <w:rFonts w:ascii="Georgia" w:hAnsi="Georgia" w:hint="default"/>
        <w:color w:val="auto"/>
      </w:rPr>
    </w:lvl>
    <w:lvl w:ilvl="3">
      <w:start w:val="1"/>
      <w:numFmt w:val="bullet"/>
      <w:lvlText w:val=""/>
      <w:lvlJc w:val="left"/>
      <w:pPr>
        <w:tabs>
          <w:tab w:val="num" w:pos="1134"/>
        </w:tabs>
        <w:ind w:left="1136" w:hanging="284"/>
      </w:pPr>
      <w:rPr>
        <w:rFonts w:ascii="Symbol" w:hAnsi="Symbol" w:hint="default"/>
        <w:color w:val="auto"/>
      </w:rPr>
    </w:lvl>
    <w:lvl w:ilvl="4">
      <w:start w:val="1"/>
      <w:numFmt w:val="lowerLetter"/>
      <w:lvlText w:val="(%5)"/>
      <w:lvlJc w:val="left"/>
      <w:pPr>
        <w:tabs>
          <w:tab w:val="num" w:pos="1418"/>
        </w:tabs>
        <w:ind w:left="1420" w:hanging="284"/>
      </w:pPr>
    </w:lvl>
    <w:lvl w:ilvl="5">
      <w:start w:val="1"/>
      <w:numFmt w:val="lowerRoman"/>
      <w:lvlText w:val="(%6)"/>
      <w:lvlJc w:val="left"/>
      <w:pPr>
        <w:tabs>
          <w:tab w:val="num" w:pos="1701"/>
        </w:tabs>
        <w:ind w:left="1701" w:hanging="281"/>
      </w:pPr>
    </w:lvl>
    <w:lvl w:ilvl="6">
      <w:start w:val="1"/>
      <w:numFmt w:val="decimal"/>
      <w:lvlText w:val="%7."/>
      <w:lvlJc w:val="left"/>
      <w:pPr>
        <w:tabs>
          <w:tab w:val="num" w:pos="1985"/>
        </w:tabs>
        <w:ind w:left="1985" w:hanging="284"/>
      </w:pPr>
    </w:lvl>
    <w:lvl w:ilvl="7">
      <w:start w:val="1"/>
      <w:numFmt w:val="lowerLetter"/>
      <w:lvlText w:val="%8."/>
      <w:lvlJc w:val="left"/>
      <w:pPr>
        <w:tabs>
          <w:tab w:val="num" w:pos="2268"/>
        </w:tabs>
        <w:ind w:left="2268" w:hanging="283"/>
      </w:pPr>
    </w:lvl>
    <w:lvl w:ilvl="8">
      <w:start w:val="1"/>
      <w:numFmt w:val="lowerRoman"/>
      <w:lvlText w:val="%9."/>
      <w:lvlJc w:val="left"/>
      <w:pPr>
        <w:tabs>
          <w:tab w:val="num" w:pos="2552"/>
        </w:tabs>
        <w:ind w:left="2552" w:hanging="284"/>
      </w:pPr>
    </w:lvl>
  </w:abstractNum>
  <w:abstractNum w:abstractNumId="3" w15:restartNumberingAfterBreak="0">
    <w:nsid w:val="12BA1656"/>
    <w:multiLevelType w:val="hybridMultilevel"/>
    <w:tmpl w:val="933CE378"/>
    <w:name w:val="StandardNumberedList222"/>
    <w:lvl w:ilvl="0" w:tplc="13BA2C4E">
      <w:start w:val="1"/>
      <w:numFmt w:val="decimal"/>
      <w:pStyle w:val="OutlineNumbered45"/>
      <w:lvlText w:val="4.5.%1"/>
      <w:lvlJc w:val="left"/>
      <w:pPr>
        <w:ind w:left="720" w:hanging="360"/>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9C960FD"/>
    <w:multiLevelType w:val="multilevel"/>
    <w:tmpl w:val="4D9CCDFA"/>
    <w:name w:val="OneLevelNumberedParagraphList"/>
    <w:lvl w:ilvl="0">
      <w:start w:val="1"/>
      <w:numFmt w:val="decimal"/>
      <w:lvlRestart w:val="0"/>
      <w:lvlText w:val="%1."/>
      <w:lvlJc w:val="left"/>
      <w:pPr>
        <w:tabs>
          <w:tab w:val="num" w:pos="567"/>
        </w:tabs>
        <w:ind w:left="567" w:hanging="567"/>
      </w:pPr>
      <w:rPr>
        <w:rFonts w:ascii="Times New Roman" w:hAnsi="Times New Roman" w:cs="Times New Roman"/>
        <w:b w:val="0"/>
        <w:i w:val="0"/>
        <w:color w:val="000000"/>
      </w:rPr>
    </w:lvl>
    <w:lvl w:ilvl="1">
      <w:start w:val="1"/>
      <w:numFmt w:val="decimal"/>
      <w:lvlText w:val="%2"/>
      <w:lvlJc w:val="left"/>
      <w:pPr>
        <w:tabs>
          <w:tab w:val="num" w:pos="1134"/>
        </w:tabs>
        <w:ind w:left="1134" w:hanging="567"/>
      </w:pPr>
      <w:rPr>
        <w:rFonts w:ascii="Times New Roman" w:hAnsi="Times New Roman" w:cs="Times New Roman"/>
        <w:b w:val="0"/>
        <w:i w:val="0"/>
        <w:color w:val="000000"/>
      </w:rPr>
    </w:lvl>
    <w:lvl w:ilvl="2">
      <w:start w:val="1"/>
      <w:numFmt w:val="decimal"/>
      <w:lvlText w:val="%3"/>
      <w:lvlJc w:val="left"/>
      <w:pPr>
        <w:tabs>
          <w:tab w:val="num" w:pos="1701"/>
        </w:tabs>
        <w:ind w:left="1701" w:hanging="567"/>
      </w:pPr>
      <w:rPr>
        <w:rFonts w:ascii="Times New Roman" w:hAnsi="Times New Roman" w:cs="Times New Roman"/>
        <w:b w:val="0"/>
        <w:i w:val="0"/>
        <w:color w:val="000000"/>
      </w:rPr>
    </w:lvl>
    <w:lvl w:ilvl="3">
      <w:start w:val="1"/>
      <w:numFmt w:val="decimal"/>
      <w:lvlText w:val="%4"/>
      <w:lvlJc w:val="left"/>
      <w:pPr>
        <w:tabs>
          <w:tab w:val="num" w:pos="2268"/>
        </w:tabs>
        <w:ind w:left="2268" w:hanging="567"/>
      </w:pPr>
      <w:rPr>
        <w:rFonts w:ascii="Times New Roman" w:hAnsi="Times New Roman" w:cs="Times New Roman"/>
        <w:b w:val="0"/>
        <w:i w:val="0"/>
        <w:color w:val="000000"/>
      </w:rPr>
    </w:lvl>
    <w:lvl w:ilvl="4">
      <w:start w:val="1"/>
      <w:numFmt w:val="decimal"/>
      <w:lvlText w:val="%5"/>
      <w:lvlJc w:val="left"/>
      <w:pPr>
        <w:tabs>
          <w:tab w:val="num" w:pos="2835"/>
        </w:tabs>
        <w:ind w:left="2835" w:hanging="567"/>
      </w:pPr>
      <w:rPr>
        <w:rFonts w:ascii="Times New Roman" w:hAnsi="Times New Roman" w:cs="Times New Roman"/>
        <w:b w:val="0"/>
        <w:i w:val="0"/>
        <w:color w:val="000000"/>
      </w:rPr>
    </w:lvl>
    <w:lvl w:ilvl="5">
      <w:start w:val="1"/>
      <w:numFmt w:val="decimal"/>
      <w:lvlText w:val="%6"/>
      <w:lvlJc w:val="left"/>
      <w:pPr>
        <w:tabs>
          <w:tab w:val="num" w:pos="3402"/>
        </w:tabs>
        <w:ind w:left="3402" w:hanging="567"/>
      </w:pPr>
      <w:rPr>
        <w:rFonts w:ascii="Times New Roman" w:hAnsi="Times New Roman" w:cs="Times New Roman"/>
        <w:b w:val="0"/>
        <w:i w:val="0"/>
        <w:color w:val="000000"/>
      </w:rPr>
    </w:lvl>
    <w:lvl w:ilvl="6">
      <w:start w:val="1"/>
      <w:numFmt w:val="decimal"/>
      <w:lvlText w:val="%7"/>
      <w:lvlJc w:val="left"/>
      <w:pPr>
        <w:tabs>
          <w:tab w:val="num" w:pos="3969"/>
        </w:tabs>
        <w:ind w:left="3969" w:hanging="567"/>
      </w:pPr>
      <w:rPr>
        <w:rFonts w:ascii="Times New Roman" w:hAnsi="Times New Roman" w:cs="Times New Roman"/>
        <w:b w:val="0"/>
        <w:i w:val="0"/>
        <w:color w:val="000000"/>
      </w:rPr>
    </w:lvl>
    <w:lvl w:ilvl="7">
      <w:start w:val="1"/>
      <w:numFmt w:val="decimal"/>
      <w:lvlText w:val="%8"/>
      <w:lvlJc w:val="left"/>
      <w:pPr>
        <w:tabs>
          <w:tab w:val="num" w:pos="4536"/>
        </w:tabs>
        <w:ind w:left="4536" w:hanging="567"/>
      </w:pPr>
      <w:rPr>
        <w:rFonts w:ascii="Times New Roman" w:hAnsi="Times New Roman" w:cs="Times New Roman"/>
        <w:b w:val="0"/>
        <w:i w:val="0"/>
        <w:color w:val="000000"/>
      </w:rPr>
    </w:lvl>
    <w:lvl w:ilvl="8">
      <w:start w:val="1"/>
      <w:numFmt w:val="decimal"/>
      <w:lvlText w:val="%9"/>
      <w:lvlJc w:val="left"/>
      <w:pPr>
        <w:tabs>
          <w:tab w:val="num" w:pos="5103"/>
        </w:tabs>
        <w:ind w:left="5103" w:hanging="567"/>
      </w:pPr>
      <w:rPr>
        <w:rFonts w:ascii="Times New Roman" w:hAnsi="Times New Roman" w:cs="Times New Roman"/>
        <w:b w:val="0"/>
        <w:i w:val="0"/>
        <w:color w:val="000000"/>
      </w:rPr>
    </w:lvl>
  </w:abstractNum>
  <w:abstractNum w:abstractNumId="5" w15:restartNumberingAfterBreak="0">
    <w:nsid w:val="1F0362CA"/>
    <w:multiLevelType w:val="hybridMultilevel"/>
    <w:tmpl w:val="47B686B0"/>
    <w:name w:val="StandardNumberedList2222"/>
    <w:lvl w:ilvl="0" w:tplc="D6261A5A">
      <w:start w:val="1"/>
      <w:numFmt w:val="decimal"/>
      <w:pStyle w:val="OutlineNumbered46"/>
      <w:lvlText w:val="4.6.%1"/>
      <w:lvlJc w:val="left"/>
      <w:pPr>
        <w:ind w:left="720" w:hanging="360"/>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FDD0F5A"/>
    <w:multiLevelType w:val="singleLevel"/>
    <w:tmpl w:val="6F14EA2A"/>
    <w:name w:val="StandardNumberedParagraphList"/>
    <w:lvl w:ilvl="0">
      <w:start w:val="2"/>
      <w:numFmt w:val="decimal"/>
      <w:lvlText w:val="%1"/>
      <w:lvlJc w:val="left"/>
      <w:pPr>
        <w:tabs>
          <w:tab w:val="num" w:pos="850"/>
        </w:tabs>
        <w:ind w:left="850" w:hanging="850"/>
      </w:pPr>
    </w:lvl>
  </w:abstractNum>
  <w:abstractNum w:abstractNumId="7" w15:restartNumberingAfterBreak="0">
    <w:nsid w:val="23C201DF"/>
    <w:multiLevelType w:val="hybridMultilevel"/>
    <w:tmpl w:val="CE263AFC"/>
    <w:lvl w:ilvl="0" w:tplc="69A44884">
      <w:start w:val="1"/>
      <w:numFmt w:val="decimal"/>
      <w:pStyle w:val="OutlineNumbered373"/>
      <w:lvlText w:val="3.7.3.%1."/>
      <w:lvlJc w:val="left"/>
      <w:pPr>
        <w:ind w:left="2138" w:hanging="360"/>
      </w:pPr>
      <w:rPr>
        <w:rFonts w:hint="default"/>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8" w15:restartNumberingAfterBreak="0">
    <w:nsid w:val="27440C8B"/>
    <w:multiLevelType w:val="multilevel"/>
    <w:tmpl w:val="D0222E32"/>
    <w:name w:val="StandardBulletedList_"/>
    <w:lvl w:ilvl="0">
      <w:start w:val="1"/>
      <w:numFmt w:val="bullet"/>
      <w:lvlRestart w:val="0"/>
      <w:pStyle w:val="Bullet"/>
      <w:lvlText w:val="•"/>
      <w:lvlJc w:val="left"/>
      <w:pPr>
        <w:tabs>
          <w:tab w:val="num" w:pos="992"/>
        </w:tabs>
        <w:ind w:left="992" w:hanging="283"/>
      </w:pPr>
      <w:rPr>
        <w:rFonts w:ascii="Times New Roman" w:hAnsi="Times New Roman" w:hint="default"/>
        <w:b w:val="0"/>
        <w:i w:val="0"/>
      </w:rPr>
    </w:lvl>
    <w:lvl w:ilvl="1">
      <w:start w:val="1"/>
      <w:numFmt w:val="bullet"/>
      <w:lvlText w:val="–"/>
      <w:lvlJc w:val="left"/>
      <w:pPr>
        <w:tabs>
          <w:tab w:val="num" w:pos="1276"/>
        </w:tabs>
        <w:ind w:left="1276" w:hanging="284"/>
      </w:pPr>
      <w:rPr>
        <w:rFonts w:ascii="Times New Roman" w:hAnsi="Times New Roman" w:cs="Times New Roman"/>
        <w:b w:val="0"/>
        <w:i w:val="0"/>
      </w:rPr>
    </w:lvl>
    <w:lvl w:ilvl="2">
      <w:start w:val="1"/>
      <w:numFmt w:val="bullet"/>
      <w:lvlText w:val=":"/>
      <w:lvlJc w:val="left"/>
      <w:pPr>
        <w:tabs>
          <w:tab w:val="num" w:pos="1559"/>
        </w:tabs>
        <w:ind w:left="1559"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9" w15:restartNumberingAfterBreak="0">
    <w:nsid w:val="2BBD1E40"/>
    <w:multiLevelType w:val="multilevel"/>
    <w:tmpl w:val="F2843F60"/>
    <w:name w:val="AppendixNumberedParagraphList"/>
    <w:lvl w:ilvl="0">
      <w:start w:val="1"/>
      <w:numFmt w:val="decimal"/>
      <w:lvlRestart w:val="0"/>
      <w:pStyle w:val="AppendixHeading"/>
      <w:lvlText w:val=""/>
      <w:lvlJc w:val="left"/>
      <w:pPr>
        <w:tabs>
          <w:tab w:val="num" w:pos="0"/>
        </w:tabs>
        <w:ind w:left="0" w:firstLine="0"/>
      </w:pPr>
      <w:rPr>
        <w:b w:val="0"/>
        <w:i w:val="0"/>
        <w:color w:val="000000"/>
      </w:rPr>
    </w:lvl>
    <w:lvl w:ilvl="1">
      <w:start w:val="1"/>
      <w:numFmt w:val="decimal"/>
      <w:pStyle w:val="AppendixParagraph"/>
      <w:lvlText w:val="A.%1.%2"/>
      <w:lvlJc w:val="left"/>
      <w:pPr>
        <w:tabs>
          <w:tab w:val="num" w:pos="709"/>
        </w:tabs>
        <w:ind w:left="0" w:firstLine="0"/>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10" w15:restartNumberingAfterBreak="0">
    <w:nsid w:val="2D665DFA"/>
    <w:multiLevelType w:val="singleLevel"/>
    <w:tmpl w:val="66ECCB6A"/>
    <w:name w:val="OneLevelAlphaParagraphList"/>
    <w:lvl w:ilvl="0">
      <w:start w:val="1"/>
      <w:numFmt w:val="lowerLetter"/>
      <w:lvlRestart w:val="0"/>
      <w:lvlText w:val="(%1)"/>
      <w:lvlJc w:val="left"/>
      <w:pPr>
        <w:tabs>
          <w:tab w:val="num" w:pos="567"/>
        </w:tabs>
        <w:ind w:left="567" w:hanging="567"/>
      </w:pPr>
      <w:rPr>
        <w:rFonts w:ascii="Univers 55" w:hAnsi="Univers 55"/>
        <w:b w:val="0"/>
        <w:i w:val="0"/>
        <w:sz w:val="20"/>
      </w:rPr>
    </w:lvl>
  </w:abstractNum>
  <w:abstractNum w:abstractNumId="11" w15:restartNumberingAfterBreak="0">
    <w:nsid w:val="361C063C"/>
    <w:multiLevelType w:val="hybridMultilevel"/>
    <w:tmpl w:val="81CA99F8"/>
    <w:name w:val="StandardNumberedList2"/>
    <w:lvl w:ilvl="0" w:tplc="45A42832">
      <w:start w:val="1"/>
      <w:numFmt w:val="decimal"/>
      <w:pStyle w:val="OutlineNumbered43"/>
      <w:lvlText w:val="4.3.%1"/>
      <w:lvlJc w:val="left"/>
      <w:pPr>
        <w:ind w:left="720" w:hanging="360"/>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6CB4923"/>
    <w:multiLevelType w:val="hybridMultilevel"/>
    <w:tmpl w:val="069277CC"/>
    <w:name w:val="StandardNumberedList22"/>
    <w:lvl w:ilvl="0" w:tplc="F38A94A8">
      <w:start w:val="1"/>
      <w:numFmt w:val="decimal"/>
      <w:pStyle w:val="OutlineNumbered44"/>
      <w:lvlText w:val="4.4.%1"/>
      <w:lvlJc w:val="left"/>
      <w:pPr>
        <w:ind w:left="720" w:hanging="360"/>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1703027"/>
    <w:multiLevelType w:val="hybridMultilevel"/>
    <w:tmpl w:val="4D7E41B4"/>
    <w:lvl w:ilvl="0" w:tplc="26D2AB32">
      <w:start w:val="1"/>
      <w:numFmt w:val="decimal"/>
      <w:pStyle w:val="ChartandTableFootnoteAlpha-Indent"/>
      <w:lvlText w:val="%1."/>
      <w:lvlJc w:val="left"/>
      <w:pPr>
        <w:tabs>
          <w:tab w:val="num" w:pos="794"/>
        </w:tabs>
        <w:ind w:left="794" w:hanging="227"/>
      </w:pPr>
      <w:rPr>
        <w:rFonts w:ascii="Arial" w:hAnsi="Arial" w:hint="default"/>
        <w:b w:val="0"/>
        <w:i w:val="0"/>
        <w:caps w:val="0"/>
        <w:strike w:val="0"/>
        <w:dstrike w:val="0"/>
        <w:vanish w:val="0"/>
        <w:sz w:val="16"/>
        <w:vertAlign w:val="baseline"/>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4" w15:restartNumberingAfterBreak="0">
    <w:nsid w:val="42267E70"/>
    <w:multiLevelType w:val="hybridMultilevel"/>
    <w:tmpl w:val="A880A7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477E5F4D"/>
    <w:multiLevelType w:val="multilevel"/>
    <w:tmpl w:val="A3CEC064"/>
    <w:styleLink w:val="Numbers"/>
    <w:lvl w:ilvl="0">
      <w:start w:val="1"/>
      <w:numFmt w:val="decimal"/>
      <w:lvlRestart w:val="0"/>
      <w:lvlText w:val="%1."/>
      <w:lvlJc w:val="left"/>
      <w:pPr>
        <w:tabs>
          <w:tab w:val="num" w:pos="709"/>
        </w:tabs>
        <w:ind w:left="0" w:firstLine="0"/>
      </w:pPr>
      <w:rPr>
        <w:rFonts w:ascii="Arial" w:hAnsi="Arial" w:cs="Arial" w:hint="default"/>
        <w:b/>
        <w:i w:val="0"/>
      </w:rPr>
    </w:lvl>
    <w:lvl w:ilvl="1">
      <w:start w:val="1"/>
      <w:numFmt w:val="decimal"/>
      <w:lvlText w:val="%1.%2"/>
      <w:lvlJc w:val="left"/>
      <w:pPr>
        <w:tabs>
          <w:tab w:val="num" w:pos="709"/>
        </w:tabs>
        <w:ind w:left="0" w:firstLine="0"/>
      </w:pPr>
      <w:rPr>
        <w:rFonts w:ascii="Univers 55" w:hAnsi="Univers 55" w:hint="default"/>
        <w:b w:val="0"/>
        <w:i w:val="0"/>
      </w:rPr>
    </w:lvl>
    <w:lvl w:ilvl="2">
      <w:start w:val="1"/>
      <w:numFmt w:val="decimal"/>
      <w:lvlRestart w:val="1"/>
      <w:lvlText w:val="%1.%3"/>
      <w:lvlJc w:val="left"/>
      <w:pPr>
        <w:tabs>
          <w:tab w:val="num" w:pos="709"/>
        </w:tabs>
        <w:ind w:left="0" w:firstLine="0"/>
      </w:pPr>
      <w:rPr>
        <w:rFonts w:ascii="Arial" w:hAnsi="Arial" w:cs="Arial" w:hint="default"/>
        <w:b/>
        <w:i w:val="0"/>
      </w:rPr>
    </w:lvl>
    <w:lvl w:ilvl="3">
      <w:start w:val="1"/>
      <w:numFmt w:val="decimal"/>
      <w:lvlText w:val="%1.%2.%4"/>
      <w:lvlJc w:val="left"/>
      <w:pPr>
        <w:ind w:left="0" w:firstLine="0"/>
      </w:pPr>
      <w:rPr>
        <w:rFonts w:ascii="Univers 55" w:hAnsi="Univers 55"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6" w15:restartNumberingAfterBreak="0">
    <w:nsid w:val="48343405"/>
    <w:multiLevelType w:val="multilevel"/>
    <w:tmpl w:val="DF9E6994"/>
    <w:lvl w:ilvl="0">
      <w:start w:val="1"/>
      <w:numFmt w:val="decimal"/>
      <w:lvlText w:val="%1"/>
      <w:lvlJc w:val="left"/>
      <w:pPr>
        <w:ind w:left="574" w:hanging="432"/>
      </w:pPr>
    </w:lvl>
    <w:lvl w:ilvl="1">
      <w:start w:val="1"/>
      <w:numFmt w:val="decimal"/>
      <w:pStyle w:val="Clearformatting"/>
      <w:lvlText w:val="%1.%2"/>
      <w:lvlJc w:val="left"/>
      <w:pPr>
        <w:ind w:left="576" w:hanging="576"/>
      </w:pPr>
    </w:lvl>
    <w:lvl w:ilvl="2">
      <w:start w:val="1"/>
      <w:numFmt w:val="decimal"/>
      <w:lvlText w:val="%1.%2.%3"/>
      <w:lvlJc w:val="left"/>
      <w:pPr>
        <w:ind w:left="4832"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4AAB5470"/>
    <w:multiLevelType w:val="multilevel"/>
    <w:tmpl w:val="70E46C8A"/>
    <w:lvl w:ilvl="0">
      <w:start w:val="1"/>
      <w:numFmt w:val="bullet"/>
      <w:pStyle w:val="ListBullet"/>
      <w:lvlText w:val=""/>
      <w:lvlJc w:val="left"/>
      <w:pPr>
        <w:tabs>
          <w:tab w:val="num" w:pos="284"/>
        </w:tabs>
        <w:ind w:left="284" w:hanging="284"/>
      </w:pPr>
      <w:rPr>
        <w:rFonts w:ascii="Symbol" w:hAnsi="Symbol" w:hint="default"/>
        <w:b w:val="0"/>
        <w:i w:val="0"/>
        <w:color w:val="auto"/>
      </w:rPr>
    </w:lvl>
    <w:lvl w:ilvl="1">
      <w:start w:val="1"/>
      <w:numFmt w:val="bullet"/>
      <w:lvlText w:val="–"/>
      <w:lvlJc w:val="left"/>
      <w:pPr>
        <w:tabs>
          <w:tab w:val="num" w:pos="567"/>
        </w:tabs>
        <w:ind w:left="568" w:hanging="284"/>
      </w:pPr>
      <w:rPr>
        <w:rFonts w:ascii="Arial" w:hAnsi="Arial" w:cs="Times New Roman" w:hint="default"/>
        <w:b w:val="0"/>
        <w:i w:val="0"/>
        <w:color w:val="auto"/>
      </w:rPr>
    </w:lvl>
    <w:lvl w:ilvl="2">
      <w:start w:val="1"/>
      <w:numFmt w:val="bullet"/>
      <w:lvlText w:val="◦"/>
      <w:lvlJc w:val="left"/>
      <w:pPr>
        <w:tabs>
          <w:tab w:val="num" w:pos="851"/>
        </w:tabs>
        <w:ind w:left="852" w:hanging="284"/>
      </w:pPr>
      <w:rPr>
        <w:rFonts w:ascii="Georgia" w:hAnsi="Georgia" w:hint="default"/>
        <w:b w:val="0"/>
        <w:i w:val="0"/>
        <w:color w:val="auto"/>
        <w:sz w:val="18"/>
        <w:szCs w:val="10"/>
      </w:rPr>
    </w:lvl>
    <w:lvl w:ilvl="3">
      <w:start w:val="1"/>
      <w:numFmt w:val="bullet"/>
      <w:lvlText w:val=""/>
      <w:lvlJc w:val="left"/>
      <w:pPr>
        <w:tabs>
          <w:tab w:val="num" w:pos="1134"/>
        </w:tabs>
        <w:ind w:left="1136" w:hanging="284"/>
      </w:pPr>
      <w:rPr>
        <w:rFonts w:ascii="Symbol" w:hAnsi="Symbol" w:hint="default"/>
        <w:b w:val="0"/>
        <w:i w:val="0"/>
        <w:color w:val="auto"/>
        <w:sz w:val="20"/>
        <w:szCs w:val="10"/>
      </w:rPr>
    </w:lvl>
    <w:lvl w:ilvl="4">
      <w:start w:val="1"/>
      <w:numFmt w:val="bullet"/>
      <w:pStyle w:val="ListBullet5"/>
      <w:lvlText w:val="~"/>
      <w:lvlJc w:val="left"/>
      <w:pPr>
        <w:tabs>
          <w:tab w:val="num" w:pos="1418"/>
        </w:tabs>
        <w:ind w:left="1420" w:hanging="284"/>
      </w:pPr>
      <w:rPr>
        <w:rFonts w:ascii="Georgia" w:hAnsi="Georgia" w:hint="default"/>
        <w:color w:val="auto"/>
      </w:rPr>
    </w:lvl>
    <w:lvl w:ilvl="5">
      <w:start w:val="1"/>
      <w:numFmt w:val="lowerRoman"/>
      <w:lvlText w:val="%6"/>
      <w:lvlJc w:val="left"/>
      <w:pPr>
        <w:tabs>
          <w:tab w:val="num" w:pos="1701"/>
        </w:tabs>
        <w:ind w:left="1361" w:firstLine="59"/>
      </w:pPr>
    </w:lvl>
    <w:lvl w:ilvl="6">
      <w:start w:val="1"/>
      <w:numFmt w:val="decimal"/>
      <w:lvlText w:val="%7"/>
      <w:lvlJc w:val="left"/>
      <w:pPr>
        <w:tabs>
          <w:tab w:val="num" w:pos="1985"/>
        </w:tabs>
        <w:ind w:left="1985" w:hanging="964"/>
      </w:pPr>
    </w:lvl>
    <w:lvl w:ilvl="7">
      <w:start w:val="1"/>
      <w:numFmt w:val="lowerLetter"/>
      <w:lvlText w:val="%8"/>
      <w:lvlJc w:val="left"/>
      <w:pPr>
        <w:tabs>
          <w:tab w:val="num" w:pos="2268"/>
        </w:tabs>
        <w:ind w:left="2211" w:hanging="226"/>
      </w:pPr>
    </w:lvl>
    <w:lvl w:ilvl="8">
      <w:start w:val="1"/>
      <w:numFmt w:val="lowerRoman"/>
      <w:lvlText w:val="%9"/>
      <w:lvlJc w:val="left"/>
      <w:pPr>
        <w:tabs>
          <w:tab w:val="num" w:pos="2552"/>
        </w:tabs>
        <w:ind w:left="2552" w:hanging="284"/>
      </w:pPr>
    </w:lvl>
  </w:abstractNum>
  <w:abstractNum w:abstractNumId="18" w15:restartNumberingAfterBreak="0">
    <w:nsid w:val="4CE06931"/>
    <w:multiLevelType w:val="singleLevel"/>
    <w:tmpl w:val="47B08EB8"/>
    <w:name w:val="StandardNumberedList2222"/>
    <w:lvl w:ilvl="0">
      <w:start w:val="1"/>
      <w:numFmt w:val="lowerLetter"/>
      <w:lvlText w:val="(%1)"/>
      <w:lvlJc w:val="left"/>
      <w:pPr>
        <w:ind w:left="360" w:hanging="360"/>
      </w:pPr>
      <w:rPr>
        <w:rFonts w:hint="default"/>
        <w:b w:val="0"/>
        <w:i w:val="0"/>
        <w:sz w:val="16"/>
      </w:rPr>
    </w:lvl>
  </w:abstractNum>
  <w:abstractNum w:abstractNumId="19" w15:restartNumberingAfterBreak="0">
    <w:nsid w:val="504C3E6C"/>
    <w:multiLevelType w:val="multilevel"/>
    <w:tmpl w:val="9078E2FE"/>
    <w:lvl w:ilvl="0">
      <w:start w:val="1"/>
      <w:numFmt w:val="decimal"/>
      <w:suff w:val="nothing"/>
      <w:lvlText w:val="%1"/>
      <w:lvlJc w:val="left"/>
      <w:pPr>
        <w:ind w:left="0" w:firstLine="0"/>
      </w:pPr>
    </w:lvl>
    <w:lvl w:ilvl="1">
      <w:start w:val="1"/>
      <w:numFmt w:val="decimal"/>
      <w:pStyle w:val="Heading2ExecutiveSummary"/>
      <w:lvlText w:val="%2."/>
      <w:lvlJc w:val="left"/>
      <w:pPr>
        <w:tabs>
          <w:tab w:val="num" w:pos="851"/>
        </w:tabs>
        <w:ind w:left="851" w:hanging="851"/>
      </w:pPr>
    </w:lvl>
    <w:lvl w:ilvl="2">
      <w:start w:val="1"/>
      <w:numFmt w:val="decimal"/>
      <w:lvlText w:val="%2.%3"/>
      <w:lvlJc w:val="left"/>
      <w:pPr>
        <w:tabs>
          <w:tab w:val="num" w:pos="850"/>
        </w:tabs>
        <w:ind w:left="850" w:hanging="850"/>
      </w:pPr>
    </w:lvl>
    <w:lvl w:ilvl="3">
      <w:start w:val="1"/>
      <w:numFmt w:val="decimal"/>
      <w:lvlText w:val="%2.%3.%4"/>
      <w:lvlJc w:val="left"/>
      <w:pPr>
        <w:tabs>
          <w:tab w:val="num" w:pos="850"/>
        </w:tabs>
        <w:ind w:left="850" w:hanging="850"/>
      </w:pPr>
    </w:lvl>
    <w:lvl w:ilvl="4">
      <w:start w:val="1"/>
      <w:numFmt w:val="upperLetter"/>
      <w:lvlRestart w:val="0"/>
      <w:lvlText w:val="Appendix %5"/>
      <w:lvlJc w:val="left"/>
      <w:pPr>
        <w:tabs>
          <w:tab w:val="num" w:pos="3685"/>
        </w:tabs>
        <w:ind w:left="0" w:firstLine="0"/>
      </w:pPr>
    </w:lvl>
    <w:lvl w:ilvl="5">
      <w:start w:val="1"/>
      <w:numFmt w:val="upperLetter"/>
      <w:lvlRestart w:val="0"/>
      <w:suff w:val="nothing"/>
      <w:lvlText w:val="Appendix %6"/>
      <w:lvlJc w:val="left"/>
      <w:pPr>
        <w:ind w:left="0" w:firstLine="0"/>
      </w:pPr>
    </w:lvl>
    <w:lvl w:ilvl="6">
      <w:start w:val="1"/>
      <w:numFmt w:val="decimal"/>
      <w:lvlText w:val="%7"/>
      <w:lvlJc w:val="left"/>
      <w:pPr>
        <w:tabs>
          <w:tab w:val="num" w:pos="567"/>
        </w:tabs>
        <w:ind w:left="567" w:hanging="567"/>
      </w:pPr>
      <w:rPr>
        <w:b/>
        <w:i/>
      </w:rPr>
    </w:lvl>
    <w:lvl w:ilvl="7">
      <w:start w:val="1"/>
      <w:numFmt w:val="decimal"/>
      <w:lvlText w:val="%8"/>
      <w:lvlJc w:val="left"/>
      <w:pPr>
        <w:tabs>
          <w:tab w:val="num" w:pos="567"/>
        </w:tabs>
        <w:ind w:left="567" w:hanging="567"/>
      </w:pPr>
      <w:rPr>
        <w:b w:val="0"/>
        <w:i w:val="0"/>
        <w:color w:val="auto"/>
      </w:rPr>
    </w:lvl>
    <w:lvl w:ilvl="8">
      <w:start w:val="1"/>
      <w:numFmt w:val="lowerLetter"/>
      <w:lvlText w:val="%9"/>
      <w:lvlJc w:val="left"/>
      <w:pPr>
        <w:tabs>
          <w:tab w:val="num" w:pos="1134"/>
        </w:tabs>
        <w:ind w:left="1134" w:hanging="567"/>
      </w:pPr>
      <w:rPr>
        <w:b w:val="0"/>
        <w:i w:val="0"/>
        <w:color w:val="auto"/>
      </w:rPr>
    </w:lvl>
  </w:abstractNum>
  <w:abstractNum w:abstractNumId="20" w15:restartNumberingAfterBreak="0">
    <w:nsid w:val="51295207"/>
    <w:multiLevelType w:val="multilevel"/>
    <w:tmpl w:val="583EADD8"/>
    <w:lvl w:ilvl="0">
      <w:start w:val="1"/>
      <w:numFmt w:val="decimal"/>
      <w:pStyle w:val="Heading1"/>
      <w:lvlText w:val="%1"/>
      <w:lvlJc w:val="left"/>
      <w:pPr>
        <w:ind w:left="567" w:hanging="567"/>
      </w:pPr>
      <w:rPr>
        <w:rFonts w:hint="default"/>
      </w:rPr>
    </w:lvl>
    <w:lvl w:ilvl="1">
      <w:start w:val="1"/>
      <w:numFmt w:val="decimal"/>
      <w:pStyle w:val="Heading2"/>
      <w:lvlText w:val="%1.%2"/>
      <w:lvlJc w:val="left"/>
      <w:pPr>
        <w:ind w:left="567" w:hanging="567"/>
      </w:pPr>
      <w:rPr>
        <w:rFonts w:hint="default"/>
      </w:rPr>
    </w:lvl>
    <w:lvl w:ilvl="2">
      <w:start w:val="1"/>
      <w:numFmt w:val="decimal"/>
      <w:pStyle w:val="OutlineNumbered1"/>
      <w:lvlText w:val="%1.%2.%3"/>
      <w:lvlJc w:val="left"/>
      <w:pPr>
        <w:ind w:left="567" w:hanging="567"/>
      </w:pPr>
      <w:rPr>
        <w:rFonts w:hint="default"/>
        <w:i w:val="0"/>
        <w:iCs/>
      </w:rPr>
    </w:lvl>
    <w:lvl w:ilvl="3">
      <w:start w:val="1"/>
      <w:numFmt w:val="decimal"/>
      <w:pStyle w:val="Heading4"/>
      <w:lvlText w:val="%1.%2.%3.%4"/>
      <w:lvlJc w:val="left"/>
      <w:pPr>
        <w:ind w:left="567" w:hanging="567"/>
      </w:pPr>
      <w:rPr>
        <w:rFonts w:hint="default"/>
      </w:rPr>
    </w:lvl>
    <w:lvl w:ilvl="4">
      <w:start w:val="1"/>
      <w:numFmt w:val="decimal"/>
      <w:pStyle w:val="Heading5"/>
      <w:lvlText w:val="%1.%2.%3.%4.%5"/>
      <w:lvlJc w:val="left"/>
      <w:pPr>
        <w:ind w:left="567" w:hanging="567"/>
      </w:pPr>
      <w:rPr>
        <w:rFonts w:hint="default"/>
      </w:rPr>
    </w:lvl>
    <w:lvl w:ilvl="5">
      <w:start w:val="1"/>
      <w:numFmt w:val="decimal"/>
      <w:pStyle w:val="Heading6"/>
      <w:lvlText w:val="%1.%2.%3.%4.%5.%6"/>
      <w:lvlJc w:val="left"/>
      <w:pPr>
        <w:ind w:left="567" w:hanging="567"/>
      </w:pPr>
      <w:rPr>
        <w:rFonts w:hint="default"/>
      </w:rPr>
    </w:lvl>
    <w:lvl w:ilvl="6">
      <w:start w:val="1"/>
      <w:numFmt w:val="decimal"/>
      <w:pStyle w:val="Heading7"/>
      <w:lvlText w:val="%1.%2.%3.%4.%5.%6.%7"/>
      <w:lvlJc w:val="left"/>
      <w:pPr>
        <w:ind w:left="567" w:hanging="567"/>
      </w:pPr>
      <w:rPr>
        <w:rFonts w:hint="default"/>
      </w:rPr>
    </w:lvl>
    <w:lvl w:ilvl="7">
      <w:start w:val="1"/>
      <w:numFmt w:val="decimal"/>
      <w:pStyle w:val="Heading8"/>
      <w:lvlText w:val="%1.%2.%3.%4.%5.%6.%7.%8"/>
      <w:lvlJc w:val="left"/>
      <w:pPr>
        <w:ind w:left="567" w:hanging="567"/>
      </w:pPr>
      <w:rPr>
        <w:rFonts w:hint="default"/>
      </w:rPr>
    </w:lvl>
    <w:lvl w:ilvl="8">
      <w:start w:val="1"/>
      <w:numFmt w:val="decimal"/>
      <w:pStyle w:val="Heading9"/>
      <w:lvlText w:val="%1.%2.%3.%4.%5.%6.%7.%8.%9"/>
      <w:lvlJc w:val="left"/>
      <w:pPr>
        <w:ind w:left="567" w:hanging="567"/>
      </w:pPr>
      <w:rPr>
        <w:rFonts w:hint="default"/>
      </w:rPr>
    </w:lvl>
  </w:abstractNum>
  <w:abstractNum w:abstractNumId="21" w15:restartNumberingAfterBreak="0">
    <w:nsid w:val="54F449D5"/>
    <w:multiLevelType w:val="hybridMultilevel"/>
    <w:tmpl w:val="21343252"/>
    <w:lvl w:ilvl="0" w:tplc="D9A8B0B2">
      <w:start w:val="1"/>
      <w:numFmt w:val="decimal"/>
      <w:pStyle w:val="OutlineNumbered372"/>
      <w:lvlText w:val="3.7.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8101827"/>
    <w:multiLevelType w:val="multilevel"/>
    <w:tmpl w:val="072C6E52"/>
    <w:name w:val="BoxBulletedList"/>
    <w:lvl w:ilvl="0">
      <w:start w:val="1"/>
      <w:numFmt w:val="bullet"/>
      <w:lvlRestart w:val="0"/>
      <w:lvlText w:val="•"/>
      <w:lvlJc w:val="left"/>
      <w:pPr>
        <w:tabs>
          <w:tab w:val="num" w:pos="283"/>
        </w:tabs>
        <w:ind w:left="283" w:hanging="283"/>
      </w:pPr>
      <w:rPr>
        <w:rFonts w:ascii="Times New Roman" w:hAnsi="Times New Roman" w:cs="Times New Roman"/>
        <w:b w:val="0"/>
        <w:i w:val="0"/>
        <w:sz w:val="20"/>
      </w:rPr>
    </w:lvl>
    <w:lvl w:ilvl="1">
      <w:start w:val="1"/>
      <w:numFmt w:val="bullet"/>
      <w:lvlText w:val="–"/>
      <w:lvlJc w:val="left"/>
      <w:pPr>
        <w:tabs>
          <w:tab w:val="num" w:pos="567"/>
        </w:tabs>
        <w:ind w:left="567" w:hanging="284"/>
      </w:pPr>
      <w:rPr>
        <w:b w:val="0"/>
        <w:i w:val="0"/>
      </w:rPr>
    </w:lvl>
    <w:lvl w:ilvl="2">
      <w:start w:val="1"/>
      <w:numFmt w:val="bullet"/>
      <w:pStyle w:val="Box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23" w15:restartNumberingAfterBreak="0">
    <w:nsid w:val="5E0A6F8D"/>
    <w:multiLevelType w:val="multilevel"/>
    <w:tmpl w:val="51941ED6"/>
    <w:name w:val="RecommendationBulletedList"/>
    <w:lvl w:ilvl="0">
      <w:start w:val="1"/>
      <w:numFmt w:val="bullet"/>
      <w:lvlRestart w:val="0"/>
      <w:pStyle w:val="RecommendationBullet"/>
      <w:lvlText w:val="•"/>
      <w:lvlJc w:val="left"/>
      <w:pPr>
        <w:tabs>
          <w:tab w:val="num" w:pos="283"/>
        </w:tabs>
        <w:ind w:left="283" w:hanging="283"/>
      </w:pPr>
      <w:rPr>
        <w:b w:val="0"/>
        <w:i w:val="0"/>
      </w:rPr>
    </w:lvl>
    <w:lvl w:ilvl="1">
      <w:start w:val="1"/>
      <w:numFmt w:val="bullet"/>
      <w:pStyle w:val="RecommendationDash"/>
      <w:lvlText w:val="–"/>
      <w:lvlJc w:val="left"/>
      <w:pPr>
        <w:tabs>
          <w:tab w:val="num" w:pos="567"/>
        </w:tabs>
        <w:ind w:left="567" w:hanging="284"/>
      </w:pPr>
      <w:rPr>
        <w:b w:val="0"/>
        <w:i w:val="0"/>
      </w:rPr>
    </w:lvl>
    <w:lvl w:ilvl="2">
      <w:start w:val="1"/>
      <w:numFmt w:val="bullet"/>
      <w:pStyle w:val="Recommendation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24" w15:restartNumberingAfterBreak="0">
    <w:nsid w:val="63917BB9"/>
    <w:multiLevelType w:val="multilevel"/>
    <w:tmpl w:val="D286DFA4"/>
    <w:lvl w:ilvl="0">
      <w:start w:val="1"/>
      <w:numFmt w:val="none"/>
      <w:pStyle w:val="PwCNormal"/>
      <w:suff w:val="nothing"/>
      <w:lvlText w:val=""/>
      <w:lvlJc w:val="left"/>
      <w:pPr>
        <w:ind w:left="0" w:firstLine="0"/>
      </w:pPr>
      <w:rPr>
        <w:color w:val="auto"/>
      </w:rPr>
    </w:lvl>
    <w:lvl w:ilvl="1">
      <w:start w:val="1"/>
      <w:numFmt w:val="none"/>
      <w:pStyle w:val="Indent1"/>
      <w:suff w:val="nothing"/>
      <w:lvlText w:val=""/>
      <w:lvlJc w:val="left"/>
      <w:pPr>
        <w:ind w:left="284" w:firstLine="0"/>
      </w:pPr>
    </w:lvl>
    <w:lvl w:ilvl="2">
      <w:start w:val="1"/>
      <w:numFmt w:val="none"/>
      <w:pStyle w:val="Indent2"/>
      <w:suff w:val="nothing"/>
      <w:lvlText w:val=""/>
      <w:lvlJc w:val="left"/>
      <w:pPr>
        <w:ind w:left="568" w:firstLine="0"/>
      </w:pPr>
    </w:lvl>
    <w:lvl w:ilvl="3">
      <w:start w:val="1"/>
      <w:numFmt w:val="none"/>
      <w:pStyle w:val="Indent3"/>
      <w:suff w:val="nothing"/>
      <w:lvlText w:val=""/>
      <w:lvlJc w:val="left"/>
      <w:pPr>
        <w:ind w:left="852" w:firstLine="0"/>
      </w:pPr>
    </w:lvl>
    <w:lvl w:ilvl="4">
      <w:start w:val="1"/>
      <w:numFmt w:val="none"/>
      <w:pStyle w:val="Indent4"/>
      <w:suff w:val="nothing"/>
      <w:lvlText w:val=""/>
      <w:lvlJc w:val="left"/>
      <w:pPr>
        <w:ind w:left="1136" w:firstLine="0"/>
      </w:pPr>
    </w:lvl>
    <w:lvl w:ilvl="5">
      <w:start w:val="1"/>
      <w:numFmt w:val="none"/>
      <w:pStyle w:val="Indent5"/>
      <w:suff w:val="nothing"/>
      <w:lvlText w:val=""/>
      <w:lvlJc w:val="left"/>
      <w:pPr>
        <w:ind w:left="1420" w:firstLine="0"/>
      </w:pPr>
    </w:lvl>
    <w:lvl w:ilvl="6">
      <w:start w:val="1"/>
      <w:numFmt w:val="none"/>
      <w:pStyle w:val="Indent6"/>
      <w:suff w:val="nothing"/>
      <w:lvlText w:val=""/>
      <w:lvlJc w:val="left"/>
      <w:pPr>
        <w:ind w:left="1704" w:firstLine="0"/>
      </w:pPr>
    </w:lvl>
    <w:lvl w:ilvl="7">
      <w:start w:val="1"/>
      <w:numFmt w:val="none"/>
      <w:pStyle w:val="Indent7"/>
      <w:suff w:val="nothing"/>
      <w:lvlText w:val=""/>
      <w:lvlJc w:val="left"/>
      <w:pPr>
        <w:ind w:left="1988" w:firstLine="0"/>
      </w:pPr>
    </w:lvl>
    <w:lvl w:ilvl="8">
      <w:start w:val="1"/>
      <w:numFmt w:val="none"/>
      <w:pStyle w:val="Indent8"/>
      <w:suff w:val="nothing"/>
      <w:lvlText w:val=""/>
      <w:lvlJc w:val="left"/>
      <w:pPr>
        <w:ind w:left="2272" w:firstLine="0"/>
      </w:pPr>
    </w:lvl>
  </w:abstractNum>
  <w:abstractNum w:abstractNumId="25" w15:restartNumberingAfterBreak="0">
    <w:nsid w:val="6B1E25C3"/>
    <w:multiLevelType w:val="multilevel"/>
    <w:tmpl w:val="B142E2DC"/>
    <w:lvl w:ilvl="0">
      <w:start w:val="1"/>
      <w:numFmt w:val="decimal"/>
      <w:lvlText w:val="%1.2.1"/>
      <w:lvlJc w:val="left"/>
      <w:pPr>
        <w:ind w:left="502" w:hanging="360"/>
      </w:pPr>
      <w:rPr>
        <w:rFonts w:hint="default"/>
        <w:i w:val="0"/>
        <w:iCs w:val="0"/>
        <w: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OutlineNumbered2"/>
      <w:lvlText w:val="%1.%2."/>
      <w:lvlJc w:val="left"/>
      <w:pPr>
        <w:tabs>
          <w:tab w:val="num" w:pos="3875"/>
        </w:tabs>
        <w:ind w:left="3875" w:hanging="472"/>
      </w:pPr>
      <w:rPr>
        <w:rFonts w:hint="default"/>
        <w:i w:val="0"/>
      </w:rPr>
    </w:lvl>
    <w:lvl w:ilvl="2">
      <w:start w:val="1"/>
      <w:numFmt w:val="decimal"/>
      <w:pStyle w:val="OutlineNumbered3"/>
      <w:lvlText w:val="%1.%2.%3."/>
      <w:lvlJc w:val="left"/>
      <w:pPr>
        <w:tabs>
          <w:tab w:val="num" w:pos="1416"/>
        </w:tabs>
        <w:ind w:left="1416" w:hanging="472"/>
      </w:pPr>
      <w:rPr>
        <w:rFonts w:hint="default"/>
        <w:i w:val="0"/>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15:restartNumberingAfterBreak="0">
    <w:nsid w:val="6BEB684D"/>
    <w:multiLevelType w:val="multilevel"/>
    <w:tmpl w:val="755A8B90"/>
    <w:lvl w:ilvl="0">
      <w:start w:val="1"/>
      <w:numFmt w:val="decimal"/>
      <w:lvlText w:val="%1."/>
      <w:lvlJc w:val="left"/>
      <w:pPr>
        <w:tabs>
          <w:tab w:val="num" w:pos="472"/>
        </w:tabs>
        <w:ind w:left="472" w:hanging="472"/>
      </w:pPr>
      <w:rPr>
        <w:i w:val="0"/>
        <w:iCs w:val="0"/>
        <w: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944"/>
        </w:tabs>
        <w:ind w:left="944" w:hanging="472"/>
      </w:pPr>
    </w:lvl>
    <w:lvl w:ilvl="2">
      <w:start w:val="1"/>
      <w:numFmt w:val="decimal"/>
      <w:pStyle w:val="OutlineNumbered37"/>
      <w:lvlText w:val="3.7.1.%3."/>
      <w:lvlJc w:val="left"/>
      <w:pPr>
        <w:tabs>
          <w:tab w:val="num" w:pos="1416"/>
        </w:tabs>
        <w:ind w:left="1416" w:hanging="472"/>
      </w:pPr>
      <w:rPr>
        <w:rFonts w:hint="default"/>
        <w:i w:val="0"/>
        <w:color w:val="auto"/>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707518CF"/>
    <w:multiLevelType w:val="multilevel"/>
    <w:tmpl w:val="A0E0581C"/>
    <w:name w:val="Bullets2"/>
    <w:lvl w:ilvl="0">
      <w:start w:val="1"/>
      <w:numFmt w:val="bullet"/>
      <w:lvlText w:val=""/>
      <w:lvlJc w:val="left"/>
      <w:pPr>
        <w:tabs>
          <w:tab w:val="num" w:pos="284"/>
        </w:tabs>
        <w:ind w:left="284" w:hanging="284"/>
      </w:pPr>
      <w:rPr>
        <w:rFonts w:ascii="Symbol" w:hAnsi="Symbol" w:hint="default"/>
        <w:color w:val="404040" w:themeColor="text1" w:themeTint="BF"/>
      </w:rPr>
    </w:lvl>
    <w:lvl w:ilvl="1">
      <w:start w:val="1"/>
      <w:numFmt w:val="bullet"/>
      <w:lvlText w:val="–"/>
      <w:lvlJc w:val="left"/>
      <w:pPr>
        <w:tabs>
          <w:tab w:val="num" w:pos="567"/>
        </w:tabs>
        <w:ind w:left="568" w:hanging="284"/>
      </w:pPr>
      <w:rPr>
        <w:rFonts w:ascii="Arial" w:hAnsi="Arial" w:cs="Times New Roman" w:hint="default"/>
        <w:color w:val="404040" w:themeColor="text1" w:themeTint="BF"/>
      </w:rPr>
    </w:lvl>
    <w:lvl w:ilvl="2">
      <w:start w:val="1"/>
      <w:numFmt w:val="bullet"/>
      <w:lvlText w:val="◦"/>
      <w:lvlJc w:val="left"/>
      <w:pPr>
        <w:tabs>
          <w:tab w:val="num" w:pos="851"/>
        </w:tabs>
        <w:ind w:left="852" w:hanging="284"/>
      </w:pPr>
      <w:rPr>
        <w:rFonts w:ascii="Georgia" w:hAnsi="Georgia" w:hint="default"/>
        <w:color w:val="auto"/>
      </w:rPr>
    </w:lvl>
    <w:lvl w:ilvl="3">
      <w:start w:val="1"/>
      <w:numFmt w:val="bullet"/>
      <w:lvlText w:val=""/>
      <w:lvlJc w:val="left"/>
      <w:pPr>
        <w:tabs>
          <w:tab w:val="num" w:pos="1134"/>
        </w:tabs>
        <w:ind w:left="1136" w:hanging="284"/>
      </w:pPr>
      <w:rPr>
        <w:rFonts w:ascii="Symbol" w:hAnsi="Symbol" w:hint="default"/>
        <w:color w:val="auto"/>
      </w:rPr>
    </w:lvl>
    <w:lvl w:ilvl="4">
      <w:start w:val="1"/>
      <w:numFmt w:val="lowerLetter"/>
      <w:lvlText w:val="(%5)"/>
      <w:lvlJc w:val="left"/>
      <w:pPr>
        <w:tabs>
          <w:tab w:val="num" w:pos="1418"/>
        </w:tabs>
        <w:ind w:left="1420" w:hanging="284"/>
      </w:pPr>
    </w:lvl>
    <w:lvl w:ilvl="5">
      <w:start w:val="1"/>
      <w:numFmt w:val="lowerRoman"/>
      <w:lvlText w:val="(%6)"/>
      <w:lvlJc w:val="left"/>
      <w:pPr>
        <w:tabs>
          <w:tab w:val="num" w:pos="1701"/>
        </w:tabs>
        <w:ind w:left="1701" w:hanging="281"/>
      </w:pPr>
    </w:lvl>
    <w:lvl w:ilvl="6">
      <w:start w:val="1"/>
      <w:numFmt w:val="decimal"/>
      <w:lvlText w:val="%7."/>
      <w:lvlJc w:val="left"/>
      <w:pPr>
        <w:tabs>
          <w:tab w:val="num" w:pos="1985"/>
        </w:tabs>
        <w:ind w:left="1985" w:hanging="284"/>
      </w:pPr>
    </w:lvl>
    <w:lvl w:ilvl="7">
      <w:start w:val="1"/>
      <w:numFmt w:val="lowerLetter"/>
      <w:lvlText w:val="%8."/>
      <w:lvlJc w:val="left"/>
      <w:pPr>
        <w:tabs>
          <w:tab w:val="num" w:pos="2268"/>
        </w:tabs>
        <w:ind w:left="2268" w:hanging="283"/>
      </w:pPr>
    </w:lvl>
    <w:lvl w:ilvl="8">
      <w:start w:val="1"/>
      <w:numFmt w:val="lowerRoman"/>
      <w:lvlText w:val="%9."/>
      <w:lvlJc w:val="left"/>
      <w:pPr>
        <w:tabs>
          <w:tab w:val="num" w:pos="2552"/>
        </w:tabs>
        <w:ind w:left="2552" w:hanging="284"/>
      </w:pPr>
    </w:lvl>
  </w:abstractNum>
  <w:abstractNum w:abstractNumId="28" w15:restartNumberingAfterBreak="0">
    <w:nsid w:val="791D0EC4"/>
    <w:multiLevelType w:val="hybridMultilevel"/>
    <w:tmpl w:val="D72EBA2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num w:numId="1">
    <w:abstractNumId w:val="8"/>
  </w:num>
  <w:num w:numId="2">
    <w:abstractNumId w:val="22"/>
  </w:num>
  <w:num w:numId="3">
    <w:abstractNumId w:val="23"/>
  </w:num>
  <w:num w:numId="4">
    <w:abstractNumId w:val="9"/>
  </w:num>
  <w:num w:numId="5">
    <w:abstractNumId w:val="25"/>
  </w:num>
  <w:num w:numId="6">
    <w:abstractNumId w:val="15"/>
  </w:num>
  <w:num w:numId="7">
    <w:abstractNumId w:val="26"/>
  </w:num>
  <w:num w:numId="8">
    <w:abstractNumId w:val="21"/>
  </w:num>
  <w:num w:numId="9">
    <w:abstractNumId w:val="7"/>
  </w:num>
  <w:num w:numId="10">
    <w:abstractNumId w:val="16"/>
  </w:num>
  <w:num w:numId="11">
    <w:abstractNumId w:val="11"/>
  </w:num>
  <w:num w:numId="12">
    <w:abstractNumId w:val="12"/>
  </w:num>
  <w:num w:numId="13">
    <w:abstractNumId w:val="3"/>
  </w:num>
  <w:num w:numId="14">
    <w:abstractNumId w:val="5"/>
  </w:num>
  <w:num w:numId="15">
    <w:abstractNumId w:val="2"/>
  </w:num>
  <w:num w:numId="16">
    <w:abstractNumId w:val="17"/>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1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0"/>
  </w:num>
  <w:num w:numId="22">
    <w:abstractNumId w:val="20"/>
  </w:num>
  <w:num w:numId="23">
    <w:abstractNumId w:val="1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20"/>
  <w:evenAndOddHeaders/>
  <w:characterSpacingControl w:val="doNotCompress"/>
  <w:hdrShapeDefaults>
    <o:shapedefaults v:ext="edit" spidmax="2457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7491"/>
    <w:rsid w:val="0000034F"/>
    <w:rsid w:val="000003C1"/>
    <w:rsid w:val="00000646"/>
    <w:rsid w:val="00000E7C"/>
    <w:rsid w:val="000030F1"/>
    <w:rsid w:val="00003CC6"/>
    <w:rsid w:val="00004A96"/>
    <w:rsid w:val="00005896"/>
    <w:rsid w:val="00005EDF"/>
    <w:rsid w:val="00006B5F"/>
    <w:rsid w:val="000070A4"/>
    <w:rsid w:val="00007772"/>
    <w:rsid w:val="000100AE"/>
    <w:rsid w:val="0001051E"/>
    <w:rsid w:val="00010C37"/>
    <w:rsid w:val="00010C5D"/>
    <w:rsid w:val="00010FB9"/>
    <w:rsid w:val="00011EE6"/>
    <w:rsid w:val="000134DD"/>
    <w:rsid w:val="00014DA9"/>
    <w:rsid w:val="00014EF2"/>
    <w:rsid w:val="00014F3F"/>
    <w:rsid w:val="00015175"/>
    <w:rsid w:val="00015639"/>
    <w:rsid w:val="000160B5"/>
    <w:rsid w:val="0001644E"/>
    <w:rsid w:val="00016475"/>
    <w:rsid w:val="000168AF"/>
    <w:rsid w:val="000175C0"/>
    <w:rsid w:val="00020188"/>
    <w:rsid w:val="000202B4"/>
    <w:rsid w:val="000207C8"/>
    <w:rsid w:val="00020983"/>
    <w:rsid w:val="0002181C"/>
    <w:rsid w:val="000220FB"/>
    <w:rsid w:val="00022CDE"/>
    <w:rsid w:val="00022EF2"/>
    <w:rsid w:val="000235DC"/>
    <w:rsid w:val="000238BC"/>
    <w:rsid w:val="00023BCC"/>
    <w:rsid w:val="00023C88"/>
    <w:rsid w:val="00024392"/>
    <w:rsid w:val="00024EE1"/>
    <w:rsid w:val="000256FA"/>
    <w:rsid w:val="000258E4"/>
    <w:rsid w:val="00025A49"/>
    <w:rsid w:val="00026115"/>
    <w:rsid w:val="00026369"/>
    <w:rsid w:val="00026517"/>
    <w:rsid w:val="00026748"/>
    <w:rsid w:val="000269E9"/>
    <w:rsid w:val="0002710F"/>
    <w:rsid w:val="000276DC"/>
    <w:rsid w:val="0003093D"/>
    <w:rsid w:val="00030989"/>
    <w:rsid w:val="0003115D"/>
    <w:rsid w:val="00031649"/>
    <w:rsid w:val="00031826"/>
    <w:rsid w:val="00031F4E"/>
    <w:rsid w:val="00032359"/>
    <w:rsid w:val="0003492C"/>
    <w:rsid w:val="000354E1"/>
    <w:rsid w:val="00035D2E"/>
    <w:rsid w:val="00036921"/>
    <w:rsid w:val="00036CA1"/>
    <w:rsid w:val="00037047"/>
    <w:rsid w:val="000373F6"/>
    <w:rsid w:val="00037DDC"/>
    <w:rsid w:val="00040237"/>
    <w:rsid w:val="00040ECE"/>
    <w:rsid w:val="00041860"/>
    <w:rsid w:val="00041E4B"/>
    <w:rsid w:val="000426E9"/>
    <w:rsid w:val="0004294A"/>
    <w:rsid w:val="00042D58"/>
    <w:rsid w:val="00043038"/>
    <w:rsid w:val="0004305B"/>
    <w:rsid w:val="000430BC"/>
    <w:rsid w:val="00043989"/>
    <w:rsid w:val="00043BF8"/>
    <w:rsid w:val="00043C5F"/>
    <w:rsid w:val="00043D81"/>
    <w:rsid w:val="00044289"/>
    <w:rsid w:val="0004482C"/>
    <w:rsid w:val="00044BB0"/>
    <w:rsid w:val="000453C4"/>
    <w:rsid w:val="000453E5"/>
    <w:rsid w:val="00045470"/>
    <w:rsid w:val="00045489"/>
    <w:rsid w:val="0004602C"/>
    <w:rsid w:val="000474E0"/>
    <w:rsid w:val="00047B75"/>
    <w:rsid w:val="000500F6"/>
    <w:rsid w:val="00050175"/>
    <w:rsid w:val="000504D6"/>
    <w:rsid w:val="00050E1E"/>
    <w:rsid w:val="00050E6F"/>
    <w:rsid w:val="00051472"/>
    <w:rsid w:val="00051B5E"/>
    <w:rsid w:val="000531B4"/>
    <w:rsid w:val="00053494"/>
    <w:rsid w:val="00053F53"/>
    <w:rsid w:val="000543FA"/>
    <w:rsid w:val="0005476D"/>
    <w:rsid w:val="00054ED7"/>
    <w:rsid w:val="0005583E"/>
    <w:rsid w:val="0005628A"/>
    <w:rsid w:val="00056686"/>
    <w:rsid w:val="00056906"/>
    <w:rsid w:val="00056A3D"/>
    <w:rsid w:val="0005731E"/>
    <w:rsid w:val="000573BE"/>
    <w:rsid w:val="00057712"/>
    <w:rsid w:val="00057809"/>
    <w:rsid w:val="00060F9D"/>
    <w:rsid w:val="00061059"/>
    <w:rsid w:val="00061D72"/>
    <w:rsid w:val="00062812"/>
    <w:rsid w:val="00062B16"/>
    <w:rsid w:val="0006328D"/>
    <w:rsid w:val="00065A9D"/>
    <w:rsid w:val="00066352"/>
    <w:rsid w:val="00067ECF"/>
    <w:rsid w:val="00067F66"/>
    <w:rsid w:val="00067F7C"/>
    <w:rsid w:val="0007032D"/>
    <w:rsid w:val="0007042A"/>
    <w:rsid w:val="00070F2A"/>
    <w:rsid w:val="00071676"/>
    <w:rsid w:val="00071DD7"/>
    <w:rsid w:val="00072160"/>
    <w:rsid w:val="000726A8"/>
    <w:rsid w:val="00072991"/>
    <w:rsid w:val="0007322F"/>
    <w:rsid w:val="00073860"/>
    <w:rsid w:val="0007491C"/>
    <w:rsid w:val="00075083"/>
    <w:rsid w:val="00075AC0"/>
    <w:rsid w:val="00075B3E"/>
    <w:rsid w:val="00076414"/>
    <w:rsid w:val="0007655C"/>
    <w:rsid w:val="00076FA3"/>
    <w:rsid w:val="00077F64"/>
    <w:rsid w:val="000801EB"/>
    <w:rsid w:val="000807B6"/>
    <w:rsid w:val="00080BB6"/>
    <w:rsid w:val="00080E69"/>
    <w:rsid w:val="00080EB4"/>
    <w:rsid w:val="0008161D"/>
    <w:rsid w:val="000830D6"/>
    <w:rsid w:val="00083277"/>
    <w:rsid w:val="00083AA8"/>
    <w:rsid w:val="00083D92"/>
    <w:rsid w:val="00084450"/>
    <w:rsid w:val="00084480"/>
    <w:rsid w:val="000846C8"/>
    <w:rsid w:val="00084766"/>
    <w:rsid w:val="00084FC0"/>
    <w:rsid w:val="00085278"/>
    <w:rsid w:val="0008650D"/>
    <w:rsid w:val="00086656"/>
    <w:rsid w:val="000869B2"/>
    <w:rsid w:val="00086A80"/>
    <w:rsid w:val="000877C7"/>
    <w:rsid w:val="000878EA"/>
    <w:rsid w:val="00087E5F"/>
    <w:rsid w:val="00090BA6"/>
    <w:rsid w:val="00090F9D"/>
    <w:rsid w:val="00091168"/>
    <w:rsid w:val="00091204"/>
    <w:rsid w:val="00091BB4"/>
    <w:rsid w:val="00093C1D"/>
    <w:rsid w:val="00094308"/>
    <w:rsid w:val="00094794"/>
    <w:rsid w:val="0009561D"/>
    <w:rsid w:val="00095648"/>
    <w:rsid w:val="00095E04"/>
    <w:rsid w:val="000962FF"/>
    <w:rsid w:val="000964BC"/>
    <w:rsid w:val="00096886"/>
    <w:rsid w:val="00096B7A"/>
    <w:rsid w:val="00096BA0"/>
    <w:rsid w:val="000975D4"/>
    <w:rsid w:val="000A003C"/>
    <w:rsid w:val="000A007C"/>
    <w:rsid w:val="000A0276"/>
    <w:rsid w:val="000A0388"/>
    <w:rsid w:val="000A1657"/>
    <w:rsid w:val="000A1AE7"/>
    <w:rsid w:val="000A2AEF"/>
    <w:rsid w:val="000A3BC3"/>
    <w:rsid w:val="000A3BE7"/>
    <w:rsid w:val="000A3F92"/>
    <w:rsid w:val="000A4A7F"/>
    <w:rsid w:val="000A5BB9"/>
    <w:rsid w:val="000A687D"/>
    <w:rsid w:val="000A6EBF"/>
    <w:rsid w:val="000A7988"/>
    <w:rsid w:val="000A7B1A"/>
    <w:rsid w:val="000A7CA8"/>
    <w:rsid w:val="000B064D"/>
    <w:rsid w:val="000B079E"/>
    <w:rsid w:val="000B1493"/>
    <w:rsid w:val="000B162C"/>
    <w:rsid w:val="000B16F2"/>
    <w:rsid w:val="000B1806"/>
    <w:rsid w:val="000B1FF2"/>
    <w:rsid w:val="000B20F2"/>
    <w:rsid w:val="000B2786"/>
    <w:rsid w:val="000B2794"/>
    <w:rsid w:val="000B2BE0"/>
    <w:rsid w:val="000B3B13"/>
    <w:rsid w:val="000B4E08"/>
    <w:rsid w:val="000B52BA"/>
    <w:rsid w:val="000B5319"/>
    <w:rsid w:val="000B5B00"/>
    <w:rsid w:val="000B615E"/>
    <w:rsid w:val="000B639A"/>
    <w:rsid w:val="000B6EC0"/>
    <w:rsid w:val="000B7836"/>
    <w:rsid w:val="000B7A58"/>
    <w:rsid w:val="000B7F3F"/>
    <w:rsid w:val="000C00D1"/>
    <w:rsid w:val="000C0ED2"/>
    <w:rsid w:val="000C101D"/>
    <w:rsid w:val="000C1313"/>
    <w:rsid w:val="000C1BA7"/>
    <w:rsid w:val="000C1C80"/>
    <w:rsid w:val="000C2422"/>
    <w:rsid w:val="000C2CC2"/>
    <w:rsid w:val="000C2F64"/>
    <w:rsid w:val="000C3361"/>
    <w:rsid w:val="000C347C"/>
    <w:rsid w:val="000C34E9"/>
    <w:rsid w:val="000C358F"/>
    <w:rsid w:val="000C3B4F"/>
    <w:rsid w:val="000C3CB4"/>
    <w:rsid w:val="000C3CDF"/>
    <w:rsid w:val="000C4140"/>
    <w:rsid w:val="000C43BA"/>
    <w:rsid w:val="000C5366"/>
    <w:rsid w:val="000C58CB"/>
    <w:rsid w:val="000C5954"/>
    <w:rsid w:val="000C6460"/>
    <w:rsid w:val="000C686B"/>
    <w:rsid w:val="000C6DB8"/>
    <w:rsid w:val="000C74D8"/>
    <w:rsid w:val="000C7C46"/>
    <w:rsid w:val="000D01A9"/>
    <w:rsid w:val="000D0F5C"/>
    <w:rsid w:val="000D1ADA"/>
    <w:rsid w:val="000D1D60"/>
    <w:rsid w:val="000D1ECE"/>
    <w:rsid w:val="000D1FBF"/>
    <w:rsid w:val="000D2D72"/>
    <w:rsid w:val="000D30ED"/>
    <w:rsid w:val="000D31A8"/>
    <w:rsid w:val="000D33B7"/>
    <w:rsid w:val="000D379B"/>
    <w:rsid w:val="000D39D0"/>
    <w:rsid w:val="000D3BA9"/>
    <w:rsid w:val="000D3FCF"/>
    <w:rsid w:val="000D402B"/>
    <w:rsid w:val="000D43AE"/>
    <w:rsid w:val="000D5C62"/>
    <w:rsid w:val="000D5E71"/>
    <w:rsid w:val="000E0606"/>
    <w:rsid w:val="000E0768"/>
    <w:rsid w:val="000E0BCF"/>
    <w:rsid w:val="000E1030"/>
    <w:rsid w:val="000E108A"/>
    <w:rsid w:val="000E1226"/>
    <w:rsid w:val="000E1634"/>
    <w:rsid w:val="000E1CC7"/>
    <w:rsid w:val="000E2272"/>
    <w:rsid w:val="000E23D4"/>
    <w:rsid w:val="000E2D13"/>
    <w:rsid w:val="000E4312"/>
    <w:rsid w:val="000E4C8C"/>
    <w:rsid w:val="000E4C8F"/>
    <w:rsid w:val="000E4FEE"/>
    <w:rsid w:val="000E50B5"/>
    <w:rsid w:val="000E5DC4"/>
    <w:rsid w:val="000E619F"/>
    <w:rsid w:val="000E6C15"/>
    <w:rsid w:val="000E75FC"/>
    <w:rsid w:val="000E78A0"/>
    <w:rsid w:val="000E7E95"/>
    <w:rsid w:val="000F03A9"/>
    <w:rsid w:val="000F0480"/>
    <w:rsid w:val="000F09DE"/>
    <w:rsid w:val="000F133C"/>
    <w:rsid w:val="000F1755"/>
    <w:rsid w:val="000F2D5E"/>
    <w:rsid w:val="000F40E8"/>
    <w:rsid w:val="000F4920"/>
    <w:rsid w:val="000F4AED"/>
    <w:rsid w:val="000F4E5A"/>
    <w:rsid w:val="000F60A8"/>
    <w:rsid w:val="000F6CAE"/>
    <w:rsid w:val="000F77DF"/>
    <w:rsid w:val="0010072D"/>
    <w:rsid w:val="00101BBB"/>
    <w:rsid w:val="00101E94"/>
    <w:rsid w:val="0010262F"/>
    <w:rsid w:val="00102A0C"/>
    <w:rsid w:val="00102DE7"/>
    <w:rsid w:val="00103331"/>
    <w:rsid w:val="00103D6B"/>
    <w:rsid w:val="0010446C"/>
    <w:rsid w:val="00104847"/>
    <w:rsid w:val="00105608"/>
    <w:rsid w:val="00105C55"/>
    <w:rsid w:val="00106105"/>
    <w:rsid w:val="0010659C"/>
    <w:rsid w:val="00107096"/>
    <w:rsid w:val="001073BA"/>
    <w:rsid w:val="00107425"/>
    <w:rsid w:val="001078D0"/>
    <w:rsid w:val="00107A53"/>
    <w:rsid w:val="00107D91"/>
    <w:rsid w:val="00110294"/>
    <w:rsid w:val="0011080B"/>
    <w:rsid w:val="00110C9C"/>
    <w:rsid w:val="00111426"/>
    <w:rsid w:val="001117CF"/>
    <w:rsid w:val="00111F8F"/>
    <w:rsid w:val="00112254"/>
    <w:rsid w:val="0011258D"/>
    <w:rsid w:val="00112651"/>
    <w:rsid w:val="00112737"/>
    <w:rsid w:val="00112E88"/>
    <w:rsid w:val="00113EC5"/>
    <w:rsid w:val="0011417D"/>
    <w:rsid w:val="00114454"/>
    <w:rsid w:val="00114BCF"/>
    <w:rsid w:val="001152D7"/>
    <w:rsid w:val="00115CD2"/>
    <w:rsid w:val="00116B5B"/>
    <w:rsid w:val="0011742F"/>
    <w:rsid w:val="00120543"/>
    <w:rsid w:val="0012062A"/>
    <w:rsid w:val="0012092F"/>
    <w:rsid w:val="00120955"/>
    <w:rsid w:val="00120B8E"/>
    <w:rsid w:val="00120BFF"/>
    <w:rsid w:val="001213F0"/>
    <w:rsid w:val="0012324F"/>
    <w:rsid w:val="00123572"/>
    <w:rsid w:val="00123A4B"/>
    <w:rsid w:val="00123F2F"/>
    <w:rsid w:val="00124301"/>
    <w:rsid w:val="00124320"/>
    <w:rsid w:val="0012467D"/>
    <w:rsid w:val="00124EBB"/>
    <w:rsid w:val="00126358"/>
    <w:rsid w:val="00126D15"/>
    <w:rsid w:val="001276E6"/>
    <w:rsid w:val="00127B4D"/>
    <w:rsid w:val="00130B7F"/>
    <w:rsid w:val="001316F9"/>
    <w:rsid w:val="00131FCE"/>
    <w:rsid w:val="0013268F"/>
    <w:rsid w:val="00132819"/>
    <w:rsid w:val="00132E8E"/>
    <w:rsid w:val="001332F8"/>
    <w:rsid w:val="00133561"/>
    <w:rsid w:val="0013372E"/>
    <w:rsid w:val="00133A5C"/>
    <w:rsid w:val="00133D97"/>
    <w:rsid w:val="00134385"/>
    <w:rsid w:val="00134609"/>
    <w:rsid w:val="0013463F"/>
    <w:rsid w:val="00134D6B"/>
    <w:rsid w:val="00135D83"/>
    <w:rsid w:val="00136876"/>
    <w:rsid w:val="001374CF"/>
    <w:rsid w:val="00140679"/>
    <w:rsid w:val="00140CCE"/>
    <w:rsid w:val="00141B74"/>
    <w:rsid w:val="001421D6"/>
    <w:rsid w:val="001428B3"/>
    <w:rsid w:val="001429FC"/>
    <w:rsid w:val="0014436C"/>
    <w:rsid w:val="00144D19"/>
    <w:rsid w:val="00144D93"/>
    <w:rsid w:val="001458C8"/>
    <w:rsid w:val="001459D2"/>
    <w:rsid w:val="00145B6F"/>
    <w:rsid w:val="0014638D"/>
    <w:rsid w:val="00146538"/>
    <w:rsid w:val="0014656F"/>
    <w:rsid w:val="00146CB5"/>
    <w:rsid w:val="00147106"/>
    <w:rsid w:val="001473BD"/>
    <w:rsid w:val="0015136C"/>
    <w:rsid w:val="001516C0"/>
    <w:rsid w:val="001519ED"/>
    <w:rsid w:val="00152243"/>
    <w:rsid w:val="00152BAE"/>
    <w:rsid w:val="00152C4B"/>
    <w:rsid w:val="00152E8E"/>
    <w:rsid w:val="00153C8E"/>
    <w:rsid w:val="001543DF"/>
    <w:rsid w:val="0015464E"/>
    <w:rsid w:val="00154CF7"/>
    <w:rsid w:val="00155CE5"/>
    <w:rsid w:val="00156296"/>
    <w:rsid w:val="00157054"/>
    <w:rsid w:val="00157A87"/>
    <w:rsid w:val="00157BA0"/>
    <w:rsid w:val="00160D4A"/>
    <w:rsid w:val="0016117E"/>
    <w:rsid w:val="00161700"/>
    <w:rsid w:val="001621BB"/>
    <w:rsid w:val="00162665"/>
    <w:rsid w:val="00162A7F"/>
    <w:rsid w:val="00163944"/>
    <w:rsid w:val="001639EC"/>
    <w:rsid w:val="00164159"/>
    <w:rsid w:val="00164626"/>
    <w:rsid w:val="00164C15"/>
    <w:rsid w:val="00164C5E"/>
    <w:rsid w:val="00164FA9"/>
    <w:rsid w:val="0016508C"/>
    <w:rsid w:val="001657B0"/>
    <w:rsid w:val="00165D1B"/>
    <w:rsid w:val="0017080B"/>
    <w:rsid w:val="00171A0B"/>
    <w:rsid w:val="00171D73"/>
    <w:rsid w:val="001721A0"/>
    <w:rsid w:val="00172AF3"/>
    <w:rsid w:val="0017310F"/>
    <w:rsid w:val="0017384D"/>
    <w:rsid w:val="00173965"/>
    <w:rsid w:val="00174595"/>
    <w:rsid w:val="0017495E"/>
    <w:rsid w:val="00174C6D"/>
    <w:rsid w:val="00176530"/>
    <w:rsid w:val="00176B79"/>
    <w:rsid w:val="00176C40"/>
    <w:rsid w:val="00176C47"/>
    <w:rsid w:val="00177074"/>
    <w:rsid w:val="00177090"/>
    <w:rsid w:val="00177108"/>
    <w:rsid w:val="00181FD6"/>
    <w:rsid w:val="001827A0"/>
    <w:rsid w:val="00182A21"/>
    <w:rsid w:val="00183124"/>
    <w:rsid w:val="00183172"/>
    <w:rsid w:val="00183492"/>
    <w:rsid w:val="0018358B"/>
    <w:rsid w:val="00183788"/>
    <w:rsid w:val="00183A00"/>
    <w:rsid w:val="00184064"/>
    <w:rsid w:val="0018494E"/>
    <w:rsid w:val="00184B47"/>
    <w:rsid w:val="00185BD9"/>
    <w:rsid w:val="00185BE5"/>
    <w:rsid w:val="00185E7B"/>
    <w:rsid w:val="001861DD"/>
    <w:rsid w:val="00186914"/>
    <w:rsid w:val="00186D7F"/>
    <w:rsid w:val="00186FBB"/>
    <w:rsid w:val="00187072"/>
    <w:rsid w:val="00187599"/>
    <w:rsid w:val="00187AC0"/>
    <w:rsid w:val="001905F4"/>
    <w:rsid w:val="00190AEC"/>
    <w:rsid w:val="00191427"/>
    <w:rsid w:val="0019162C"/>
    <w:rsid w:val="00191CD9"/>
    <w:rsid w:val="00192173"/>
    <w:rsid w:val="0019260E"/>
    <w:rsid w:val="00192BC8"/>
    <w:rsid w:val="00192E26"/>
    <w:rsid w:val="0019322A"/>
    <w:rsid w:val="001932EA"/>
    <w:rsid w:val="00193428"/>
    <w:rsid w:val="001934F5"/>
    <w:rsid w:val="00193D83"/>
    <w:rsid w:val="00193FDB"/>
    <w:rsid w:val="00194623"/>
    <w:rsid w:val="00194988"/>
    <w:rsid w:val="00194C00"/>
    <w:rsid w:val="00194CA7"/>
    <w:rsid w:val="00196916"/>
    <w:rsid w:val="00196C6E"/>
    <w:rsid w:val="001978D0"/>
    <w:rsid w:val="001A0153"/>
    <w:rsid w:val="001A034C"/>
    <w:rsid w:val="001A0964"/>
    <w:rsid w:val="001A0BC1"/>
    <w:rsid w:val="001A1212"/>
    <w:rsid w:val="001A17D5"/>
    <w:rsid w:val="001A2488"/>
    <w:rsid w:val="001A25AD"/>
    <w:rsid w:val="001A2C93"/>
    <w:rsid w:val="001A3B27"/>
    <w:rsid w:val="001A3FF8"/>
    <w:rsid w:val="001A4474"/>
    <w:rsid w:val="001A4C12"/>
    <w:rsid w:val="001A5934"/>
    <w:rsid w:val="001A6A5A"/>
    <w:rsid w:val="001A6E38"/>
    <w:rsid w:val="001A7084"/>
    <w:rsid w:val="001B0B93"/>
    <w:rsid w:val="001B11A5"/>
    <w:rsid w:val="001B1958"/>
    <w:rsid w:val="001B1D12"/>
    <w:rsid w:val="001B20C2"/>
    <w:rsid w:val="001B28DB"/>
    <w:rsid w:val="001B2B92"/>
    <w:rsid w:val="001B2E6F"/>
    <w:rsid w:val="001B3566"/>
    <w:rsid w:val="001B35DA"/>
    <w:rsid w:val="001B3A60"/>
    <w:rsid w:val="001B3EF1"/>
    <w:rsid w:val="001B43D4"/>
    <w:rsid w:val="001B4AB9"/>
    <w:rsid w:val="001B5233"/>
    <w:rsid w:val="001B54EB"/>
    <w:rsid w:val="001B598D"/>
    <w:rsid w:val="001B617B"/>
    <w:rsid w:val="001B7170"/>
    <w:rsid w:val="001B75FC"/>
    <w:rsid w:val="001B7697"/>
    <w:rsid w:val="001C02B4"/>
    <w:rsid w:val="001C0C0E"/>
    <w:rsid w:val="001C0C9A"/>
    <w:rsid w:val="001C1141"/>
    <w:rsid w:val="001C1447"/>
    <w:rsid w:val="001C199D"/>
    <w:rsid w:val="001C1BE7"/>
    <w:rsid w:val="001C1ECF"/>
    <w:rsid w:val="001C2895"/>
    <w:rsid w:val="001C2997"/>
    <w:rsid w:val="001C29BC"/>
    <w:rsid w:val="001C30E3"/>
    <w:rsid w:val="001C39F1"/>
    <w:rsid w:val="001C3A12"/>
    <w:rsid w:val="001C3BB8"/>
    <w:rsid w:val="001C5737"/>
    <w:rsid w:val="001C58E4"/>
    <w:rsid w:val="001C59A6"/>
    <w:rsid w:val="001C5C4E"/>
    <w:rsid w:val="001C5E9B"/>
    <w:rsid w:val="001C6D37"/>
    <w:rsid w:val="001C6E9D"/>
    <w:rsid w:val="001C76C1"/>
    <w:rsid w:val="001C78AE"/>
    <w:rsid w:val="001D0262"/>
    <w:rsid w:val="001D15A3"/>
    <w:rsid w:val="001D16D5"/>
    <w:rsid w:val="001D1B31"/>
    <w:rsid w:val="001D1B99"/>
    <w:rsid w:val="001D1EFA"/>
    <w:rsid w:val="001D1F30"/>
    <w:rsid w:val="001D25DB"/>
    <w:rsid w:val="001D3391"/>
    <w:rsid w:val="001D4829"/>
    <w:rsid w:val="001D482E"/>
    <w:rsid w:val="001D4B5F"/>
    <w:rsid w:val="001D4B6F"/>
    <w:rsid w:val="001D4C95"/>
    <w:rsid w:val="001D4D38"/>
    <w:rsid w:val="001D51A6"/>
    <w:rsid w:val="001D520F"/>
    <w:rsid w:val="001D56D1"/>
    <w:rsid w:val="001D5714"/>
    <w:rsid w:val="001D7599"/>
    <w:rsid w:val="001D7998"/>
    <w:rsid w:val="001E009A"/>
    <w:rsid w:val="001E01EC"/>
    <w:rsid w:val="001E06D9"/>
    <w:rsid w:val="001E0BE5"/>
    <w:rsid w:val="001E0C1D"/>
    <w:rsid w:val="001E21CD"/>
    <w:rsid w:val="001E3EA7"/>
    <w:rsid w:val="001E448E"/>
    <w:rsid w:val="001E587B"/>
    <w:rsid w:val="001E63FD"/>
    <w:rsid w:val="001E6A50"/>
    <w:rsid w:val="001E784F"/>
    <w:rsid w:val="001E7D00"/>
    <w:rsid w:val="001F00CE"/>
    <w:rsid w:val="001F073D"/>
    <w:rsid w:val="001F0FCC"/>
    <w:rsid w:val="001F102A"/>
    <w:rsid w:val="001F127A"/>
    <w:rsid w:val="001F14FC"/>
    <w:rsid w:val="001F1A13"/>
    <w:rsid w:val="001F1E55"/>
    <w:rsid w:val="001F2438"/>
    <w:rsid w:val="001F284B"/>
    <w:rsid w:val="001F38AE"/>
    <w:rsid w:val="001F3984"/>
    <w:rsid w:val="001F3E3B"/>
    <w:rsid w:val="001F4333"/>
    <w:rsid w:val="001F435A"/>
    <w:rsid w:val="001F47F6"/>
    <w:rsid w:val="001F5860"/>
    <w:rsid w:val="001F5A21"/>
    <w:rsid w:val="001F5AB3"/>
    <w:rsid w:val="001F5DC4"/>
    <w:rsid w:val="00200193"/>
    <w:rsid w:val="002003F1"/>
    <w:rsid w:val="00200837"/>
    <w:rsid w:val="00200A45"/>
    <w:rsid w:val="00200DAF"/>
    <w:rsid w:val="00200F62"/>
    <w:rsid w:val="0020107F"/>
    <w:rsid w:val="00201B7E"/>
    <w:rsid w:val="00202953"/>
    <w:rsid w:val="00202BE6"/>
    <w:rsid w:val="00202D06"/>
    <w:rsid w:val="00202FA3"/>
    <w:rsid w:val="00203165"/>
    <w:rsid w:val="00203CEE"/>
    <w:rsid w:val="00203DDF"/>
    <w:rsid w:val="00204FDB"/>
    <w:rsid w:val="0020517D"/>
    <w:rsid w:val="00205311"/>
    <w:rsid w:val="00205CF9"/>
    <w:rsid w:val="00205EA9"/>
    <w:rsid w:val="0020616A"/>
    <w:rsid w:val="00206DF7"/>
    <w:rsid w:val="00206E57"/>
    <w:rsid w:val="002071F9"/>
    <w:rsid w:val="002100AC"/>
    <w:rsid w:val="002107A2"/>
    <w:rsid w:val="00210A11"/>
    <w:rsid w:val="00212634"/>
    <w:rsid w:val="00212ABD"/>
    <w:rsid w:val="00212B0F"/>
    <w:rsid w:val="00212F13"/>
    <w:rsid w:val="00213321"/>
    <w:rsid w:val="00213415"/>
    <w:rsid w:val="00213635"/>
    <w:rsid w:val="0021419D"/>
    <w:rsid w:val="002141A7"/>
    <w:rsid w:val="002149F4"/>
    <w:rsid w:val="00214B2E"/>
    <w:rsid w:val="00214F4E"/>
    <w:rsid w:val="00215A2C"/>
    <w:rsid w:val="00215F0E"/>
    <w:rsid w:val="0021686E"/>
    <w:rsid w:val="00216EFE"/>
    <w:rsid w:val="00217065"/>
    <w:rsid w:val="00217D8A"/>
    <w:rsid w:val="00220126"/>
    <w:rsid w:val="002202EF"/>
    <w:rsid w:val="002202FD"/>
    <w:rsid w:val="00221AAC"/>
    <w:rsid w:val="00221C23"/>
    <w:rsid w:val="00221CEB"/>
    <w:rsid w:val="0022205E"/>
    <w:rsid w:val="002221AB"/>
    <w:rsid w:val="00222AE3"/>
    <w:rsid w:val="00222E4E"/>
    <w:rsid w:val="00223502"/>
    <w:rsid w:val="002237D1"/>
    <w:rsid w:val="002237FA"/>
    <w:rsid w:val="002241F5"/>
    <w:rsid w:val="00224413"/>
    <w:rsid w:val="002244B2"/>
    <w:rsid w:val="0022475E"/>
    <w:rsid w:val="00225483"/>
    <w:rsid w:val="002255F1"/>
    <w:rsid w:val="002261A9"/>
    <w:rsid w:val="00226435"/>
    <w:rsid w:val="00226D30"/>
    <w:rsid w:val="0022704F"/>
    <w:rsid w:val="0022780F"/>
    <w:rsid w:val="00227BAC"/>
    <w:rsid w:val="00227C50"/>
    <w:rsid w:val="00227EC1"/>
    <w:rsid w:val="002302E4"/>
    <w:rsid w:val="0023031F"/>
    <w:rsid w:val="00230876"/>
    <w:rsid w:val="0023099F"/>
    <w:rsid w:val="00230AE1"/>
    <w:rsid w:val="00231516"/>
    <w:rsid w:val="00231F35"/>
    <w:rsid w:val="002327F8"/>
    <w:rsid w:val="00233193"/>
    <w:rsid w:val="00233406"/>
    <w:rsid w:val="00233959"/>
    <w:rsid w:val="00233FF6"/>
    <w:rsid w:val="0023606C"/>
    <w:rsid w:val="00236211"/>
    <w:rsid w:val="002366B3"/>
    <w:rsid w:val="00236942"/>
    <w:rsid w:val="002369B8"/>
    <w:rsid w:val="00237B17"/>
    <w:rsid w:val="00240004"/>
    <w:rsid w:val="00240117"/>
    <w:rsid w:val="00240AA3"/>
    <w:rsid w:val="002412C7"/>
    <w:rsid w:val="00241373"/>
    <w:rsid w:val="00241634"/>
    <w:rsid w:val="00241647"/>
    <w:rsid w:val="002421DC"/>
    <w:rsid w:val="002423BE"/>
    <w:rsid w:val="00242EE4"/>
    <w:rsid w:val="00242F3F"/>
    <w:rsid w:val="0024436C"/>
    <w:rsid w:val="002445EC"/>
    <w:rsid w:val="00244E3D"/>
    <w:rsid w:val="002454E7"/>
    <w:rsid w:val="002461A6"/>
    <w:rsid w:val="00246383"/>
    <w:rsid w:val="0024671D"/>
    <w:rsid w:val="00247677"/>
    <w:rsid w:val="00247678"/>
    <w:rsid w:val="002476B5"/>
    <w:rsid w:val="00247D26"/>
    <w:rsid w:val="002506E0"/>
    <w:rsid w:val="00250AE3"/>
    <w:rsid w:val="002523D9"/>
    <w:rsid w:val="00252E3C"/>
    <w:rsid w:val="00253CA7"/>
    <w:rsid w:val="00253DE0"/>
    <w:rsid w:val="00254019"/>
    <w:rsid w:val="00255230"/>
    <w:rsid w:val="002560E2"/>
    <w:rsid w:val="00256829"/>
    <w:rsid w:val="00256CC2"/>
    <w:rsid w:val="00256E25"/>
    <w:rsid w:val="0025749E"/>
    <w:rsid w:val="002574BD"/>
    <w:rsid w:val="0025763F"/>
    <w:rsid w:val="00257798"/>
    <w:rsid w:val="00257902"/>
    <w:rsid w:val="00257BFF"/>
    <w:rsid w:val="00260335"/>
    <w:rsid w:val="00260380"/>
    <w:rsid w:val="0026105A"/>
    <w:rsid w:val="0026140C"/>
    <w:rsid w:val="00261657"/>
    <w:rsid w:val="0026165B"/>
    <w:rsid w:val="0026202A"/>
    <w:rsid w:val="00262211"/>
    <w:rsid w:val="00262254"/>
    <w:rsid w:val="00262A8A"/>
    <w:rsid w:val="002632D9"/>
    <w:rsid w:val="00263985"/>
    <w:rsid w:val="00263DD5"/>
    <w:rsid w:val="00263E2D"/>
    <w:rsid w:val="002645C7"/>
    <w:rsid w:val="00264E26"/>
    <w:rsid w:val="00264FF2"/>
    <w:rsid w:val="00264FFD"/>
    <w:rsid w:val="00265B36"/>
    <w:rsid w:val="00266312"/>
    <w:rsid w:val="002671CE"/>
    <w:rsid w:val="00267233"/>
    <w:rsid w:val="002703FC"/>
    <w:rsid w:val="00270A06"/>
    <w:rsid w:val="00270C8E"/>
    <w:rsid w:val="00271B65"/>
    <w:rsid w:val="00271ED8"/>
    <w:rsid w:val="0027349A"/>
    <w:rsid w:val="002735ED"/>
    <w:rsid w:val="002735F9"/>
    <w:rsid w:val="0027429F"/>
    <w:rsid w:val="002749F5"/>
    <w:rsid w:val="00274F36"/>
    <w:rsid w:val="002752F7"/>
    <w:rsid w:val="0027534E"/>
    <w:rsid w:val="00276898"/>
    <w:rsid w:val="00276AE7"/>
    <w:rsid w:val="00276CF8"/>
    <w:rsid w:val="00277556"/>
    <w:rsid w:val="00277E25"/>
    <w:rsid w:val="00277F5F"/>
    <w:rsid w:val="00280140"/>
    <w:rsid w:val="00280574"/>
    <w:rsid w:val="00281795"/>
    <w:rsid w:val="00281C18"/>
    <w:rsid w:val="002826B7"/>
    <w:rsid w:val="00283EF9"/>
    <w:rsid w:val="00284D1A"/>
    <w:rsid w:val="00284FF8"/>
    <w:rsid w:val="00285408"/>
    <w:rsid w:val="0028544D"/>
    <w:rsid w:val="00285898"/>
    <w:rsid w:val="00286115"/>
    <w:rsid w:val="002864C9"/>
    <w:rsid w:val="002869A3"/>
    <w:rsid w:val="00286D0D"/>
    <w:rsid w:val="0029111C"/>
    <w:rsid w:val="0029154D"/>
    <w:rsid w:val="00291C00"/>
    <w:rsid w:val="00292051"/>
    <w:rsid w:val="00292ACC"/>
    <w:rsid w:val="00292F4C"/>
    <w:rsid w:val="00292FB3"/>
    <w:rsid w:val="00292FD1"/>
    <w:rsid w:val="00293B41"/>
    <w:rsid w:val="002946DC"/>
    <w:rsid w:val="00294C3A"/>
    <w:rsid w:val="00294D41"/>
    <w:rsid w:val="00294E7E"/>
    <w:rsid w:val="00294ECC"/>
    <w:rsid w:val="00295540"/>
    <w:rsid w:val="002955B7"/>
    <w:rsid w:val="00295DDC"/>
    <w:rsid w:val="00296208"/>
    <w:rsid w:val="002971CB"/>
    <w:rsid w:val="002971D9"/>
    <w:rsid w:val="0029790F"/>
    <w:rsid w:val="002A0368"/>
    <w:rsid w:val="002A158C"/>
    <w:rsid w:val="002A2488"/>
    <w:rsid w:val="002A2AFF"/>
    <w:rsid w:val="002A2BF6"/>
    <w:rsid w:val="002A2D9E"/>
    <w:rsid w:val="002A2EC0"/>
    <w:rsid w:val="002A2F33"/>
    <w:rsid w:val="002A3089"/>
    <w:rsid w:val="002A32A4"/>
    <w:rsid w:val="002A32AF"/>
    <w:rsid w:val="002A32C7"/>
    <w:rsid w:val="002A3378"/>
    <w:rsid w:val="002A3B74"/>
    <w:rsid w:val="002A3C1F"/>
    <w:rsid w:val="002A4E37"/>
    <w:rsid w:val="002A5FB5"/>
    <w:rsid w:val="002A62BE"/>
    <w:rsid w:val="002A671F"/>
    <w:rsid w:val="002A68F2"/>
    <w:rsid w:val="002A6D89"/>
    <w:rsid w:val="002B012E"/>
    <w:rsid w:val="002B087A"/>
    <w:rsid w:val="002B0AE6"/>
    <w:rsid w:val="002B0D81"/>
    <w:rsid w:val="002B1B4A"/>
    <w:rsid w:val="002B1F47"/>
    <w:rsid w:val="002B2000"/>
    <w:rsid w:val="002B2D80"/>
    <w:rsid w:val="002B2D9F"/>
    <w:rsid w:val="002B342E"/>
    <w:rsid w:val="002B3504"/>
    <w:rsid w:val="002B47C4"/>
    <w:rsid w:val="002B4F91"/>
    <w:rsid w:val="002B553D"/>
    <w:rsid w:val="002B5769"/>
    <w:rsid w:val="002B58EC"/>
    <w:rsid w:val="002B6D84"/>
    <w:rsid w:val="002B766C"/>
    <w:rsid w:val="002B7BEC"/>
    <w:rsid w:val="002B7E95"/>
    <w:rsid w:val="002C07B6"/>
    <w:rsid w:val="002C0ADC"/>
    <w:rsid w:val="002C0D56"/>
    <w:rsid w:val="002C30FE"/>
    <w:rsid w:val="002C4525"/>
    <w:rsid w:val="002C4FA5"/>
    <w:rsid w:val="002C5023"/>
    <w:rsid w:val="002C5093"/>
    <w:rsid w:val="002C5510"/>
    <w:rsid w:val="002C567B"/>
    <w:rsid w:val="002C59F0"/>
    <w:rsid w:val="002C5A8A"/>
    <w:rsid w:val="002C6157"/>
    <w:rsid w:val="002C6BA9"/>
    <w:rsid w:val="002C6D15"/>
    <w:rsid w:val="002C7595"/>
    <w:rsid w:val="002C7CC6"/>
    <w:rsid w:val="002C7DA1"/>
    <w:rsid w:val="002D18C3"/>
    <w:rsid w:val="002D25E6"/>
    <w:rsid w:val="002D349D"/>
    <w:rsid w:val="002D3B80"/>
    <w:rsid w:val="002D4F6E"/>
    <w:rsid w:val="002D6539"/>
    <w:rsid w:val="002D66BB"/>
    <w:rsid w:val="002D6B5A"/>
    <w:rsid w:val="002D775B"/>
    <w:rsid w:val="002D7AE5"/>
    <w:rsid w:val="002D7B9B"/>
    <w:rsid w:val="002E0542"/>
    <w:rsid w:val="002E0685"/>
    <w:rsid w:val="002E1062"/>
    <w:rsid w:val="002E12D4"/>
    <w:rsid w:val="002E130A"/>
    <w:rsid w:val="002E14F8"/>
    <w:rsid w:val="002E1545"/>
    <w:rsid w:val="002E1655"/>
    <w:rsid w:val="002E21CB"/>
    <w:rsid w:val="002E2763"/>
    <w:rsid w:val="002E28EF"/>
    <w:rsid w:val="002E3EBD"/>
    <w:rsid w:val="002E443C"/>
    <w:rsid w:val="002E4DF3"/>
    <w:rsid w:val="002E646B"/>
    <w:rsid w:val="002E7660"/>
    <w:rsid w:val="002E77CB"/>
    <w:rsid w:val="002E7B2C"/>
    <w:rsid w:val="002F09B7"/>
    <w:rsid w:val="002F10B4"/>
    <w:rsid w:val="002F114E"/>
    <w:rsid w:val="002F1805"/>
    <w:rsid w:val="002F1817"/>
    <w:rsid w:val="002F3303"/>
    <w:rsid w:val="002F376A"/>
    <w:rsid w:val="002F3D5C"/>
    <w:rsid w:val="002F4EC6"/>
    <w:rsid w:val="002F5C26"/>
    <w:rsid w:val="002F60A6"/>
    <w:rsid w:val="002F76DC"/>
    <w:rsid w:val="002F7C52"/>
    <w:rsid w:val="0030056B"/>
    <w:rsid w:val="003010B3"/>
    <w:rsid w:val="00301278"/>
    <w:rsid w:val="00301516"/>
    <w:rsid w:val="00301900"/>
    <w:rsid w:val="00301E65"/>
    <w:rsid w:val="0030230A"/>
    <w:rsid w:val="00302CFD"/>
    <w:rsid w:val="00302D3B"/>
    <w:rsid w:val="003046E2"/>
    <w:rsid w:val="0030478B"/>
    <w:rsid w:val="003054CB"/>
    <w:rsid w:val="00306A2A"/>
    <w:rsid w:val="0030704F"/>
    <w:rsid w:val="00307104"/>
    <w:rsid w:val="00307769"/>
    <w:rsid w:val="0030798D"/>
    <w:rsid w:val="00307CE1"/>
    <w:rsid w:val="00307EEC"/>
    <w:rsid w:val="0031005E"/>
    <w:rsid w:val="0031169F"/>
    <w:rsid w:val="0031190A"/>
    <w:rsid w:val="003120D1"/>
    <w:rsid w:val="00313157"/>
    <w:rsid w:val="00314CC7"/>
    <w:rsid w:val="00314DF2"/>
    <w:rsid w:val="00315862"/>
    <w:rsid w:val="003158D0"/>
    <w:rsid w:val="003168AC"/>
    <w:rsid w:val="0031747A"/>
    <w:rsid w:val="00317907"/>
    <w:rsid w:val="00317C89"/>
    <w:rsid w:val="00320DD2"/>
    <w:rsid w:val="00321298"/>
    <w:rsid w:val="0032212F"/>
    <w:rsid w:val="00323847"/>
    <w:rsid w:val="0032414F"/>
    <w:rsid w:val="00324AF2"/>
    <w:rsid w:val="003258C0"/>
    <w:rsid w:val="00325906"/>
    <w:rsid w:val="00325BB4"/>
    <w:rsid w:val="00327A63"/>
    <w:rsid w:val="0033080C"/>
    <w:rsid w:val="00330878"/>
    <w:rsid w:val="00330CA6"/>
    <w:rsid w:val="00331248"/>
    <w:rsid w:val="00331CEF"/>
    <w:rsid w:val="0033289B"/>
    <w:rsid w:val="003328BC"/>
    <w:rsid w:val="00332B1B"/>
    <w:rsid w:val="00332C82"/>
    <w:rsid w:val="00333523"/>
    <w:rsid w:val="0033371C"/>
    <w:rsid w:val="00333A9E"/>
    <w:rsid w:val="00333E32"/>
    <w:rsid w:val="00333EB6"/>
    <w:rsid w:val="0033585F"/>
    <w:rsid w:val="00335ABE"/>
    <w:rsid w:val="0033634C"/>
    <w:rsid w:val="00336ED4"/>
    <w:rsid w:val="00337244"/>
    <w:rsid w:val="003372F8"/>
    <w:rsid w:val="003374EA"/>
    <w:rsid w:val="00337E10"/>
    <w:rsid w:val="00337FA5"/>
    <w:rsid w:val="003401C8"/>
    <w:rsid w:val="00340F39"/>
    <w:rsid w:val="00340F8E"/>
    <w:rsid w:val="003410EE"/>
    <w:rsid w:val="0034112D"/>
    <w:rsid w:val="00341FB3"/>
    <w:rsid w:val="00341FF4"/>
    <w:rsid w:val="00342BD4"/>
    <w:rsid w:val="00342CAF"/>
    <w:rsid w:val="003433F2"/>
    <w:rsid w:val="003439F5"/>
    <w:rsid w:val="00344565"/>
    <w:rsid w:val="0034456A"/>
    <w:rsid w:val="00344627"/>
    <w:rsid w:val="0034630E"/>
    <w:rsid w:val="0034669B"/>
    <w:rsid w:val="0034771C"/>
    <w:rsid w:val="0034780B"/>
    <w:rsid w:val="00350082"/>
    <w:rsid w:val="003501D6"/>
    <w:rsid w:val="003502AB"/>
    <w:rsid w:val="00351B95"/>
    <w:rsid w:val="00352083"/>
    <w:rsid w:val="0035276C"/>
    <w:rsid w:val="00352862"/>
    <w:rsid w:val="003531C6"/>
    <w:rsid w:val="00353212"/>
    <w:rsid w:val="003536E3"/>
    <w:rsid w:val="00353CC1"/>
    <w:rsid w:val="003543E0"/>
    <w:rsid w:val="003549CD"/>
    <w:rsid w:val="00354D42"/>
    <w:rsid w:val="00354F4F"/>
    <w:rsid w:val="0035555B"/>
    <w:rsid w:val="003555D8"/>
    <w:rsid w:val="00355E4F"/>
    <w:rsid w:val="003569B5"/>
    <w:rsid w:val="003569C4"/>
    <w:rsid w:val="00356C8B"/>
    <w:rsid w:val="00356C94"/>
    <w:rsid w:val="0035773D"/>
    <w:rsid w:val="00357E81"/>
    <w:rsid w:val="003600C3"/>
    <w:rsid w:val="00360359"/>
    <w:rsid w:val="003606D8"/>
    <w:rsid w:val="003607E7"/>
    <w:rsid w:val="00360E9D"/>
    <w:rsid w:val="00361160"/>
    <w:rsid w:val="00362E81"/>
    <w:rsid w:val="003632CE"/>
    <w:rsid w:val="00363DC0"/>
    <w:rsid w:val="0036403F"/>
    <w:rsid w:val="0036437F"/>
    <w:rsid w:val="00364F06"/>
    <w:rsid w:val="00365191"/>
    <w:rsid w:val="00366B64"/>
    <w:rsid w:val="00367382"/>
    <w:rsid w:val="0036762E"/>
    <w:rsid w:val="00367887"/>
    <w:rsid w:val="00370B1A"/>
    <w:rsid w:val="00370C43"/>
    <w:rsid w:val="00371021"/>
    <w:rsid w:val="0037124C"/>
    <w:rsid w:val="003719C2"/>
    <w:rsid w:val="00371CEA"/>
    <w:rsid w:val="00371DCF"/>
    <w:rsid w:val="00372837"/>
    <w:rsid w:val="00373508"/>
    <w:rsid w:val="0037488D"/>
    <w:rsid w:val="003750C3"/>
    <w:rsid w:val="003758F2"/>
    <w:rsid w:val="00375B67"/>
    <w:rsid w:val="003767DA"/>
    <w:rsid w:val="003774DD"/>
    <w:rsid w:val="00377564"/>
    <w:rsid w:val="003806BC"/>
    <w:rsid w:val="00380E58"/>
    <w:rsid w:val="00381F34"/>
    <w:rsid w:val="00382F7F"/>
    <w:rsid w:val="0038348C"/>
    <w:rsid w:val="0038353C"/>
    <w:rsid w:val="003841CB"/>
    <w:rsid w:val="00384418"/>
    <w:rsid w:val="0038529A"/>
    <w:rsid w:val="00385B44"/>
    <w:rsid w:val="00385FAA"/>
    <w:rsid w:val="003864A0"/>
    <w:rsid w:val="00387CE7"/>
    <w:rsid w:val="00387D5E"/>
    <w:rsid w:val="003904FA"/>
    <w:rsid w:val="0039097E"/>
    <w:rsid w:val="003909A8"/>
    <w:rsid w:val="00391AF5"/>
    <w:rsid w:val="003920E4"/>
    <w:rsid w:val="0039251D"/>
    <w:rsid w:val="00392C97"/>
    <w:rsid w:val="00393038"/>
    <w:rsid w:val="00393726"/>
    <w:rsid w:val="003946B5"/>
    <w:rsid w:val="0039515B"/>
    <w:rsid w:val="003958FD"/>
    <w:rsid w:val="00396651"/>
    <w:rsid w:val="00396974"/>
    <w:rsid w:val="0039768D"/>
    <w:rsid w:val="003A005B"/>
    <w:rsid w:val="003A0188"/>
    <w:rsid w:val="003A09A3"/>
    <w:rsid w:val="003A0AF7"/>
    <w:rsid w:val="003A1972"/>
    <w:rsid w:val="003A1A86"/>
    <w:rsid w:val="003A1CCC"/>
    <w:rsid w:val="003A23B9"/>
    <w:rsid w:val="003A30DC"/>
    <w:rsid w:val="003A34E0"/>
    <w:rsid w:val="003A36F1"/>
    <w:rsid w:val="003A376B"/>
    <w:rsid w:val="003A387D"/>
    <w:rsid w:val="003A3968"/>
    <w:rsid w:val="003A3BB9"/>
    <w:rsid w:val="003A41F3"/>
    <w:rsid w:val="003A4267"/>
    <w:rsid w:val="003A4686"/>
    <w:rsid w:val="003A512D"/>
    <w:rsid w:val="003A59E0"/>
    <w:rsid w:val="003A606B"/>
    <w:rsid w:val="003A6498"/>
    <w:rsid w:val="003A68D0"/>
    <w:rsid w:val="003A68FB"/>
    <w:rsid w:val="003A6912"/>
    <w:rsid w:val="003A77DC"/>
    <w:rsid w:val="003B016A"/>
    <w:rsid w:val="003B05F3"/>
    <w:rsid w:val="003B0BD6"/>
    <w:rsid w:val="003B2932"/>
    <w:rsid w:val="003B32BC"/>
    <w:rsid w:val="003B32DF"/>
    <w:rsid w:val="003B397C"/>
    <w:rsid w:val="003B3A1D"/>
    <w:rsid w:val="003B3F42"/>
    <w:rsid w:val="003B418D"/>
    <w:rsid w:val="003B419F"/>
    <w:rsid w:val="003B486D"/>
    <w:rsid w:val="003B4CA5"/>
    <w:rsid w:val="003B526B"/>
    <w:rsid w:val="003B5603"/>
    <w:rsid w:val="003B5987"/>
    <w:rsid w:val="003B5E9A"/>
    <w:rsid w:val="003B662A"/>
    <w:rsid w:val="003B6FA9"/>
    <w:rsid w:val="003B71E6"/>
    <w:rsid w:val="003B72EB"/>
    <w:rsid w:val="003B7764"/>
    <w:rsid w:val="003B7F93"/>
    <w:rsid w:val="003C0142"/>
    <w:rsid w:val="003C0193"/>
    <w:rsid w:val="003C02B6"/>
    <w:rsid w:val="003C04D3"/>
    <w:rsid w:val="003C1359"/>
    <w:rsid w:val="003C22F8"/>
    <w:rsid w:val="003C246A"/>
    <w:rsid w:val="003C2AB4"/>
    <w:rsid w:val="003C3119"/>
    <w:rsid w:val="003C37FC"/>
    <w:rsid w:val="003C3C07"/>
    <w:rsid w:val="003C3E12"/>
    <w:rsid w:val="003C5230"/>
    <w:rsid w:val="003C561E"/>
    <w:rsid w:val="003C5DB2"/>
    <w:rsid w:val="003C5FED"/>
    <w:rsid w:val="003C643C"/>
    <w:rsid w:val="003C6D18"/>
    <w:rsid w:val="003C6D80"/>
    <w:rsid w:val="003C6EE7"/>
    <w:rsid w:val="003C7101"/>
    <w:rsid w:val="003C7FB8"/>
    <w:rsid w:val="003D1DC0"/>
    <w:rsid w:val="003D200C"/>
    <w:rsid w:val="003D205E"/>
    <w:rsid w:val="003D2881"/>
    <w:rsid w:val="003D2A42"/>
    <w:rsid w:val="003D377C"/>
    <w:rsid w:val="003D3B56"/>
    <w:rsid w:val="003D3B95"/>
    <w:rsid w:val="003D3FD6"/>
    <w:rsid w:val="003D5C71"/>
    <w:rsid w:val="003D64AE"/>
    <w:rsid w:val="003D6583"/>
    <w:rsid w:val="003D69C7"/>
    <w:rsid w:val="003D76BE"/>
    <w:rsid w:val="003E019F"/>
    <w:rsid w:val="003E02A0"/>
    <w:rsid w:val="003E0905"/>
    <w:rsid w:val="003E0B28"/>
    <w:rsid w:val="003E0EF1"/>
    <w:rsid w:val="003E1481"/>
    <w:rsid w:val="003E1741"/>
    <w:rsid w:val="003E1A7A"/>
    <w:rsid w:val="003E1C0C"/>
    <w:rsid w:val="003E1C2D"/>
    <w:rsid w:val="003E28D6"/>
    <w:rsid w:val="003E2CA5"/>
    <w:rsid w:val="003E2D3A"/>
    <w:rsid w:val="003E3D88"/>
    <w:rsid w:val="003E484C"/>
    <w:rsid w:val="003E4C16"/>
    <w:rsid w:val="003E4DCD"/>
    <w:rsid w:val="003E5DE5"/>
    <w:rsid w:val="003E656F"/>
    <w:rsid w:val="003E6AD2"/>
    <w:rsid w:val="003E7A24"/>
    <w:rsid w:val="003E7F9F"/>
    <w:rsid w:val="003F0355"/>
    <w:rsid w:val="003F051F"/>
    <w:rsid w:val="003F0706"/>
    <w:rsid w:val="003F08DF"/>
    <w:rsid w:val="003F0F4C"/>
    <w:rsid w:val="003F1C2B"/>
    <w:rsid w:val="003F26E3"/>
    <w:rsid w:val="003F2861"/>
    <w:rsid w:val="003F3A10"/>
    <w:rsid w:val="003F434F"/>
    <w:rsid w:val="003F4E71"/>
    <w:rsid w:val="003F5673"/>
    <w:rsid w:val="003F58B5"/>
    <w:rsid w:val="003F6361"/>
    <w:rsid w:val="003F7E73"/>
    <w:rsid w:val="00400BF3"/>
    <w:rsid w:val="00400E1A"/>
    <w:rsid w:val="0040134F"/>
    <w:rsid w:val="00402926"/>
    <w:rsid w:val="004034A2"/>
    <w:rsid w:val="00404388"/>
    <w:rsid w:val="004049AE"/>
    <w:rsid w:val="00405405"/>
    <w:rsid w:val="00405479"/>
    <w:rsid w:val="004056AA"/>
    <w:rsid w:val="004069C4"/>
    <w:rsid w:val="0040780E"/>
    <w:rsid w:val="00407B60"/>
    <w:rsid w:val="00407BC9"/>
    <w:rsid w:val="004100BC"/>
    <w:rsid w:val="0041188C"/>
    <w:rsid w:val="00411A16"/>
    <w:rsid w:val="00412A0D"/>
    <w:rsid w:val="004130AB"/>
    <w:rsid w:val="0041327C"/>
    <w:rsid w:val="004132E3"/>
    <w:rsid w:val="00413D6D"/>
    <w:rsid w:val="004141B9"/>
    <w:rsid w:val="00414B08"/>
    <w:rsid w:val="004159F9"/>
    <w:rsid w:val="00415AD8"/>
    <w:rsid w:val="00415D49"/>
    <w:rsid w:val="004168A9"/>
    <w:rsid w:val="00416E5E"/>
    <w:rsid w:val="004171C8"/>
    <w:rsid w:val="004173B1"/>
    <w:rsid w:val="00420BD2"/>
    <w:rsid w:val="00420D9B"/>
    <w:rsid w:val="00420FDC"/>
    <w:rsid w:val="00421284"/>
    <w:rsid w:val="00421616"/>
    <w:rsid w:val="00422437"/>
    <w:rsid w:val="00422820"/>
    <w:rsid w:val="00422A14"/>
    <w:rsid w:val="00422AFC"/>
    <w:rsid w:val="00423BCB"/>
    <w:rsid w:val="0042475A"/>
    <w:rsid w:val="004254DE"/>
    <w:rsid w:val="004269DD"/>
    <w:rsid w:val="0042742F"/>
    <w:rsid w:val="00427DC8"/>
    <w:rsid w:val="00430173"/>
    <w:rsid w:val="00431E30"/>
    <w:rsid w:val="0043325D"/>
    <w:rsid w:val="00434110"/>
    <w:rsid w:val="00434153"/>
    <w:rsid w:val="00434B05"/>
    <w:rsid w:val="00434C3A"/>
    <w:rsid w:val="0043529C"/>
    <w:rsid w:val="00435348"/>
    <w:rsid w:val="00435BB2"/>
    <w:rsid w:val="00435C03"/>
    <w:rsid w:val="00436090"/>
    <w:rsid w:val="004360E7"/>
    <w:rsid w:val="0043646E"/>
    <w:rsid w:val="0043769B"/>
    <w:rsid w:val="00437E06"/>
    <w:rsid w:val="004409F6"/>
    <w:rsid w:val="00440A0D"/>
    <w:rsid w:val="00440B54"/>
    <w:rsid w:val="004412D3"/>
    <w:rsid w:val="00441971"/>
    <w:rsid w:val="00442044"/>
    <w:rsid w:val="004420D1"/>
    <w:rsid w:val="004426FC"/>
    <w:rsid w:val="00443FB3"/>
    <w:rsid w:val="0044447F"/>
    <w:rsid w:val="00444645"/>
    <w:rsid w:val="004449F8"/>
    <w:rsid w:val="0044620B"/>
    <w:rsid w:val="00446C84"/>
    <w:rsid w:val="00447638"/>
    <w:rsid w:val="0044798A"/>
    <w:rsid w:val="00450AFB"/>
    <w:rsid w:val="00450B18"/>
    <w:rsid w:val="0045129B"/>
    <w:rsid w:val="004513AA"/>
    <w:rsid w:val="00452304"/>
    <w:rsid w:val="00452A62"/>
    <w:rsid w:val="00452B1B"/>
    <w:rsid w:val="00452C42"/>
    <w:rsid w:val="0045371A"/>
    <w:rsid w:val="00453A8E"/>
    <w:rsid w:val="004549AD"/>
    <w:rsid w:val="004551C3"/>
    <w:rsid w:val="004555A9"/>
    <w:rsid w:val="00460168"/>
    <w:rsid w:val="004603BA"/>
    <w:rsid w:val="00460798"/>
    <w:rsid w:val="00460B9A"/>
    <w:rsid w:val="00460DFA"/>
    <w:rsid w:val="004622A8"/>
    <w:rsid w:val="00462B92"/>
    <w:rsid w:val="004648F9"/>
    <w:rsid w:val="00464BB5"/>
    <w:rsid w:val="00464EC0"/>
    <w:rsid w:val="00465564"/>
    <w:rsid w:val="0046628E"/>
    <w:rsid w:val="00466429"/>
    <w:rsid w:val="004664AF"/>
    <w:rsid w:val="0046684B"/>
    <w:rsid w:val="00466EBA"/>
    <w:rsid w:val="004670C5"/>
    <w:rsid w:val="0046782F"/>
    <w:rsid w:val="00467904"/>
    <w:rsid w:val="00467E8A"/>
    <w:rsid w:val="004703EB"/>
    <w:rsid w:val="0047078B"/>
    <w:rsid w:val="00470824"/>
    <w:rsid w:val="004713CE"/>
    <w:rsid w:val="00471545"/>
    <w:rsid w:val="00471934"/>
    <w:rsid w:val="00471A7A"/>
    <w:rsid w:val="00471BCF"/>
    <w:rsid w:val="00471C83"/>
    <w:rsid w:val="00471FC8"/>
    <w:rsid w:val="004732CF"/>
    <w:rsid w:val="00473FA1"/>
    <w:rsid w:val="004740E3"/>
    <w:rsid w:val="00474CC8"/>
    <w:rsid w:val="0047583A"/>
    <w:rsid w:val="00476DD3"/>
    <w:rsid w:val="00477069"/>
    <w:rsid w:val="00477547"/>
    <w:rsid w:val="004779A1"/>
    <w:rsid w:val="00477A47"/>
    <w:rsid w:val="00477CD9"/>
    <w:rsid w:val="0048011D"/>
    <w:rsid w:val="00480804"/>
    <w:rsid w:val="00480C9A"/>
    <w:rsid w:val="00480F6E"/>
    <w:rsid w:val="00481465"/>
    <w:rsid w:val="0048194D"/>
    <w:rsid w:val="0048210C"/>
    <w:rsid w:val="00482678"/>
    <w:rsid w:val="004838D3"/>
    <w:rsid w:val="00484615"/>
    <w:rsid w:val="00484D0F"/>
    <w:rsid w:val="00485168"/>
    <w:rsid w:val="0048524B"/>
    <w:rsid w:val="00485A39"/>
    <w:rsid w:val="004860A6"/>
    <w:rsid w:val="004860B3"/>
    <w:rsid w:val="00486B16"/>
    <w:rsid w:val="00487053"/>
    <w:rsid w:val="0049113C"/>
    <w:rsid w:val="00491456"/>
    <w:rsid w:val="00491784"/>
    <w:rsid w:val="004925FA"/>
    <w:rsid w:val="00492CD0"/>
    <w:rsid w:val="004931BF"/>
    <w:rsid w:val="004932BC"/>
    <w:rsid w:val="0049341B"/>
    <w:rsid w:val="00493C14"/>
    <w:rsid w:val="00493FEA"/>
    <w:rsid w:val="00494BA2"/>
    <w:rsid w:val="00494BE6"/>
    <w:rsid w:val="00494C38"/>
    <w:rsid w:val="00495637"/>
    <w:rsid w:val="0049578B"/>
    <w:rsid w:val="0049599F"/>
    <w:rsid w:val="00495E40"/>
    <w:rsid w:val="00496471"/>
    <w:rsid w:val="004964FA"/>
    <w:rsid w:val="004968BA"/>
    <w:rsid w:val="00496A4C"/>
    <w:rsid w:val="00497157"/>
    <w:rsid w:val="004A0672"/>
    <w:rsid w:val="004A0900"/>
    <w:rsid w:val="004A0E52"/>
    <w:rsid w:val="004A1318"/>
    <w:rsid w:val="004A2F6A"/>
    <w:rsid w:val="004A3A7B"/>
    <w:rsid w:val="004A3B4C"/>
    <w:rsid w:val="004A3FD1"/>
    <w:rsid w:val="004A435A"/>
    <w:rsid w:val="004A5231"/>
    <w:rsid w:val="004A59D5"/>
    <w:rsid w:val="004A5B0C"/>
    <w:rsid w:val="004A5DBD"/>
    <w:rsid w:val="004A5FFB"/>
    <w:rsid w:val="004A66F5"/>
    <w:rsid w:val="004A7A0A"/>
    <w:rsid w:val="004A7CAC"/>
    <w:rsid w:val="004A7EA5"/>
    <w:rsid w:val="004B015E"/>
    <w:rsid w:val="004B0539"/>
    <w:rsid w:val="004B19D5"/>
    <w:rsid w:val="004B214C"/>
    <w:rsid w:val="004B2B2F"/>
    <w:rsid w:val="004B2C57"/>
    <w:rsid w:val="004B3D48"/>
    <w:rsid w:val="004B47F3"/>
    <w:rsid w:val="004B530B"/>
    <w:rsid w:val="004B616A"/>
    <w:rsid w:val="004B7139"/>
    <w:rsid w:val="004B77B5"/>
    <w:rsid w:val="004B7E61"/>
    <w:rsid w:val="004C00DC"/>
    <w:rsid w:val="004C0D9D"/>
    <w:rsid w:val="004C0DD9"/>
    <w:rsid w:val="004C1234"/>
    <w:rsid w:val="004C1247"/>
    <w:rsid w:val="004C1C68"/>
    <w:rsid w:val="004C2B68"/>
    <w:rsid w:val="004C2C39"/>
    <w:rsid w:val="004C395B"/>
    <w:rsid w:val="004C3B4F"/>
    <w:rsid w:val="004C3CB2"/>
    <w:rsid w:val="004C439E"/>
    <w:rsid w:val="004C43C0"/>
    <w:rsid w:val="004C46DE"/>
    <w:rsid w:val="004C51E3"/>
    <w:rsid w:val="004C548A"/>
    <w:rsid w:val="004C5571"/>
    <w:rsid w:val="004C6729"/>
    <w:rsid w:val="004C6E43"/>
    <w:rsid w:val="004C6E6A"/>
    <w:rsid w:val="004C7533"/>
    <w:rsid w:val="004C7702"/>
    <w:rsid w:val="004D0D7D"/>
    <w:rsid w:val="004D0D96"/>
    <w:rsid w:val="004D1625"/>
    <w:rsid w:val="004D181E"/>
    <w:rsid w:val="004D20A3"/>
    <w:rsid w:val="004D2592"/>
    <w:rsid w:val="004D2907"/>
    <w:rsid w:val="004D36D1"/>
    <w:rsid w:val="004D4562"/>
    <w:rsid w:val="004D4CCD"/>
    <w:rsid w:val="004D6119"/>
    <w:rsid w:val="004D704B"/>
    <w:rsid w:val="004D7D34"/>
    <w:rsid w:val="004D7F13"/>
    <w:rsid w:val="004E15C3"/>
    <w:rsid w:val="004E17A7"/>
    <w:rsid w:val="004E2199"/>
    <w:rsid w:val="004E2845"/>
    <w:rsid w:val="004E2E29"/>
    <w:rsid w:val="004E3843"/>
    <w:rsid w:val="004E3F7E"/>
    <w:rsid w:val="004E447F"/>
    <w:rsid w:val="004E4D09"/>
    <w:rsid w:val="004E61F3"/>
    <w:rsid w:val="004E675A"/>
    <w:rsid w:val="004E683B"/>
    <w:rsid w:val="004E7C93"/>
    <w:rsid w:val="004F0764"/>
    <w:rsid w:val="004F1AE2"/>
    <w:rsid w:val="004F236E"/>
    <w:rsid w:val="004F3437"/>
    <w:rsid w:val="004F3450"/>
    <w:rsid w:val="004F3AD6"/>
    <w:rsid w:val="004F3D27"/>
    <w:rsid w:val="004F434D"/>
    <w:rsid w:val="004F465E"/>
    <w:rsid w:val="004F4C1E"/>
    <w:rsid w:val="004F527D"/>
    <w:rsid w:val="004F5A86"/>
    <w:rsid w:val="004F5CA4"/>
    <w:rsid w:val="004F5FF5"/>
    <w:rsid w:val="004F60F0"/>
    <w:rsid w:val="004F65A5"/>
    <w:rsid w:val="004F6852"/>
    <w:rsid w:val="004F6E10"/>
    <w:rsid w:val="004F6F5E"/>
    <w:rsid w:val="004F7672"/>
    <w:rsid w:val="004F7F2B"/>
    <w:rsid w:val="00500009"/>
    <w:rsid w:val="00500107"/>
    <w:rsid w:val="0050077E"/>
    <w:rsid w:val="005008B6"/>
    <w:rsid w:val="00500C45"/>
    <w:rsid w:val="005010E5"/>
    <w:rsid w:val="005013C7"/>
    <w:rsid w:val="0050265B"/>
    <w:rsid w:val="005026D9"/>
    <w:rsid w:val="00502BAD"/>
    <w:rsid w:val="00502DD8"/>
    <w:rsid w:val="005031F5"/>
    <w:rsid w:val="00504461"/>
    <w:rsid w:val="0050487F"/>
    <w:rsid w:val="005049C4"/>
    <w:rsid w:val="005050EE"/>
    <w:rsid w:val="005054AD"/>
    <w:rsid w:val="0050629C"/>
    <w:rsid w:val="00506B8F"/>
    <w:rsid w:val="00507A38"/>
    <w:rsid w:val="00511484"/>
    <w:rsid w:val="005115E8"/>
    <w:rsid w:val="005122A5"/>
    <w:rsid w:val="005128A7"/>
    <w:rsid w:val="005138F7"/>
    <w:rsid w:val="00513FED"/>
    <w:rsid w:val="00514844"/>
    <w:rsid w:val="00515B0D"/>
    <w:rsid w:val="00515E8C"/>
    <w:rsid w:val="00517243"/>
    <w:rsid w:val="00520714"/>
    <w:rsid w:val="0052175E"/>
    <w:rsid w:val="0052236B"/>
    <w:rsid w:val="00522E2A"/>
    <w:rsid w:val="00523333"/>
    <w:rsid w:val="00523550"/>
    <w:rsid w:val="00523570"/>
    <w:rsid w:val="0052395D"/>
    <w:rsid w:val="00523E16"/>
    <w:rsid w:val="00523E20"/>
    <w:rsid w:val="005242C9"/>
    <w:rsid w:val="005247C6"/>
    <w:rsid w:val="005258E9"/>
    <w:rsid w:val="00525D50"/>
    <w:rsid w:val="0052622A"/>
    <w:rsid w:val="00526BC7"/>
    <w:rsid w:val="00526F25"/>
    <w:rsid w:val="005273B8"/>
    <w:rsid w:val="00527518"/>
    <w:rsid w:val="00530425"/>
    <w:rsid w:val="00530502"/>
    <w:rsid w:val="00530EF0"/>
    <w:rsid w:val="005318DA"/>
    <w:rsid w:val="00533453"/>
    <w:rsid w:val="00533E0A"/>
    <w:rsid w:val="00534695"/>
    <w:rsid w:val="00534CBC"/>
    <w:rsid w:val="00535091"/>
    <w:rsid w:val="00535233"/>
    <w:rsid w:val="005352CD"/>
    <w:rsid w:val="005354B7"/>
    <w:rsid w:val="005354E8"/>
    <w:rsid w:val="00535573"/>
    <w:rsid w:val="00535815"/>
    <w:rsid w:val="00536BB7"/>
    <w:rsid w:val="00536CAF"/>
    <w:rsid w:val="00536DB8"/>
    <w:rsid w:val="00537B2F"/>
    <w:rsid w:val="00537F75"/>
    <w:rsid w:val="00540493"/>
    <w:rsid w:val="0054071D"/>
    <w:rsid w:val="00540992"/>
    <w:rsid w:val="00540B18"/>
    <w:rsid w:val="00540E9A"/>
    <w:rsid w:val="00540F8B"/>
    <w:rsid w:val="0054163C"/>
    <w:rsid w:val="0054169E"/>
    <w:rsid w:val="00541BC6"/>
    <w:rsid w:val="005421A2"/>
    <w:rsid w:val="00542318"/>
    <w:rsid w:val="005427C6"/>
    <w:rsid w:val="00542946"/>
    <w:rsid w:val="00542DE2"/>
    <w:rsid w:val="005434EA"/>
    <w:rsid w:val="0054356F"/>
    <w:rsid w:val="00544017"/>
    <w:rsid w:val="005441DA"/>
    <w:rsid w:val="0054474E"/>
    <w:rsid w:val="005447DA"/>
    <w:rsid w:val="00544BF2"/>
    <w:rsid w:val="00544C39"/>
    <w:rsid w:val="00544E15"/>
    <w:rsid w:val="00545C3D"/>
    <w:rsid w:val="00545DA7"/>
    <w:rsid w:val="00546512"/>
    <w:rsid w:val="00546B09"/>
    <w:rsid w:val="00546C26"/>
    <w:rsid w:val="00546D19"/>
    <w:rsid w:val="00547280"/>
    <w:rsid w:val="00547A27"/>
    <w:rsid w:val="00550671"/>
    <w:rsid w:val="0055146F"/>
    <w:rsid w:val="00551CC1"/>
    <w:rsid w:val="0055238D"/>
    <w:rsid w:val="005532C5"/>
    <w:rsid w:val="005535D7"/>
    <w:rsid w:val="005538B2"/>
    <w:rsid w:val="005539EA"/>
    <w:rsid w:val="00553DB4"/>
    <w:rsid w:val="0055413F"/>
    <w:rsid w:val="00555351"/>
    <w:rsid w:val="00555A71"/>
    <w:rsid w:val="005566C8"/>
    <w:rsid w:val="00556847"/>
    <w:rsid w:val="00556879"/>
    <w:rsid w:val="00556951"/>
    <w:rsid w:val="00556EE5"/>
    <w:rsid w:val="0055715E"/>
    <w:rsid w:val="00557542"/>
    <w:rsid w:val="005575E8"/>
    <w:rsid w:val="00557B38"/>
    <w:rsid w:val="00557E94"/>
    <w:rsid w:val="0056037E"/>
    <w:rsid w:val="00560B6B"/>
    <w:rsid w:val="00560D44"/>
    <w:rsid w:val="0056173A"/>
    <w:rsid w:val="00561E80"/>
    <w:rsid w:val="00562196"/>
    <w:rsid w:val="0056226A"/>
    <w:rsid w:val="005623DA"/>
    <w:rsid w:val="005625DD"/>
    <w:rsid w:val="00563B8D"/>
    <w:rsid w:val="00564160"/>
    <w:rsid w:val="00565941"/>
    <w:rsid w:val="00565C16"/>
    <w:rsid w:val="00565E3B"/>
    <w:rsid w:val="0056683B"/>
    <w:rsid w:val="005671FF"/>
    <w:rsid w:val="00567A1D"/>
    <w:rsid w:val="00570121"/>
    <w:rsid w:val="00570251"/>
    <w:rsid w:val="00570E18"/>
    <w:rsid w:val="00570E54"/>
    <w:rsid w:val="005711C9"/>
    <w:rsid w:val="005712D2"/>
    <w:rsid w:val="00571995"/>
    <w:rsid w:val="00571FA7"/>
    <w:rsid w:val="00572066"/>
    <w:rsid w:val="00572407"/>
    <w:rsid w:val="00572F55"/>
    <w:rsid w:val="005735DB"/>
    <w:rsid w:val="0057373E"/>
    <w:rsid w:val="00573994"/>
    <w:rsid w:val="00573BB4"/>
    <w:rsid w:val="0057473F"/>
    <w:rsid w:val="00574A3D"/>
    <w:rsid w:val="00574BFD"/>
    <w:rsid w:val="00574F75"/>
    <w:rsid w:val="00575086"/>
    <w:rsid w:val="005753AB"/>
    <w:rsid w:val="00575759"/>
    <w:rsid w:val="00575CEB"/>
    <w:rsid w:val="00576A5C"/>
    <w:rsid w:val="00576B00"/>
    <w:rsid w:val="00577132"/>
    <w:rsid w:val="00577243"/>
    <w:rsid w:val="00577352"/>
    <w:rsid w:val="0057746F"/>
    <w:rsid w:val="0058027C"/>
    <w:rsid w:val="005802B9"/>
    <w:rsid w:val="00580C76"/>
    <w:rsid w:val="00580F66"/>
    <w:rsid w:val="00581545"/>
    <w:rsid w:val="00581CBE"/>
    <w:rsid w:val="005825D0"/>
    <w:rsid w:val="00582C93"/>
    <w:rsid w:val="00582EF6"/>
    <w:rsid w:val="005832F3"/>
    <w:rsid w:val="005832FD"/>
    <w:rsid w:val="00583BC6"/>
    <w:rsid w:val="00583E49"/>
    <w:rsid w:val="00584E97"/>
    <w:rsid w:val="00584F6A"/>
    <w:rsid w:val="005853F9"/>
    <w:rsid w:val="00585C6F"/>
    <w:rsid w:val="005866F5"/>
    <w:rsid w:val="00586AA2"/>
    <w:rsid w:val="00586C90"/>
    <w:rsid w:val="00586DEE"/>
    <w:rsid w:val="00586FBF"/>
    <w:rsid w:val="0058734D"/>
    <w:rsid w:val="00587402"/>
    <w:rsid w:val="00587448"/>
    <w:rsid w:val="00587570"/>
    <w:rsid w:val="00590174"/>
    <w:rsid w:val="005905E8"/>
    <w:rsid w:val="00590E28"/>
    <w:rsid w:val="0059140B"/>
    <w:rsid w:val="00591DB7"/>
    <w:rsid w:val="00592140"/>
    <w:rsid w:val="00592CBE"/>
    <w:rsid w:val="00594701"/>
    <w:rsid w:val="00594A37"/>
    <w:rsid w:val="00594B8C"/>
    <w:rsid w:val="00594C4B"/>
    <w:rsid w:val="005955C0"/>
    <w:rsid w:val="0059566E"/>
    <w:rsid w:val="00595B29"/>
    <w:rsid w:val="00596028"/>
    <w:rsid w:val="005962DE"/>
    <w:rsid w:val="0059710A"/>
    <w:rsid w:val="00597151"/>
    <w:rsid w:val="00597B53"/>
    <w:rsid w:val="00597C23"/>
    <w:rsid w:val="00597C2B"/>
    <w:rsid w:val="00597C65"/>
    <w:rsid w:val="00597DCC"/>
    <w:rsid w:val="00597EF5"/>
    <w:rsid w:val="005A017E"/>
    <w:rsid w:val="005A2327"/>
    <w:rsid w:val="005A2331"/>
    <w:rsid w:val="005A2957"/>
    <w:rsid w:val="005A2C9F"/>
    <w:rsid w:val="005A2FDC"/>
    <w:rsid w:val="005A3107"/>
    <w:rsid w:val="005A40F4"/>
    <w:rsid w:val="005A4FA8"/>
    <w:rsid w:val="005A542D"/>
    <w:rsid w:val="005A618F"/>
    <w:rsid w:val="005A687F"/>
    <w:rsid w:val="005A6A37"/>
    <w:rsid w:val="005A6D99"/>
    <w:rsid w:val="005A7763"/>
    <w:rsid w:val="005A7E11"/>
    <w:rsid w:val="005B0027"/>
    <w:rsid w:val="005B039A"/>
    <w:rsid w:val="005B07C1"/>
    <w:rsid w:val="005B0ED3"/>
    <w:rsid w:val="005B1751"/>
    <w:rsid w:val="005B27A9"/>
    <w:rsid w:val="005B3CAF"/>
    <w:rsid w:val="005B3E75"/>
    <w:rsid w:val="005B49B4"/>
    <w:rsid w:val="005B4C0E"/>
    <w:rsid w:val="005B4C4E"/>
    <w:rsid w:val="005B5AF4"/>
    <w:rsid w:val="005B5D2F"/>
    <w:rsid w:val="005B6C39"/>
    <w:rsid w:val="005B6CB2"/>
    <w:rsid w:val="005B782F"/>
    <w:rsid w:val="005B7866"/>
    <w:rsid w:val="005C0114"/>
    <w:rsid w:val="005C0293"/>
    <w:rsid w:val="005C03AF"/>
    <w:rsid w:val="005C063B"/>
    <w:rsid w:val="005C1EAF"/>
    <w:rsid w:val="005C34B9"/>
    <w:rsid w:val="005C3788"/>
    <w:rsid w:val="005C3CF0"/>
    <w:rsid w:val="005C44E3"/>
    <w:rsid w:val="005C4D40"/>
    <w:rsid w:val="005C5B4E"/>
    <w:rsid w:val="005C5E8E"/>
    <w:rsid w:val="005C632C"/>
    <w:rsid w:val="005C643C"/>
    <w:rsid w:val="005C6951"/>
    <w:rsid w:val="005C697E"/>
    <w:rsid w:val="005C6E22"/>
    <w:rsid w:val="005C7166"/>
    <w:rsid w:val="005C7883"/>
    <w:rsid w:val="005D002D"/>
    <w:rsid w:val="005D05ED"/>
    <w:rsid w:val="005D0667"/>
    <w:rsid w:val="005D1541"/>
    <w:rsid w:val="005D1860"/>
    <w:rsid w:val="005D35D2"/>
    <w:rsid w:val="005D3E5B"/>
    <w:rsid w:val="005D475D"/>
    <w:rsid w:val="005D4AAB"/>
    <w:rsid w:val="005D4B0B"/>
    <w:rsid w:val="005D5009"/>
    <w:rsid w:val="005D5AEE"/>
    <w:rsid w:val="005D6BDA"/>
    <w:rsid w:val="005D6EFE"/>
    <w:rsid w:val="005D6F27"/>
    <w:rsid w:val="005D7769"/>
    <w:rsid w:val="005E0741"/>
    <w:rsid w:val="005E07E5"/>
    <w:rsid w:val="005E09BC"/>
    <w:rsid w:val="005E0D81"/>
    <w:rsid w:val="005E1064"/>
    <w:rsid w:val="005E1284"/>
    <w:rsid w:val="005E161E"/>
    <w:rsid w:val="005E1AAF"/>
    <w:rsid w:val="005E1D2C"/>
    <w:rsid w:val="005E2632"/>
    <w:rsid w:val="005E2A42"/>
    <w:rsid w:val="005E2FD4"/>
    <w:rsid w:val="005E421C"/>
    <w:rsid w:val="005E45CA"/>
    <w:rsid w:val="005E476F"/>
    <w:rsid w:val="005E4E8D"/>
    <w:rsid w:val="005E4EA0"/>
    <w:rsid w:val="005E567D"/>
    <w:rsid w:val="005E631E"/>
    <w:rsid w:val="005E7075"/>
    <w:rsid w:val="005F03B3"/>
    <w:rsid w:val="005F177B"/>
    <w:rsid w:val="005F1C01"/>
    <w:rsid w:val="005F1F01"/>
    <w:rsid w:val="005F2620"/>
    <w:rsid w:val="005F33A1"/>
    <w:rsid w:val="005F364A"/>
    <w:rsid w:val="005F3A2D"/>
    <w:rsid w:val="005F3D62"/>
    <w:rsid w:val="005F3FE6"/>
    <w:rsid w:val="005F487A"/>
    <w:rsid w:val="005F4BCB"/>
    <w:rsid w:val="005F4D0F"/>
    <w:rsid w:val="005F5324"/>
    <w:rsid w:val="005F533C"/>
    <w:rsid w:val="005F61AC"/>
    <w:rsid w:val="005F6A3A"/>
    <w:rsid w:val="005F700D"/>
    <w:rsid w:val="005F7388"/>
    <w:rsid w:val="005F7E7C"/>
    <w:rsid w:val="006005C1"/>
    <w:rsid w:val="00601001"/>
    <w:rsid w:val="00601131"/>
    <w:rsid w:val="00601F03"/>
    <w:rsid w:val="00602614"/>
    <w:rsid w:val="00602C1C"/>
    <w:rsid w:val="00602DEC"/>
    <w:rsid w:val="0060393E"/>
    <w:rsid w:val="00604360"/>
    <w:rsid w:val="00605E81"/>
    <w:rsid w:val="0060715E"/>
    <w:rsid w:val="0061008E"/>
    <w:rsid w:val="00610331"/>
    <w:rsid w:val="00611551"/>
    <w:rsid w:val="00612034"/>
    <w:rsid w:val="00612766"/>
    <w:rsid w:val="00612E2E"/>
    <w:rsid w:val="00612F83"/>
    <w:rsid w:val="00613158"/>
    <w:rsid w:val="0061430F"/>
    <w:rsid w:val="0061432D"/>
    <w:rsid w:val="006147A9"/>
    <w:rsid w:val="006147B6"/>
    <w:rsid w:val="00614950"/>
    <w:rsid w:val="00615EFF"/>
    <w:rsid w:val="00616636"/>
    <w:rsid w:val="00616C15"/>
    <w:rsid w:val="00617288"/>
    <w:rsid w:val="006178AE"/>
    <w:rsid w:val="00617DFE"/>
    <w:rsid w:val="0062079E"/>
    <w:rsid w:val="00620E8A"/>
    <w:rsid w:val="00621A28"/>
    <w:rsid w:val="00621A46"/>
    <w:rsid w:val="00622130"/>
    <w:rsid w:val="00622798"/>
    <w:rsid w:val="00623D0C"/>
    <w:rsid w:val="00623E17"/>
    <w:rsid w:val="006240CE"/>
    <w:rsid w:val="006265CE"/>
    <w:rsid w:val="00627843"/>
    <w:rsid w:val="0062794A"/>
    <w:rsid w:val="00627A60"/>
    <w:rsid w:val="00627A62"/>
    <w:rsid w:val="00627B80"/>
    <w:rsid w:val="00627B9D"/>
    <w:rsid w:val="006304D5"/>
    <w:rsid w:val="006305B5"/>
    <w:rsid w:val="00630B87"/>
    <w:rsid w:val="00630BF8"/>
    <w:rsid w:val="00631050"/>
    <w:rsid w:val="006312A5"/>
    <w:rsid w:val="006313F4"/>
    <w:rsid w:val="00631AFC"/>
    <w:rsid w:val="00632658"/>
    <w:rsid w:val="006329B9"/>
    <w:rsid w:val="00633443"/>
    <w:rsid w:val="006339F5"/>
    <w:rsid w:val="00633BD6"/>
    <w:rsid w:val="00634492"/>
    <w:rsid w:val="00634AA4"/>
    <w:rsid w:val="00634CF3"/>
    <w:rsid w:val="00634D4B"/>
    <w:rsid w:val="0063541D"/>
    <w:rsid w:val="0063562B"/>
    <w:rsid w:val="00635A78"/>
    <w:rsid w:val="006364FD"/>
    <w:rsid w:val="00637D37"/>
    <w:rsid w:val="006402D8"/>
    <w:rsid w:val="00640AC6"/>
    <w:rsid w:val="00640C2E"/>
    <w:rsid w:val="00640D1A"/>
    <w:rsid w:val="00641C54"/>
    <w:rsid w:val="00642BD0"/>
    <w:rsid w:val="006433EA"/>
    <w:rsid w:val="00643BD6"/>
    <w:rsid w:val="00643D99"/>
    <w:rsid w:val="00644524"/>
    <w:rsid w:val="00644A3E"/>
    <w:rsid w:val="00644AD2"/>
    <w:rsid w:val="00644C55"/>
    <w:rsid w:val="00644EEC"/>
    <w:rsid w:val="00645665"/>
    <w:rsid w:val="00645EB9"/>
    <w:rsid w:val="00645ED2"/>
    <w:rsid w:val="00646FC3"/>
    <w:rsid w:val="0064707A"/>
    <w:rsid w:val="006500D7"/>
    <w:rsid w:val="00650547"/>
    <w:rsid w:val="00652BC6"/>
    <w:rsid w:val="00652FB2"/>
    <w:rsid w:val="00653825"/>
    <w:rsid w:val="00654062"/>
    <w:rsid w:val="00654BA1"/>
    <w:rsid w:val="00655FC6"/>
    <w:rsid w:val="00655FDE"/>
    <w:rsid w:val="00656685"/>
    <w:rsid w:val="00656C36"/>
    <w:rsid w:val="006570DD"/>
    <w:rsid w:val="00657B4A"/>
    <w:rsid w:val="00657C52"/>
    <w:rsid w:val="00657F3A"/>
    <w:rsid w:val="00660AB5"/>
    <w:rsid w:val="00662276"/>
    <w:rsid w:val="00662B64"/>
    <w:rsid w:val="00663447"/>
    <w:rsid w:val="006650BE"/>
    <w:rsid w:val="006651C9"/>
    <w:rsid w:val="0066573F"/>
    <w:rsid w:val="00665A20"/>
    <w:rsid w:val="006664FD"/>
    <w:rsid w:val="00666A74"/>
    <w:rsid w:val="006671E5"/>
    <w:rsid w:val="0066745F"/>
    <w:rsid w:val="006674D8"/>
    <w:rsid w:val="00667E8D"/>
    <w:rsid w:val="0067009E"/>
    <w:rsid w:val="006702ED"/>
    <w:rsid w:val="00670452"/>
    <w:rsid w:val="00670903"/>
    <w:rsid w:val="00670B6D"/>
    <w:rsid w:val="00670D5F"/>
    <w:rsid w:val="006713EA"/>
    <w:rsid w:val="00671B53"/>
    <w:rsid w:val="00672702"/>
    <w:rsid w:val="0067289D"/>
    <w:rsid w:val="00672ECE"/>
    <w:rsid w:val="0067365D"/>
    <w:rsid w:val="00674A56"/>
    <w:rsid w:val="00675837"/>
    <w:rsid w:val="00675CE1"/>
    <w:rsid w:val="00675EEC"/>
    <w:rsid w:val="006769FA"/>
    <w:rsid w:val="00676C1D"/>
    <w:rsid w:val="00676C6C"/>
    <w:rsid w:val="0067710F"/>
    <w:rsid w:val="00677B1F"/>
    <w:rsid w:val="0068016E"/>
    <w:rsid w:val="00680347"/>
    <w:rsid w:val="00680C55"/>
    <w:rsid w:val="00682B88"/>
    <w:rsid w:val="00682FF5"/>
    <w:rsid w:val="00683651"/>
    <w:rsid w:val="006853C9"/>
    <w:rsid w:val="00686072"/>
    <w:rsid w:val="00686102"/>
    <w:rsid w:val="00687B56"/>
    <w:rsid w:val="006901A3"/>
    <w:rsid w:val="0069037C"/>
    <w:rsid w:val="00690EC4"/>
    <w:rsid w:val="00691187"/>
    <w:rsid w:val="00691317"/>
    <w:rsid w:val="00692AD2"/>
    <w:rsid w:val="00693464"/>
    <w:rsid w:val="0069361E"/>
    <w:rsid w:val="00693854"/>
    <w:rsid w:val="0069408F"/>
    <w:rsid w:val="006942FA"/>
    <w:rsid w:val="00694356"/>
    <w:rsid w:val="006944B3"/>
    <w:rsid w:val="0069478D"/>
    <w:rsid w:val="00695070"/>
    <w:rsid w:val="006955C4"/>
    <w:rsid w:val="00695767"/>
    <w:rsid w:val="00695BF8"/>
    <w:rsid w:val="006A043F"/>
    <w:rsid w:val="006A07FD"/>
    <w:rsid w:val="006A0BD0"/>
    <w:rsid w:val="006A1590"/>
    <w:rsid w:val="006A1783"/>
    <w:rsid w:val="006A1852"/>
    <w:rsid w:val="006A1A20"/>
    <w:rsid w:val="006A1D75"/>
    <w:rsid w:val="006A21E9"/>
    <w:rsid w:val="006A30F2"/>
    <w:rsid w:val="006A3467"/>
    <w:rsid w:val="006A34B7"/>
    <w:rsid w:val="006A3936"/>
    <w:rsid w:val="006A3B3B"/>
    <w:rsid w:val="006A4134"/>
    <w:rsid w:val="006A521D"/>
    <w:rsid w:val="006A5B1E"/>
    <w:rsid w:val="006A6ACF"/>
    <w:rsid w:val="006A6B98"/>
    <w:rsid w:val="006A7135"/>
    <w:rsid w:val="006A7888"/>
    <w:rsid w:val="006B1936"/>
    <w:rsid w:val="006B1DE2"/>
    <w:rsid w:val="006B203E"/>
    <w:rsid w:val="006B2E3B"/>
    <w:rsid w:val="006B3A08"/>
    <w:rsid w:val="006B3B2F"/>
    <w:rsid w:val="006B415C"/>
    <w:rsid w:val="006B467C"/>
    <w:rsid w:val="006B5050"/>
    <w:rsid w:val="006B53AC"/>
    <w:rsid w:val="006B5749"/>
    <w:rsid w:val="006B70FC"/>
    <w:rsid w:val="006B7500"/>
    <w:rsid w:val="006B76C6"/>
    <w:rsid w:val="006C04D0"/>
    <w:rsid w:val="006C0C31"/>
    <w:rsid w:val="006C14EF"/>
    <w:rsid w:val="006C2A0D"/>
    <w:rsid w:val="006C303B"/>
    <w:rsid w:val="006C32C6"/>
    <w:rsid w:val="006C46CC"/>
    <w:rsid w:val="006C542B"/>
    <w:rsid w:val="006C6268"/>
    <w:rsid w:val="006C6966"/>
    <w:rsid w:val="006C6AC8"/>
    <w:rsid w:val="006C6C16"/>
    <w:rsid w:val="006C732D"/>
    <w:rsid w:val="006C768A"/>
    <w:rsid w:val="006D000A"/>
    <w:rsid w:val="006D0639"/>
    <w:rsid w:val="006D080F"/>
    <w:rsid w:val="006D0AA8"/>
    <w:rsid w:val="006D11C4"/>
    <w:rsid w:val="006D16A6"/>
    <w:rsid w:val="006D2DF5"/>
    <w:rsid w:val="006D34A2"/>
    <w:rsid w:val="006D3A92"/>
    <w:rsid w:val="006D407E"/>
    <w:rsid w:val="006D48D9"/>
    <w:rsid w:val="006D518E"/>
    <w:rsid w:val="006D5C4D"/>
    <w:rsid w:val="006D64EB"/>
    <w:rsid w:val="006D748D"/>
    <w:rsid w:val="006E0222"/>
    <w:rsid w:val="006E0306"/>
    <w:rsid w:val="006E1916"/>
    <w:rsid w:val="006E1978"/>
    <w:rsid w:val="006E1BBE"/>
    <w:rsid w:val="006E2568"/>
    <w:rsid w:val="006E2F10"/>
    <w:rsid w:val="006E3C6E"/>
    <w:rsid w:val="006E4A0E"/>
    <w:rsid w:val="006E592E"/>
    <w:rsid w:val="006E5B65"/>
    <w:rsid w:val="006E62F3"/>
    <w:rsid w:val="006E6B0A"/>
    <w:rsid w:val="006E6C84"/>
    <w:rsid w:val="006E6E74"/>
    <w:rsid w:val="006E78A7"/>
    <w:rsid w:val="006F0930"/>
    <w:rsid w:val="006F0E7C"/>
    <w:rsid w:val="006F152A"/>
    <w:rsid w:val="006F155C"/>
    <w:rsid w:val="006F1B48"/>
    <w:rsid w:val="006F28AC"/>
    <w:rsid w:val="006F39F2"/>
    <w:rsid w:val="006F411B"/>
    <w:rsid w:val="006F478E"/>
    <w:rsid w:val="006F4B58"/>
    <w:rsid w:val="006F58B0"/>
    <w:rsid w:val="006F5E8E"/>
    <w:rsid w:val="006F6CC0"/>
    <w:rsid w:val="006F7A86"/>
    <w:rsid w:val="00700184"/>
    <w:rsid w:val="007002D2"/>
    <w:rsid w:val="00700361"/>
    <w:rsid w:val="00700784"/>
    <w:rsid w:val="00700C3A"/>
    <w:rsid w:val="00700D67"/>
    <w:rsid w:val="00701778"/>
    <w:rsid w:val="00701C21"/>
    <w:rsid w:val="00701DDA"/>
    <w:rsid w:val="0070313C"/>
    <w:rsid w:val="0070316F"/>
    <w:rsid w:val="00703378"/>
    <w:rsid w:val="00704513"/>
    <w:rsid w:val="00704DCF"/>
    <w:rsid w:val="00705545"/>
    <w:rsid w:val="00705BDE"/>
    <w:rsid w:val="00706042"/>
    <w:rsid w:val="0070604D"/>
    <w:rsid w:val="007067A8"/>
    <w:rsid w:val="00706A86"/>
    <w:rsid w:val="0070746E"/>
    <w:rsid w:val="0070752F"/>
    <w:rsid w:val="00707FA5"/>
    <w:rsid w:val="007112D7"/>
    <w:rsid w:val="00711329"/>
    <w:rsid w:val="00711588"/>
    <w:rsid w:val="00711A39"/>
    <w:rsid w:val="00712EF0"/>
    <w:rsid w:val="00712F39"/>
    <w:rsid w:val="007131A8"/>
    <w:rsid w:val="007133D6"/>
    <w:rsid w:val="00713C8D"/>
    <w:rsid w:val="00713D03"/>
    <w:rsid w:val="007148C2"/>
    <w:rsid w:val="007149F6"/>
    <w:rsid w:val="00715054"/>
    <w:rsid w:val="007157A8"/>
    <w:rsid w:val="007169A6"/>
    <w:rsid w:val="00716AF4"/>
    <w:rsid w:val="00717185"/>
    <w:rsid w:val="00717195"/>
    <w:rsid w:val="00717ACD"/>
    <w:rsid w:val="00717DF6"/>
    <w:rsid w:val="00720F03"/>
    <w:rsid w:val="00720FCC"/>
    <w:rsid w:val="00721115"/>
    <w:rsid w:val="007214D0"/>
    <w:rsid w:val="00721659"/>
    <w:rsid w:val="0072213B"/>
    <w:rsid w:val="00722188"/>
    <w:rsid w:val="00722704"/>
    <w:rsid w:val="007228EC"/>
    <w:rsid w:val="0072336F"/>
    <w:rsid w:val="00723396"/>
    <w:rsid w:val="007233FC"/>
    <w:rsid w:val="00723B48"/>
    <w:rsid w:val="00724602"/>
    <w:rsid w:val="0072521B"/>
    <w:rsid w:val="00725DD4"/>
    <w:rsid w:val="007264AE"/>
    <w:rsid w:val="00726604"/>
    <w:rsid w:val="00726934"/>
    <w:rsid w:val="00726A5A"/>
    <w:rsid w:val="0072749B"/>
    <w:rsid w:val="0072769E"/>
    <w:rsid w:val="0073085E"/>
    <w:rsid w:val="00730BC6"/>
    <w:rsid w:val="00731664"/>
    <w:rsid w:val="00731C68"/>
    <w:rsid w:val="007340E0"/>
    <w:rsid w:val="00734196"/>
    <w:rsid w:val="00734B34"/>
    <w:rsid w:val="00735721"/>
    <w:rsid w:val="00735774"/>
    <w:rsid w:val="00735849"/>
    <w:rsid w:val="00735C0A"/>
    <w:rsid w:val="007368A7"/>
    <w:rsid w:val="0073724E"/>
    <w:rsid w:val="0073725D"/>
    <w:rsid w:val="00740049"/>
    <w:rsid w:val="007408EE"/>
    <w:rsid w:val="00740D1C"/>
    <w:rsid w:val="00740E4E"/>
    <w:rsid w:val="007412F6"/>
    <w:rsid w:val="007421CE"/>
    <w:rsid w:val="00742342"/>
    <w:rsid w:val="00742CE3"/>
    <w:rsid w:val="007433EA"/>
    <w:rsid w:val="00743787"/>
    <w:rsid w:val="007443E6"/>
    <w:rsid w:val="007444D4"/>
    <w:rsid w:val="00744E4B"/>
    <w:rsid w:val="007457AB"/>
    <w:rsid w:val="00745B21"/>
    <w:rsid w:val="00745B84"/>
    <w:rsid w:val="00745E70"/>
    <w:rsid w:val="0074655B"/>
    <w:rsid w:val="0074677A"/>
    <w:rsid w:val="00746B32"/>
    <w:rsid w:val="00746DA0"/>
    <w:rsid w:val="00746DB7"/>
    <w:rsid w:val="0074731B"/>
    <w:rsid w:val="00747320"/>
    <w:rsid w:val="007473FA"/>
    <w:rsid w:val="00747AAC"/>
    <w:rsid w:val="00747AE1"/>
    <w:rsid w:val="00747B9B"/>
    <w:rsid w:val="00750F49"/>
    <w:rsid w:val="00750F69"/>
    <w:rsid w:val="00751625"/>
    <w:rsid w:val="00752AB2"/>
    <w:rsid w:val="00752E4B"/>
    <w:rsid w:val="00753176"/>
    <w:rsid w:val="00753715"/>
    <w:rsid w:val="0075376A"/>
    <w:rsid w:val="0075379F"/>
    <w:rsid w:val="0075468D"/>
    <w:rsid w:val="007552F7"/>
    <w:rsid w:val="007555CA"/>
    <w:rsid w:val="00755722"/>
    <w:rsid w:val="00755BDA"/>
    <w:rsid w:val="00756363"/>
    <w:rsid w:val="00756B45"/>
    <w:rsid w:val="007574F2"/>
    <w:rsid w:val="00760AEF"/>
    <w:rsid w:val="00760D7D"/>
    <w:rsid w:val="00760F09"/>
    <w:rsid w:val="00760FCD"/>
    <w:rsid w:val="00761E72"/>
    <w:rsid w:val="00762F3B"/>
    <w:rsid w:val="00763623"/>
    <w:rsid w:val="00763E4C"/>
    <w:rsid w:val="00764244"/>
    <w:rsid w:val="007642CF"/>
    <w:rsid w:val="00764D78"/>
    <w:rsid w:val="00765E26"/>
    <w:rsid w:val="00766C03"/>
    <w:rsid w:val="00766DB6"/>
    <w:rsid w:val="00767853"/>
    <w:rsid w:val="0076787C"/>
    <w:rsid w:val="00767AAF"/>
    <w:rsid w:val="00770894"/>
    <w:rsid w:val="00770908"/>
    <w:rsid w:val="00770FA9"/>
    <w:rsid w:val="00771024"/>
    <w:rsid w:val="0077134A"/>
    <w:rsid w:val="00771A59"/>
    <w:rsid w:val="007723D0"/>
    <w:rsid w:val="00773609"/>
    <w:rsid w:val="00773C2C"/>
    <w:rsid w:val="007741E8"/>
    <w:rsid w:val="00774A21"/>
    <w:rsid w:val="0077543B"/>
    <w:rsid w:val="00775468"/>
    <w:rsid w:val="00775D0F"/>
    <w:rsid w:val="00775D4C"/>
    <w:rsid w:val="00776F37"/>
    <w:rsid w:val="00777F93"/>
    <w:rsid w:val="0078072A"/>
    <w:rsid w:val="00780E10"/>
    <w:rsid w:val="00781252"/>
    <w:rsid w:val="00781416"/>
    <w:rsid w:val="007820D1"/>
    <w:rsid w:val="00783465"/>
    <w:rsid w:val="00783E7B"/>
    <w:rsid w:val="007846A3"/>
    <w:rsid w:val="00784773"/>
    <w:rsid w:val="00786277"/>
    <w:rsid w:val="00786B20"/>
    <w:rsid w:val="00786CDB"/>
    <w:rsid w:val="00786CED"/>
    <w:rsid w:val="00787630"/>
    <w:rsid w:val="007876A1"/>
    <w:rsid w:val="00787D10"/>
    <w:rsid w:val="007902EF"/>
    <w:rsid w:val="0079124B"/>
    <w:rsid w:val="00791288"/>
    <w:rsid w:val="0079179C"/>
    <w:rsid w:val="007917B9"/>
    <w:rsid w:val="00791833"/>
    <w:rsid w:val="00791E3D"/>
    <w:rsid w:val="007929E9"/>
    <w:rsid w:val="00794251"/>
    <w:rsid w:val="0079517B"/>
    <w:rsid w:val="007957A5"/>
    <w:rsid w:val="00795995"/>
    <w:rsid w:val="007959BC"/>
    <w:rsid w:val="00795AA0"/>
    <w:rsid w:val="00795B25"/>
    <w:rsid w:val="00796206"/>
    <w:rsid w:val="00796220"/>
    <w:rsid w:val="007978E1"/>
    <w:rsid w:val="00797D42"/>
    <w:rsid w:val="007A00A6"/>
    <w:rsid w:val="007A06E6"/>
    <w:rsid w:val="007A08A6"/>
    <w:rsid w:val="007A0F51"/>
    <w:rsid w:val="007A1673"/>
    <w:rsid w:val="007A29E1"/>
    <w:rsid w:val="007A366C"/>
    <w:rsid w:val="007A576E"/>
    <w:rsid w:val="007A59EB"/>
    <w:rsid w:val="007A6384"/>
    <w:rsid w:val="007A71FD"/>
    <w:rsid w:val="007B016B"/>
    <w:rsid w:val="007B022E"/>
    <w:rsid w:val="007B0C5A"/>
    <w:rsid w:val="007B0F52"/>
    <w:rsid w:val="007B29F5"/>
    <w:rsid w:val="007B436C"/>
    <w:rsid w:val="007B4807"/>
    <w:rsid w:val="007B5275"/>
    <w:rsid w:val="007B5800"/>
    <w:rsid w:val="007B6BF8"/>
    <w:rsid w:val="007B703A"/>
    <w:rsid w:val="007B7596"/>
    <w:rsid w:val="007C0BB0"/>
    <w:rsid w:val="007C157F"/>
    <w:rsid w:val="007C191F"/>
    <w:rsid w:val="007C1C09"/>
    <w:rsid w:val="007C1EAB"/>
    <w:rsid w:val="007C2771"/>
    <w:rsid w:val="007C343F"/>
    <w:rsid w:val="007C345A"/>
    <w:rsid w:val="007C3F59"/>
    <w:rsid w:val="007C4DEE"/>
    <w:rsid w:val="007C53CA"/>
    <w:rsid w:val="007C56F2"/>
    <w:rsid w:val="007C597E"/>
    <w:rsid w:val="007C5D9B"/>
    <w:rsid w:val="007C6290"/>
    <w:rsid w:val="007C62B8"/>
    <w:rsid w:val="007C784B"/>
    <w:rsid w:val="007C7A19"/>
    <w:rsid w:val="007D0089"/>
    <w:rsid w:val="007D1442"/>
    <w:rsid w:val="007D2692"/>
    <w:rsid w:val="007D2E85"/>
    <w:rsid w:val="007D32F1"/>
    <w:rsid w:val="007D3DDD"/>
    <w:rsid w:val="007D519F"/>
    <w:rsid w:val="007D5209"/>
    <w:rsid w:val="007D53AF"/>
    <w:rsid w:val="007D5DC5"/>
    <w:rsid w:val="007D674A"/>
    <w:rsid w:val="007D712A"/>
    <w:rsid w:val="007D7BC8"/>
    <w:rsid w:val="007E2462"/>
    <w:rsid w:val="007E25C5"/>
    <w:rsid w:val="007E2692"/>
    <w:rsid w:val="007E26F0"/>
    <w:rsid w:val="007E467D"/>
    <w:rsid w:val="007E4D4E"/>
    <w:rsid w:val="007E5CFC"/>
    <w:rsid w:val="007E6008"/>
    <w:rsid w:val="007E69DF"/>
    <w:rsid w:val="007E6FA3"/>
    <w:rsid w:val="007E7BBE"/>
    <w:rsid w:val="007F026C"/>
    <w:rsid w:val="007F1113"/>
    <w:rsid w:val="007F11A3"/>
    <w:rsid w:val="007F1539"/>
    <w:rsid w:val="007F1678"/>
    <w:rsid w:val="007F1B3D"/>
    <w:rsid w:val="007F1E6A"/>
    <w:rsid w:val="007F1EC7"/>
    <w:rsid w:val="007F284C"/>
    <w:rsid w:val="007F3035"/>
    <w:rsid w:val="007F3504"/>
    <w:rsid w:val="007F38FE"/>
    <w:rsid w:val="007F4388"/>
    <w:rsid w:val="007F5085"/>
    <w:rsid w:val="007F5A9C"/>
    <w:rsid w:val="007F666C"/>
    <w:rsid w:val="007F72B1"/>
    <w:rsid w:val="007F7A10"/>
    <w:rsid w:val="00800BBE"/>
    <w:rsid w:val="00800C6F"/>
    <w:rsid w:val="00801219"/>
    <w:rsid w:val="00801B15"/>
    <w:rsid w:val="00801F9C"/>
    <w:rsid w:val="00802552"/>
    <w:rsid w:val="00802D49"/>
    <w:rsid w:val="0080306A"/>
    <w:rsid w:val="00803573"/>
    <w:rsid w:val="008037C7"/>
    <w:rsid w:val="00803937"/>
    <w:rsid w:val="008039FB"/>
    <w:rsid w:val="00805784"/>
    <w:rsid w:val="0080637E"/>
    <w:rsid w:val="0080677A"/>
    <w:rsid w:val="0080689B"/>
    <w:rsid w:val="00806BB0"/>
    <w:rsid w:val="00806F1F"/>
    <w:rsid w:val="00807341"/>
    <w:rsid w:val="008100C2"/>
    <w:rsid w:val="0081047D"/>
    <w:rsid w:val="00810CFC"/>
    <w:rsid w:val="00810E7E"/>
    <w:rsid w:val="0081146C"/>
    <w:rsid w:val="00811738"/>
    <w:rsid w:val="00811A50"/>
    <w:rsid w:val="00811DAF"/>
    <w:rsid w:val="008123FD"/>
    <w:rsid w:val="0081273B"/>
    <w:rsid w:val="00812CDB"/>
    <w:rsid w:val="00813894"/>
    <w:rsid w:val="00813DB6"/>
    <w:rsid w:val="00813E1F"/>
    <w:rsid w:val="008146A0"/>
    <w:rsid w:val="008149FC"/>
    <w:rsid w:val="0081505C"/>
    <w:rsid w:val="00815BF5"/>
    <w:rsid w:val="00815C23"/>
    <w:rsid w:val="00815C5F"/>
    <w:rsid w:val="00816259"/>
    <w:rsid w:val="008165E4"/>
    <w:rsid w:val="008166FB"/>
    <w:rsid w:val="008202A1"/>
    <w:rsid w:val="008203FF"/>
    <w:rsid w:val="008224C9"/>
    <w:rsid w:val="008232BB"/>
    <w:rsid w:val="00824816"/>
    <w:rsid w:val="00825769"/>
    <w:rsid w:val="00825A49"/>
    <w:rsid w:val="00825C6C"/>
    <w:rsid w:val="00826897"/>
    <w:rsid w:val="00826AE9"/>
    <w:rsid w:val="0082702F"/>
    <w:rsid w:val="008272AD"/>
    <w:rsid w:val="008272CE"/>
    <w:rsid w:val="008325D8"/>
    <w:rsid w:val="0083307E"/>
    <w:rsid w:val="00833106"/>
    <w:rsid w:val="008337FD"/>
    <w:rsid w:val="00834B93"/>
    <w:rsid w:val="008354C5"/>
    <w:rsid w:val="00835877"/>
    <w:rsid w:val="00835A35"/>
    <w:rsid w:val="00837757"/>
    <w:rsid w:val="00840CF0"/>
    <w:rsid w:val="008411C1"/>
    <w:rsid w:val="00841783"/>
    <w:rsid w:val="00841B1E"/>
    <w:rsid w:val="008421BA"/>
    <w:rsid w:val="008428FD"/>
    <w:rsid w:val="00843822"/>
    <w:rsid w:val="00843896"/>
    <w:rsid w:val="008439A3"/>
    <w:rsid w:val="00844854"/>
    <w:rsid w:val="00844A09"/>
    <w:rsid w:val="00844B68"/>
    <w:rsid w:val="008461FA"/>
    <w:rsid w:val="00846413"/>
    <w:rsid w:val="00846814"/>
    <w:rsid w:val="008468BA"/>
    <w:rsid w:val="00846BFF"/>
    <w:rsid w:val="008474CE"/>
    <w:rsid w:val="00847C0D"/>
    <w:rsid w:val="00850D3A"/>
    <w:rsid w:val="00850EC4"/>
    <w:rsid w:val="00850F00"/>
    <w:rsid w:val="0085125B"/>
    <w:rsid w:val="008514B5"/>
    <w:rsid w:val="0085165C"/>
    <w:rsid w:val="008518D8"/>
    <w:rsid w:val="008521EA"/>
    <w:rsid w:val="00852971"/>
    <w:rsid w:val="00852AA4"/>
    <w:rsid w:val="00852E9C"/>
    <w:rsid w:val="00853A23"/>
    <w:rsid w:val="00854022"/>
    <w:rsid w:val="008549BC"/>
    <w:rsid w:val="00854FF8"/>
    <w:rsid w:val="00855B7F"/>
    <w:rsid w:val="008560E7"/>
    <w:rsid w:val="00856587"/>
    <w:rsid w:val="00856925"/>
    <w:rsid w:val="00856DCC"/>
    <w:rsid w:val="0085721A"/>
    <w:rsid w:val="00857BD2"/>
    <w:rsid w:val="0086142A"/>
    <w:rsid w:val="00861459"/>
    <w:rsid w:val="00861E5F"/>
    <w:rsid w:val="008626A2"/>
    <w:rsid w:val="00862D44"/>
    <w:rsid w:val="00863048"/>
    <w:rsid w:val="00863579"/>
    <w:rsid w:val="00863BEB"/>
    <w:rsid w:val="00863DD7"/>
    <w:rsid w:val="00864CBF"/>
    <w:rsid w:val="00866544"/>
    <w:rsid w:val="00870544"/>
    <w:rsid w:val="00871674"/>
    <w:rsid w:val="008716AA"/>
    <w:rsid w:val="008716B8"/>
    <w:rsid w:val="00871B17"/>
    <w:rsid w:val="00872871"/>
    <w:rsid w:val="0087336C"/>
    <w:rsid w:val="00873642"/>
    <w:rsid w:val="008739EC"/>
    <w:rsid w:val="008750E5"/>
    <w:rsid w:val="008754AA"/>
    <w:rsid w:val="0087706A"/>
    <w:rsid w:val="008772E5"/>
    <w:rsid w:val="00877DAE"/>
    <w:rsid w:val="008802A8"/>
    <w:rsid w:val="0088077B"/>
    <w:rsid w:val="0088121D"/>
    <w:rsid w:val="008819D7"/>
    <w:rsid w:val="0088213C"/>
    <w:rsid w:val="00882226"/>
    <w:rsid w:val="00882449"/>
    <w:rsid w:val="00882537"/>
    <w:rsid w:val="0088286E"/>
    <w:rsid w:val="00883EB5"/>
    <w:rsid w:val="0088497C"/>
    <w:rsid w:val="00886207"/>
    <w:rsid w:val="008864F4"/>
    <w:rsid w:val="0088782E"/>
    <w:rsid w:val="00887DA4"/>
    <w:rsid w:val="00890CAA"/>
    <w:rsid w:val="00890DD7"/>
    <w:rsid w:val="008911DB"/>
    <w:rsid w:val="00892AC5"/>
    <w:rsid w:val="008934FC"/>
    <w:rsid w:val="00893549"/>
    <w:rsid w:val="00893DC0"/>
    <w:rsid w:val="00893E53"/>
    <w:rsid w:val="0089412A"/>
    <w:rsid w:val="0089477A"/>
    <w:rsid w:val="0089500E"/>
    <w:rsid w:val="0089567B"/>
    <w:rsid w:val="0089569B"/>
    <w:rsid w:val="00895D81"/>
    <w:rsid w:val="00896A47"/>
    <w:rsid w:val="00896D66"/>
    <w:rsid w:val="00896E49"/>
    <w:rsid w:val="008A09AB"/>
    <w:rsid w:val="008A0BDE"/>
    <w:rsid w:val="008A0EDB"/>
    <w:rsid w:val="008A158C"/>
    <w:rsid w:val="008A19EA"/>
    <w:rsid w:val="008A1A9E"/>
    <w:rsid w:val="008A1B19"/>
    <w:rsid w:val="008A2048"/>
    <w:rsid w:val="008A2116"/>
    <w:rsid w:val="008A2779"/>
    <w:rsid w:val="008A2BFA"/>
    <w:rsid w:val="008A3CB8"/>
    <w:rsid w:val="008A497C"/>
    <w:rsid w:val="008A4F9B"/>
    <w:rsid w:val="008A5895"/>
    <w:rsid w:val="008A5A6C"/>
    <w:rsid w:val="008A606A"/>
    <w:rsid w:val="008A6934"/>
    <w:rsid w:val="008A7C24"/>
    <w:rsid w:val="008A7CD9"/>
    <w:rsid w:val="008A7D45"/>
    <w:rsid w:val="008B0581"/>
    <w:rsid w:val="008B13E6"/>
    <w:rsid w:val="008B1528"/>
    <w:rsid w:val="008B1AFD"/>
    <w:rsid w:val="008B42F4"/>
    <w:rsid w:val="008B4935"/>
    <w:rsid w:val="008B50CF"/>
    <w:rsid w:val="008B519F"/>
    <w:rsid w:val="008B57D2"/>
    <w:rsid w:val="008B6E62"/>
    <w:rsid w:val="008B70B1"/>
    <w:rsid w:val="008C042A"/>
    <w:rsid w:val="008C0A60"/>
    <w:rsid w:val="008C1709"/>
    <w:rsid w:val="008C260A"/>
    <w:rsid w:val="008C2828"/>
    <w:rsid w:val="008C352E"/>
    <w:rsid w:val="008C3F35"/>
    <w:rsid w:val="008C4660"/>
    <w:rsid w:val="008C4E0F"/>
    <w:rsid w:val="008C5207"/>
    <w:rsid w:val="008C580B"/>
    <w:rsid w:val="008C5B6B"/>
    <w:rsid w:val="008C5CA1"/>
    <w:rsid w:val="008C5CD1"/>
    <w:rsid w:val="008C5EE6"/>
    <w:rsid w:val="008C5F29"/>
    <w:rsid w:val="008C791B"/>
    <w:rsid w:val="008D03A3"/>
    <w:rsid w:val="008D0844"/>
    <w:rsid w:val="008D092A"/>
    <w:rsid w:val="008D0CCC"/>
    <w:rsid w:val="008D1303"/>
    <w:rsid w:val="008D169E"/>
    <w:rsid w:val="008D1CA5"/>
    <w:rsid w:val="008D1D05"/>
    <w:rsid w:val="008D1FA8"/>
    <w:rsid w:val="008D207E"/>
    <w:rsid w:val="008D36AB"/>
    <w:rsid w:val="008D3A84"/>
    <w:rsid w:val="008D3F73"/>
    <w:rsid w:val="008D41CD"/>
    <w:rsid w:val="008D4701"/>
    <w:rsid w:val="008D5E26"/>
    <w:rsid w:val="008D67F5"/>
    <w:rsid w:val="008D7E91"/>
    <w:rsid w:val="008E177C"/>
    <w:rsid w:val="008E1967"/>
    <w:rsid w:val="008E20E0"/>
    <w:rsid w:val="008E225D"/>
    <w:rsid w:val="008E2510"/>
    <w:rsid w:val="008E28B0"/>
    <w:rsid w:val="008E2C3D"/>
    <w:rsid w:val="008E2D37"/>
    <w:rsid w:val="008E34C5"/>
    <w:rsid w:val="008E388E"/>
    <w:rsid w:val="008E3896"/>
    <w:rsid w:val="008E450B"/>
    <w:rsid w:val="008E56DF"/>
    <w:rsid w:val="008E6BEA"/>
    <w:rsid w:val="008E7F01"/>
    <w:rsid w:val="008F05D9"/>
    <w:rsid w:val="008F0DC8"/>
    <w:rsid w:val="008F237E"/>
    <w:rsid w:val="008F248B"/>
    <w:rsid w:val="008F25CB"/>
    <w:rsid w:val="008F298C"/>
    <w:rsid w:val="008F3200"/>
    <w:rsid w:val="008F39EE"/>
    <w:rsid w:val="008F3D3D"/>
    <w:rsid w:val="008F4B9A"/>
    <w:rsid w:val="008F50C0"/>
    <w:rsid w:val="008F5999"/>
    <w:rsid w:val="008F6F48"/>
    <w:rsid w:val="008F71E3"/>
    <w:rsid w:val="008F7380"/>
    <w:rsid w:val="008F7491"/>
    <w:rsid w:val="008F77A8"/>
    <w:rsid w:val="008F7908"/>
    <w:rsid w:val="00900887"/>
    <w:rsid w:val="00900E42"/>
    <w:rsid w:val="00900FBD"/>
    <w:rsid w:val="0090151B"/>
    <w:rsid w:val="009017BD"/>
    <w:rsid w:val="00901922"/>
    <w:rsid w:val="00901C68"/>
    <w:rsid w:val="00902B3A"/>
    <w:rsid w:val="00902D2D"/>
    <w:rsid w:val="009034FF"/>
    <w:rsid w:val="00903D1E"/>
    <w:rsid w:val="0090434C"/>
    <w:rsid w:val="0090470E"/>
    <w:rsid w:val="00904982"/>
    <w:rsid w:val="009057A0"/>
    <w:rsid w:val="00905916"/>
    <w:rsid w:val="00906D33"/>
    <w:rsid w:val="00907370"/>
    <w:rsid w:val="009076E3"/>
    <w:rsid w:val="00907D6C"/>
    <w:rsid w:val="009100AF"/>
    <w:rsid w:val="00910FDA"/>
    <w:rsid w:val="00911E03"/>
    <w:rsid w:val="0091232E"/>
    <w:rsid w:val="0091235D"/>
    <w:rsid w:val="00912C48"/>
    <w:rsid w:val="009132EE"/>
    <w:rsid w:val="009133C2"/>
    <w:rsid w:val="0091349C"/>
    <w:rsid w:val="009134B8"/>
    <w:rsid w:val="00913877"/>
    <w:rsid w:val="00913E74"/>
    <w:rsid w:val="009146C1"/>
    <w:rsid w:val="0091471D"/>
    <w:rsid w:val="009149AA"/>
    <w:rsid w:val="00914A8F"/>
    <w:rsid w:val="00914DB2"/>
    <w:rsid w:val="00915A81"/>
    <w:rsid w:val="00916358"/>
    <w:rsid w:val="00916CE4"/>
    <w:rsid w:val="00916D47"/>
    <w:rsid w:val="00917135"/>
    <w:rsid w:val="00917614"/>
    <w:rsid w:val="009217F2"/>
    <w:rsid w:val="00921830"/>
    <w:rsid w:val="00921D1F"/>
    <w:rsid w:val="00922259"/>
    <w:rsid w:val="0092229B"/>
    <w:rsid w:val="0092309F"/>
    <w:rsid w:val="0092355F"/>
    <w:rsid w:val="009245DA"/>
    <w:rsid w:val="00924C02"/>
    <w:rsid w:val="00925D53"/>
    <w:rsid w:val="009276FC"/>
    <w:rsid w:val="00927CFB"/>
    <w:rsid w:val="00927DF5"/>
    <w:rsid w:val="00930E7C"/>
    <w:rsid w:val="00931B66"/>
    <w:rsid w:val="00931CC6"/>
    <w:rsid w:val="009346A7"/>
    <w:rsid w:val="00935212"/>
    <w:rsid w:val="009357B5"/>
    <w:rsid w:val="009364F1"/>
    <w:rsid w:val="00936505"/>
    <w:rsid w:val="00937182"/>
    <w:rsid w:val="00937AF1"/>
    <w:rsid w:val="00937F35"/>
    <w:rsid w:val="0094023B"/>
    <w:rsid w:val="00940C18"/>
    <w:rsid w:val="00941CEC"/>
    <w:rsid w:val="00941CF5"/>
    <w:rsid w:val="009421D9"/>
    <w:rsid w:val="00942A60"/>
    <w:rsid w:val="00943165"/>
    <w:rsid w:val="0094340F"/>
    <w:rsid w:val="00944AEC"/>
    <w:rsid w:val="00944CD5"/>
    <w:rsid w:val="00944EC3"/>
    <w:rsid w:val="00945296"/>
    <w:rsid w:val="0094588A"/>
    <w:rsid w:val="00945BE9"/>
    <w:rsid w:val="00946029"/>
    <w:rsid w:val="009473B0"/>
    <w:rsid w:val="00950944"/>
    <w:rsid w:val="00950BA4"/>
    <w:rsid w:val="00950C2C"/>
    <w:rsid w:val="009511A0"/>
    <w:rsid w:val="00951B0B"/>
    <w:rsid w:val="00951C8B"/>
    <w:rsid w:val="00952C1A"/>
    <w:rsid w:val="00952F5E"/>
    <w:rsid w:val="00952FAC"/>
    <w:rsid w:val="009538A9"/>
    <w:rsid w:val="00953F99"/>
    <w:rsid w:val="0095457B"/>
    <w:rsid w:val="0095497B"/>
    <w:rsid w:val="00955278"/>
    <w:rsid w:val="00955E82"/>
    <w:rsid w:val="009578AE"/>
    <w:rsid w:val="00957950"/>
    <w:rsid w:val="00957B37"/>
    <w:rsid w:val="00957F66"/>
    <w:rsid w:val="00960311"/>
    <w:rsid w:val="0096138E"/>
    <w:rsid w:val="009614F7"/>
    <w:rsid w:val="00961978"/>
    <w:rsid w:val="00961F14"/>
    <w:rsid w:val="0096347C"/>
    <w:rsid w:val="00963681"/>
    <w:rsid w:val="00963C3B"/>
    <w:rsid w:val="00963EF7"/>
    <w:rsid w:val="00963F6D"/>
    <w:rsid w:val="00965516"/>
    <w:rsid w:val="00965B54"/>
    <w:rsid w:val="009672E9"/>
    <w:rsid w:val="0097094A"/>
    <w:rsid w:val="00970D92"/>
    <w:rsid w:val="0097137B"/>
    <w:rsid w:val="0097254F"/>
    <w:rsid w:val="009728E4"/>
    <w:rsid w:val="00972C6E"/>
    <w:rsid w:val="009731FA"/>
    <w:rsid w:val="009749E3"/>
    <w:rsid w:val="00974E18"/>
    <w:rsid w:val="00974FF0"/>
    <w:rsid w:val="009751E1"/>
    <w:rsid w:val="009763AB"/>
    <w:rsid w:val="00976838"/>
    <w:rsid w:val="00976D80"/>
    <w:rsid w:val="00976DFA"/>
    <w:rsid w:val="00977658"/>
    <w:rsid w:val="00977725"/>
    <w:rsid w:val="00977888"/>
    <w:rsid w:val="00977D41"/>
    <w:rsid w:val="00977F28"/>
    <w:rsid w:val="00980658"/>
    <w:rsid w:val="009807EC"/>
    <w:rsid w:val="00980DC6"/>
    <w:rsid w:val="00981B38"/>
    <w:rsid w:val="00981EB7"/>
    <w:rsid w:val="009820BB"/>
    <w:rsid w:val="00982399"/>
    <w:rsid w:val="00982FBB"/>
    <w:rsid w:val="00983384"/>
    <w:rsid w:val="009838F8"/>
    <w:rsid w:val="00984493"/>
    <w:rsid w:val="009845DC"/>
    <w:rsid w:val="00984652"/>
    <w:rsid w:val="009847DD"/>
    <w:rsid w:val="009849B3"/>
    <w:rsid w:val="009854EC"/>
    <w:rsid w:val="00985CAC"/>
    <w:rsid w:val="00986026"/>
    <w:rsid w:val="00986610"/>
    <w:rsid w:val="00986901"/>
    <w:rsid w:val="00986C32"/>
    <w:rsid w:val="009875B9"/>
    <w:rsid w:val="009878FC"/>
    <w:rsid w:val="009879D4"/>
    <w:rsid w:val="00987E12"/>
    <w:rsid w:val="0099037C"/>
    <w:rsid w:val="00990554"/>
    <w:rsid w:val="00990A64"/>
    <w:rsid w:val="00990AB6"/>
    <w:rsid w:val="00991076"/>
    <w:rsid w:val="009925FA"/>
    <w:rsid w:val="00993063"/>
    <w:rsid w:val="0099375A"/>
    <w:rsid w:val="0099462C"/>
    <w:rsid w:val="009946BB"/>
    <w:rsid w:val="00994880"/>
    <w:rsid w:val="0099494E"/>
    <w:rsid w:val="009949C9"/>
    <w:rsid w:val="00994A73"/>
    <w:rsid w:val="00994CBF"/>
    <w:rsid w:val="0099571C"/>
    <w:rsid w:val="00996092"/>
    <w:rsid w:val="009963A8"/>
    <w:rsid w:val="00997200"/>
    <w:rsid w:val="009A0970"/>
    <w:rsid w:val="009A0F7B"/>
    <w:rsid w:val="009A1037"/>
    <w:rsid w:val="009A1B40"/>
    <w:rsid w:val="009A21EA"/>
    <w:rsid w:val="009A259E"/>
    <w:rsid w:val="009A25CD"/>
    <w:rsid w:val="009A27F4"/>
    <w:rsid w:val="009A287B"/>
    <w:rsid w:val="009A2B1E"/>
    <w:rsid w:val="009A351A"/>
    <w:rsid w:val="009A39F2"/>
    <w:rsid w:val="009A3A40"/>
    <w:rsid w:val="009A3A7F"/>
    <w:rsid w:val="009A4437"/>
    <w:rsid w:val="009A46EF"/>
    <w:rsid w:val="009A4DAD"/>
    <w:rsid w:val="009A4EDB"/>
    <w:rsid w:val="009A50FD"/>
    <w:rsid w:val="009A51ED"/>
    <w:rsid w:val="009A5642"/>
    <w:rsid w:val="009A59F1"/>
    <w:rsid w:val="009A5B73"/>
    <w:rsid w:val="009A605A"/>
    <w:rsid w:val="009A60FC"/>
    <w:rsid w:val="009A68B1"/>
    <w:rsid w:val="009A6A0F"/>
    <w:rsid w:val="009A6AD4"/>
    <w:rsid w:val="009A7181"/>
    <w:rsid w:val="009A76FD"/>
    <w:rsid w:val="009A79E0"/>
    <w:rsid w:val="009A7A07"/>
    <w:rsid w:val="009B0277"/>
    <w:rsid w:val="009B07B3"/>
    <w:rsid w:val="009B0AE6"/>
    <w:rsid w:val="009B0C30"/>
    <w:rsid w:val="009B233B"/>
    <w:rsid w:val="009B2500"/>
    <w:rsid w:val="009B253B"/>
    <w:rsid w:val="009B2AA3"/>
    <w:rsid w:val="009B36AE"/>
    <w:rsid w:val="009B3BA7"/>
    <w:rsid w:val="009B41A5"/>
    <w:rsid w:val="009B55A1"/>
    <w:rsid w:val="009B5890"/>
    <w:rsid w:val="009B6ECB"/>
    <w:rsid w:val="009B723D"/>
    <w:rsid w:val="009C0517"/>
    <w:rsid w:val="009C0C24"/>
    <w:rsid w:val="009C1424"/>
    <w:rsid w:val="009C15C1"/>
    <w:rsid w:val="009C3375"/>
    <w:rsid w:val="009C38CB"/>
    <w:rsid w:val="009C63E8"/>
    <w:rsid w:val="009C6C69"/>
    <w:rsid w:val="009C6EF2"/>
    <w:rsid w:val="009C75A5"/>
    <w:rsid w:val="009C77AC"/>
    <w:rsid w:val="009C79B7"/>
    <w:rsid w:val="009D0387"/>
    <w:rsid w:val="009D110E"/>
    <w:rsid w:val="009D166E"/>
    <w:rsid w:val="009D216E"/>
    <w:rsid w:val="009D2316"/>
    <w:rsid w:val="009D2A31"/>
    <w:rsid w:val="009D312E"/>
    <w:rsid w:val="009D35F8"/>
    <w:rsid w:val="009D4015"/>
    <w:rsid w:val="009D4B73"/>
    <w:rsid w:val="009D5283"/>
    <w:rsid w:val="009D5B79"/>
    <w:rsid w:val="009D5F6F"/>
    <w:rsid w:val="009D61EA"/>
    <w:rsid w:val="009D738B"/>
    <w:rsid w:val="009D7504"/>
    <w:rsid w:val="009E05EE"/>
    <w:rsid w:val="009E0695"/>
    <w:rsid w:val="009E0B95"/>
    <w:rsid w:val="009E1706"/>
    <w:rsid w:val="009E1DE7"/>
    <w:rsid w:val="009E2B0B"/>
    <w:rsid w:val="009E340F"/>
    <w:rsid w:val="009E447D"/>
    <w:rsid w:val="009E4CBE"/>
    <w:rsid w:val="009E4F90"/>
    <w:rsid w:val="009E519B"/>
    <w:rsid w:val="009E610D"/>
    <w:rsid w:val="009E6237"/>
    <w:rsid w:val="009E684E"/>
    <w:rsid w:val="009E752C"/>
    <w:rsid w:val="009E789F"/>
    <w:rsid w:val="009E7A71"/>
    <w:rsid w:val="009F022F"/>
    <w:rsid w:val="009F02BA"/>
    <w:rsid w:val="009F0899"/>
    <w:rsid w:val="009F1811"/>
    <w:rsid w:val="009F1A57"/>
    <w:rsid w:val="009F1E33"/>
    <w:rsid w:val="009F3311"/>
    <w:rsid w:val="009F395E"/>
    <w:rsid w:val="009F3E90"/>
    <w:rsid w:val="009F43EE"/>
    <w:rsid w:val="009F4A5A"/>
    <w:rsid w:val="009F5656"/>
    <w:rsid w:val="009F57E1"/>
    <w:rsid w:val="009F6207"/>
    <w:rsid w:val="009F6BBB"/>
    <w:rsid w:val="009F6F99"/>
    <w:rsid w:val="009F7CA5"/>
    <w:rsid w:val="009F7D4B"/>
    <w:rsid w:val="00A001C4"/>
    <w:rsid w:val="00A0071F"/>
    <w:rsid w:val="00A00A26"/>
    <w:rsid w:val="00A00D48"/>
    <w:rsid w:val="00A00FF4"/>
    <w:rsid w:val="00A0103A"/>
    <w:rsid w:val="00A0164A"/>
    <w:rsid w:val="00A0272A"/>
    <w:rsid w:val="00A03E26"/>
    <w:rsid w:val="00A04653"/>
    <w:rsid w:val="00A049ED"/>
    <w:rsid w:val="00A04E82"/>
    <w:rsid w:val="00A05163"/>
    <w:rsid w:val="00A052E6"/>
    <w:rsid w:val="00A056AB"/>
    <w:rsid w:val="00A05816"/>
    <w:rsid w:val="00A059AB"/>
    <w:rsid w:val="00A05D28"/>
    <w:rsid w:val="00A05D71"/>
    <w:rsid w:val="00A060AB"/>
    <w:rsid w:val="00A06E22"/>
    <w:rsid w:val="00A06EC0"/>
    <w:rsid w:val="00A07373"/>
    <w:rsid w:val="00A073B3"/>
    <w:rsid w:val="00A079FB"/>
    <w:rsid w:val="00A07B4C"/>
    <w:rsid w:val="00A07F75"/>
    <w:rsid w:val="00A10678"/>
    <w:rsid w:val="00A10C46"/>
    <w:rsid w:val="00A11793"/>
    <w:rsid w:val="00A11CBF"/>
    <w:rsid w:val="00A128CA"/>
    <w:rsid w:val="00A12A54"/>
    <w:rsid w:val="00A133C7"/>
    <w:rsid w:val="00A13685"/>
    <w:rsid w:val="00A146BF"/>
    <w:rsid w:val="00A14F9B"/>
    <w:rsid w:val="00A15D49"/>
    <w:rsid w:val="00A16437"/>
    <w:rsid w:val="00A16F15"/>
    <w:rsid w:val="00A20548"/>
    <w:rsid w:val="00A21964"/>
    <w:rsid w:val="00A22E9E"/>
    <w:rsid w:val="00A231FB"/>
    <w:rsid w:val="00A23A15"/>
    <w:rsid w:val="00A23CD9"/>
    <w:rsid w:val="00A244B9"/>
    <w:rsid w:val="00A25244"/>
    <w:rsid w:val="00A25C4D"/>
    <w:rsid w:val="00A27B1F"/>
    <w:rsid w:val="00A27BC1"/>
    <w:rsid w:val="00A27C45"/>
    <w:rsid w:val="00A308B8"/>
    <w:rsid w:val="00A318E8"/>
    <w:rsid w:val="00A32303"/>
    <w:rsid w:val="00A32713"/>
    <w:rsid w:val="00A32CDF"/>
    <w:rsid w:val="00A3425E"/>
    <w:rsid w:val="00A34F57"/>
    <w:rsid w:val="00A34F8A"/>
    <w:rsid w:val="00A35336"/>
    <w:rsid w:val="00A354E1"/>
    <w:rsid w:val="00A35E3F"/>
    <w:rsid w:val="00A365BE"/>
    <w:rsid w:val="00A36870"/>
    <w:rsid w:val="00A3690F"/>
    <w:rsid w:val="00A36AC9"/>
    <w:rsid w:val="00A378E5"/>
    <w:rsid w:val="00A3793B"/>
    <w:rsid w:val="00A37A52"/>
    <w:rsid w:val="00A37AE8"/>
    <w:rsid w:val="00A4013A"/>
    <w:rsid w:val="00A4015C"/>
    <w:rsid w:val="00A41AB3"/>
    <w:rsid w:val="00A41CB1"/>
    <w:rsid w:val="00A428BC"/>
    <w:rsid w:val="00A42F74"/>
    <w:rsid w:val="00A4363E"/>
    <w:rsid w:val="00A43943"/>
    <w:rsid w:val="00A44811"/>
    <w:rsid w:val="00A45AB1"/>
    <w:rsid w:val="00A45F94"/>
    <w:rsid w:val="00A46268"/>
    <w:rsid w:val="00A4678D"/>
    <w:rsid w:val="00A46AA4"/>
    <w:rsid w:val="00A47265"/>
    <w:rsid w:val="00A503D3"/>
    <w:rsid w:val="00A50A7E"/>
    <w:rsid w:val="00A51257"/>
    <w:rsid w:val="00A5160E"/>
    <w:rsid w:val="00A51B60"/>
    <w:rsid w:val="00A51DF3"/>
    <w:rsid w:val="00A51F82"/>
    <w:rsid w:val="00A52CEA"/>
    <w:rsid w:val="00A5339D"/>
    <w:rsid w:val="00A54090"/>
    <w:rsid w:val="00A5454B"/>
    <w:rsid w:val="00A54D4E"/>
    <w:rsid w:val="00A55735"/>
    <w:rsid w:val="00A5600F"/>
    <w:rsid w:val="00A5613B"/>
    <w:rsid w:val="00A562EC"/>
    <w:rsid w:val="00A56864"/>
    <w:rsid w:val="00A56954"/>
    <w:rsid w:val="00A576DD"/>
    <w:rsid w:val="00A60C39"/>
    <w:rsid w:val="00A60CDC"/>
    <w:rsid w:val="00A60FAF"/>
    <w:rsid w:val="00A614C1"/>
    <w:rsid w:val="00A618A0"/>
    <w:rsid w:val="00A62E3F"/>
    <w:rsid w:val="00A634A2"/>
    <w:rsid w:val="00A63775"/>
    <w:rsid w:val="00A63814"/>
    <w:rsid w:val="00A63B53"/>
    <w:rsid w:val="00A64918"/>
    <w:rsid w:val="00A64D71"/>
    <w:rsid w:val="00A64D8F"/>
    <w:rsid w:val="00A65A14"/>
    <w:rsid w:val="00A65BAA"/>
    <w:rsid w:val="00A65EEF"/>
    <w:rsid w:val="00A667FC"/>
    <w:rsid w:val="00A66CF7"/>
    <w:rsid w:val="00A70B4B"/>
    <w:rsid w:val="00A70BF8"/>
    <w:rsid w:val="00A7152A"/>
    <w:rsid w:val="00A71604"/>
    <w:rsid w:val="00A71784"/>
    <w:rsid w:val="00A71944"/>
    <w:rsid w:val="00A71D88"/>
    <w:rsid w:val="00A725B8"/>
    <w:rsid w:val="00A730E5"/>
    <w:rsid w:val="00A733BD"/>
    <w:rsid w:val="00A733EB"/>
    <w:rsid w:val="00A75B83"/>
    <w:rsid w:val="00A75D92"/>
    <w:rsid w:val="00A7618E"/>
    <w:rsid w:val="00A76449"/>
    <w:rsid w:val="00A76B91"/>
    <w:rsid w:val="00A7707F"/>
    <w:rsid w:val="00A7794C"/>
    <w:rsid w:val="00A7797E"/>
    <w:rsid w:val="00A80195"/>
    <w:rsid w:val="00A8086E"/>
    <w:rsid w:val="00A82389"/>
    <w:rsid w:val="00A84C6D"/>
    <w:rsid w:val="00A851B4"/>
    <w:rsid w:val="00A853C2"/>
    <w:rsid w:val="00A85BE0"/>
    <w:rsid w:val="00A85E8D"/>
    <w:rsid w:val="00A85FE3"/>
    <w:rsid w:val="00A868C9"/>
    <w:rsid w:val="00A871E0"/>
    <w:rsid w:val="00A871FC"/>
    <w:rsid w:val="00A8751D"/>
    <w:rsid w:val="00A9096E"/>
    <w:rsid w:val="00A90BB3"/>
    <w:rsid w:val="00A91403"/>
    <w:rsid w:val="00A9196B"/>
    <w:rsid w:val="00A919F6"/>
    <w:rsid w:val="00A92471"/>
    <w:rsid w:val="00A92EB4"/>
    <w:rsid w:val="00A92EDC"/>
    <w:rsid w:val="00A936B1"/>
    <w:rsid w:val="00A93912"/>
    <w:rsid w:val="00A93A25"/>
    <w:rsid w:val="00A93D56"/>
    <w:rsid w:val="00A93EBE"/>
    <w:rsid w:val="00A941D3"/>
    <w:rsid w:val="00A9451E"/>
    <w:rsid w:val="00A94926"/>
    <w:rsid w:val="00A94D59"/>
    <w:rsid w:val="00A952CA"/>
    <w:rsid w:val="00A9679E"/>
    <w:rsid w:val="00A96B59"/>
    <w:rsid w:val="00A96F3F"/>
    <w:rsid w:val="00A97114"/>
    <w:rsid w:val="00AA0710"/>
    <w:rsid w:val="00AA0879"/>
    <w:rsid w:val="00AA1904"/>
    <w:rsid w:val="00AA1C85"/>
    <w:rsid w:val="00AA1DA9"/>
    <w:rsid w:val="00AA26EE"/>
    <w:rsid w:val="00AA3079"/>
    <w:rsid w:val="00AA335D"/>
    <w:rsid w:val="00AA3733"/>
    <w:rsid w:val="00AA3BBD"/>
    <w:rsid w:val="00AA3E8C"/>
    <w:rsid w:val="00AA4435"/>
    <w:rsid w:val="00AA4D1F"/>
    <w:rsid w:val="00AA4F82"/>
    <w:rsid w:val="00AA51C2"/>
    <w:rsid w:val="00AA56A2"/>
    <w:rsid w:val="00AA5831"/>
    <w:rsid w:val="00AA5D38"/>
    <w:rsid w:val="00AA7A8B"/>
    <w:rsid w:val="00AB035C"/>
    <w:rsid w:val="00AB05D6"/>
    <w:rsid w:val="00AB0650"/>
    <w:rsid w:val="00AB0B20"/>
    <w:rsid w:val="00AB1385"/>
    <w:rsid w:val="00AB1B84"/>
    <w:rsid w:val="00AB1CBC"/>
    <w:rsid w:val="00AB2474"/>
    <w:rsid w:val="00AB261C"/>
    <w:rsid w:val="00AB38CF"/>
    <w:rsid w:val="00AB4162"/>
    <w:rsid w:val="00AB4376"/>
    <w:rsid w:val="00AB5655"/>
    <w:rsid w:val="00AB580D"/>
    <w:rsid w:val="00AB6354"/>
    <w:rsid w:val="00AB6B03"/>
    <w:rsid w:val="00AB6F28"/>
    <w:rsid w:val="00AB732B"/>
    <w:rsid w:val="00AB740D"/>
    <w:rsid w:val="00AB7593"/>
    <w:rsid w:val="00AB79BD"/>
    <w:rsid w:val="00AB7B68"/>
    <w:rsid w:val="00AB7EF5"/>
    <w:rsid w:val="00AC100D"/>
    <w:rsid w:val="00AC1720"/>
    <w:rsid w:val="00AC1A50"/>
    <w:rsid w:val="00AC258A"/>
    <w:rsid w:val="00AC268A"/>
    <w:rsid w:val="00AC28F2"/>
    <w:rsid w:val="00AC31C5"/>
    <w:rsid w:val="00AC44E3"/>
    <w:rsid w:val="00AC4DE8"/>
    <w:rsid w:val="00AC4F66"/>
    <w:rsid w:val="00AC505F"/>
    <w:rsid w:val="00AC52DA"/>
    <w:rsid w:val="00AC56C1"/>
    <w:rsid w:val="00AC5883"/>
    <w:rsid w:val="00AC5938"/>
    <w:rsid w:val="00AC6026"/>
    <w:rsid w:val="00AC66B2"/>
    <w:rsid w:val="00AC7096"/>
    <w:rsid w:val="00AC781C"/>
    <w:rsid w:val="00AC7D11"/>
    <w:rsid w:val="00AD1004"/>
    <w:rsid w:val="00AD1111"/>
    <w:rsid w:val="00AD1231"/>
    <w:rsid w:val="00AD17BE"/>
    <w:rsid w:val="00AD197C"/>
    <w:rsid w:val="00AD1AC5"/>
    <w:rsid w:val="00AD331D"/>
    <w:rsid w:val="00AD386B"/>
    <w:rsid w:val="00AD4CD5"/>
    <w:rsid w:val="00AD58DD"/>
    <w:rsid w:val="00AD5E6C"/>
    <w:rsid w:val="00AD702B"/>
    <w:rsid w:val="00AD7502"/>
    <w:rsid w:val="00AE02B5"/>
    <w:rsid w:val="00AE07F0"/>
    <w:rsid w:val="00AE0A56"/>
    <w:rsid w:val="00AE1221"/>
    <w:rsid w:val="00AE13C1"/>
    <w:rsid w:val="00AE1ABE"/>
    <w:rsid w:val="00AE25F4"/>
    <w:rsid w:val="00AE2856"/>
    <w:rsid w:val="00AE3135"/>
    <w:rsid w:val="00AE3D3C"/>
    <w:rsid w:val="00AE4022"/>
    <w:rsid w:val="00AE4619"/>
    <w:rsid w:val="00AE572B"/>
    <w:rsid w:val="00AE63FC"/>
    <w:rsid w:val="00AE6558"/>
    <w:rsid w:val="00AE6ACE"/>
    <w:rsid w:val="00AE6C71"/>
    <w:rsid w:val="00AE725F"/>
    <w:rsid w:val="00AE7519"/>
    <w:rsid w:val="00AE7D9E"/>
    <w:rsid w:val="00AF0018"/>
    <w:rsid w:val="00AF07F4"/>
    <w:rsid w:val="00AF0E56"/>
    <w:rsid w:val="00AF15D7"/>
    <w:rsid w:val="00AF181D"/>
    <w:rsid w:val="00AF183C"/>
    <w:rsid w:val="00AF19F8"/>
    <w:rsid w:val="00AF2AE3"/>
    <w:rsid w:val="00AF3786"/>
    <w:rsid w:val="00AF41B0"/>
    <w:rsid w:val="00AF4EEA"/>
    <w:rsid w:val="00AF5220"/>
    <w:rsid w:val="00AF550C"/>
    <w:rsid w:val="00AF5A51"/>
    <w:rsid w:val="00AF6639"/>
    <w:rsid w:val="00AF6AA0"/>
    <w:rsid w:val="00AF7DAB"/>
    <w:rsid w:val="00AF7EAD"/>
    <w:rsid w:val="00B0042E"/>
    <w:rsid w:val="00B007AF"/>
    <w:rsid w:val="00B00865"/>
    <w:rsid w:val="00B01526"/>
    <w:rsid w:val="00B01BD5"/>
    <w:rsid w:val="00B01DCE"/>
    <w:rsid w:val="00B02C88"/>
    <w:rsid w:val="00B042BA"/>
    <w:rsid w:val="00B0603A"/>
    <w:rsid w:val="00B06EFE"/>
    <w:rsid w:val="00B073BB"/>
    <w:rsid w:val="00B0794F"/>
    <w:rsid w:val="00B07A7F"/>
    <w:rsid w:val="00B07A9E"/>
    <w:rsid w:val="00B07D96"/>
    <w:rsid w:val="00B1026D"/>
    <w:rsid w:val="00B1079F"/>
    <w:rsid w:val="00B10A9B"/>
    <w:rsid w:val="00B11A7F"/>
    <w:rsid w:val="00B11D52"/>
    <w:rsid w:val="00B12673"/>
    <w:rsid w:val="00B13AF8"/>
    <w:rsid w:val="00B13BAF"/>
    <w:rsid w:val="00B13E95"/>
    <w:rsid w:val="00B152D7"/>
    <w:rsid w:val="00B156D7"/>
    <w:rsid w:val="00B15BFA"/>
    <w:rsid w:val="00B160FC"/>
    <w:rsid w:val="00B173D4"/>
    <w:rsid w:val="00B17665"/>
    <w:rsid w:val="00B20624"/>
    <w:rsid w:val="00B2079E"/>
    <w:rsid w:val="00B20AAA"/>
    <w:rsid w:val="00B21658"/>
    <w:rsid w:val="00B21DFA"/>
    <w:rsid w:val="00B225A0"/>
    <w:rsid w:val="00B22B36"/>
    <w:rsid w:val="00B22D3C"/>
    <w:rsid w:val="00B231BF"/>
    <w:rsid w:val="00B24768"/>
    <w:rsid w:val="00B24B4D"/>
    <w:rsid w:val="00B24B6C"/>
    <w:rsid w:val="00B25810"/>
    <w:rsid w:val="00B25EFD"/>
    <w:rsid w:val="00B2677A"/>
    <w:rsid w:val="00B26A3F"/>
    <w:rsid w:val="00B26D68"/>
    <w:rsid w:val="00B26D81"/>
    <w:rsid w:val="00B27124"/>
    <w:rsid w:val="00B27F05"/>
    <w:rsid w:val="00B305C7"/>
    <w:rsid w:val="00B30B5C"/>
    <w:rsid w:val="00B30BC1"/>
    <w:rsid w:val="00B30CB5"/>
    <w:rsid w:val="00B32202"/>
    <w:rsid w:val="00B32A20"/>
    <w:rsid w:val="00B32D6F"/>
    <w:rsid w:val="00B35445"/>
    <w:rsid w:val="00B35761"/>
    <w:rsid w:val="00B359DD"/>
    <w:rsid w:val="00B35CCB"/>
    <w:rsid w:val="00B4039D"/>
    <w:rsid w:val="00B40851"/>
    <w:rsid w:val="00B40E06"/>
    <w:rsid w:val="00B41127"/>
    <w:rsid w:val="00B41695"/>
    <w:rsid w:val="00B42D62"/>
    <w:rsid w:val="00B43754"/>
    <w:rsid w:val="00B4381F"/>
    <w:rsid w:val="00B4395C"/>
    <w:rsid w:val="00B447EC"/>
    <w:rsid w:val="00B44CD6"/>
    <w:rsid w:val="00B45ACA"/>
    <w:rsid w:val="00B46034"/>
    <w:rsid w:val="00B4609F"/>
    <w:rsid w:val="00B464E7"/>
    <w:rsid w:val="00B46D9B"/>
    <w:rsid w:val="00B46F3A"/>
    <w:rsid w:val="00B47700"/>
    <w:rsid w:val="00B47AAE"/>
    <w:rsid w:val="00B47B7A"/>
    <w:rsid w:val="00B50D15"/>
    <w:rsid w:val="00B514DA"/>
    <w:rsid w:val="00B52005"/>
    <w:rsid w:val="00B52D52"/>
    <w:rsid w:val="00B533C9"/>
    <w:rsid w:val="00B53988"/>
    <w:rsid w:val="00B53A39"/>
    <w:rsid w:val="00B54492"/>
    <w:rsid w:val="00B54AA7"/>
    <w:rsid w:val="00B54B31"/>
    <w:rsid w:val="00B5569C"/>
    <w:rsid w:val="00B56295"/>
    <w:rsid w:val="00B57C96"/>
    <w:rsid w:val="00B60168"/>
    <w:rsid w:val="00B6042A"/>
    <w:rsid w:val="00B60581"/>
    <w:rsid w:val="00B607B3"/>
    <w:rsid w:val="00B614EF"/>
    <w:rsid w:val="00B61E6A"/>
    <w:rsid w:val="00B62165"/>
    <w:rsid w:val="00B62503"/>
    <w:rsid w:val="00B62638"/>
    <w:rsid w:val="00B62970"/>
    <w:rsid w:val="00B62E3D"/>
    <w:rsid w:val="00B62F2C"/>
    <w:rsid w:val="00B6344D"/>
    <w:rsid w:val="00B637F6"/>
    <w:rsid w:val="00B63A34"/>
    <w:rsid w:val="00B63D93"/>
    <w:rsid w:val="00B648E0"/>
    <w:rsid w:val="00B6531A"/>
    <w:rsid w:val="00B662A6"/>
    <w:rsid w:val="00B66C41"/>
    <w:rsid w:val="00B670FD"/>
    <w:rsid w:val="00B701EE"/>
    <w:rsid w:val="00B704C5"/>
    <w:rsid w:val="00B70689"/>
    <w:rsid w:val="00B71674"/>
    <w:rsid w:val="00B717FE"/>
    <w:rsid w:val="00B725F7"/>
    <w:rsid w:val="00B72FC6"/>
    <w:rsid w:val="00B72FEA"/>
    <w:rsid w:val="00B7423C"/>
    <w:rsid w:val="00B74281"/>
    <w:rsid w:val="00B752A1"/>
    <w:rsid w:val="00B7711A"/>
    <w:rsid w:val="00B77B97"/>
    <w:rsid w:val="00B77D41"/>
    <w:rsid w:val="00B804D2"/>
    <w:rsid w:val="00B81531"/>
    <w:rsid w:val="00B8168E"/>
    <w:rsid w:val="00B82564"/>
    <w:rsid w:val="00B8328F"/>
    <w:rsid w:val="00B834C7"/>
    <w:rsid w:val="00B83A88"/>
    <w:rsid w:val="00B83FB7"/>
    <w:rsid w:val="00B84D27"/>
    <w:rsid w:val="00B85053"/>
    <w:rsid w:val="00B875F8"/>
    <w:rsid w:val="00B90C02"/>
    <w:rsid w:val="00B91137"/>
    <w:rsid w:val="00B9121D"/>
    <w:rsid w:val="00B9131D"/>
    <w:rsid w:val="00B9147C"/>
    <w:rsid w:val="00B92967"/>
    <w:rsid w:val="00B92C7A"/>
    <w:rsid w:val="00B92CCA"/>
    <w:rsid w:val="00B9319B"/>
    <w:rsid w:val="00B9328C"/>
    <w:rsid w:val="00B93556"/>
    <w:rsid w:val="00B935EE"/>
    <w:rsid w:val="00B93F7A"/>
    <w:rsid w:val="00B94428"/>
    <w:rsid w:val="00B94642"/>
    <w:rsid w:val="00B9477C"/>
    <w:rsid w:val="00B95CC6"/>
    <w:rsid w:val="00B974A2"/>
    <w:rsid w:val="00BA0041"/>
    <w:rsid w:val="00BA0144"/>
    <w:rsid w:val="00BA0E3F"/>
    <w:rsid w:val="00BA0EFA"/>
    <w:rsid w:val="00BA1504"/>
    <w:rsid w:val="00BA1D3B"/>
    <w:rsid w:val="00BA29BE"/>
    <w:rsid w:val="00BA2ABD"/>
    <w:rsid w:val="00BA39CA"/>
    <w:rsid w:val="00BA3A2C"/>
    <w:rsid w:val="00BA3C0A"/>
    <w:rsid w:val="00BA457A"/>
    <w:rsid w:val="00BA46FE"/>
    <w:rsid w:val="00BA493E"/>
    <w:rsid w:val="00BA5B49"/>
    <w:rsid w:val="00BA5D59"/>
    <w:rsid w:val="00BA6337"/>
    <w:rsid w:val="00BA6765"/>
    <w:rsid w:val="00BA6835"/>
    <w:rsid w:val="00BA6B43"/>
    <w:rsid w:val="00BB1F5C"/>
    <w:rsid w:val="00BB22DD"/>
    <w:rsid w:val="00BB23CB"/>
    <w:rsid w:val="00BB24CE"/>
    <w:rsid w:val="00BB2A9A"/>
    <w:rsid w:val="00BB2AEB"/>
    <w:rsid w:val="00BB2C3C"/>
    <w:rsid w:val="00BB2D1F"/>
    <w:rsid w:val="00BB3554"/>
    <w:rsid w:val="00BB3A98"/>
    <w:rsid w:val="00BB3FC6"/>
    <w:rsid w:val="00BB431A"/>
    <w:rsid w:val="00BB46B2"/>
    <w:rsid w:val="00BB4ECB"/>
    <w:rsid w:val="00BB58E3"/>
    <w:rsid w:val="00BB5D6A"/>
    <w:rsid w:val="00BB6303"/>
    <w:rsid w:val="00BB6841"/>
    <w:rsid w:val="00BB6CD3"/>
    <w:rsid w:val="00BB7078"/>
    <w:rsid w:val="00BC1D20"/>
    <w:rsid w:val="00BC3348"/>
    <w:rsid w:val="00BC43CD"/>
    <w:rsid w:val="00BC496D"/>
    <w:rsid w:val="00BC4B28"/>
    <w:rsid w:val="00BC4DF2"/>
    <w:rsid w:val="00BC5519"/>
    <w:rsid w:val="00BC569C"/>
    <w:rsid w:val="00BC62DD"/>
    <w:rsid w:val="00BC69E1"/>
    <w:rsid w:val="00BC7A36"/>
    <w:rsid w:val="00BD27B7"/>
    <w:rsid w:val="00BD348B"/>
    <w:rsid w:val="00BD478A"/>
    <w:rsid w:val="00BD48BF"/>
    <w:rsid w:val="00BD4F25"/>
    <w:rsid w:val="00BD51C7"/>
    <w:rsid w:val="00BD554A"/>
    <w:rsid w:val="00BD5709"/>
    <w:rsid w:val="00BD5861"/>
    <w:rsid w:val="00BD5A7A"/>
    <w:rsid w:val="00BD7052"/>
    <w:rsid w:val="00BD71E9"/>
    <w:rsid w:val="00BD757F"/>
    <w:rsid w:val="00BE03B8"/>
    <w:rsid w:val="00BE1594"/>
    <w:rsid w:val="00BE1897"/>
    <w:rsid w:val="00BE18EE"/>
    <w:rsid w:val="00BE18FC"/>
    <w:rsid w:val="00BE28B2"/>
    <w:rsid w:val="00BE290B"/>
    <w:rsid w:val="00BE2A22"/>
    <w:rsid w:val="00BE2F24"/>
    <w:rsid w:val="00BE351E"/>
    <w:rsid w:val="00BE3B1A"/>
    <w:rsid w:val="00BE446B"/>
    <w:rsid w:val="00BE47B3"/>
    <w:rsid w:val="00BE4F47"/>
    <w:rsid w:val="00BE51CC"/>
    <w:rsid w:val="00BE52B7"/>
    <w:rsid w:val="00BE532B"/>
    <w:rsid w:val="00BE5402"/>
    <w:rsid w:val="00BE674C"/>
    <w:rsid w:val="00BE6AC0"/>
    <w:rsid w:val="00BE7018"/>
    <w:rsid w:val="00BE7252"/>
    <w:rsid w:val="00BE74B7"/>
    <w:rsid w:val="00BE77D1"/>
    <w:rsid w:val="00BF043D"/>
    <w:rsid w:val="00BF10A3"/>
    <w:rsid w:val="00BF1375"/>
    <w:rsid w:val="00BF1A16"/>
    <w:rsid w:val="00BF1E38"/>
    <w:rsid w:val="00BF2337"/>
    <w:rsid w:val="00BF2B17"/>
    <w:rsid w:val="00BF36BD"/>
    <w:rsid w:val="00BF3757"/>
    <w:rsid w:val="00BF39A0"/>
    <w:rsid w:val="00BF422F"/>
    <w:rsid w:val="00BF49BE"/>
    <w:rsid w:val="00BF57B3"/>
    <w:rsid w:val="00BF5930"/>
    <w:rsid w:val="00BF67A6"/>
    <w:rsid w:val="00BF6A99"/>
    <w:rsid w:val="00BF6BB2"/>
    <w:rsid w:val="00BF7BA3"/>
    <w:rsid w:val="00BF7F32"/>
    <w:rsid w:val="00C001B6"/>
    <w:rsid w:val="00C00A91"/>
    <w:rsid w:val="00C010F6"/>
    <w:rsid w:val="00C01BED"/>
    <w:rsid w:val="00C01C0C"/>
    <w:rsid w:val="00C02DD0"/>
    <w:rsid w:val="00C0412A"/>
    <w:rsid w:val="00C0429C"/>
    <w:rsid w:val="00C043AF"/>
    <w:rsid w:val="00C045B8"/>
    <w:rsid w:val="00C04C4E"/>
    <w:rsid w:val="00C0611B"/>
    <w:rsid w:val="00C0675C"/>
    <w:rsid w:val="00C06C7A"/>
    <w:rsid w:val="00C07249"/>
    <w:rsid w:val="00C07402"/>
    <w:rsid w:val="00C077F7"/>
    <w:rsid w:val="00C0782B"/>
    <w:rsid w:val="00C10512"/>
    <w:rsid w:val="00C10D37"/>
    <w:rsid w:val="00C11414"/>
    <w:rsid w:val="00C11700"/>
    <w:rsid w:val="00C12629"/>
    <w:rsid w:val="00C1274B"/>
    <w:rsid w:val="00C12882"/>
    <w:rsid w:val="00C12BC0"/>
    <w:rsid w:val="00C12CA3"/>
    <w:rsid w:val="00C1370F"/>
    <w:rsid w:val="00C14901"/>
    <w:rsid w:val="00C14F8C"/>
    <w:rsid w:val="00C161BF"/>
    <w:rsid w:val="00C16808"/>
    <w:rsid w:val="00C1753D"/>
    <w:rsid w:val="00C177CE"/>
    <w:rsid w:val="00C20A70"/>
    <w:rsid w:val="00C21759"/>
    <w:rsid w:val="00C2180D"/>
    <w:rsid w:val="00C218B4"/>
    <w:rsid w:val="00C21A7D"/>
    <w:rsid w:val="00C224D7"/>
    <w:rsid w:val="00C2294D"/>
    <w:rsid w:val="00C22B82"/>
    <w:rsid w:val="00C22D61"/>
    <w:rsid w:val="00C22ECA"/>
    <w:rsid w:val="00C23828"/>
    <w:rsid w:val="00C238A0"/>
    <w:rsid w:val="00C24221"/>
    <w:rsid w:val="00C2425D"/>
    <w:rsid w:val="00C24270"/>
    <w:rsid w:val="00C24333"/>
    <w:rsid w:val="00C24549"/>
    <w:rsid w:val="00C25626"/>
    <w:rsid w:val="00C25666"/>
    <w:rsid w:val="00C27076"/>
    <w:rsid w:val="00C2711B"/>
    <w:rsid w:val="00C27EDC"/>
    <w:rsid w:val="00C30353"/>
    <w:rsid w:val="00C30494"/>
    <w:rsid w:val="00C31263"/>
    <w:rsid w:val="00C315E9"/>
    <w:rsid w:val="00C31806"/>
    <w:rsid w:val="00C326A1"/>
    <w:rsid w:val="00C33062"/>
    <w:rsid w:val="00C3316B"/>
    <w:rsid w:val="00C347B9"/>
    <w:rsid w:val="00C348F2"/>
    <w:rsid w:val="00C356B1"/>
    <w:rsid w:val="00C35F77"/>
    <w:rsid w:val="00C3607F"/>
    <w:rsid w:val="00C369FE"/>
    <w:rsid w:val="00C371C7"/>
    <w:rsid w:val="00C374FB"/>
    <w:rsid w:val="00C37585"/>
    <w:rsid w:val="00C402F3"/>
    <w:rsid w:val="00C40338"/>
    <w:rsid w:val="00C412B7"/>
    <w:rsid w:val="00C413CB"/>
    <w:rsid w:val="00C41BC0"/>
    <w:rsid w:val="00C41FB6"/>
    <w:rsid w:val="00C421F8"/>
    <w:rsid w:val="00C43539"/>
    <w:rsid w:val="00C43682"/>
    <w:rsid w:val="00C43E63"/>
    <w:rsid w:val="00C43F56"/>
    <w:rsid w:val="00C4595F"/>
    <w:rsid w:val="00C45C8F"/>
    <w:rsid w:val="00C467CD"/>
    <w:rsid w:val="00C4692D"/>
    <w:rsid w:val="00C469B9"/>
    <w:rsid w:val="00C46A73"/>
    <w:rsid w:val="00C471C1"/>
    <w:rsid w:val="00C47795"/>
    <w:rsid w:val="00C47D42"/>
    <w:rsid w:val="00C50E1C"/>
    <w:rsid w:val="00C51244"/>
    <w:rsid w:val="00C51888"/>
    <w:rsid w:val="00C519B8"/>
    <w:rsid w:val="00C53829"/>
    <w:rsid w:val="00C53E8A"/>
    <w:rsid w:val="00C546AC"/>
    <w:rsid w:val="00C54B4E"/>
    <w:rsid w:val="00C5628F"/>
    <w:rsid w:val="00C57804"/>
    <w:rsid w:val="00C579A6"/>
    <w:rsid w:val="00C60775"/>
    <w:rsid w:val="00C60CF0"/>
    <w:rsid w:val="00C60D38"/>
    <w:rsid w:val="00C6126A"/>
    <w:rsid w:val="00C62009"/>
    <w:rsid w:val="00C63001"/>
    <w:rsid w:val="00C631D4"/>
    <w:rsid w:val="00C632FF"/>
    <w:rsid w:val="00C63EF2"/>
    <w:rsid w:val="00C643E1"/>
    <w:rsid w:val="00C646DC"/>
    <w:rsid w:val="00C64A4D"/>
    <w:rsid w:val="00C64E8D"/>
    <w:rsid w:val="00C65E28"/>
    <w:rsid w:val="00C670F9"/>
    <w:rsid w:val="00C67295"/>
    <w:rsid w:val="00C673F7"/>
    <w:rsid w:val="00C67A53"/>
    <w:rsid w:val="00C708AE"/>
    <w:rsid w:val="00C70E97"/>
    <w:rsid w:val="00C71645"/>
    <w:rsid w:val="00C71785"/>
    <w:rsid w:val="00C719BF"/>
    <w:rsid w:val="00C71A3C"/>
    <w:rsid w:val="00C71EFD"/>
    <w:rsid w:val="00C721C7"/>
    <w:rsid w:val="00C72685"/>
    <w:rsid w:val="00C72715"/>
    <w:rsid w:val="00C733BC"/>
    <w:rsid w:val="00C73A6F"/>
    <w:rsid w:val="00C74DC9"/>
    <w:rsid w:val="00C74EFB"/>
    <w:rsid w:val="00C753DE"/>
    <w:rsid w:val="00C76304"/>
    <w:rsid w:val="00C7646A"/>
    <w:rsid w:val="00C7682E"/>
    <w:rsid w:val="00C76A07"/>
    <w:rsid w:val="00C76ABB"/>
    <w:rsid w:val="00C76C61"/>
    <w:rsid w:val="00C800F2"/>
    <w:rsid w:val="00C80233"/>
    <w:rsid w:val="00C81052"/>
    <w:rsid w:val="00C81463"/>
    <w:rsid w:val="00C81B19"/>
    <w:rsid w:val="00C82CB4"/>
    <w:rsid w:val="00C83657"/>
    <w:rsid w:val="00C83D5C"/>
    <w:rsid w:val="00C8493B"/>
    <w:rsid w:val="00C84B04"/>
    <w:rsid w:val="00C864A1"/>
    <w:rsid w:val="00C8694B"/>
    <w:rsid w:val="00C87A45"/>
    <w:rsid w:val="00C87D74"/>
    <w:rsid w:val="00C87D89"/>
    <w:rsid w:val="00C87E87"/>
    <w:rsid w:val="00C90654"/>
    <w:rsid w:val="00C9192C"/>
    <w:rsid w:val="00C91A18"/>
    <w:rsid w:val="00C91A64"/>
    <w:rsid w:val="00C91E7F"/>
    <w:rsid w:val="00C91FDA"/>
    <w:rsid w:val="00C9232A"/>
    <w:rsid w:val="00C92486"/>
    <w:rsid w:val="00C92BD6"/>
    <w:rsid w:val="00C931EF"/>
    <w:rsid w:val="00C93AE6"/>
    <w:rsid w:val="00C94D2E"/>
    <w:rsid w:val="00C94DFA"/>
    <w:rsid w:val="00C95071"/>
    <w:rsid w:val="00C954FA"/>
    <w:rsid w:val="00C959CD"/>
    <w:rsid w:val="00C961E3"/>
    <w:rsid w:val="00C96F6C"/>
    <w:rsid w:val="00C9776E"/>
    <w:rsid w:val="00CA052D"/>
    <w:rsid w:val="00CA0753"/>
    <w:rsid w:val="00CA089F"/>
    <w:rsid w:val="00CA0D53"/>
    <w:rsid w:val="00CA0F30"/>
    <w:rsid w:val="00CA1508"/>
    <w:rsid w:val="00CA1B6D"/>
    <w:rsid w:val="00CA1D0C"/>
    <w:rsid w:val="00CA1D52"/>
    <w:rsid w:val="00CA2047"/>
    <w:rsid w:val="00CA2605"/>
    <w:rsid w:val="00CA2864"/>
    <w:rsid w:val="00CA2A0E"/>
    <w:rsid w:val="00CA3A60"/>
    <w:rsid w:val="00CA4C8D"/>
    <w:rsid w:val="00CA4E6D"/>
    <w:rsid w:val="00CA4FBB"/>
    <w:rsid w:val="00CA521F"/>
    <w:rsid w:val="00CA5A2F"/>
    <w:rsid w:val="00CA5ED0"/>
    <w:rsid w:val="00CA65EB"/>
    <w:rsid w:val="00CA6AD4"/>
    <w:rsid w:val="00CA70E9"/>
    <w:rsid w:val="00CA74C5"/>
    <w:rsid w:val="00CA7BB7"/>
    <w:rsid w:val="00CA7C1E"/>
    <w:rsid w:val="00CA7EE8"/>
    <w:rsid w:val="00CB0421"/>
    <w:rsid w:val="00CB0438"/>
    <w:rsid w:val="00CB1182"/>
    <w:rsid w:val="00CB2138"/>
    <w:rsid w:val="00CB2451"/>
    <w:rsid w:val="00CB2BF5"/>
    <w:rsid w:val="00CB39E2"/>
    <w:rsid w:val="00CB3EE9"/>
    <w:rsid w:val="00CB4C90"/>
    <w:rsid w:val="00CB4DFB"/>
    <w:rsid w:val="00CB57EF"/>
    <w:rsid w:val="00CB5AEF"/>
    <w:rsid w:val="00CB67B0"/>
    <w:rsid w:val="00CB68E2"/>
    <w:rsid w:val="00CB69C5"/>
    <w:rsid w:val="00CB7A17"/>
    <w:rsid w:val="00CC047C"/>
    <w:rsid w:val="00CC0BC6"/>
    <w:rsid w:val="00CC0DDC"/>
    <w:rsid w:val="00CC0E8F"/>
    <w:rsid w:val="00CC1BEC"/>
    <w:rsid w:val="00CC2B5B"/>
    <w:rsid w:val="00CC2F81"/>
    <w:rsid w:val="00CC30DA"/>
    <w:rsid w:val="00CC35FE"/>
    <w:rsid w:val="00CC371F"/>
    <w:rsid w:val="00CC406E"/>
    <w:rsid w:val="00CC41DD"/>
    <w:rsid w:val="00CC430C"/>
    <w:rsid w:val="00CC4ACF"/>
    <w:rsid w:val="00CC4B6E"/>
    <w:rsid w:val="00CC4C51"/>
    <w:rsid w:val="00CC4E5E"/>
    <w:rsid w:val="00CC53E3"/>
    <w:rsid w:val="00CC5ADE"/>
    <w:rsid w:val="00CC65E8"/>
    <w:rsid w:val="00CC6A86"/>
    <w:rsid w:val="00CC71AC"/>
    <w:rsid w:val="00CC75F8"/>
    <w:rsid w:val="00CD0514"/>
    <w:rsid w:val="00CD09C6"/>
    <w:rsid w:val="00CD0FD8"/>
    <w:rsid w:val="00CD15A4"/>
    <w:rsid w:val="00CD206C"/>
    <w:rsid w:val="00CD2CEA"/>
    <w:rsid w:val="00CD3ACD"/>
    <w:rsid w:val="00CD4950"/>
    <w:rsid w:val="00CD4AE4"/>
    <w:rsid w:val="00CD4E8A"/>
    <w:rsid w:val="00CD52B8"/>
    <w:rsid w:val="00CD579C"/>
    <w:rsid w:val="00CD57F7"/>
    <w:rsid w:val="00CD592C"/>
    <w:rsid w:val="00CD6665"/>
    <w:rsid w:val="00CD6D77"/>
    <w:rsid w:val="00CD6F25"/>
    <w:rsid w:val="00CD7588"/>
    <w:rsid w:val="00CE0CC0"/>
    <w:rsid w:val="00CE2861"/>
    <w:rsid w:val="00CE2B6D"/>
    <w:rsid w:val="00CE2BE6"/>
    <w:rsid w:val="00CE2EFA"/>
    <w:rsid w:val="00CE2F50"/>
    <w:rsid w:val="00CE2FD3"/>
    <w:rsid w:val="00CE3A1D"/>
    <w:rsid w:val="00CE469A"/>
    <w:rsid w:val="00CE49CB"/>
    <w:rsid w:val="00CE4A30"/>
    <w:rsid w:val="00CE4DA9"/>
    <w:rsid w:val="00CE4F59"/>
    <w:rsid w:val="00CE5178"/>
    <w:rsid w:val="00CE51BB"/>
    <w:rsid w:val="00CE5350"/>
    <w:rsid w:val="00CE5361"/>
    <w:rsid w:val="00CE6DA9"/>
    <w:rsid w:val="00CE6FDB"/>
    <w:rsid w:val="00CE72D6"/>
    <w:rsid w:val="00CE7716"/>
    <w:rsid w:val="00CE7A38"/>
    <w:rsid w:val="00CE7B5B"/>
    <w:rsid w:val="00CE7C15"/>
    <w:rsid w:val="00CE7F07"/>
    <w:rsid w:val="00CF0123"/>
    <w:rsid w:val="00CF165B"/>
    <w:rsid w:val="00CF19F5"/>
    <w:rsid w:val="00CF2649"/>
    <w:rsid w:val="00CF26CF"/>
    <w:rsid w:val="00CF2B9B"/>
    <w:rsid w:val="00CF2F13"/>
    <w:rsid w:val="00CF3098"/>
    <w:rsid w:val="00CF36BE"/>
    <w:rsid w:val="00CF3907"/>
    <w:rsid w:val="00CF3F2D"/>
    <w:rsid w:val="00CF531A"/>
    <w:rsid w:val="00CF53E6"/>
    <w:rsid w:val="00CF584C"/>
    <w:rsid w:val="00CF648B"/>
    <w:rsid w:val="00CF6A57"/>
    <w:rsid w:val="00CF6D4D"/>
    <w:rsid w:val="00CF73E6"/>
    <w:rsid w:val="00CF7B6B"/>
    <w:rsid w:val="00CF7CF1"/>
    <w:rsid w:val="00D01CA4"/>
    <w:rsid w:val="00D02566"/>
    <w:rsid w:val="00D02E00"/>
    <w:rsid w:val="00D03303"/>
    <w:rsid w:val="00D046D1"/>
    <w:rsid w:val="00D04CB9"/>
    <w:rsid w:val="00D04ED2"/>
    <w:rsid w:val="00D0502F"/>
    <w:rsid w:val="00D05596"/>
    <w:rsid w:val="00D05682"/>
    <w:rsid w:val="00D05BBB"/>
    <w:rsid w:val="00D05FBC"/>
    <w:rsid w:val="00D060CC"/>
    <w:rsid w:val="00D06842"/>
    <w:rsid w:val="00D06C7E"/>
    <w:rsid w:val="00D06FD5"/>
    <w:rsid w:val="00D07066"/>
    <w:rsid w:val="00D075AA"/>
    <w:rsid w:val="00D078C8"/>
    <w:rsid w:val="00D07F89"/>
    <w:rsid w:val="00D101E9"/>
    <w:rsid w:val="00D1023E"/>
    <w:rsid w:val="00D102BD"/>
    <w:rsid w:val="00D10EF7"/>
    <w:rsid w:val="00D1133E"/>
    <w:rsid w:val="00D1163F"/>
    <w:rsid w:val="00D12299"/>
    <w:rsid w:val="00D12F74"/>
    <w:rsid w:val="00D14487"/>
    <w:rsid w:val="00D14E27"/>
    <w:rsid w:val="00D150B8"/>
    <w:rsid w:val="00D1524C"/>
    <w:rsid w:val="00D15EE4"/>
    <w:rsid w:val="00D16424"/>
    <w:rsid w:val="00D164CA"/>
    <w:rsid w:val="00D166D1"/>
    <w:rsid w:val="00D16F9F"/>
    <w:rsid w:val="00D177CC"/>
    <w:rsid w:val="00D17ADB"/>
    <w:rsid w:val="00D17DCE"/>
    <w:rsid w:val="00D21041"/>
    <w:rsid w:val="00D221AD"/>
    <w:rsid w:val="00D22499"/>
    <w:rsid w:val="00D2268C"/>
    <w:rsid w:val="00D22767"/>
    <w:rsid w:val="00D22B81"/>
    <w:rsid w:val="00D233E9"/>
    <w:rsid w:val="00D248CE"/>
    <w:rsid w:val="00D2516F"/>
    <w:rsid w:val="00D258B7"/>
    <w:rsid w:val="00D26327"/>
    <w:rsid w:val="00D26340"/>
    <w:rsid w:val="00D26911"/>
    <w:rsid w:val="00D275AF"/>
    <w:rsid w:val="00D27996"/>
    <w:rsid w:val="00D27DF4"/>
    <w:rsid w:val="00D27FEA"/>
    <w:rsid w:val="00D30457"/>
    <w:rsid w:val="00D30AAE"/>
    <w:rsid w:val="00D318B7"/>
    <w:rsid w:val="00D31C30"/>
    <w:rsid w:val="00D32654"/>
    <w:rsid w:val="00D32C49"/>
    <w:rsid w:val="00D32D21"/>
    <w:rsid w:val="00D32F4D"/>
    <w:rsid w:val="00D337D5"/>
    <w:rsid w:val="00D3388C"/>
    <w:rsid w:val="00D342EE"/>
    <w:rsid w:val="00D34D0F"/>
    <w:rsid w:val="00D34FED"/>
    <w:rsid w:val="00D35DFE"/>
    <w:rsid w:val="00D36A0C"/>
    <w:rsid w:val="00D37271"/>
    <w:rsid w:val="00D37272"/>
    <w:rsid w:val="00D373E0"/>
    <w:rsid w:val="00D375C4"/>
    <w:rsid w:val="00D37EE0"/>
    <w:rsid w:val="00D405E4"/>
    <w:rsid w:val="00D40AF2"/>
    <w:rsid w:val="00D40CB8"/>
    <w:rsid w:val="00D4105A"/>
    <w:rsid w:val="00D410B1"/>
    <w:rsid w:val="00D41D51"/>
    <w:rsid w:val="00D41E1E"/>
    <w:rsid w:val="00D41F08"/>
    <w:rsid w:val="00D41FF3"/>
    <w:rsid w:val="00D42866"/>
    <w:rsid w:val="00D431C4"/>
    <w:rsid w:val="00D43579"/>
    <w:rsid w:val="00D44E77"/>
    <w:rsid w:val="00D453D1"/>
    <w:rsid w:val="00D456C5"/>
    <w:rsid w:val="00D46714"/>
    <w:rsid w:val="00D474C8"/>
    <w:rsid w:val="00D477AB"/>
    <w:rsid w:val="00D47E77"/>
    <w:rsid w:val="00D47F7E"/>
    <w:rsid w:val="00D50C57"/>
    <w:rsid w:val="00D5147C"/>
    <w:rsid w:val="00D51F9A"/>
    <w:rsid w:val="00D52BF6"/>
    <w:rsid w:val="00D52C80"/>
    <w:rsid w:val="00D5449B"/>
    <w:rsid w:val="00D55247"/>
    <w:rsid w:val="00D554B3"/>
    <w:rsid w:val="00D56A4C"/>
    <w:rsid w:val="00D56FA8"/>
    <w:rsid w:val="00D5712D"/>
    <w:rsid w:val="00D57D66"/>
    <w:rsid w:val="00D6070B"/>
    <w:rsid w:val="00D6099E"/>
    <w:rsid w:val="00D611CC"/>
    <w:rsid w:val="00D61ADC"/>
    <w:rsid w:val="00D6228B"/>
    <w:rsid w:val="00D626EA"/>
    <w:rsid w:val="00D62B19"/>
    <w:rsid w:val="00D62D70"/>
    <w:rsid w:val="00D6319F"/>
    <w:rsid w:val="00D634FA"/>
    <w:rsid w:val="00D63688"/>
    <w:rsid w:val="00D6394D"/>
    <w:rsid w:val="00D63D7A"/>
    <w:rsid w:val="00D64075"/>
    <w:rsid w:val="00D6451C"/>
    <w:rsid w:val="00D646C5"/>
    <w:rsid w:val="00D647B0"/>
    <w:rsid w:val="00D65153"/>
    <w:rsid w:val="00D65F50"/>
    <w:rsid w:val="00D6624C"/>
    <w:rsid w:val="00D664F3"/>
    <w:rsid w:val="00D7029B"/>
    <w:rsid w:val="00D70301"/>
    <w:rsid w:val="00D711FE"/>
    <w:rsid w:val="00D71277"/>
    <w:rsid w:val="00D7184B"/>
    <w:rsid w:val="00D722EC"/>
    <w:rsid w:val="00D72517"/>
    <w:rsid w:val="00D728C6"/>
    <w:rsid w:val="00D7293C"/>
    <w:rsid w:val="00D72C12"/>
    <w:rsid w:val="00D72FC2"/>
    <w:rsid w:val="00D7300A"/>
    <w:rsid w:val="00D733F5"/>
    <w:rsid w:val="00D73C54"/>
    <w:rsid w:val="00D73FAC"/>
    <w:rsid w:val="00D740A6"/>
    <w:rsid w:val="00D743E3"/>
    <w:rsid w:val="00D745F7"/>
    <w:rsid w:val="00D74E8C"/>
    <w:rsid w:val="00D74ECE"/>
    <w:rsid w:val="00D7556C"/>
    <w:rsid w:val="00D756C0"/>
    <w:rsid w:val="00D7572C"/>
    <w:rsid w:val="00D75F82"/>
    <w:rsid w:val="00D7669F"/>
    <w:rsid w:val="00D76E2E"/>
    <w:rsid w:val="00D77198"/>
    <w:rsid w:val="00D77351"/>
    <w:rsid w:val="00D77482"/>
    <w:rsid w:val="00D77A77"/>
    <w:rsid w:val="00D8160D"/>
    <w:rsid w:val="00D819E9"/>
    <w:rsid w:val="00D827D5"/>
    <w:rsid w:val="00D8356B"/>
    <w:rsid w:val="00D8397A"/>
    <w:rsid w:val="00D8493E"/>
    <w:rsid w:val="00D850C7"/>
    <w:rsid w:val="00D8583F"/>
    <w:rsid w:val="00D85BA4"/>
    <w:rsid w:val="00D85DB4"/>
    <w:rsid w:val="00D8603B"/>
    <w:rsid w:val="00D86653"/>
    <w:rsid w:val="00D8666C"/>
    <w:rsid w:val="00D86AB7"/>
    <w:rsid w:val="00D86E46"/>
    <w:rsid w:val="00D8740C"/>
    <w:rsid w:val="00D91F04"/>
    <w:rsid w:val="00D92087"/>
    <w:rsid w:val="00D922FF"/>
    <w:rsid w:val="00D9294D"/>
    <w:rsid w:val="00D92B75"/>
    <w:rsid w:val="00D93C9A"/>
    <w:rsid w:val="00D93CB1"/>
    <w:rsid w:val="00D9407B"/>
    <w:rsid w:val="00D94846"/>
    <w:rsid w:val="00D949C3"/>
    <w:rsid w:val="00D94CFE"/>
    <w:rsid w:val="00D95512"/>
    <w:rsid w:val="00D95681"/>
    <w:rsid w:val="00D95DAA"/>
    <w:rsid w:val="00D95FBD"/>
    <w:rsid w:val="00D961A9"/>
    <w:rsid w:val="00D96506"/>
    <w:rsid w:val="00D96620"/>
    <w:rsid w:val="00D972EC"/>
    <w:rsid w:val="00D973C9"/>
    <w:rsid w:val="00D97615"/>
    <w:rsid w:val="00D97788"/>
    <w:rsid w:val="00D978C2"/>
    <w:rsid w:val="00D97B34"/>
    <w:rsid w:val="00D97D13"/>
    <w:rsid w:val="00DA01E8"/>
    <w:rsid w:val="00DA0537"/>
    <w:rsid w:val="00DA0F8B"/>
    <w:rsid w:val="00DA0FD5"/>
    <w:rsid w:val="00DA1449"/>
    <w:rsid w:val="00DA231B"/>
    <w:rsid w:val="00DA32B4"/>
    <w:rsid w:val="00DA51EF"/>
    <w:rsid w:val="00DA53EA"/>
    <w:rsid w:val="00DA5433"/>
    <w:rsid w:val="00DA5C79"/>
    <w:rsid w:val="00DA5C9B"/>
    <w:rsid w:val="00DA665A"/>
    <w:rsid w:val="00DA670E"/>
    <w:rsid w:val="00DA6CC4"/>
    <w:rsid w:val="00DA75EB"/>
    <w:rsid w:val="00DA777A"/>
    <w:rsid w:val="00DA7CBB"/>
    <w:rsid w:val="00DB1463"/>
    <w:rsid w:val="00DB15CD"/>
    <w:rsid w:val="00DB28D0"/>
    <w:rsid w:val="00DB3170"/>
    <w:rsid w:val="00DB3497"/>
    <w:rsid w:val="00DB3944"/>
    <w:rsid w:val="00DB40A0"/>
    <w:rsid w:val="00DB4F17"/>
    <w:rsid w:val="00DB57D1"/>
    <w:rsid w:val="00DB6BD9"/>
    <w:rsid w:val="00DB6D1E"/>
    <w:rsid w:val="00DB6F1C"/>
    <w:rsid w:val="00DC0026"/>
    <w:rsid w:val="00DC0151"/>
    <w:rsid w:val="00DC0378"/>
    <w:rsid w:val="00DC05F3"/>
    <w:rsid w:val="00DC1842"/>
    <w:rsid w:val="00DC20D6"/>
    <w:rsid w:val="00DC2A1B"/>
    <w:rsid w:val="00DC2BFD"/>
    <w:rsid w:val="00DC330E"/>
    <w:rsid w:val="00DC3918"/>
    <w:rsid w:val="00DC396C"/>
    <w:rsid w:val="00DC3A4C"/>
    <w:rsid w:val="00DC3A55"/>
    <w:rsid w:val="00DC4167"/>
    <w:rsid w:val="00DC435E"/>
    <w:rsid w:val="00DC54F5"/>
    <w:rsid w:val="00DC557D"/>
    <w:rsid w:val="00DC586F"/>
    <w:rsid w:val="00DC5E18"/>
    <w:rsid w:val="00DC646C"/>
    <w:rsid w:val="00DC7E13"/>
    <w:rsid w:val="00DD011E"/>
    <w:rsid w:val="00DD05EF"/>
    <w:rsid w:val="00DD0809"/>
    <w:rsid w:val="00DD09B3"/>
    <w:rsid w:val="00DD0D77"/>
    <w:rsid w:val="00DD191B"/>
    <w:rsid w:val="00DD1E76"/>
    <w:rsid w:val="00DD2C74"/>
    <w:rsid w:val="00DD3689"/>
    <w:rsid w:val="00DD449F"/>
    <w:rsid w:val="00DD48E4"/>
    <w:rsid w:val="00DD4A27"/>
    <w:rsid w:val="00DD50D7"/>
    <w:rsid w:val="00DD5344"/>
    <w:rsid w:val="00DD585B"/>
    <w:rsid w:val="00DD58C2"/>
    <w:rsid w:val="00DD5C7A"/>
    <w:rsid w:val="00DD69DE"/>
    <w:rsid w:val="00DD7BA7"/>
    <w:rsid w:val="00DE0361"/>
    <w:rsid w:val="00DE0411"/>
    <w:rsid w:val="00DE0BC4"/>
    <w:rsid w:val="00DE13EF"/>
    <w:rsid w:val="00DE247D"/>
    <w:rsid w:val="00DE2C69"/>
    <w:rsid w:val="00DE3BEB"/>
    <w:rsid w:val="00DE3D78"/>
    <w:rsid w:val="00DE4201"/>
    <w:rsid w:val="00DE4A2F"/>
    <w:rsid w:val="00DE4F79"/>
    <w:rsid w:val="00DE55D9"/>
    <w:rsid w:val="00DE6264"/>
    <w:rsid w:val="00DE6F08"/>
    <w:rsid w:val="00DE7085"/>
    <w:rsid w:val="00DE74A5"/>
    <w:rsid w:val="00DE7875"/>
    <w:rsid w:val="00DE7BDC"/>
    <w:rsid w:val="00DF002E"/>
    <w:rsid w:val="00DF022F"/>
    <w:rsid w:val="00DF033A"/>
    <w:rsid w:val="00DF0E0B"/>
    <w:rsid w:val="00DF1049"/>
    <w:rsid w:val="00DF196D"/>
    <w:rsid w:val="00DF2782"/>
    <w:rsid w:val="00DF2F8F"/>
    <w:rsid w:val="00DF34DF"/>
    <w:rsid w:val="00DF3792"/>
    <w:rsid w:val="00DF3CA2"/>
    <w:rsid w:val="00DF4977"/>
    <w:rsid w:val="00DF608C"/>
    <w:rsid w:val="00DF6311"/>
    <w:rsid w:val="00DF64A0"/>
    <w:rsid w:val="00DF64A8"/>
    <w:rsid w:val="00DF6582"/>
    <w:rsid w:val="00DF7132"/>
    <w:rsid w:val="00DF727E"/>
    <w:rsid w:val="00DF77B7"/>
    <w:rsid w:val="00DF7842"/>
    <w:rsid w:val="00E0041A"/>
    <w:rsid w:val="00E006C1"/>
    <w:rsid w:val="00E006D2"/>
    <w:rsid w:val="00E01035"/>
    <w:rsid w:val="00E01629"/>
    <w:rsid w:val="00E01789"/>
    <w:rsid w:val="00E01D04"/>
    <w:rsid w:val="00E022A3"/>
    <w:rsid w:val="00E02AB1"/>
    <w:rsid w:val="00E02B2A"/>
    <w:rsid w:val="00E030A5"/>
    <w:rsid w:val="00E03849"/>
    <w:rsid w:val="00E03943"/>
    <w:rsid w:val="00E03B92"/>
    <w:rsid w:val="00E03BE2"/>
    <w:rsid w:val="00E0449A"/>
    <w:rsid w:val="00E05637"/>
    <w:rsid w:val="00E05A6E"/>
    <w:rsid w:val="00E0634C"/>
    <w:rsid w:val="00E06DDF"/>
    <w:rsid w:val="00E07A8C"/>
    <w:rsid w:val="00E102F0"/>
    <w:rsid w:val="00E1041D"/>
    <w:rsid w:val="00E10631"/>
    <w:rsid w:val="00E10B99"/>
    <w:rsid w:val="00E1150F"/>
    <w:rsid w:val="00E116C5"/>
    <w:rsid w:val="00E11A4E"/>
    <w:rsid w:val="00E11DE2"/>
    <w:rsid w:val="00E121AA"/>
    <w:rsid w:val="00E12397"/>
    <w:rsid w:val="00E127C2"/>
    <w:rsid w:val="00E131D6"/>
    <w:rsid w:val="00E13CAC"/>
    <w:rsid w:val="00E13F3E"/>
    <w:rsid w:val="00E145DF"/>
    <w:rsid w:val="00E150E2"/>
    <w:rsid w:val="00E17114"/>
    <w:rsid w:val="00E1744C"/>
    <w:rsid w:val="00E1795A"/>
    <w:rsid w:val="00E17C5E"/>
    <w:rsid w:val="00E2005F"/>
    <w:rsid w:val="00E20869"/>
    <w:rsid w:val="00E20FE6"/>
    <w:rsid w:val="00E21986"/>
    <w:rsid w:val="00E21E14"/>
    <w:rsid w:val="00E238B5"/>
    <w:rsid w:val="00E23E13"/>
    <w:rsid w:val="00E2452B"/>
    <w:rsid w:val="00E24593"/>
    <w:rsid w:val="00E245B5"/>
    <w:rsid w:val="00E25B36"/>
    <w:rsid w:val="00E26AF4"/>
    <w:rsid w:val="00E27138"/>
    <w:rsid w:val="00E27259"/>
    <w:rsid w:val="00E3051A"/>
    <w:rsid w:val="00E30616"/>
    <w:rsid w:val="00E307B9"/>
    <w:rsid w:val="00E30CB8"/>
    <w:rsid w:val="00E3105A"/>
    <w:rsid w:val="00E312B0"/>
    <w:rsid w:val="00E3156A"/>
    <w:rsid w:val="00E31A1B"/>
    <w:rsid w:val="00E32516"/>
    <w:rsid w:val="00E3324B"/>
    <w:rsid w:val="00E332DE"/>
    <w:rsid w:val="00E333E5"/>
    <w:rsid w:val="00E33654"/>
    <w:rsid w:val="00E33761"/>
    <w:rsid w:val="00E33885"/>
    <w:rsid w:val="00E34CB8"/>
    <w:rsid w:val="00E3645D"/>
    <w:rsid w:val="00E36626"/>
    <w:rsid w:val="00E36B31"/>
    <w:rsid w:val="00E36FC0"/>
    <w:rsid w:val="00E4002E"/>
    <w:rsid w:val="00E40E2D"/>
    <w:rsid w:val="00E41202"/>
    <w:rsid w:val="00E427AA"/>
    <w:rsid w:val="00E427C2"/>
    <w:rsid w:val="00E42FDA"/>
    <w:rsid w:val="00E43C0D"/>
    <w:rsid w:val="00E4432D"/>
    <w:rsid w:val="00E449A2"/>
    <w:rsid w:val="00E451AA"/>
    <w:rsid w:val="00E454D1"/>
    <w:rsid w:val="00E461CA"/>
    <w:rsid w:val="00E462A3"/>
    <w:rsid w:val="00E46DEC"/>
    <w:rsid w:val="00E47061"/>
    <w:rsid w:val="00E476BC"/>
    <w:rsid w:val="00E47E9A"/>
    <w:rsid w:val="00E5062E"/>
    <w:rsid w:val="00E5127E"/>
    <w:rsid w:val="00E52897"/>
    <w:rsid w:val="00E52D23"/>
    <w:rsid w:val="00E53659"/>
    <w:rsid w:val="00E5472A"/>
    <w:rsid w:val="00E552C1"/>
    <w:rsid w:val="00E554DD"/>
    <w:rsid w:val="00E5575F"/>
    <w:rsid w:val="00E559F1"/>
    <w:rsid w:val="00E55D07"/>
    <w:rsid w:val="00E57BE5"/>
    <w:rsid w:val="00E57DB9"/>
    <w:rsid w:val="00E57E89"/>
    <w:rsid w:val="00E604FD"/>
    <w:rsid w:val="00E60D45"/>
    <w:rsid w:val="00E60D5B"/>
    <w:rsid w:val="00E60EF2"/>
    <w:rsid w:val="00E6130D"/>
    <w:rsid w:val="00E619F1"/>
    <w:rsid w:val="00E61AEF"/>
    <w:rsid w:val="00E621C0"/>
    <w:rsid w:val="00E62EEF"/>
    <w:rsid w:val="00E65012"/>
    <w:rsid w:val="00E65FFD"/>
    <w:rsid w:val="00E6676E"/>
    <w:rsid w:val="00E66976"/>
    <w:rsid w:val="00E6777A"/>
    <w:rsid w:val="00E702F9"/>
    <w:rsid w:val="00E70719"/>
    <w:rsid w:val="00E7076A"/>
    <w:rsid w:val="00E70D53"/>
    <w:rsid w:val="00E70DD0"/>
    <w:rsid w:val="00E7114C"/>
    <w:rsid w:val="00E711F9"/>
    <w:rsid w:val="00E7120B"/>
    <w:rsid w:val="00E72EA4"/>
    <w:rsid w:val="00E73CEB"/>
    <w:rsid w:val="00E74BBE"/>
    <w:rsid w:val="00E75456"/>
    <w:rsid w:val="00E7599D"/>
    <w:rsid w:val="00E766ED"/>
    <w:rsid w:val="00E76961"/>
    <w:rsid w:val="00E76ECB"/>
    <w:rsid w:val="00E772E2"/>
    <w:rsid w:val="00E77C6C"/>
    <w:rsid w:val="00E80688"/>
    <w:rsid w:val="00E80FA6"/>
    <w:rsid w:val="00E814A7"/>
    <w:rsid w:val="00E81A36"/>
    <w:rsid w:val="00E81E7C"/>
    <w:rsid w:val="00E8225F"/>
    <w:rsid w:val="00E82A77"/>
    <w:rsid w:val="00E82DE2"/>
    <w:rsid w:val="00E82E24"/>
    <w:rsid w:val="00E83294"/>
    <w:rsid w:val="00E832F4"/>
    <w:rsid w:val="00E83685"/>
    <w:rsid w:val="00E83D93"/>
    <w:rsid w:val="00E83DC6"/>
    <w:rsid w:val="00E848DA"/>
    <w:rsid w:val="00E8511B"/>
    <w:rsid w:val="00E85870"/>
    <w:rsid w:val="00E858F3"/>
    <w:rsid w:val="00E862FA"/>
    <w:rsid w:val="00E86316"/>
    <w:rsid w:val="00E86C58"/>
    <w:rsid w:val="00E8714E"/>
    <w:rsid w:val="00E879C9"/>
    <w:rsid w:val="00E90573"/>
    <w:rsid w:val="00E90C39"/>
    <w:rsid w:val="00E91D4A"/>
    <w:rsid w:val="00E9213F"/>
    <w:rsid w:val="00E921B1"/>
    <w:rsid w:val="00E925AF"/>
    <w:rsid w:val="00E93010"/>
    <w:rsid w:val="00E93DD3"/>
    <w:rsid w:val="00E9427D"/>
    <w:rsid w:val="00E94694"/>
    <w:rsid w:val="00E95524"/>
    <w:rsid w:val="00E955B0"/>
    <w:rsid w:val="00E96346"/>
    <w:rsid w:val="00E97B0F"/>
    <w:rsid w:val="00EA0004"/>
    <w:rsid w:val="00EA0D19"/>
    <w:rsid w:val="00EA10D1"/>
    <w:rsid w:val="00EA1561"/>
    <w:rsid w:val="00EA159D"/>
    <w:rsid w:val="00EA2768"/>
    <w:rsid w:val="00EA2EA1"/>
    <w:rsid w:val="00EA3238"/>
    <w:rsid w:val="00EA3715"/>
    <w:rsid w:val="00EA3A51"/>
    <w:rsid w:val="00EA3D6F"/>
    <w:rsid w:val="00EA41DA"/>
    <w:rsid w:val="00EA46A0"/>
    <w:rsid w:val="00EA4AB8"/>
    <w:rsid w:val="00EA4E7D"/>
    <w:rsid w:val="00EA5B47"/>
    <w:rsid w:val="00EA5D0B"/>
    <w:rsid w:val="00EA7B31"/>
    <w:rsid w:val="00EB018B"/>
    <w:rsid w:val="00EB07AD"/>
    <w:rsid w:val="00EB1270"/>
    <w:rsid w:val="00EB1445"/>
    <w:rsid w:val="00EB1A07"/>
    <w:rsid w:val="00EB1B55"/>
    <w:rsid w:val="00EB1D70"/>
    <w:rsid w:val="00EB1E68"/>
    <w:rsid w:val="00EB2B2C"/>
    <w:rsid w:val="00EB2E91"/>
    <w:rsid w:val="00EB3143"/>
    <w:rsid w:val="00EB3324"/>
    <w:rsid w:val="00EB3E70"/>
    <w:rsid w:val="00EB41B0"/>
    <w:rsid w:val="00EB54BB"/>
    <w:rsid w:val="00EB5751"/>
    <w:rsid w:val="00EB5A2D"/>
    <w:rsid w:val="00EB5BCE"/>
    <w:rsid w:val="00EB5BD4"/>
    <w:rsid w:val="00EB629A"/>
    <w:rsid w:val="00EB7795"/>
    <w:rsid w:val="00EC01D4"/>
    <w:rsid w:val="00EC0441"/>
    <w:rsid w:val="00EC0EE0"/>
    <w:rsid w:val="00EC16D4"/>
    <w:rsid w:val="00EC1860"/>
    <w:rsid w:val="00EC204B"/>
    <w:rsid w:val="00EC23BC"/>
    <w:rsid w:val="00EC272A"/>
    <w:rsid w:val="00EC30AA"/>
    <w:rsid w:val="00EC3A60"/>
    <w:rsid w:val="00EC69F2"/>
    <w:rsid w:val="00EC6B25"/>
    <w:rsid w:val="00EC6C6D"/>
    <w:rsid w:val="00EC7DBC"/>
    <w:rsid w:val="00ED050D"/>
    <w:rsid w:val="00ED179D"/>
    <w:rsid w:val="00ED1CC0"/>
    <w:rsid w:val="00ED1EB2"/>
    <w:rsid w:val="00ED251E"/>
    <w:rsid w:val="00ED2F91"/>
    <w:rsid w:val="00ED4693"/>
    <w:rsid w:val="00ED6312"/>
    <w:rsid w:val="00ED720A"/>
    <w:rsid w:val="00EE02F1"/>
    <w:rsid w:val="00EE1816"/>
    <w:rsid w:val="00EE1894"/>
    <w:rsid w:val="00EE2544"/>
    <w:rsid w:val="00EE34F2"/>
    <w:rsid w:val="00EE3FDE"/>
    <w:rsid w:val="00EE4349"/>
    <w:rsid w:val="00EE4622"/>
    <w:rsid w:val="00EE483A"/>
    <w:rsid w:val="00EE4A12"/>
    <w:rsid w:val="00EE59B0"/>
    <w:rsid w:val="00EE5AAF"/>
    <w:rsid w:val="00EE6173"/>
    <w:rsid w:val="00EE6F2B"/>
    <w:rsid w:val="00EE7DC2"/>
    <w:rsid w:val="00EF0656"/>
    <w:rsid w:val="00EF0AF3"/>
    <w:rsid w:val="00EF126D"/>
    <w:rsid w:val="00EF17A3"/>
    <w:rsid w:val="00EF17FB"/>
    <w:rsid w:val="00EF188F"/>
    <w:rsid w:val="00EF1D23"/>
    <w:rsid w:val="00EF35F5"/>
    <w:rsid w:val="00EF3FEC"/>
    <w:rsid w:val="00EF4102"/>
    <w:rsid w:val="00EF4CD9"/>
    <w:rsid w:val="00EF4DE9"/>
    <w:rsid w:val="00EF4E91"/>
    <w:rsid w:val="00EF65CC"/>
    <w:rsid w:val="00EF6A56"/>
    <w:rsid w:val="00EF742C"/>
    <w:rsid w:val="00EF7C1E"/>
    <w:rsid w:val="00EF7E5F"/>
    <w:rsid w:val="00F0111D"/>
    <w:rsid w:val="00F01624"/>
    <w:rsid w:val="00F025CD"/>
    <w:rsid w:val="00F02925"/>
    <w:rsid w:val="00F029F9"/>
    <w:rsid w:val="00F02EAE"/>
    <w:rsid w:val="00F034A6"/>
    <w:rsid w:val="00F03FE1"/>
    <w:rsid w:val="00F04336"/>
    <w:rsid w:val="00F047AC"/>
    <w:rsid w:val="00F0491B"/>
    <w:rsid w:val="00F04B4A"/>
    <w:rsid w:val="00F04BDB"/>
    <w:rsid w:val="00F05056"/>
    <w:rsid w:val="00F0515A"/>
    <w:rsid w:val="00F05698"/>
    <w:rsid w:val="00F05FAB"/>
    <w:rsid w:val="00F062CF"/>
    <w:rsid w:val="00F0745F"/>
    <w:rsid w:val="00F07A0F"/>
    <w:rsid w:val="00F10454"/>
    <w:rsid w:val="00F10696"/>
    <w:rsid w:val="00F1115D"/>
    <w:rsid w:val="00F1175F"/>
    <w:rsid w:val="00F12192"/>
    <w:rsid w:val="00F12316"/>
    <w:rsid w:val="00F12581"/>
    <w:rsid w:val="00F12B2D"/>
    <w:rsid w:val="00F1335B"/>
    <w:rsid w:val="00F136CF"/>
    <w:rsid w:val="00F13713"/>
    <w:rsid w:val="00F1474D"/>
    <w:rsid w:val="00F14A21"/>
    <w:rsid w:val="00F14DE0"/>
    <w:rsid w:val="00F1522A"/>
    <w:rsid w:val="00F163E9"/>
    <w:rsid w:val="00F1640D"/>
    <w:rsid w:val="00F1782D"/>
    <w:rsid w:val="00F17FD0"/>
    <w:rsid w:val="00F20127"/>
    <w:rsid w:val="00F2089C"/>
    <w:rsid w:val="00F208A8"/>
    <w:rsid w:val="00F20D49"/>
    <w:rsid w:val="00F20D76"/>
    <w:rsid w:val="00F20F49"/>
    <w:rsid w:val="00F221A9"/>
    <w:rsid w:val="00F22B4D"/>
    <w:rsid w:val="00F22F4D"/>
    <w:rsid w:val="00F23758"/>
    <w:rsid w:val="00F2435A"/>
    <w:rsid w:val="00F247B0"/>
    <w:rsid w:val="00F24CC6"/>
    <w:rsid w:val="00F24D9E"/>
    <w:rsid w:val="00F252A5"/>
    <w:rsid w:val="00F26706"/>
    <w:rsid w:val="00F2751B"/>
    <w:rsid w:val="00F2771C"/>
    <w:rsid w:val="00F2792D"/>
    <w:rsid w:val="00F300F9"/>
    <w:rsid w:val="00F3182B"/>
    <w:rsid w:val="00F31A78"/>
    <w:rsid w:val="00F323C1"/>
    <w:rsid w:val="00F327A4"/>
    <w:rsid w:val="00F32959"/>
    <w:rsid w:val="00F32B4A"/>
    <w:rsid w:val="00F32D56"/>
    <w:rsid w:val="00F32D7E"/>
    <w:rsid w:val="00F32E36"/>
    <w:rsid w:val="00F32EB9"/>
    <w:rsid w:val="00F33544"/>
    <w:rsid w:val="00F339C3"/>
    <w:rsid w:val="00F33BBA"/>
    <w:rsid w:val="00F33CEB"/>
    <w:rsid w:val="00F35088"/>
    <w:rsid w:val="00F35AE9"/>
    <w:rsid w:val="00F3614F"/>
    <w:rsid w:val="00F36270"/>
    <w:rsid w:val="00F3638E"/>
    <w:rsid w:val="00F3640D"/>
    <w:rsid w:val="00F36D9C"/>
    <w:rsid w:val="00F379C1"/>
    <w:rsid w:val="00F37A25"/>
    <w:rsid w:val="00F40317"/>
    <w:rsid w:val="00F40531"/>
    <w:rsid w:val="00F40B8A"/>
    <w:rsid w:val="00F40E8F"/>
    <w:rsid w:val="00F411B4"/>
    <w:rsid w:val="00F411FA"/>
    <w:rsid w:val="00F412AB"/>
    <w:rsid w:val="00F41993"/>
    <w:rsid w:val="00F41E4C"/>
    <w:rsid w:val="00F4203C"/>
    <w:rsid w:val="00F4251D"/>
    <w:rsid w:val="00F42740"/>
    <w:rsid w:val="00F43408"/>
    <w:rsid w:val="00F4374E"/>
    <w:rsid w:val="00F441D8"/>
    <w:rsid w:val="00F442D1"/>
    <w:rsid w:val="00F4448B"/>
    <w:rsid w:val="00F446BC"/>
    <w:rsid w:val="00F45416"/>
    <w:rsid w:val="00F45B2B"/>
    <w:rsid w:val="00F460E5"/>
    <w:rsid w:val="00F46C85"/>
    <w:rsid w:val="00F47FF1"/>
    <w:rsid w:val="00F50680"/>
    <w:rsid w:val="00F509C3"/>
    <w:rsid w:val="00F5187A"/>
    <w:rsid w:val="00F522F3"/>
    <w:rsid w:val="00F528B4"/>
    <w:rsid w:val="00F52A43"/>
    <w:rsid w:val="00F52ACC"/>
    <w:rsid w:val="00F53CB7"/>
    <w:rsid w:val="00F54391"/>
    <w:rsid w:val="00F54AB1"/>
    <w:rsid w:val="00F5555F"/>
    <w:rsid w:val="00F559BC"/>
    <w:rsid w:val="00F56A28"/>
    <w:rsid w:val="00F57A8F"/>
    <w:rsid w:val="00F601AB"/>
    <w:rsid w:val="00F6033F"/>
    <w:rsid w:val="00F603F4"/>
    <w:rsid w:val="00F60479"/>
    <w:rsid w:val="00F60621"/>
    <w:rsid w:val="00F6092F"/>
    <w:rsid w:val="00F60C16"/>
    <w:rsid w:val="00F615DF"/>
    <w:rsid w:val="00F61A8F"/>
    <w:rsid w:val="00F61C52"/>
    <w:rsid w:val="00F62553"/>
    <w:rsid w:val="00F626C5"/>
    <w:rsid w:val="00F629F1"/>
    <w:rsid w:val="00F63CC8"/>
    <w:rsid w:val="00F64D44"/>
    <w:rsid w:val="00F65C3B"/>
    <w:rsid w:val="00F6618D"/>
    <w:rsid w:val="00F6646A"/>
    <w:rsid w:val="00F6658F"/>
    <w:rsid w:val="00F66EEE"/>
    <w:rsid w:val="00F671FE"/>
    <w:rsid w:val="00F67625"/>
    <w:rsid w:val="00F677CD"/>
    <w:rsid w:val="00F679D0"/>
    <w:rsid w:val="00F67BFF"/>
    <w:rsid w:val="00F7050D"/>
    <w:rsid w:val="00F7140E"/>
    <w:rsid w:val="00F714BF"/>
    <w:rsid w:val="00F7193B"/>
    <w:rsid w:val="00F7226F"/>
    <w:rsid w:val="00F72403"/>
    <w:rsid w:val="00F72657"/>
    <w:rsid w:val="00F72C30"/>
    <w:rsid w:val="00F733B2"/>
    <w:rsid w:val="00F73CF8"/>
    <w:rsid w:val="00F74397"/>
    <w:rsid w:val="00F743AD"/>
    <w:rsid w:val="00F75A12"/>
    <w:rsid w:val="00F765E2"/>
    <w:rsid w:val="00F769A8"/>
    <w:rsid w:val="00F80314"/>
    <w:rsid w:val="00F80349"/>
    <w:rsid w:val="00F80687"/>
    <w:rsid w:val="00F80D85"/>
    <w:rsid w:val="00F80DE7"/>
    <w:rsid w:val="00F81070"/>
    <w:rsid w:val="00F81095"/>
    <w:rsid w:val="00F82307"/>
    <w:rsid w:val="00F823A0"/>
    <w:rsid w:val="00F83296"/>
    <w:rsid w:val="00F834BE"/>
    <w:rsid w:val="00F84249"/>
    <w:rsid w:val="00F846E1"/>
    <w:rsid w:val="00F853E1"/>
    <w:rsid w:val="00F854E0"/>
    <w:rsid w:val="00F85731"/>
    <w:rsid w:val="00F86043"/>
    <w:rsid w:val="00F86CB0"/>
    <w:rsid w:val="00F90493"/>
    <w:rsid w:val="00F90C0A"/>
    <w:rsid w:val="00F9199D"/>
    <w:rsid w:val="00F91AC2"/>
    <w:rsid w:val="00F91E47"/>
    <w:rsid w:val="00F9268C"/>
    <w:rsid w:val="00F92903"/>
    <w:rsid w:val="00F92B3E"/>
    <w:rsid w:val="00F92E24"/>
    <w:rsid w:val="00F93460"/>
    <w:rsid w:val="00F935BD"/>
    <w:rsid w:val="00F936FF"/>
    <w:rsid w:val="00F93710"/>
    <w:rsid w:val="00F93F87"/>
    <w:rsid w:val="00F94432"/>
    <w:rsid w:val="00F94472"/>
    <w:rsid w:val="00F94CE7"/>
    <w:rsid w:val="00F9517F"/>
    <w:rsid w:val="00F95278"/>
    <w:rsid w:val="00F959C1"/>
    <w:rsid w:val="00F95E4A"/>
    <w:rsid w:val="00F96334"/>
    <w:rsid w:val="00F972A0"/>
    <w:rsid w:val="00F97C1A"/>
    <w:rsid w:val="00FA0C74"/>
    <w:rsid w:val="00FA0D78"/>
    <w:rsid w:val="00FA191B"/>
    <w:rsid w:val="00FA2775"/>
    <w:rsid w:val="00FA2C82"/>
    <w:rsid w:val="00FA356C"/>
    <w:rsid w:val="00FA4004"/>
    <w:rsid w:val="00FA4910"/>
    <w:rsid w:val="00FA5074"/>
    <w:rsid w:val="00FA51A9"/>
    <w:rsid w:val="00FA56A2"/>
    <w:rsid w:val="00FA67C6"/>
    <w:rsid w:val="00FA6CDF"/>
    <w:rsid w:val="00FA6EEE"/>
    <w:rsid w:val="00FA7703"/>
    <w:rsid w:val="00FA7C82"/>
    <w:rsid w:val="00FB03D3"/>
    <w:rsid w:val="00FB0E2B"/>
    <w:rsid w:val="00FB0ED8"/>
    <w:rsid w:val="00FB1E6D"/>
    <w:rsid w:val="00FB22F3"/>
    <w:rsid w:val="00FB283C"/>
    <w:rsid w:val="00FB299B"/>
    <w:rsid w:val="00FB2C0F"/>
    <w:rsid w:val="00FB2D7D"/>
    <w:rsid w:val="00FB32C9"/>
    <w:rsid w:val="00FB387C"/>
    <w:rsid w:val="00FB3AB7"/>
    <w:rsid w:val="00FB3BBF"/>
    <w:rsid w:val="00FB4EA3"/>
    <w:rsid w:val="00FB5019"/>
    <w:rsid w:val="00FB51F6"/>
    <w:rsid w:val="00FB5A33"/>
    <w:rsid w:val="00FB65B9"/>
    <w:rsid w:val="00FB66E6"/>
    <w:rsid w:val="00FB6786"/>
    <w:rsid w:val="00FB740D"/>
    <w:rsid w:val="00FB7EDE"/>
    <w:rsid w:val="00FC0350"/>
    <w:rsid w:val="00FC0F99"/>
    <w:rsid w:val="00FC1A44"/>
    <w:rsid w:val="00FC1B9F"/>
    <w:rsid w:val="00FC27E0"/>
    <w:rsid w:val="00FC3933"/>
    <w:rsid w:val="00FC456E"/>
    <w:rsid w:val="00FC4CC5"/>
    <w:rsid w:val="00FC52CC"/>
    <w:rsid w:val="00FC5D38"/>
    <w:rsid w:val="00FC6D97"/>
    <w:rsid w:val="00FC6FAF"/>
    <w:rsid w:val="00FC71CD"/>
    <w:rsid w:val="00FC7E0E"/>
    <w:rsid w:val="00FD0DAF"/>
    <w:rsid w:val="00FD2E53"/>
    <w:rsid w:val="00FD2EA2"/>
    <w:rsid w:val="00FD379E"/>
    <w:rsid w:val="00FD3D36"/>
    <w:rsid w:val="00FD569D"/>
    <w:rsid w:val="00FD5D26"/>
    <w:rsid w:val="00FD610B"/>
    <w:rsid w:val="00FE012C"/>
    <w:rsid w:val="00FE0313"/>
    <w:rsid w:val="00FE05D7"/>
    <w:rsid w:val="00FE15C8"/>
    <w:rsid w:val="00FE29EA"/>
    <w:rsid w:val="00FE30A2"/>
    <w:rsid w:val="00FE333F"/>
    <w:rsid w:val="00FE33E0"/>
    <w:rsid w:val="00FE36D3"/>
    <w:rsid w:val="00FE5042"/>
    <w:rsid w:val="00FE50E1"/>
    <w:rsid w:val="00FE52E0"/>
    <w:rsid w:val="00FE5423"/>
    <w:rsid w:val="00FE5ABB"/>
    <w:rsid w:val="00FE6933"/>
    <w:rsid w:val="00FE6BAF"/>
    <w:rsid w:val="00FE726E"/>
    <w:rsid w:val="00FE7436"/>
    <w:rsid w:val="00FE7949"/>
    <w:rsid w:val="00FF02D4"/>
    <w:rsid w:val="00FF0BFD"/>
    <w:rsid w:val="00FF0EBD"/>
    <w:rsid w:val="00FF1058"/>
    <w:rsid w:val="00FF11D0"/>
    <w:rsid w:val="00FF1CAE"/>
    <w:rsid w:val="00FF1E6B"/>
    <w:rsid w:val="00FF28CD"/>
    <w:rsid w:val="00FF2B2B"/>
    <w:rsid w:val="00FF2C8F"/>
    <w:rsid w:val="00FF3962"/>
    <w:rsid w:val="00FF3E39"/>
    <w:rsid w:val="00FF41B7"/>
    <w:rsid w:val="00FF422D"/>
    <w:rsid w:val="00FF4250"/>
    <w:rsid w:val="00FF49A6"/>
    <w:rsid w:val="00FF500D"/>
    <w:rsid w:val="00FF50DA"/>
    <w:rsid w:val="00FF640E"/>
    <w:rsid w:val="00FF7275"/>
    <w:rsid w:val="00FF73CA"/>
    <w:rsid w:val="00FF79F7"/>
    <w:rsid w:val="00FF7E6D"/>
    <w:rsid w:val="014C41A9"/>
    <w:rsid w:val="01756B39"/>
    <w:rsid w:val="01FAFCDA"/>
    <w:rsid w:val="0210E49E"/>
    <w:rsid w:val="03749672"/>
    <w:rsid w:val="037F72FA"/>
    <w:rsid w:val="0536DAAB"/>
    <w:rsid w:val="06BE1477"/>
    <w:rsid w:val="0719F22D"/>
    <w:rsid w:val="07C4A5D8"/>
    <w:rsid w:val="0950653A"/>
    <w:rsid w:val="0BFACDCF"/>
    <w:rsid w:val="0D274DE1"/>
    <w:rsid w:val="0ED37AC0"/>
    <w:rsid w:val="0F18ED07"/>
    <w:rsid w:val="0F5A2BE4"/>
    <w:rsid w:val="0FA68C52"/>
    <w:rsid w:val="13EDA4C1"/>
    <w:rsid w:val="1632A946"/>
    <w:rsid w:val="1668BD87"/>
    <w:rsid w:val="1756B1AC"/>
    <w:rsid w:val="1A8AB098"/>
    <w:rsid w:val="1A937F2C"/>
    <w:rsid w:val="1CA18528"/>
    <w:rsid w:val="1D5F8E6F"/>
    <w:rsid w:val="1E3237BE"/>
    <w:rsid w:val="1FC4C024"/>
    <w:rsid w:val="2096DF90"/>
    <w:rsid w:val="211B2E18"/>
    <w:rsid w:val="21CEA114"/>
    <w:rsid w:val="221DE84A"/>
    <w:rsid w:val="2231A9FE"/>
    <w:rsid w:val="226865AA"/>
    <w:rsid w:val="25BAAE93"/>
    <w:rsid w:val="26094AE0"/>
    <w:rsid w:val="264CE4CA"/>
    <w:rsid w:val="27A52837"/>
    <w:rsid w:val="2AB19AB8"/>
    <w:rsid w:val="2BC65A0A"/>
    <w:rsid w:val="2E9120E1"/>
    <w:rsid w:val="2F3F3DAD"/>
    <w:rsid w:val="2FA4058E"/>
    <w:rsid w:val="30A352EF"/>
    <w:rsid w:val="314A37BE"/>
    <w:rsid w:val="3188E550"/>
    <w:rsid w:val="31C4286A"/>
    <w:rsid w:val="32155FA4"/>
    <w:rsid w:val="364D1810"/>
    <w:rsid w:val="395A0627"/>
    <w:rsid w:val="39C37D10"/>
    <w:rsid w:val="3A907ECF"/>
    <w:rsid w:val="3AE310F3"/>
    <w:rsid w:val="3B218913"/>
    <w:rsid w:val="3BA80521"/>
    <w:rsid w:val="3C55E0AD"/>
    <w:rsid w:val="3CDC6F60"/>
    <w:rsid w:val="3E6C5C0D"/>
    <w:rsid w:val="4066BA1A"/>
    <w:rsid w:val="40B3E8D2"/>
    <w:rsid w:val="41063B05"/>
    <w:rsid w:val="41110EF7"/>
    <w:rsid w:val="4155593E"/>
    <w:rsid w:val="416AEB96"/>
    <w:rsid w:val="4181D7FB"/>
    <w:rsid w:val="42DD5B1F"/>
    <w:rsid w:val="44B38807"/>
    <w:rsid w:val="48ACDB25"/>
    <w:rsid w:val="4980A036"/>
    <w:rsid w:val="4C0F9F66"/>
    <w:rsid w:val="4C801695"/>
    <w:rsid w:val="4E64F8F8"/>
    <w:rsid w:val="4FAFA332"/>
    <w:rsid w:val="50177DAB"/>
    <w:rsid w:val="5027AAF4"/>
    <w:rsid w:val="504B954E"/>
    <w:rsid w:val="51811D7B"/>
    <w:rsid w:val="51C4F788"/>
    <w:rsid w:val="5213B5D1"/>
    <w:rsid w:val="53F364FB"/>
    <w:rsid w:val="56FEAE68"/>
    <w:rsid w:val="593060D4"/>
    <w:rsid w:val="5BB471F4"/>
    <w:rsid w:val="5EDDA5C7"/>
    <w:rsid w:val="5FE5FF4F"/>
    <w:rsid w:val="6010CF64"/>
    <w:rsid w:val="61A75637"/>
    <w:rsid w:val="61C9E373"/>
    <w:rsid w:val="62578C60"/>
    <w:rsid w:val="632302C2"/>
    <w:rsid w:val="66465307"/>
    <w:rsid w:val="67C5F083"/>
    <w:rsid w:val="684D439E"/>
    <w:rsid w:val="69F8CA69"/>
    <w:rsid w:val="6A456C5D"/>
    <w:rsid w:val="6AB84C60"/>
    <w:rsid w:val="6AC3250E"/>
    <w:rsid w:val="6AFCB96C"/>
    <w:rsid w:val="6B5513E3"/>
    <w:rsid w:val="6BC4FCE3"/>
    <w:rsid w:val="6BDF8606"/>
    <w:rsid w:val="6DF5D83A"/>
    <w:rsid w:val="722DFDFC"/>
    <w:rsid w:val="736C2C9D"/>
    <w:rsid w:val="7591092F"/>
    <w:rsid w:val="76A72BA5"/>
    <w:rsid w:val="76CF2605"/>
    <w:rsid w:val="787FEF1A"/>
    <w:rsid w:val="7899AA76"/>
    <w:rsid w:val="7899EEE0"/>
    <w:rsid w:val="78A00C00"/>
    <w:rsid w:val="7A8005CC"/>
    <w:rsid w:val="7B03A04F"/>
    <w:rsid w:val="7B3CCCAD"/>
    <w:rsid w:val="7C8DBB07"/>
    <w:rsid w:val="7E408209"/>
    <w:rsid w:val="7E8DAAFC"/>
    <w:rsid w:val="7EA9A19D"/>
    <w:rsid w:val="7EBE586F"/>
    <w:rsid w:val="7FC9F9E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1BED1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4"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7491"/>
    <w:pPr>
      <w:spacing w:after="240" w:line="260" w:lineRule="exact"/>
      <w:jc w:val="both"/>
    </w:pPr>
    <w:rPr>
      <w:rFonts w:ascii="Arial" w:eastAsia="Times New Roman" w:hAnsi="Arial" w:cs="Times New Roman"/>
      <w:color w:val="000000"/>
      <w:sz w:val="20"/>
      <w:szCs w:val="20"/>
      <w:lang w:eastAsia="en-AU"/>
    </w:rPr>
  </w:style>
  <w:style w:type="paragraph" w:styleId="Heading1">
    <w:name w:val="heading 1"/>
    <w:basedOn w:val="Normal"/>
    <w:next w:val="Normal"/>
    <w:link w:val="Heading1Char"/>
    <w:qFormat/>
    <w:rsid w:val="002C30FE"/>
    <w:pPr>
      <w:keepNext/>
      <w:numPr>
        <w:numId w:val="22"/>
      </w:numPr>
      <w:tabs>
        <w:tab w:val="left" w:pos="709"/>
      </w:tabs>
      <w:spacing w:after="360" w:line="240" w:lineRule="auto"/>
      <w:ind w:left="709" w:hanging="709"/>
      <w:jc w:val="left"/>
      <w:outlineLvl w:val="0"/>
    </w:pPr>
    <w:rPr>
      <w:rFonts w:ascii="Arial Bold" w:hAnsi="Arial Bold" w:cs="Arial"/>
      <w:b/>
      <w:bCs/>
      <w:color w:val="0E4E77" w:themeColor="accent6"/>
      <w:kern w:val="32"/>
      <w:sz w:val="36"/>
      <w:szCs w:val="36"/>
    </w:rPr>
  </w:style>
  <w:style w:type="paragraph" w:styleId="Heading2">
    <w:name w:val="heading 2"/>
    <w:basedOn w:val="Normal"/>
    <w:next w:val="Normal"/>
    <w:link w:val="Heading2Char"/>
    <w:qFormat/>
    <w:rsid w:val="002C30FE"/>
    <w:pPr>
      <w:keepNext/>
      <w:numPr>
        <w:ilvl w:val="1"/>
        <w:numId w:val="22"/>
      </w:numPr>
      <w:tabs>
        <w:tab w:val="left" w:pos="709"/>
      </w:tabs>
      <w:spacing w:before="240" w:line="240" w:lineRule="auto"/>
      <w:ind w:left="709" w:hanging="709"/>
      <w:jc w:val="left"/>
      <w:outlineLvl w:val="1"/>
    </w:pPr>
    <w:rPr>
      <w:rFonts w:ascii="Arial Bold" w:hAnsi="Arial Bold" w:cs="Arial"/>
      <w:b/>
      <w:bCs/>
      <w:iCs/>
      <w:color w:val="74000E" w:themeColor="accent1"/>
      <w:sz w:val="30"/>
      <w:szCs w:val="28"/>
    </w:rPr>
  </w:style>
  <w:style w:type="paragraph" w:styleId="Heading3">
    <w:name w:val="heading 3"/>
    <w:basedOn w:val="Normal"/>
    <w:next w:val="Normal"/>
    <w:link w:val="Heading3Char"/>
    <w:qFormat/>
    <w:rsid w:val="00263E2D"/>
    <w:pPr>
      <w:keepNext/>
      <w:spacing w:line="240" w:lineRule="auto"/>
      <w:jc w:val="left"/>
      <w:outlineLvl w:val="2"/>
    </w:pPr>
    <w:rPr>
      <w:rFonts w:cs="Arial"/>
      <w:b/>
      <w:bCs/>
      <w:color w:val="74000E" w:themeColor="accent1"/>
      <w:sz w:val="26"/>
      <w:szCs w:val="26"/>
    </w:rPr>
  </w:style>
  <w:style w:type="paragraph" w:styleId="Heading4">
    <w:name w:val="heading 4"/>
    <w:basedOn w:val="Normal"/>
    <w:next w:val="Normal"/>
    <w:link w:val="Heading4Char"/>
    <w:qFormat/>
    <w:rsid w:val="00753176"/>
    <w:pPr>
      <w:keepNext/>
      <w:numPr>
        <w:ilvl w:val="3"/>
        <w:numId w:val="22"/>
      </w:numPr>
      <w:spacing w:before="120" w:after="120" w:line="240" w:lineRule="auto"/>
      <w:jc w:val="left"/>
      <w:outlineLvl w:val="3"/>
    </w:pPr>
    <w:rPr>
      <w:b/>
      <w:bCs/>
      <w:color w:val="9B0014"/>
      <w:sz w:val="22"/>
      <w:szCs w:val="22"/>
    </w:rPr>
  </w:style>
  <w:style w:type="paragraph" w:styleId="Heading5">
    <w:name w:val="heading 5"/>
    <w:basedOn w:val="Normal"/>
    <w:next w:val="Normal"/>
    <w:link w:val="Heading5Char"/>
    <w:qFormat/>
    <w:rsid w:val="00753176"/>
    <w:pPr>
      <w:keepNext/>
      <w:numPr>
        <w:ilvl w:val="4"/>
        <w:numId w:val="22"/>
      </w:numPr>
      <w:spacing w:after="60" w:line="240" w:lineRule="auto"/>
      <w:jc w:val="left"/>
      <w:outlineLvl w:val="4"/>
    </w:pPr>
    <w:rPr>
      <w:b/>
      <w:bCs/>
      <w:iCs/>
      <w:color w:val="9B0014"/>
    </w:rPr>
  </w:style>
  <w:style w:type="paragraph" w:styleId="Heading6">
    <w:name w:val="heading 6"/>
    <w:basedOn w:val="Normal"/>
    <w:next w:val="Normal"/>
    <w:link w:val="Heading6Char"/>
    <w:qFormat/>
    <w:rsid w:val="00753176"/>
    <w:pPr>
      <w:keepNext/>
      <w:numPr>
        <w:ilvl w:val="5"/>
        <w:numId w:val="22"/>
      </w:numPr>
      <w:spacing w:after="120" w:line="240" w:lineRule="auto"/>
      <w:jc w:val="left"/>
      <w:outlineLvl w:val="5"/>
    </w:pPr>
    <w:rPr>
      <w:bCs/>
      <w:color w:val="9B0014"/>
      <w:szCs w:val="22"/>
    </w:rPr>
  </w:style>
  <w:style w:type="paragraph" w:styleId="Heading7">
    <w:name w:val="heading 7"/>
    <w:basedOn w:val="Normal"/>
    <w:next w:val="Normal"/>
    <w:link w:val="Heading7Char"/>
    <w:qFormat/>
    <w:rsid w:val="00753176"/>
    <w:pPr>
      <w:keepNext/>
      <w:numPr>
        <w:ilvl w:val="6"/>
        <w:numId w:val="22"/>
      </w:numPr>
      <w:spacing w:after="120" w:line="240" w:lineRule="auto"/>
      <w:jc w:val="left"/>
      <w:outlineLvl w:val="6"/>
    </w:pPr>
    <w:rPr>
      <w:color w:val="9B0014"/>
      <w:szCs w:val="24"/>
    </w:rPr>
  </w:style>
  <w:style w:type="paragraph" w:styleId="Heading8">
    <w:name w:val="heading 8"/>
    <w:basedOn w:val="Normal"/>
    <w:next w:val="Normal"/>
    <w:link w:val="Heading8Char"/>
    <w:qFormat/>
    <w:rsid w:val="00753176"/>
    <w:pPr>
      <w:keepNext/>
      <w:numPr>
        <w:ilvl w:val="7"/>
        <w:numId w:val="22"/>
      </w:numPr>
      <w:spacing w:after="120" w:line="240" w:lineRule="auto"/>
      <w:jc w:val="left"/>
      <w:outlineLvl w:val="7"/>
    </w:pPr>
    <w:rPr>
      <w:iCs/>
      <w:color w:val="9B0014"/>
      <w:szCs w:val="24"/>
    </w:rPr>
  </w:style>
  <w:style w:type="paragraph" w:styleId="Heading9">
    <w:name w:val="heading 9"/>
    <w:basedOn w:val="Normal"/>
    <w:next w:val="Normal"/>
    <w:link w:val="Heading9Char"/>
    <w:qFormat/>
    <w:rsid w:val="00753176"/>
    <w:pPr>
      <w:keepNext/>
      <w:numPr>
        <w:ilvl w:val="8"/>
        <w:numId w:val="22"/>
      </w:numPr>
      <w:spacing w:after="120" w:line="240" w:lineRule="auto"/>
      <w:jc w:val="left"/>
      <w:outlineLvl w:val="8"/>
    </w:pPr>
    <w:rPr>
      <w:rFonts w:cs="Arial"/>
      <w:color w:val="9B001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C30FE"/>
    <w:rPr>
      <w:rFonts w:ascii="Arial Bold" w:eastAsia="Times New Roman" w:hAnsi="Arial Bold" w:cs="Arial"/>
      <w:b/>
      <w:bCs/>
      <w:color w:val="0E4E77" w:themeColor="accent6"/>
      <w:kern w:val="32"/>
      <w:sz w:val="36"/>
      <w:szCs w:val="36"/>
      <w:lang w:eastAsia="en-AU"/>
    </w:rPr>
  </w:style>
  <w:style w:type="character" w:customStyle="1" w:styleId="Heading2Char">
    <w:name w:val="Heading 2 Char"/>
    <w:basedOn w:val="DefaultParagraphFont"/>
    <w:link w:val="Heading2"/>
    <w:rsid w:val="002C30FE"/>
    <w:rPr>
      <w:rFonts w:ascii="Arial Bold" w:eastAsia="Times New Roman" w:hAnsi="Arial Bold" w:cs="Arial"/>
      <w:b/>
      <w:bCs/>
      <w:iCs/>
      <w:color w:val="74000E" w:themeColor="accent1"/>
      <w:sz w:val="30"/>
      <w:szCs w:val="28"/>
      <w:lang w:eastAsia="en-AU"/>
    </w:rPr>
  </w:style>
  <w:style w:type="character" w:customStyle="1" w:styleId="Heading3Char">
    <w:name w:val="Heading 3 Char"/>
    <w:basedOn w:val="DefaultParagraphFont"/>
    <w:link w:val="Heading3"/>
    <w:rsid w:val="00263E2D"/>
    <w:rPr>
      <w:rFonts w:ascii="Arial" w:eastAsia="Times New Roman" w:hAnsi="Arial" w:cs="Arial"/>
      <w:b/>
      <w:bCs/>
      <w:color w:val="74000E" w:themeColor="accent1"/>
      <w:sz w:val="26"/>
      <w:szCs w:val="26"/>
      <w:lang w:eastAsia="en-AU"/>
    </w:rPr>
  </w:style>
  <w:style w:type="character" w:customStyle="1" w:styleId="Heading4Char">
    <w:name w:val="Heading 4 Char"/>
    <w:basedOn w:val="DefaultParagraphFont"/>
    <w:link w:val="Heading4"/>
    <w:rsid w:val="008F7491"/>
    <w:rPr>
      <w:rFonts w:ascii="Arial" w:eastAsia="Times New Roman" w:hAnsi="Arial" w:cs="Times New Roman"/>
      <w:b/>
      <w:bCs/>
      <w:color w:val="9B0014"/>
      <w:lang w:eastAsia="en-AU"/>
    </w:rPr>
  </w:style>
  <w:style w:type="character" w:customStyle="1" w:styleId="Heading5Char">
    <w:name w:val="Heading 5 Char"/>
    <w:basedOn w:val="DefaultParagraphFont"/>
    <w:link w:val="Heading5"/>
    <w:rsid w:val="008F7491"/>
    <w:rPr>
      <w:rFonts w:ascii="Arial" w:eastAsia="Times New Roman" w:hAnsi="Arial" w:cs="Times New Roman"/>
      <w:b/>
      <w:bCs/>
      <w:iCs/>
      <w:color w:val="9B0014"/>
      <w:sz w:val="20"/>
      <w:szCs w:val="20"/>
      <w:lang w:eastAsia="en-AU"/>
    </w:rPr>
  </w:style>
  <w:style w:type="character" w:customStyle="1" w:styleId="Heading6Char">
    <w:name w:val="Heading 6 Char"/>
    <w:basedOn w:val="DefaultParagraphFont"/>
    <w:link w:val="Heading6"/>
    <w:rsid w:val="008F7491"/>
    <w:rPr>
      <w:rFonts w:ascii="Arial" w:eastAsia="Times New Roman" w:hAnsi="Arial" w:cs="Times New Roman"/>
      <w:bCs/>
      <w:color w:val="9B0014"/>
      <w:sz w:val="20"/>
      <w:lang w:eastAsia="en-AU"/>
    </w:rPr>
  </w:style>
  <w:style w:type="character" w:customStyle="1" w:styleId="Heading7Char">
    <w:name w:val="Heading 7 Char"/>
    <w:basedOn w:val="DefaultParagraphFont"/>
    <w:link w:val="Heading7"/>
    <w:rsid w:val="008F7491"/>
    <w:rPr>
      <w:rFonts w:ascii="Arial" w:eastAsia="Times New Roman" w:hAnsi="Arial" w:cs="Times New Roman"/>
      <w:color w:val="9B0014"/>
      <w:sz w:val="20"/>
      <w:szCs w:val="24"/>
      <w:lang w:eastAsia="en-AU"/>
    </w:rPr>
  </w:style>
  <w:style w:type="character" w:customStyle="1" w:styleId="Heading8Char">
    <w:name w:val="Heading 8 Char"/>
    <w:basedOn w:val="DefaultParagraphFont"/>
    <w:link w:val="Heading8"/>
    <w:rsid w:val="008F7491"/>
    <w:rPr>
      <w:rFonts w:ascii="Arial" w:eastAsia="Times New Roman" w:hAnsi="Arial" w:cs="Times New Roman"/>
      <w:iCs/>
      <w:color w:val="9B0014"/>
      <w:sz w:val="20"/>
      <w:szCs w:val="24"/>
      <w:lang w:eastAsia="en-AU"/>
    </w:rPr>
  </w:style>
  <w:style w:type="character" w:customStyle="1" w:styleId="Heading9Char">
    <w:name w:val="Heading 9 Char"/>
    <w:basedOn w:val="DefaultParagraphFont"/>
    <w:link w:val="Heading9"/>
    <w:rsid w:val="008F7491"/>
    <w:rPr>
      <w:rFonts w:ascii="Arial" w:eastAsia="Times New Roman" w:hAnsi="Arial" w:cs="Arial"/>
      <w:color w:val="9B0014"/>
      <w:sz w:val="20"/>
      <w:lang w:eastAsia="en-AU"/>
    </w:rPr>
  </w:style>
  <w:style w:type="paragraph" w:customStyle="1" w:styleId="SingleParagraph">
    <w:name w:val="Single Paragraph"/>
    <w:basedOn w:val="Normal"/>
    <w:rsid w:val="008F7491"/>
    <w:pPr>
      <w:spacing w:after="0"/>
    </w:pPr>
  </w:style>
  <w:style w:type="character" w:styleId="Hyperlink">
    <w:name w:val="Hyperlink"/>
    <w:uiPriority w:val="99"/>
    <w:rsid w:val="007133D6"/>
    <w:rPr>
      <w:b/>
      <w:color w:val="9B0014"/>
    </w:rPr>
  </w:style>
  <w:style w:type="character" w:styleId="FootnoteReference">
    <w:name w:val="footnote reference"/>
    <w:rsid w:val="008F7491"/>
    <w:rPr>
      <w:vertAlign w:val="superscript"/>
    </w:rPr>
  </w:style>
  <w:style w:type="paragraph" w:styleId="TOCHeading">
    <w:name w:val="TOC Heading"/>
    <w:basedOn w:val="Heading1"/>
    <w:next w:val="Normal"/>
    <w:uiPriority w:val="39"/>
    <w:unhideWhenUsed/>
    <w:qFormat/>
    <w:rsid w:val="005F4BCB"/>
    <w:pPr>
      <w:keepLines/>
      <w:numPr>
        <w:numId w:val="0"/>
      </w:numPr>
      <w:spacing w:before="240" w:after="0" w:line="259" w:lineRule="auto"/>
      <w:outlineLvl w:val="9"/>
    </w:pPr>
    <w:rPr>
      <w:rFonts w:asciiTheme="majorHAnsi" w:eastAsiaTheme="majorEastAsia" w:hAnsiTheme="majorHAnsi" w:cstheme="majorBidi"/>
      <w:b w:val="0"/>
      <w:bCs w:val="0"/>
      <w:color w:val="56000A" w:themeColor="accent1" w:themeShade="BF"/>
      <w:kern w:val="0"/>
      <w:sz w:val="32"/>
      <w:szCs w:val="32"/>
      <w:lang w:val="en-US" w:eastAsia="en-US"/>
    </w:rPr>
  </w:style>
  <w:style w:type="character" w:styleId="PageNumber">
    <w:name w:val="page number"/>
    <w:rsid w:val="008F7491"/>
  </w:style>
  <w:style w:type="paragraph" w:customStyle="1" w:styleId="Bullet">
    <w:name w:val="Bullet"/>
    <w:basedOn w:val="Normal"/>
    <w:link w:val="BulletChar"/>
    <w:rsid w:val="0082702F"/>
    <w:pPr>
      <w:numPr>
        <w:numId w:val="1"/>
      </w:numPr>
      <w:tabs>
        <w:tab w:val="clear" w:pos="992"/>
      </w:tabs>
      <w:spacing w:after="120"/>
      <w:ind w:left="425" w:hanging="425"/>
    </w:pPr>
  </w:style>
  <w:style w:type="paragraph" w:customStyle="1" w:styleId="OutlineNumbered1">
    <w:name w:val="Outline Numbered 1"/>
    <w:basedOn w:val="OutlineNumbered3"/>
    <w:rsid w:val="00EE7DC2"/>
    <w:pPr>
      <w:numPr>
        <w:numId w:val="22"/>
      </w:numPr>
      <w:ind w:left="709" w:hanging="709"/>
    </w:pPr>
  </w:style>
  <w:style w:type="paragraph" w:customStyle="1" w:styleId="OutlineNumbered2">
    <w:name w:val="Outline Numbered 2"/>
    <w:basedOn w:val="Normal"/>
    <w:rsid w:val="008F7491"/>
    <w:pPr>
      <w:numPr>
        <w:ilvl w:val="1"/>
        <w:numId w:val="5"/>
      </w:numPr>
    </w:pPr>
  </w:style>
  <w:style w:type="paragraph" w:customStyle="1" w:styleId="OutlineNumbered3">
    <w:name w:val="Outline Numbered 3"/>
    <w:basedOn w:val="Normal"/>
    <w:link w:val="OutlineNumbered3Char"/>
    <w:rsid w:val="00DA1449"/>
    <w:pPr>
      <w:numPr>
        <w:ilvl w:val="2"/>
        <w:numId w:val="5"/>
      </w:numPr>
    </w:pPr>
  </w:style>
  <w:style w:type="paragraph" w:customStyle="1" w:styleId="AppendixHeading">
    <w:name w:val="Appendix Heading"/>
    <w:basedOn w:val="Normal"/>
    <w:next w:val="AppendixParagraph"/>
    <w:rsid w:val="00753176"/>
    <w:pPr>
      <w:keepNext/>
      <w:numPr>
        <w:numId w:val="4"/>
      </w:numPr>
      <w:spacing w:line="240" w:lineRule="auto"/>
      <w:jc w:val="left"/>
      <w:outlineLvl w:val="0"/>
    </w:pPr>
    <w:rPr>
      <w:rFonts w:ascii="Arial Bold" w:hAnsi="Arial Bold"/>
      <w:b/>
      <w:caps/>
      <w:color w:val="9B0014"/>
      <w:sz w:val="36"/>
      <w:szCs w:val="36"/>
    </w:rPr>
  </w:style>
  <w:style w:type="paragraph" w:customStyle="1" w:styleId="BoxHeading">
    <w:name w:val="Box Heading"/>
    <w:basedOn w:val="Normal"/>
    <w:next w:val="BoxText"/>
    <w:rsid w:val="00753176"/>
    <w:pPr>
      <w:keepNext/>
      <w:spacing w:before="120" w:after="120" w:line="240" w:lineRule="auto"/>
      <w:jc w:val="left"/>
    </w:pPr>
    <w:rPr>
      <w:b/>
      <w:color w:val="9B0014"/>
      <w:sz w:val="22"/>
    </w:rPr>
  </w:style>
  <w:style w:type="paragraph" w:customStyle="1" w:styleId="ChartGraphic">
    <w:name w:val="Chart Graphic"/>
    <w:basedOn w:val="Normal"/>
    <w:next w:val="Normal"/>
    <w:rsid w:val="00753176"/>
    <w:pPr>
      <w:keepNext/>
      <w:spacing w:after="0" w:line="240" w:lineRule="auto"/>
      <w:jc w:val="center"/>
    </w:pPr>
    <w:rPr>
      <w:color w:val="9B0014"/>
    </w:rPr>
  </w:style>
  <w:style w:type="paragraph" w:customStyle="1" w:styleId="ChartMainHeading">
    <w:name w:val="Chart Main Heading"/>
    <w:basedOn w:val="Normal"/>
    <w:next w:val="ChartGraphic"/>
    <w:rsid w:val="00753176"/>
    <w:pPr>
      <w:keepNext/>
      <w:spacing w:after="20" w:line="240" w:lineRule="auto"/>
      <w:jc w:val="center"/>
    </w:pPr>
    <w:rPr>
      <w:b/>
      <w:color w:val="9B0014"/>
      <w:sz w:val="22"/>
    </w:rPr>
  </w:style>
  <w:style w:type="paragraph" w:customStyle="1" w:styleId="ChartSecondHeading">
    <w:name w:val="Chart Second Heading"/>
    <w:basedOn w:val="Normal"/>
    <w:next w:val="ChartGraphic"/>
    <w:rsid w:val="00753176"/>
    <w:pPr>
      <w:keepNext/>
      <w:spacing w:after="20" w:line="240" w:lineRule="auto"/>
      <w:jc w:val="center"/>
    </w:pPr>
    <w:rPr>
      <w:color w:val="9B0014"/>
    </w:rPr>
  </w:style>
  <w:style w:type="paragraph" w:customStyle="1" w:styleId="Classification">
    <w:name w:val="Classification"/>
    <w:basedOn w:val="Normal"/>
    <w:next w:val="Footer"/>
    <w:rsid w:val="00753176"/>
    <w:pPr>
      <w:keepNext/>
      <w:spacing w:after="120" w:line="240" w:lineRule="auto"/>
      <w:jc w:val="center"/>
    </w:pPr>
    <w:rPr>
      <w:b/>
      <w:smallCaps/>
      <w:color w:val="9B0014"/>
    </w:rPr>
  </w:style>
  <w:style w:type="paragraph" w:styleId="Footer">
    <w:name w:val="footer"/>
    <w:basedOn w:val="Normal"/>
    <w:link w:val="FooterChar"/>
    <w:rsid w:val="00753176"/>
    <w:pPr>
      <w:keepNext/>
      <w:spacing w:after="0" w:line="240" w:lineRule="auto"/>
      <w:jc w:val="left"/>
    </w:pPr>
    <w:rPr>
      <w:color w:val="9B0014"/>
      <w:sz w:val="18"/>
    </w:rPr>
  </w:style>
  <w:style w:type="character" w:customStyle="1" w:styleId="FooterChar">
    <w:name w:val="Footer Char"/>
    <w:basedOn w:val="DefaultParagraphFont"/>
    <w:link w:val="Footer"/>
    <w:rsid w:val="008F7491"/>
    <w:rPr>
      <w:rFonts w:ascii="Arial" w:eastAsia="Times New Roman" w:hAnsi="Arial" w:cs="Times New Roman"/>
      <w:color w:val="9B0014"/>
      <w:sz w:val="18"/>
      <w:szCs w:val="20"/>
      <w:lang w:eastAsia="en-AU"/>
    </w:rPr>
  </w:style>
  <w:style w:type="paragraph" w:customStyle="1" w:styleId="ContentsHeading">
    <w:name w:val="Contents Heading"/>
    <w:basedOn w:val="Normal"/>
    <w:next w:val="Normal"/>
    <w:rsid w:val="00A32303"/>
    <w:pPr>
      <w:keepNext/>
      <w:spacing w:after="360" w:line="240" w:lineRule="auto"/>
      <w:jc w:val="left"/>
    </w:pPr>
    <w:rPr>
      <w:rFonts w:ascii="Arial Bold" w:hAnsi="Arial Bold"/>
      <w:b/>
      <w:color w:val="000000" w:themeColor="text1"/>
      <w:sz w:val="36"/>
      <w:szCs w:val="36"/>
    </w:rPr>
  </w:style>
  <w:style w:type="paragraph" w:customStyle="1" w:styleId="CoverTitleMain">
    <w:name w:val="Cover Title Main"/>
    <w:basedOn w:val="Normal"/>
    <w:next w:val="Normal"/>
    <w:rsid w:val="00753176"/>
    <w:pPr>
      <w:keepNext/>
      <w:spacing w:after="480" w:line="240" w:lineRule="auto"/>
      <w:jc w:val="center"/>
    </w:pPr>
    <w:rPr>
      <w:b/>
      <w:color w:val="9B0014"/>
      <w:sz w:val="48"/>
    </w:rPr>
  </w:style>
  <w:style w:type="paragraph" w:customStyle="1" w:styleId="CoverTitleSub">
    <w:name w:val="Cover Title Sub"/>
    <w:basedOn w:val="Normal"/>
    <w:rsid w:val="00753176"/>
    <w:pPr>
      <w:keepNext/>
      <w:spacing w:after="360" w:line="240" w:lineRule="auto"/>
      <w:jc w:val="center"/>
    </w:pPr>
    <w:rPr>
      <w:color w:val="9B0014"/>
      <w:sz w:val="36"/>
    </w:rPr>
  </w:style>
  <w:style w:type="paragraph" w:customStyle="1" w:styleId="FooterCentered">
    <w:name w:val="Footer Centered"/>
    <w:basedOn w:val="Footer"/>
    <w:rsid w:val="008F7491"/>
    <w:pPr>
      <w:jc w:val="center"/>
    </w:pPr>
  </w:style>
  <w:style w:type="paragraph" w:customStyle="1" w:styleId="FooterEven">
    <w:name w:val="Footer Even"/>
    <w:basedOn w:val="Footer"/>
    <w:rsid w:val="00084480"/>
    <w:rPr>
      <w:color w:val="000000" w:themeColor="text1"/>
    </w:rPr>
  </w:style>
  <w:style w:type="paragraph" w:customStyle="1" w:styleId="FooterOdd">
    <w:name w:val="Footer Odd"/>
    <w:basedOn w:val="Footer"/>
    <w:rsid w:val="00084480"/>
    <w:pPr>
      <w:jc w:val="right"/>
    </w:pPr>
    <w:rPr>
      <w:color w:val="000000" w:themeColor="text1"/>
    </w:rPr>
  </w:style>
  <w:style w:type="paragraph" w:styleId="Header">
    <w:name w:val="header"/>
    <w:basedOn w:val="Normal"/>
    <w:link w:val="HeaderChar"/>
    <w:rsid w:val="00753176"/>
    <w:pPr>
      <w:keepNext/>
      <w:spacing w:after="360" w:line="240" w:lineRule="auto"/>
      <w:jc w:val="left"/>
    </w:pPr>
    <w:rPr>
      <w:color w:val="000000" w:themeColor="text1"/>
      <w:sz w:val="18"/>
    </w:rPr>
  </w:style>
  <w:style w:type="character" w:customStyle="1" w:styleId="HeaderChar">
    <w:name w:val="Header Char"/>
    <w:basedOn w:val="DefaultParagraphFont"/>
    <w:link w:val="Header"/>
    <w:rsid w:val="00084480"/>
    <w:rPr>
      <w:rFonts w:ascii="Arial" w:eastAsia="Times New Roman" w:hAnsi="Arial" w:cs="Times New Roman"/>
      <w:color w:val="000000" w:themeColor="text1"/>
      <w:sz w:val="18"/>
      <w:szCs w:val="20"/>
      <w:lang w:eastAsia="en-AU"/>
    </w:rPr>
  </w:style>
  <w:style w:type="paragraph" w:customStyle="1" w:styleId="HeaderEven">
    <w:name w:val="Header Even"/>
    <w:basedOn w:val="Header"/>
    <w:rsid w:val="008F7491"/>
    <w:pPr>
      <w:pBdr>
        <w:bottom w:val="single" w:sz="4" w:space="1" w:color="9B0014"/>
      </w:pBdr>
      <w:spacing w:after="0"/>
    </w:pPr>
    <w:rPr>
      <w:spacing w:val="-4"/>
    </w:rPr>
  </w:style>
  <w:style w:type="paragraph" w:customStyle="1" w:styleId="HeaderOdd">
    <w:name w:val="Header Odd"/>
    <w:basedOn w:val="Header"/>
    <w:rsid w:val="008F7491"/>
    <w:pPr>
      <w:pBdr>
        <w:bottom w:val="single" w:sz="4" w:space="1" w:color="9B0014"/>
      </w:pBdr>
      <w:spacing w:after="0"/>
      <w:jc w:val="right"/>
    </w:pPr>
    <w:rPr>
      <w:spacing w:val="-4"/>
    </w:rPr>
  </w:style>
  <w:style w:type="paragraph" w:customStyle="1" w:styleId="RecommendationHeading">
    <w:name w:val="Recommendation Heading"/>
    <w:basedOn w:val="Normal"/>
    <w:next w:val="RecommendationText"/>
    <w:rsid w:val="00753176"/>
    <w:pPr>
      <w:keepNext/>
      <w:spacing w:line="240" w:lineRule="auto"/>
      <w:jc w:val="left"/>
    </w:pPr>
    <w:rPr>
      <w:b/>
      <w:color w:val="9B0014"/>
      <w:sz w:val="22"/>
    </w:rPr>
  </w:style>
  <w:style w:type="paragraph" w:customStyle="1" w:styleId="RecommendationBaseText">
    <w:name w:val="Recommendation Base Text"/>
    <w:basedOn w:val="Normal"/>
    <w:rsid w:val="008F7491"/>
  </w:style>
  <w:style w:type="paragraph" w:customStyle="1" w:styleId="RecommendationText">
    <w:name w:val="Recommendation Text"/>
    <w:basedOn w:val="RecommendationBaseText"/>
    <w:rsid w:val="008F7491"/>
  </w:style>
  <w:style w:type="paragraph" w:customStyle="1" w:styleId="TableTextBase">
    <w:name w:val="Table Text Base"/>
    <w:rsid w:val="008F7491"/>
    <w:pPr>
      <w:spacing w:before="40" w:after="40" w:line="240" w:lineRule="auto"/>
    </w:pPr>
    <w:rPr>
      <w:rFonts w:ascii="Arial" w:eastAsia="Times New Roman" w:hAnsi="Arial" w:cs="Times New Roman"/>
      <w:color w:val="000000"/>
      <w:sz w:val="18"/>
      <w:szCs w:val="20"/>
      <w:lang w:eastAsia="en-AU"/>
    </w:rPr>
  </w:style>
  <w:style w:type="paragraph" w:customStyle="1" w:styleId="TableColumnHeadingCentred">
    <w:name w:val="Table Column Heading Centred"/>
    <w:basedOn w:val="TableTextBase"/>
    <w:rsid w:val="007B0C5A"/>
    <w:pPr>
      <w:jc w:val="center"/>
    </w:pPr>
    <w:rPr>
      <w:b/>
      <w:color w:val="FFFFFF" w:themeColor="background1"/>
    </w:rPr>
  </w:style>
  <w:style w:type="paragraph" w:customStyle="1" w:styleId="TableColumnHeadingLeft">
    <w:name w:val="Table Column Heading Left"/>
    <w:basedOn w:val="TableTextBase"/>
    <w:rsid w:val="007B0C5A"/>
    <w:rPr>
      <w:b/>
      <w:color w:val="FFFFFF" w:themeColor="background1"/>
    </w:rPr>
  </w:style>
  <w:style w:type="paragraph" w:customStyle="1" w:styleId="TableColumnHeadingRight">
    <w:name w:val="Table Column Heading Right"/>
    <w:basedOn w:val="TableTextBase"/>
    <w:rsid w:val="008F7491"/>
    <w:pPr>
      <w:jc w:val="right"/>
    </w:pPr>
    <w:rPr>
      <w:b/>
    </w:rPr>
  </w:style>
  <w:style w:type="paragraph" w:customStyle="1" w:styleId="TableGraphic">
    <w:name w:val="Table Graphic"/>
    <w:basedOn w:val="Normal"/>
    <w:next w:val="Normal"/>
    <w:rsid w:val="00753176"/>
    <w:pPr>
      <w:spacing w:after="20" w:line="240" w:lineRule="auto"/>
      <w:ind w:right="-113"/>
      <w:jc w:val="left"/>
    </w:pPr>
    <w:rPr>
      <w:color w:val="9B0014"/>
    </w:rPr>
  </w:style>
  <w:style w:type="paragraph" w:customStyle="1" w:styleId="TableMainHeading">
    <w:name w:val="Table Main Heading"/>
    <w:basedOn w:val="Normal"/>
    <w:next w:val="TableGraphic"/>
    <w:rsid w:val="00753176"/>
    <w:pPr>
      <w:keepNext/>
      <w:spacing w:after="20" w:line="240" w:lineRule="auto"/>
      <w:jc w:val="left"/>
    </w:pPr>
    <w:rPr>
      <w:b/>
      <w:color w:val="9B0014"/>
      <w:sz w:val="22"/>
    </w:rPr>
  </w:style>
  <w:style w:type="paragraph" w:customStyle="1" w:styleId="TableMainHeadingContd">
    <w:name w:val="Table Main Heading Contd"/>
    <w:basedOn w:val="Normal"/>
    <w:next w:val="TableGraphic"/>
    <w:rsid w:val="00753176"/>
    <w:pPr>
      <w:keepNext/>
      <w:spacing w:after="20" w:line="240" w:lineRule="auto"/>
      <w:jc w:val="left"/>
    </w:pPr>
    <w:rPr>
      <w:b/>
      <w:color w:val="9B0014"/>
      <w:sz w:val="22"/>
    </w:rPr>
  </w:style>
  <w:style w:type="paragraph" w:customStyle="1" w:styleId="TableSecondHeading">
    <w:name w:val="Table Second Heading"/>
    <w:basedOn w:val="Normal"/>
    <w:next w:val="TableGraphic"/>
    <w:rsid w:val="00753176"/>
    <w:pPr>
      <w:keepNext/>
      <w:spacing w:after="20" w:line="240" w:lineRule="auto"/>
      <w:jc w:val="left"/>
    </w:pPr>
    <w:rPr>
      <w:color w:val="9B0014"/>
    </w:rPr>
  </w:style>
  <w:style w:type="paragraph" w:customStyle="1" w:styleId="TableTextCentered">
    <w:name w:val="Table Text Centered"/>
    <w:basedOn w:val="TableTextBase"/>
    <w:rsid w:val="008F7491"/>
    <w:pPr>
      <w:jc w:val="center"/>
    </w:pPr>
  </w:style>
  <w:style w:type="paragraph" w:customStyle="1" w:styleId="TableTextIndented">
    <w:name w:val="Table Text Indented"/>
    <w:basedOn w:val="TableTextBase"/>
    <w:rsid w:val="008F7491"/>
    <w:pPr>
      <w:ind w:left="284"/>
    </w:pPr>
  </w:style>
  <w:style w:type="paragraph" w:customStyle="1" w:styleId="TableTextLeft">
    <w:name w:val="Table Text Left"/>
    <w:basedOn w:val="TableTextBase"/>
    <w:rsid w:val="007B0C5A"/>
  </w:style>
  <w:style w:type="paragraph" w:customStyle="1" w:styleId="TableTextRight">
    <w:name w:val="Table Text Right"/>
    <w:basedOn w:val="TableTextBase"/>
    <w:rsid w:val="007B0C5A"/>
    <w:pPr>
      <w:jc w:val="right"/>
    </w:pPr>
  </w:style>
  <w:style w:type="paragraph" w:styleId="TOC1">
    <w:name w:val="toc 1"/>
    <w:basedOn w:val="Normal"/>
    <w:next w:val="Normal"/>
    <w:uiPriority w:val="39"/>
    <w:rsid w:val="00A32303"/>
    <w:pPr>
      <w:keepNext/>
      <w:tabs>
        <w:tab w:val="left" w:pos="420"/>
        <w:tab w:val="right" w:leader="dot" w:pos="7700"/>
      </w:tabs>
      <w:spacing w:before="180" w:after="0" w:line="240" w:lineRule="auto"/>
      <w:ind w:left="426" w:right="851" w:hanging="426"/>
      <w:jc w:val="left"/>
    </w:pPr>
    <w:rPr>
      <w:rFonts w:ascii="Arial Bold" w:hAnsi="Arial Bold"/>
      <w:b/>
      <w:noProof/>
      <w:color w:val="000000" w:themeColor="text1"/>
      <w:sz w:val="22"/>
      <w:szCs w:val="22"/>
    </w:rPr>
  </w:style>
  <w:style w:type="paragraph" w:styleId="TOC2">
    <w:name w:val="toc 2"/>
    <w:basedOn w:val="Normal"/>
    <w:next w:val="Normal"/>
    <w:uiPriority w:val="39"/>
    <w:rsid w:val="00753176"/>
    <w:pPr>
      <w:keepNext/>
      <w:tabs>
        <w:tab w:val="left" w:pos="960"/>
        <w:tab w:val="right" w:leader="dot" w:pos="7700"/>
      </w:tabs>
      <w:spacing w:before="40" w:after="20" w:line="240" w:lineRule="auto"/>
      <w:ind w:left="964" w:right="851" w:hanging="556"/>
      <w:jc w:val="left"/>
    </w:pPr>
    <w:rPr>
      <w:noProof/>
      <w:color w:val="000000" w:themeColor="text1"/>
      <w:lang w:eastAsia="en-US"/>
    </w:rPr>
  </w:style>
  <w:style w:type="paragraph" w:styleId="TOC3">
    <w:name w:val="toc 3"/>
    <w:basedOn w:val="Normal"/>
    <w:next w:val="Normal"/>
    <w:uiPriority w:val="39"/>
    <w:rsid w:val="00084480"/>
    <w:pPr>
      <w:tabs>
        <w:tab w:val="left" w:pos="1320"/>
        <w:tab w:val="right" w:leader="dot" w:pos="7700"/>
      </w:tabs>
      <w:spacing w:before="60" w:after="0" w:line="240" w:lineRule="auto"/>
      <w:ind w:right="851"/>
    </w:pPr>
    <w:rPr>
      <w:color w:val="000000" w:themeColor="text1"/>
    </w:rPr>
  </w:style>
  <w:style w:type="paragraph" w:styleId="TOC4">
    <w:name w:val="toc 4"/>
    <w:basedOn w:val="Normal"/>
    <w:next w:val="Normal"/>
    <w:rsid w:val="008F7491"/>
    <w:pPr>
      <w:tabs>
        <w:tab w:val="right" w:leader="dot" w:pos="7700"/>
      </w:tabs>
      <w:spacing w:after="0" w:line="240" w:lineRule="auto"/>
      <w:ind w:left="284" w:right="851"/>
    </w:pPr>
  </w:style>
  <w:style w:type="paragraph" w:customStyle="1" w:styleId="BoxText">
    <w:name w:val="Box Text"/>
    <w:basedOn w:val="Normal"/>
    <w:rsid w:val="00753176"/>
    <w:pPr>
      <w:spacing w:before="120" w:after="120" w:line="240" w:lineRule="auto"/>
    </w:pPr>
  </w:style>
  <w:style w:type="paragraph" w:customStyle="1" w:styleId="BoxDoubleDot">
    <w:name w:val="Box Double Dot"/>
    <w:basedOn w:val="Normal"/>
    <w:rsid w:val="00753176"/>
    <w:pPr>
      <w:numPr>
        <w:ilvl w:val="2"/>
        <w:numId w:val="2"/>
      </w:numPr>
      <w:spacing w:before="120" w:after="120" w:line="240" w:lineRule="auto"/>
    </w:pPr>
  </w:style>
  <w:style w:type="paragraph" w:customStyle="1" w:styleId="RecommendationBullet">
    <w:name w:val="Recommendation Bullet"/>
    <w:basedOn w:val="RecommendationBaseText"/>
    <w:rsid w:val="008F7491"/>
    <w:pPr>
      <w:numPr>
        <w:numId w:val="3"/>
      </w:numPr>
    </w:pPr>
  </w:style>
  <w:style w:type="paragraph" w:customStyle="1" w:styleId="RecommendationDash">
    <w:name w:val="Recommendation Dash"/>
    <w:basedOn w:val="RecommendationBaseText"/>
    <w:rsid w:val="008F7491"/>
    <w:pPr>
      <w:numPr>
        <w:ilvl w:val="1"/>
        <w:numId w:val="3"/>
      </w:numPr>
    </w:pPr>
  </w:style>
  <w:style w:type="paragraph" w:customStyle="1" w:styleId="RecommendationDoubleDot">
    <w:name w:val="Recommendation Double Dot"/>
    <w:basedOn w:val="RecommendationBaseText"/>
    <w:rsid w:val="008F7491"/>
    <w:pPr>
      <w:numPr>
        <w:ilvl w:val="2"/>
        <w:numId w:val="3"/>
      </w:numPr>
    </w:pPr>
  </w:style>
  <w:style w:type="table" w:styleId="TableGrid">
    <w:name w:val="Table Grid"/>
    <w:aliases w:val="Smart Text Table"/>
    <w:basedOn w:val="TableNormal"/>
    <w:uiPriority w:val="59"/>
    <w:rsid w:val="008F7491"/>
    <w:pPr>
      <w:spacing w:after="240" w:line="260" w:lineRule="exact"/>
      <w:jc w:val="both"/>
    </w:pPr>
    <w:rPr>
      <w:rFonts w:ascii="Times New Roman" w:eastAsia="Times New Roman" w:hAnsi="Times New Roman" w:cs="Times New Roman"/>
      <w:sz w:val="20"/>
      <w:szCs w:val="20"/>
      <w:lang w:eastAsia="en-AU"/>
    </w:rPr>
    <w:tblPr/>
    <w:tcPr>
      <w:shd w:val="clear" w:color="auto" w:fill="E6E6E6"/>
    </w:tcPr>
  </w:style>
  <w:style w:type="paragraph" w:customStyle="1" w:styleId="Heading1notnumbered">
    <w:name w:val="Heading 1 not numbered"/>
    <w:basedOn w:val="Normal"/>
    <w:next w:val="Normal"/>
    <w:rsid w:val="00263E2D"/>
    <w:pPr>
      <w:keepNext/>
      <w:spacing w:before="720" w:after="360" w:line="240" w:lineRule="auto"/>
      <w:jc w:val="left"/>
    </w:pPr>
    <w:rPr>
      <w:rFonts w:ascii="Arial Bold" w:hAnsi="Arial Bold"/>
      <w:b/>
      <w:color w:val="0E4E77" w:themeColor="accent6"/>
      <w:sz w:val="36"/>
      <w:szCs w:val="36"/>
    </w:rPr>
  </w:style>
  <w:style w:type="paragraph" w:customStyle="1" w:styleId="Heading2notnumbered">
    <w:name w:val="Heading 2 not numbered"/>
    <w:basedOn w:val="Normal"/>
    <w:next w:val="Normal"/>
    <w:rsid w:val="00263E2D"/>
    <w:pPr>
      <w:keepNext/>
      <w:tabs>
        <w:tab w:val="left" w:pos="567"/>
      </w:tabs>
      <w:spacing w:before="360" w:line="240" w:lineRule="auto"/>
      <w:jc w:val="left"/>
      <w:outlineLvl w:val="1"/>
    </w:pPr>
    <w:rPr>
      <w:rFonts w:ascii="Arial Bold" w:hAnsi="Arial Bold"/>
      <w:b/>
      <w:color w:val="74000E" w:themeColor="accent1"/>
      <w:sz w:val="30"/>
      <w:szCs w:val="28"/>
    </w:rPr>
  </w:style>
  <w:style w:type="paragraph" w:customStyle="1" w:styleId="Heading3notnumbered">
    <w:name w:val="Heading 3 not numbered"/>
    <w:basedOn w:val="Normal"/>
    <w:next w:val="Normal"/>
    <w:rsid w:val="00753176"/>
    <w:pPr>
      <w:keepNext/>
      <w:spacing w:before="240" w:line="240" w:lineRule="auto"/>
      <w:jc w:val="left"/>
    </w:pPr>
    <w:rPr>
      <w:rFonts w:ascii="Arial Bold" w:hAnsi="Arial Bold"/>
      <w:b/>
      <w:color w:val="9B0014"/>
      <w:sz w:val="26"/>
      <w:szCs w:val="26"/>
    </w:rPr>
  </w:style>
  <w:style w:type="paragraph" w:styleId="ListParagraph">
    <w:name w:val="List Paragraph"/>
    <w:basedOn w:val="Normal"/>
    <w:uiPriority w:val="34"/>
    <w:qFormat/>
    <w:rsid w:val="008F7491"/>
    <w:pPr>
      <w:ind w:left="720"/>
    </w:pPr>
  </w:style>
  <w:style w:type="paragraph" w:customStyle="1" w:styleId="AppendixParagraph">
    <w:name w:val="Appendix Paragraph"/>
    <w:basedOn w:val="Normal"/>
    <w:rsid w:val="008F7491"/>
    <w:pPr>
      <w:numPr>
        <w:ilvl w:val="1"/>
        <w:numId w:val="4"/>
      </w:numPr>
    </w:pPr>
    <w:rPr>
      <w:lang w:val="en-US"/>
    </w:rPr>
  </w:style>
  <w:style w:type="character" w:customStyle="1" w:styleId="OutlineNumbered3Char">
    <w:name w:val="Outline Numbered 3 Char"/>
    <w:link w:val="OutlineNumbered3"/>
    <w:rsid w:val="00DA1449"/>
    <w:rPr>
      <w:rFonts w:ascii="Arial" w:eastAsia="Times New Roman" w:hAnsi="Arial" w:cs="Times New Roman"/>
      <w:color w:val="000000"/>
      <w:sz w:val="20"/>
      <w:szCs w:val="20"/>
      <w:lang w:eastAsia="en-AU"/>
    </w:rPr>
  </w:style>
  <w:style w:type="paragraph" w:styleId="BalloonText">
    <w:name w:val="Balloon Text"/>
    <w:basedOn w:val="Normal"/>
    <w:link w:val="BalloonTextChar"/>
    <w:semiHidden/>
    <w:rsid w:val="008F7491"/>
    <w:rPr>
      <w:rFonts w:ascii="Tahoma" w:hAnsi="Tahoma" w:cs="Tahoma"/>
      <w:sz w:val="16"/>
      <w:szCs w:val="16"/>
    </w:rPr>
  </w:style>
  <w:style w:type="character" w:customStyle="1" w:styleId="BalloonTextChar">
    <w:name w:val="Balloon Text Char"/>
    <w:basedOn w:val="DefaultParagraphFont"/>
    <w:link w:val="BalloonText"/>
    <w:semiHidden/>
    <w:rsid w:val="008F7491"/>
    <w:rPr>
      <w:rFonts w:ascii="Tahoma" w:eastAsia="Times New Roman" w:hAnsi="Tahoma" w:cs="Tahoma"/>
      <w:color w:val="000000"/>
      <w:sz w:val="16"/>
      <w:szCs w:val="16"/>
      <w:lang w:eastAsia="en-AU"/>
    </w:rPr>
  </w:style>
  <w:style w:type="character" w:styleId="CommentReference">
    <w:name w:val="annotation reference"/>
    <w:semiHidden/>
    <w:rsid w:val="008F7491"/>
    <w:rPr>
      <w:sz w:val="16"/>
      <w:szCs w:val="16"/>
    </w:rPr>
  </w:style>
  <w:style w:type="paragraph" w:styleId="CommentText">
    <w:name w:val="annotation text"/>
    <w:basedOn w:val="Normal"/>
    <w:link w:val="CommentTextChar"/>
    <w:semiHidden/>
    <w:rsid w:val="008F7491"/>
  </w:style>
  <w:style w:type="character" w:customStyle="1" w:styleId="CommentTextChar">
    <w:name w:val="Comment Text Char"/>
    <w:basedOn w:val="DefaultParagraphFont"/>
    <w:link w:val="CommentText"/>
    <w:semiHidden/>
    <w:rsid w:val="008F7491"/>
    <w:rPr>
      <w:rFonts w:ascii="Arial" w:eastAsia="Times New Roman" w:hAnsi="Arial" w:cs="Times New Roman"/>
      <w:color w:val="000000"/>
      <w:sz w:val="20"/>
      <w:szCs w:val="20"/>
      <w:lang w:eastAsia="en-AU"/>
    </w:rPr>
  </w:style>
  <w:style w:type="paragraph" w:styleId="CommentSubject">
    <w:name w:val="annotation subject"/>
    <w:basedOn w:val="CommentText"/>
    <w:next w:val="CommentText"/>
    <w:link w:val="CommentSubjectChar"/>
    <w:semiHidden/>
    <w:rsid w:val="008F7491"/>
    <w:rPr>
      <w:b/>
      <w:bCs/>
    </w:rPr>
  </w:style>
  <w:style w:type="character" w:customStyle="1" w:styleId="CommentSubjectChar">
    <w:name w:val="Comment Subject Char"/>
    <w:basedOn w:val="CommentTextChar"/>
    <w:link w:val="CommentSubject"/>
    <w:semiHidden/>
    <w:rsid w:val="008F7491"/>
    <w:rPr>
      <w:rFonts w:ascii="Arial" w:eastAsia="Times New Roman" w:hAnsi="Arial" w:cs="Times New Roman"/>
      <w:b/>
      <w:bCs/>
      <w:color w:val="000000"/>
      <w:sz w:val="20"/>
      <w:szCs w:val="20"/>
      <w:lang w:eastAsia="en-AU"/>
    </w:rPr>
  </w:style>
  <w:style w:type="paragraph" w:customStyle="1" w:styleId="Clearformatting">
    <w:name w:val="Clear formatting"/>
    <w:basedOn w:val="Heading2"/>
    <w:rsid w:val="008F7491"/>
    <w:pPr>
      <w:numPr>
        <w:numId w:val="10"/>
      </w:numPr>
    </w:pPr>
    <w:rPr>
      <w:lang w:val="en-US"/>
    </w:rPr>
  </w:style>
  <w:style w:type="paragraph" w:styleId="NormalWeb">
    <w:name w:val="Normal (Web)"/>
    <w:basedOn w:val="Normal"/>
    <w:uiPriority w:val="99"/>
    <w:rsid w:val="008F7491"/>
    <w:rPr>
      <w:rFonts w:ascii="Times New Roman" w:hAnsi="Times New Roman"/>
      <w:sz w:val="24"/>
      <w:szCs w:val="24"/>
    </w:rPr>
  </w:style>
  <w:style w:type="paragraph" w:styleId="NoSpacing">
    <w:name w:val="No Spacing"/>
    <w:uiPriority w:val="1"/>
    <w:qFormat/>
    <w:rsid w:val="008F7491"/>
    <w:pPr>
      <w:spacing w:after="0" w:line="240" w:lineRule="auto"/>
      <w:jc w:val="both"/>
    </w:pPr>
    <w:rPr>
      <w:rFonts w:ascii="Arial" w:eastAsia="Times New Roman" w:hAnsi="Arial" w:cs="Times New Roman"/>
      <w:color w:val="000000"/>
      <w:sz w:val="20"/>
      <w:szCs w:val="20"/>
      <w:lang w:eastAsia="en-AU"/>
    </w:rPr>
  </w:style>
  <w:style w:type="numbering" w:customStyle="1" w:styleId="Numbers">
    <w:name w:val="Numbers"/>
    <w:uiPriority w:val="99"/>
    <w:rsid w:val="008F7491"/>
    <w:pPr>
      <w:numPr>
        <w:numId w:val="6"/>
      </w:numPr>
    </w:pPr>
  </w:style>
  <w:style w:type="character" w:customStyle="1" w:styleId="A5">
    <w:name w:val="A5"/>
    <w:uiPriority w:val="99"/>
    <w:rsid w:val="008F7491"/>
    <w:rPr>
      <w:rFonts w:cs="Swiss 721 BT"/>
      <w:color w:val="000000"/>
      <w:sz w:val="20"/>
      <w:szCs w:val="20"/>
    </w:rPr>
  </w:style>
  <w:style w:type="paragraph" w:customStyle="1" w:styleId="OutlineNumbered37">
    <w:name w:val="Outline Numbered 3.7"/>
    <w:basedOn w:val="OutlineNumbered3"/>
    <w:qFormat/>
    <w:rsid w:val="008F7491"/>
    <w:pPr>
      <w:numPr>
        <w:numId w:val="7"/>
      </w:numPr>
      <w:tabs>
        <w:tab w:val="clear" w:pos="1416"/>
        <w:tab w:val="left" w:pos="709"/>
      </w:tabs>
      <w:ind w:left="0" w:firstLine="0"/>
    </w:pPr>
    <w:rPr>
      <w:color w:val="auto"/>
    </w:rPr>
  </w:style>
  <w:style w:type="paragraph" w:customStyle="1" w:styleId="OutlineNumbered372">
    <w:name w:val="Outline Numbered 3.7.2"/>
    <w:basedOn w:val="OutlineNumbered37"/>
    <w:qFormat/>
    <w:rsid w:val="008F7491"/>
    <w:pPr>
      <w:numPr>
        <w:ilvl w:val="0"/>
        <w:numId w:val="8"/>
      </w:numPr>
      <w:ind w:left="0" w:firstLine="0"/>
    </w:pPr>
  </w:style>
  <w:style w:type="paragraph" w:customStyle="1" w:styleId="OutlineNumbered373">
    <w:name w:val="Outline Numbered 3.7.3"/>
    <w:basedOn w:val="OutlineNumbered372"/>
    <w:qFormat/>
    <w:rsid w:val="008F7491"/>
    <w:pPr>
      <w:numPr>
        <w:numId w:val="9"/>
      </w:numPr>
      <w:ind w:left="0" w:firstLine="0"/>
    </w:pPr>
  </w:style>
  <w:style w:type="paragraph" w:customStyle="1" w:styleId="Heading2Appendix">
    <w:name w:val="Heading 2 (Appendix)"/>
    <w:basedOn w:val="Heading2notnumbered"/>
    <w:qFormat/>
    <w:rsid w:val="0088121D"/>
    <w:pPr>
      <w:spacing w:before="240"/>
      <w:outlineLvl w:val="9"/>
    </w:pPr>
    <w:rPr>
      <w:caps/>
      <w:smallCaps/>
    </w:rPr>
  </w:style>
  <w:style w:type="paragraph" w:customStyle="1" w:styleId="OutlineNumbered1Hidden">
    <w:name w:val="Outline Numbered 1 (Hidden)"/>
    <w:basedOn w:val="OutlineNumbered1"/>
    <w:qFormat/>
    <w:rsid w:val="008F7491"/>
    <w:pPr>
      <w:spacing w:after="0" w:line="240" w:lineRule="auto"/>
      <w:ind w:left="471" w:hanging="471"/>
    </w:pPr>
    <w:rPr>
      <w:vanish/>
    </w:rPr>
  </w:style>
  <w:style w:type="paragraph" w:customStyle="1" w:styleId="OutlineNumbered2Hidden">
    <w:name w:val="Outline Numbered 2 (Hidden)"/>
    <w:basedOn w:val="OutlineNumbered2"/>
    <w:qFormat/>
    <w:rsid w:val="008F7491"/>
    <w:rPr>
      <w:vanish/>
    </w:rPr>
  </w:style>
  <w:style w:type="paragraph" w:styleId="Revision">
    <w:name w:val="Revision"/>
    <w:hidden/>
    <w:uiPriority w:val="99"/>
    <w:semiHidden/>
    <w:rsid w:val="008F7491"/>
    <w:pPr>
      <w:spacing w:after="0" w:line="240" w:lineRule="auto"/>
    </w:pPr>
    <w:rPr>
      <w:rFonts w:ascii="Arial" w:eastAsia="Times New Roman" w:hAnsi="Arial" w:cs="Times New Roman"/>
      <w:color w:val="000000"/>
      <w:sz w:val="20"/>
      <w:szCs w:val="20"/>
      <w:lang w:eastAsia="en-AU"/>
    </w:rPr>
  </w:style>
  <w:style w:type="paragraph" w:customStyle="1" w:styleId="Heading3Appendix">
    <w:name w:val="Heading 3 (Appendix)"/>
    <w:basedOn w:val="Heading3notnumbered"/>
    <w:rsid w:val="00263E2D"/>
    <w:rPr>
      <w:color w:val="74000E" w:themeColor="accent1"/>
    </w:rPr>
  </w:style>
  <w:style w:type="paragraph" w:customStyle="1" w:styleId="OutlineNumbered43">
    <w:name w:val="Outline Numbered 4.3"/>
    <w:basedOn w:val="OutlineNumbered3"/>
    <w:rsid w:val="00E332DE"/>
    <w:pPr>
      <w:numPr>
        <w:ilvl w:val="0"/>
        <w:numId w:val="11"/>
      </w:numPr>
      <w:tabs>
        <w:tab w:val="left" w:pos="709"/>
      </w:tabs>
      <w:ind w:left="709" w:hanging="709"/>
    </w:pPr>
  </w:style>
  <w:style w:type="paragraph" w:customStyle="1" w:styleId="OutlineNumbered44">
    <w:name w:val="Outline Numbered 4.4"/>
    <w:basedOn w:val="OutlineNumbered43"/>
    <w:rsid w:val="00620E8A"/>
    <w:pPr>
      <w:numPr>
        <w:numId w:val="12"/>
      </w:numPr>
      <w:ind w:left="709" w:hanging="709"/>
    </w:pPr>
  </w:style>
  <w:style w:type="paragraph" w:customStyle="1" w:styleId="OutlineNumbered45">
    <w:name w:val="Outline Numbered 4.5"/>
    <w:basedOn w:val="OutlineNumbered44"/>
    <w:rsid w:val="00620E8A"/>
    <w:pPr>
      <w:numPr>
        <w:numId w:val="13"/>
      </w:numPr>
      <w:ind w:left="709" w:hanging="709"/>
    </w:pPr>
  </w:style>
  <w:style w:type="paragraph" w:customStyle="1" w:styleId="OutlineNumbered46">
    <w:name w:val="Outline Numbered 4.6"/>
    <w:basedOn w:val="OutlineNumbered45"/>
    <w:rsid w:val="00620E8A"/>
    <w:pPr>
      <w:numPr>
        <w:numId w:val="14"/>
      </w:numPr>
      <w:ind w:left="709" w:hanging="709"/>
    </w:pPr>
  </w:style>
  <w:style w:type="character" w:customStyle="1" w:styleId="BulletChar">
    <w:name w:val="Bullet Char"/>
    <w:basedOn w:val="DefaultParagraphFont"/>
    <w:link w:val="Bullet"/>
    <w:rsid w:val="0082702F"/>
    <w:rPr>
      <w:rFonts w:ascii="Arial" w:eastAsia="Times New Roman" w:hAnsi="Arial" w:cs="Times New Roman"/>
      <w:color w:val="000000"/>
      <w:sz w:val="20"/>
      <w:szCs w:val="20"/>
      <w:lang w:eastAsia="en-AU"/>
    </w:rPr>
  </w:style>
  <w:style w:type="table" w:styleId="LightShading-Accent1">
    <w:name w:val="Light Shading Accent 1"/>
    <w:basedOn w:val="TableNormal"/>
    <w:uiPriority w:val="60"/>
    <w:rsid w:val="00EA0004"/>
    <w:pPr>
      <w:spacing w:after="0" w:line="240" w:lineRule="auto"/>
    </w:pPr>
    <w:rPr>
      <w:color w:val="56000A" w:themeColor="accent1" w:themeShade="BF"/>
    </w:rPr>
    <w:tblPr>
      <w:tblStyleRowBandSize w:val="1"/>
      <w:tblStyleColBandSize w:val="1"/>
      <w:tblBorders>
        <w:top w:val="single" w:sz="8" w:space="0" w:color="74000E" w:themeColor="accent1"/>
        <w:bottom w:val="single" w:sz="8" w:space="0" w:color="74000E" w:themeColor="accent1"/>
      </w:tblBorders>
    </w:tblPr>
    <w:tblStylePr w:type="firstRow">
      <w:pPr>
        <w:spacing w:before="0" w:after="0" w:line="240" w:lineRule="auto"/>
      </w:pPr>
      <w:rPr>
        <w:b/>
        <w:bCs/>
      </w:rPr>
      <w:tblPr/>
      <w:tcPr>
        <w:tcBorders>
          <w:top w:val="single" w:sz="8" w:space="0" w:color="74000E" w:themeColor="accent1"/>
          <w:left w:val="nil"/>
          <w:bottom w:val="single" w:sz="8" w:space="0" w:color="74000E" w:themeColor="accent1"/>
          <w:right w:val="nil"/>
          <w:insideH w:val="nil"/>
          <w:insideV w:val="nil"/>
        </w:tcBorders>
      </w:tcPr>
    </w:tblStylePr>
    <w:tblStylePr w:type="lastRow">
      <w:pPr>
        <w:spacing w:before="0" w:after="0" w:line="240" w:lineRule="auto"/>
      </w:pPr>
      <w:rPr>
        <w:b/>
        <w:bCs/>
      </w:rPr>
      <w:tblPr/>
      <w:tcPr>
        <w:tcBorders>
          <w:top w:val="single" w:sz="8" w:space="0" w:color="74000E" w:themeColor="accent1"/>
          <w:left w:val="nil"/>
          <w:bottom w:val="single" w:sz="8" w:space="0" w:color="74000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9DA8" w:themeFill="accent1" w:themeFillTint="3F"/>
      </w:tcPr>
    </w:tblStylePr>
    <w:tblStylePr w:type="band1Horz">
      <w:tblPr/>
      <w:tcPr>
        <w:tcBorders>
          <w:left w:val="nil"/>
          <w:right w:val="nil"/>
          <w:insideH w:val="nil"/>
          <w:insideV w:val="nil"/>
        </w:tcBorders>
        <w:shd w:val="clear" w:color="auto" w:fill="FF9DA8" w:themeFill="accent1" w:themeFillTint="3F"/>
      </w:tcPr>
    </w:tblStylePr>
  </w:style>
  <w:style w:type="table" w:styleId="LightShading">
    <w:name w:val="Light Shading"/>
    <w:basedOn w:val="TableNormal"/>
    <w:uiPriority w:val="60"/>
    <w:rsid w:val="00EA000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aption">
    <w:name w:val="caption"/>
    <w:basedOn w:val="Normal"/>
    <w:next w:val="Normal"/>
    <w:autoRedefine/>
    <w:unhideWhenUsed/>
    <w:qFormat/>
    <w:rsid w:val="000B1493"/>
    <w:pPr>
      <w:keepNext/>
      <w:spacing w:after="200" w:line="240" w:lineRule="auto"/>
      <w:jc w:val="left"/>
    </w:pPr>
    <w:rPr>
      <w:b/>
      <w:bCs/>
      <w:snapToGrid w:val="0"/>
      <w:color w:val="74000E" w:themeColor="accent1"/>
      <w:sz w:val="18"/>
      <w:szCs w:val="18"/>
    </w:rPr>
  </w:style>
  <w:style w:type="paragraph" w:customStyle="1" w:styleId="HeadingCoverPage">
    <w:name w:val="Heading Cover Page"/>
    <w:basedOn w:val="Normal"/>
    <w:next w:val="Normal"/>
    <w:uiPriority w:val="99"/>
    <w:rsid w:val="00263E2D"/>
    <w:pPr>
      <w:kinsoku w:val="0"/>
      <w:overflowPunct w:val="0"/>
      <w:autoSpaceDE w:val="0"/>
      <w:autoSpaceDN w:val="0"/>
      <w:adjustRightInd w:val="0"/>
      <w:snapToGrid w:val="0"/>
      <w:spacing w:after="0" w:line="240" w:lineRule="auto"/>
      <w:ind w:left="-850" w:right="-510"/>
      <w:jc w:val="left"/>
    </w:pPr>
    <w:rPr>
      <w:rFonts w:cs="Arial"/>
      <w:b/>
      <w:bCs/>
      <w:snapToGrid w:val="0"/>
      <w:color w:val="0E4E77" w:themeColor="accent6"/>
      <w:sz w:val="56"/>
      <w:szCs w:val="56"/>
      <w:lang w:eastAsia="en-US"/>
    </w:rPr>
  </w:style>
  <w:style w:type="paragraph" w:customStyle="1" w:styleId="Bullet1">
    <w:name w:val="Bullet 1"/>
    <w:basedOn w:val="Bullet"/>
    <w:rsid w:val="0082702F"/>
    <w:pPr>
      <w:ind w:left="1134"/>
    </w:pPr>
  </w:style>
  <w:style w:type="paragraph" w:customStyle="1" w:styleId="Bullet2">
    <w:name w:val="Bullet 2"/>
    <w:basedOn w:val="Bullet1"/>
    <w:rsid w:val="00844854"/>
    <w:pPr>
      <w:numPr>
        <w:numId w:val="0"/>
      </w:numPr>
      <w:tabs>
        <w:tab w:val="num" w:pos="1276"/>
      </w:tabs>
      <w:ind w:left="1276" w:hanging="284"/>
    </w:pPr>
  </w:style>
  <w:style w:type="paragraph" w:customStyle="1" w:styleId="Bullet3">
    <w:name w:val="Bullet 3"/>
    <w:basedOn w:val="Bullet2"/>
    <w:rsid w:val="00844854"/>
    <w:pPr>
      <w:numPr>
        <w:ilvl w:val="2"/>
      </w:numPr>
      <w:tabs>
        <w:tab w:val="num" w:pos="1276"/>
      </w:tabs>
      <w:ind w:left="1276" w:hanging="284"/>
    </w:pPr>
  </w:style>
  <w:style w:type="paragraph" w:customStyle="1" w:styleId="Bullet4">
    <w:name w:val="Bullet 4"/>
    <w:basedOn w:val="Bullet3"/>
    <w:rsid w:val="00844854"/>
    <w:pPr>
      <w:numPr>
        <w:ilvl w:val="3"/>
      </w:numPr>
      <w:tabs>
        <w:tab w:val="num" w:pos="1276"/>
      </w:tabs>
      <w:ind w:left="1276" w:hanging="284"/>
    </w:pPr>
  </w:style>
  <w:style w:type="paragraph" w:customStyle="1" w:styleId="StyleTableTextNormal9ptText2Before3ptAfter2pt">
    <w:name w:val="Style Table Text Normal + 9 pt Text 2 Before:  3 pt After:  2 pt"/>
    <w:basedOn w:val="Normal"/>
    <w:uiPriority w:val="99"/>
    <w:rsid w:val="00844854"/>
    <w:pPr>
      <w:kinsoku w:val="0"/>
      <w:overflowPunct w:val="0"/>
      <w:autoSpaceDE w:val="0"/>
      <w:autoSpaceDN w:val="0"/>
      <w:adjustRightInd w:val="0"/>
      <w:snapToGrid w:val="0"/>
      <w:spacing w:before="60" w:after="40" w:line="240" w:lineRule="auto"/>
      <w:jc w:val="left"/>
    </w:pPr>
    <w:rPr>
      <w:rFonts w:asciiTheme="minorHAnsi" w:hAnsiTheme="minorHAnsi"/>
      <w:color w:val="E0301E"/>
      <w:sz w:val="18"/>
      <w:lang w:eastAsia="en-US"/>
    </w:rPr>
  </w:style>
  <w:style w:type="numbering" w:customStyle="1" w:styleId="Bullets">
    <w:name w:val="Bullets"/>
    <w:uiPriority w:val="99"/>
    <w:rsid w:val="00844854"/>
    <w:pPr>
      <w:numPr>
        <w:numId w:val="15"/>
      </w:numPr>
    </w:pPr>
  </w:style>
  <w:style w:type="character" w:customStyle="1" w:styleId="ListBulletChar">
    <w:name w:val="List Bullet Char"/>
    <w:basedOn w:val="DefaultParagraphFont"/>
    <w:link w:val="ListBullet"/>
    <w:uiPriority w:val="14"/>
    <w:locked/>
    <w:rsid w:val="00CA4FBB"/>
    <w:rPr>
      <w:rFonts w:cs="Arial"/>
      <w:color w:val="404040" w:themeColor="text1" w:themeTint="BF"/>
    </w:rPr>
  </w:style>
  <w:style w:type="paragraph" w:styleId="ListBullet">
    <w:name w:val="List Bullet"/>
    <w:basedOn w:val="Normal"/>
    <w:link w:val="ListBulletChar"/>
    <w:uiPriority w:val="14"/>
    <w:unhideWhenUsed/>
    <w:qFormat/>
    <w:rsid w:val="00CA4FBB"/>
    <w:pPr>
      <w:numPr>
        <w:numId w:val="16"/>
      </w:numPr>
      <w:kinsoku w:val="0"/>
      <w:overflowPunct w:val="0"/>
      <w:autoSpaceDE w:val="0"/>
      <w:autoSpaceDN w:val="0"/>
      <w:adjustRightInd w:val="0"/>
      <w:snapToGrid w:val="0"/>
      <w:spacing w:before="120" w:after="120" w:line="240" w:lineRule="auto"/>
      <w:jc w:val="left"/>
    </w:pPr>
    <w:rPr>
      <w:rFonts w:asciiTheme="minorHAnsi" w:eastAsiaTheme="minorHAnsi" w:hAnsiTheme="minorHAnsi" w:cs="Arial"/>
      <w:color w:val="404040" w:themeColor="text1" w:themeTint="BF"/>
      <w:sz w:val="22"/>
      <w:szCs w:val="22"/>
      <w:lang w:eastAsia="en-US"/>
    </w:rPr>
  </w:style>
  <w:style w:type="paragraph" w:styleId="ListBullet5">
    <w:name w:val="List Bullet 5"/>
    <w:basedOn w:val="Normal"/>
    <w:unhideWhenUsed/>
    <w:rsid w:val="00753176"/>
    <w:pPr>
      <w:numPr>
        <w:ilvl w:val="4"/>
        <w:numId w:val="16"/>
      </w:numPr>
      <w:kinsoku w:val="0"/>
      <w:overflowPunct w:val="0"/>
      <w:autoSpaceDE w:val="0"/>
      <w:autoSpaceDN w:val="0"/>
      <w:adjustRightInd w:val="0"/>
      <w:snapToGrid w:val="0"/>
      <w:spacing w:before="120" w:after="120" w:line="240" w:lineRule="auto"/>
      <w:contextualSpacing/>
      <w:jc w:val="left"/>
    </w:pPr>
    <w:rPr>
      <w:rFonts w:asciiTheme="minorHAnsi" w:hAnsiTheme="minorHAnsi" w:cs="Arial"/>
      <w:color w:val="404040" w:themeColor="text1" w:themeTint="BF"/>
      <w:lang w:eastAsia="en-US"/>
    </w:rPr>
  </w:style>
  <w:style w:type="paragraph" w:customStyle="1" w:styleId="Indent1">
    <w:name w:val="Indent 1"/>
    <w:basedOn w:val="Normal"/>
    <w:rsid w:val="000E2D13"/>
    <w:pPr>
      <w:numPr>
        <w:ilvl w:val="1"/>
        <w:numId w:val="17"/>
      </w:numPr>
      <w:kinsoku w:val="0"/>
      <w:overflowPunct w:val="0"/>
      <w:autoSpaceDE w:val="0"/>
      <w:autoSpaceDN w:val="0"/>
      <w:adjustRightInd w:val="0"/>
      <w:snapToGrid w:val="0"/>
      <w:spacing w:before="100" w:after="100" w:line="240" w:lineRule="auto"/>
      <w:jc w:val="left"/>
    </w:pPr>
    <w:rPr>
      <w:rFonts w:asciiTheme="minorHAnsi" w:hAnsiTheme="minorHAnsi"/>
      <w:color w:val="404040" w:themeColor="text1" w:themeTint="BF"/>
      <w:lang w:eastAsia="en-US"/>
    </w:rPr>
  </w:style>
  <w:style w:type="paragraph" w:customStyle="1" w:styleId="Indent2">
    <w:name w:val="Indent 2"/>
    <w:basedOn w:val="Indent1"/>
    <w:rsid w:val="000E2D13"/>
    <w:pPr>
      <w:numPr>
        <w:ilvl w:val="2"/>
      </w:numPr>
    </w:pPr>
  </w:style>
  <w:style w:type="paragraph" w:customStyle="1" w:styleId="Indent3">
    <w:name w:val="Indent 3"/>
    <w:basedOn w:val="Indent2"/>
    <w:rsid w:val="000E2D13"/>
    <w:pPr>
      <w:numPr>
        <w:ilvl w:val="3"/>
      </w:numPr>
    </w:pPr>
  </w:style>
  <w:style w:type="paragraph" w:customStyle="1" w:styleId="Indent4">
    <w:name w:val="Indent 4"/>
    <w:basedOn w:val="Indent3"/>
    <w:rsid w:val="000E2D13"/>
    <w:pPr>
      <w:numPr>
        <w:ilvl w:val="4"/>
      </w:numPr>
    </w:pPr>
  </w:style>
  <w:style w:type="character" w:customStyle="1" w:styleId="PwCNormalChar">
    <w:name w:val="PwC Normal Char"/>
    <w:basedOn w:val="DefaultParagraphFont"/>
    <w:link w:val="PwCNormal"/>
    <w:locked/>
    <w:rsid w:val="000E2D13"/>
    <w:rPr>
      <w:rFonts w:cs="Arial"/>
      <w:color w:val="404040" w:themeColor="text1" w:themeTint="BF"/>
    </w:rPr>
  </w:style>
  <w:style w:type="paragraph" w:customStyle="1" w:styleId="PwCNormal">
    <w:name w:val="PwC Normal"/>
    <w:basedOn w:val="Normal"/>
    <w:link w:val="PwCNormalChar"/>
    <w:qFormat/>
    <w:rsid w:val="000E2D13"/>
    <w:pPr>
      <w:numPr>
        <w:numId w:val="17"/>
      </w:numPr>
      <w:kinsoku w:val="0"/>
      <w:overflowPunct w:val="0"/>
      <w:autoSpaceDE w:val="0"/>
      <w:autoSpaceDN w:val="0"/>
      <w:adjustRightInd w:val="0"/>
      <w:snapToGrid w:val="0"/>
      <w:spacing w:before="120" w:after="120" w:line="240" w:lineRule="auto"/>
      <w:jc w:val="left"/>
    </w:pPr>
    <w:rPr>
      <w:rFonts w:asciiTheme="minorHAnsi" w:eastAsiaTheme="minorHAnsi" w:hAnsiTheme="minorHAnsi" w:cs="Arial"/>
      <w:color w:val="404040" w:themeColor="text1" w:themeTint="BF"/>
      <w:sz w:val="22"/>
      <w:szCs w:val="22"/>
      <w:lang w:eastAsia="en-US"/>
    </w:rPr>
  </w:style>
  <w:style w:type="paragraph" w:customStyle="1" w:styleId="Indent5">
    <w:name w:val="Indent 5"/>
    <w:basedOn w:val="Indent4"/>
    <w:rsid w:val="000E2D13"/>
    <w:pPr>
      <w:numPr>
        <w:ilvl w:val="5"/>
      </w:numPr>
    </w:pPr>
  </w:style>
  <w:style w:type="paragraph" w:customStyle="1" w:styleId="Indent6">
    <w:name w:val="Indent 6"/>
    <w:basedOn w:val="Indent5"/>
    <w:rsid w:val="000E2D13"/>
    <w:pPr>
      <w:numPr>
        <w:ilvl w:val="6"/>
      </w:numPr>
    </w:pPr>
  </w:style>
  <w:style w:type="paragraph" w:customStyle="1" w:styleId="Indent7">
    <w:name w:val="Indent 7"/>
    <w:basedOn w:val="Indent6"/>
    <w:rsid w:val="000E2D13"/>
    <w:pPr>
      <w:numPr>
        <w:ilvl w:val="7"/>
      </w:numPr>
    </w:pPr>
  </w:style>
  <w:style w:type="paragraph" w:customStyle="1" w:styleId="Indent8">
    <w:name w:val="Indent 8"/>
    <w:basedOn w:val="Indent7"/>
    <w:rsid w:val="000E2D13"/>
    <w:pPr>
      <w:numPr>
        <w:ilvl w:val="8"/>
      </w:numPr>
    </w:pPr>
  </w:style>
  <w:style w:type="character" w:customStyle="1" w:styleId="TableTextSmallChar">
    <w:name w:val="Table Text Small Char"/>
    <w:basedOn w:val="DefaultParagraphFont"/>
    <w:link w:val="TableTextSmall"/>
    <w:locked/>
    <w:rsid w:val="00740E4E"/>
    <w:rPr>
      <w:rFonts w:cs="Arial"/>
      <w:color w:val="404040" w:themeColor="text1" w:themeTint="BF"/>
      <w:sz w:val="16"/>
      <w:szCs w:val="18"/>
    </w:rPr>
  </w:style>
  <w:style w:type="paragraph" w:customStyle="1" w:styleId="TableTextSmall">
    <w:name w:val="Table Text Small"/>
    <w:basedOn w:val="Normal"/>
    <w:link w:val="TableTextSmallChar"/>
    <w:rsid w:val="00740E4E"/>
    <w:pPr>
      <w:kinsoku w:val="0"/>
      <w:overflowPunct w:val="0"/>
      <w:autoSpaceDE w:val="0"/>
      <w:autoSpaceDN w:val="0"/>
      <w:adjustRightInd w:val="0"/>
      <w:snapToGrid w:val="0"/>
      <w:spacing w:before="40" w:after="40" w:line="240" w:lineRule="auto"/>
      <w:jc w:val="left"/>
    </w:pPr>
    <w:rPr>
      <w:rFonts w:asciiTheme="minorHAnsi" w:eastAsiaTheme="minorHAnsi" w:hAnsiTheme="minorHAnsi" w:cs="Arial"/>
      <w:color w:val="404040" w:themeColor="text1" w:themeTint="BF"/>
      <w:sz w:val="16"/>
      <w:szCs w:val="18"/>
      <w:lang w:eastAsia="en-US"/>
    </w:rPr>
  </w:style>
  <w:style w:type="paragraph" w:customStyle="1" w:styleId="TableColumnHeadingSmall">
    <w:name w:val="Table Column Heading Small"/>
    <w:basedOn w:val="TableTextSmall"/>
    <w:next w:val="TableTextSmall"/>
    <w:rsid w:val="00740E4E"/>
    <w:pPr>
      <w:keepNext/>
      <w:keepLines/>
    </w:pPr>
    <w:rPr>
      <w:b/>
      <w:color w:val="F2D2D5" w:themeColor="background2"/>
      <w:szCs w:val="16"/>
    </w:rPr>
  </w:style>
  <w:style w:type="paragraph" w:customStyle="1" w:styleId="Heading3ExecutiveSummary">
    <w:name w:val="Heading 3 Executive Summary"/>
    <w:basedOn w:val="Heading3"/>
    <w:uiPriority w:val="99"/>
    <w:qFormat/>
    <w:rsid w:val="00740E4E"/>
    <w:pPr>
      <w:kinsoku w:val="0"/>
      <w:overflowPunct w:val="0"/>
      <w:autoSpaceDE w:val="0"/>
      <w:autoSpaceDN w:val="0"/>
      <w:adjustRightInd w:val="0"/>
      <w:snapToGrid w:val="0"/>
      <w:spacing w:before="240" w:after="40" w:line="320" w:lineRule="atLeast"/>
    </w:pPr>
    <w:rPr>
      <w:rFonts w:asciiTheme="minorHAnsi" w:hAnsiTheme="minorHAnsi"/>
      <w:color w:val="E03028"/>
      <w:sz w:val="28"/>
      <w:szCs w:val="20"/>
      <w:lang w:eastAsia="en-US"/>
    </w:rPr>
  </w:style>
  <w:style w:type="table" w:customStyle="1" w:styleId="ListTable3-Accent61">
    <w:name w:val="List Table 3 - Accent 61"/>
    <w:basedOn w:val="TableNormal"/>
    <w:uiPriority w:val="48"/>
    <w:rsid w:val="00740E4E"/>
    <w:pPr>
      <w:spacing w:after="0" w:line="240" w:lineRule="auto"/>
    </w:pPr>
    <w:rPr>
      <w:rFonts w:ascii="Georgia" w:eastAsia="Times New Roman" w:hAnsi="Georgia" w:cs="Times New Roman"/>
      <w:sz w:val="20"/>
      <w:szCs w:val="20"/>
      <w:lang w:eastAsia="en-AU"/>
    </w:rPr>
    <w:tblPr>
      <w:tblStyleRowBandSize w:val="1"/>
      <w:tblStyleColBandSize w:val="1"/>
      <w:tblInd w:w="0" w:type="nil"/>
      <w:tblBorders>
        <w:top w:val="single" w:sz="4" w:space="0" w:color="0E4E77" w:themeColor="accent6"/>
        <w:left w:val="single" w:sz="4" w:space="0" w:color="0E4E77" w:themeColor="accent6"/>
        <w:bottom w:val="single" w:sz="4" w:space="0" w:color="0E4E77" w:themeColor="accent6"/>
        <w:right w:val="single" w:sz="4" w:space="0" w:color="0E4E77" w:themeColor="accent6"/>
      </w:tblBorders>
    </w:tblPr>
    <w:tblStylePr w:type="firstRow">
      <w:rPr>
        <w:b/>
        <w:bCs/>
        <w:color w:val="FFFFFF" w:themeColor="background1"/>
      </w:rPr>
      <w:tblPr/>
      <w:tcPr>
        <w:shd w:val="clear" w:color="auto" w:fill="0E4E77" w:themeFill="accent6"/>
      </w:tcPr>
    </w:tblStylePr>
    <w:tblStylePr w:type="lastRow">
      <w:rPr>
        <w:b/>
        <w:bCs/>
        <w:color w:val="auto"/>
      </w:rPr>
      <w:tblPr/>
      <w:tcPr>
        <w:tcBorders>
          <w:top w:val="double" w:sz="4" w:space="0" w:color="0E4E7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E4E77" w:themeColor="accent6"/>
          <w:right w:val="single" w:sz="4" w:space="0" w:color="0E4E77" w:themeColor="accent6"/>
        </w:tcBorders>
      </w:tcPr>
    </w:tblStylePr>
    <w:tblStylePr w:type="band1Horz">
      <w:tblPr/>
      <w:tcPr>
        <w:tcBorders>
          <w:top w:val="single" w:sz="4" w:space="0" w:color="0E4E77" w:themeColor="accent6"/>
          <w:bottom w:val="single" w:sz="4" w:space="0" w:color="0E4E7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E4E77" w:themeColor="accent6"/>
          <w:left w:val="nil"/>
        </w:tcBorders>
      </w:tcPr>
    </w:tblStylePr>
    <w:tblStylePr w:type="swCell">
      <w:tblPr/>
      <w:tcPr>
        <w:tcBorders>
          <w:top w:val="double" w:sz="4" w:space="0" w:color="0E4E77" w:themeColor="accent6"/>
          <w:right w:val="nil"/>
        </w:tcBorders>
      </w:tcPr>
    </w:tblStylePr>
  </w:style>
  <w:style w:type="paragraph" w:customStyle="1" w:styleId="Sources">
    <w:name w:val="Sources"/>
    <w:basedOn w:val="Normal"/>
    <w:next w:val="PwCNormal"/>
    <w:rsid w:val="00B15BFA"/>
    <w:pPr>
      <w:kinsoku w:val="0"/>
      <w:overflowPunct w:val="0"/>
      <w:autoSpaceDE w:val="0"/>
      <w:autoSpaceDN w:val="0"/>
      <w:adjustRightInd w:val="0"/>
      <w:snapToGrid w:val="0"/>
      <w:spacing w:before="80" w:after="80" w:line="180" w:lineRule="atLeast"/>
      <w:jc w:val="left"/>
    </w:pPr>
    <w:rPr>
      <w:rFonts w:asciiTheme="minorHAnsi" w:hAnsiTheme="minorHAnsi" w:cs="Arial"/>
      <w:color w:val="E0301E"/>
      <w:sz w:val="16"/>
      <w:lang w:eastAsia="en-US"/>
    </w:rPr>
  </w:style>
  <w:style w:type="paragraph" w:customStyle="1" w:styleId="PwCNormal-keepwithnext">
    <w:name w:val="PwC Normal - keep with next"/>
    <w:basedOn w:val="PwCNormal"/>
    <w:uiPriority w:val="99"/>
    <w:qFormat/>
    <w:rsid w:val="00B15BFA"/>
    <w:pPr>
      <w:keepNext/>
      <w:numPr>
        <w:numId w:val="0"/>
      </w:numPr>
      <w:tabs>
        <w:tab w:val="num" w:pos="992"/>
      </w:tabs>
      <w:ind w:left="992" w:hanging="283"/>
    </w:pPr>
  </w:style>
  <w:style w:type="table" w:customStyle="1" w:styleId="SmartTextTable1">
    <w:name w:val="Smart Text Table1"/>
    <w:basedOn w:val="TableNormal"/>
    <w:next w:val="TableGrid"/>
    <w:uiPriority w:val="59"/>
    <w:rsid w:val="00B15BFA"/>
    <w:pPr>
      <w:kinsoku w:val="0"/>
      <w:overflowPunct w:val="0"/>
      <w:autoSpaceDE w:val="0"/>
      <w:autoSpaceDN w:val="0"/>
      <w:adjustRightInd w:val="0"/>
      <w:snapToGrid w:val="0"/>
      <w:spacing w:after="0" w:line="240" w:lineRule="auto"/>
    </w:pPr>
    <w:rPr>
      <w:rFonts w:ascii="Georgia" w:eastAsia="Times New Roman" w:hAnsi="Georgia" w:cs="Times New Roman"/>
      <w:sz w:val="20"/>
      <w:szCs w:val="20"/>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ExecutiveSummaryChar">
    <w:name w:val="Heading 2 Executive Summary Char"/>
    <w:basedOn w:val="DefaultParagraphFont"/>
    <w:link w:val="Heading2ExecutiveSummary"/>
    <w:uiPriority w:val="99"/>
    <w:locked/>
    <w:rsid w:val="00A4013A"/>
    <w:rPr>
      <w:rFonts w:asciiTheme="majorHAnsi" w:eastAsiaTheme="majorEastAsia" w:hAnsiTheme="majorHAnsi" w:cs="Arial"/>
      <w:bCs/>
      <w:iCs/>
      <w:smallCaps/>
      <w:color w:val="E0301E"/>
      <w:sz w:val="32"/>
      <w:szCs w:val="36"/>
    </w:rPr>
  </w:style>
  <w:style w:type="paragraph" w:customStyle="1" w:styleId="Heading2ExecutiveSummary">
    <w:name w:val="Heading 2 Executive Summary"/>
    <w:basedOn w:val="Heading2"/>
    <w:link w:val="Heading2ExecutiveSummaryChar"/>
    <w:uiPriority w:val="99"/>
    <w:qFormat/>
    <w:rsid w:val="00A4013A"/>
    <w:pPr>
      <w:keepLines/>
      <w:numPr>
        <w:numId w:val="19"/>
      </w:numPr>
      <w:tabs>
        <w:tab w:val="clear" w:pos="709"/>
      </w:tabs>
      <w:kinsoku w:val="0"/>
      <w:overflowPunct w:val="0"/>
      <w:autoSpaceDE w:val="0"/>
      <w:autoSpaceDN w:val="0"/>
      <w:adjustRightInd w:val="0"/>
      <w:snapToGrid w:val="0"/>
      <w:spacing w:after="0"/>
    </w:pPr>
    <w:rPr>
      <w:rFonts w:asciiTheme="majorHAnsi" w:eastAsiaTheme="majorEastAsia" w:hAnsiTheme="majorHAnsi"/>
      <w:b w:val="0"/>
      <w:smallCaps/>
      <w:color w:val="E0301E"/>
      <w:sz w:val="32"/>
      <w:szCs w:val="36"/>
      <w:lang w:eastAsia="en-US"/>
    </w:rPr>
  </w:style>
  <w:style w:type="character" w:customStyle="1" w:styleId="MinorheadingChar">
    <w:name w:val="Minor heading Char"/>
    <w:basedOn w:val="DefaultParagraphFont"/>
    <w:link w:val="Minorheading"/>
    <w:locked/>
    <w:rsid w:val="006F28AC"/>
    <w:rPr>
      <w:rFonts w:asciiTheme="majorHAnsi" w:hAnsiTheme="majorHAnsi" w:cs="Arial"/>
      <w:i/>
      <w:color w:val="E0301E"/>
      <w:szCs w:val="24"/>
    </w:rPr>
  </w:style>
  <w:style w:type="paragraph" w:customStyle="1" w:styleId="Minorheading">
    <w:name w:val="Minor heading"/>
    <w:basedOn w:val="Normal"/>
    <w:next w:val="PwCNormal"/>
    <w:link w:val="MinorheadingChar"/>
    <w:rsid w:val="006F28AC"/>
    <w:pPr>
      <w:keepNext/>
      <w:keepLines/>
      <w:kinsoku w:val="0"/>
      <w:overflowPunct w:val="0"/>
      <w:autoSpaceDE w:val="0"/>
      <w:autoSpaceDN w:val="0"/>
      <w:adjustRightInd w:val="0"/>
      <w:snapToGrid w:val="0"/>
      <w:spacing w:before="240" w:after="120" w:line="180" w:lineRule="atLeast"/>
      <w:jc w:val="left"/>
    </w:pPr>
    <w:rPr>
      <w:rFonts w:asciiTheme="majorHAnsi" w:eastAsiaTheme="minorHAnsi" w:hAnsiTheme="majorHAnsi" w:cs="Arial"/>
      <w:i/>
      <w:color w:val="E0301E"/>
      <w:sz w:val="22"/>
      <w:szCs w:val="24"/>
      <w:lang w:eastAsia="en-US"/>
    </w:rPr>
  </w:style>
  <w:style w:type="paragraph" w:customStyle="1" w:styleId="TableTextSmalltopic">
    <w:name w:val="Table Text Small topic"/>
    <w:basedOn w:val="TableTextSmall"/>
    <w:uiPriority w:val="99"/>
    <w:qFormat/>
    <w:rsid w:val="006F28AC"/>
    <w:rPr>
      <w:b/>
    </w:rPr>
  </w:style>
  <w:style w:type="table" w:customStyle="1" w:styleId="Tables-APBase">
    <w:name w:val="Tables - AP Base"/>
    <w:basedOn w:val="TableNormal"/>
    <w:rsid w:val="006F28AC"/>
    <w:pPr>
      <w:spacing w:after="0" w:line="240" w:lineRule="auto"/>
    </w:pPr>
    <w:rPr>
      <w:rFonts w:ascii="Georgia" w:eastAsia="Times New Roman" w:hAnsi="Georgia" w:cs="Times New Roman"/>
      <w:sz w:val="20"/>
      <w:szCs w:val="20"/>
      <w:lang w:eastAsia="en-AU"/>
    </w:rPr>
    <w:tblPr>
      <w:tblStyleRowBandSize w:val="1"/>
      <w:tblStyleColBandSize w:val="1"/>
      <w:tblInd w:w="0" w:type="nil"/>
      <w:tblBorders>
        <w:top w:val="single" w:sz="4" w:space="0" w:color="FFFFFF"/>
        <w:left w:val="single" w:sz="4" w:space="0" w:color="FFFFFF"/>
        <w:bottom w:val="single" w:sz="6" w:space="0" w:color="CEDBE3" w:themeColor="text2"/>
        <w:right w:val="single" w:sz="4" w:space="0" w:color="FFFFFF"/>
        <w:insideH w:val="single" w:sz="6" w:space="0" w:color="CEDBE3" w:themeColor="text2"/>
        <w:insideV w:val="single" w:sz="4" w:space="0" w:color="FFFFFF"/>
      </w:tblBorders>
    </w:tblPr>
    <w:tcPr>
      <w:shd w:val="clear" w:color="auto" w:fill="F2D2D5" w:themeFill="background2"/>
    </w:tcPr>
    <w:tblStylePr w:type="firstRow">
      <w:pPr>
        <w:jc w:val="left"/>
      </w:pPr>
      <w:rPr>
        <w:rFonts w:ascii="Georgia" w:hAnsi="Georgia" w:hint="default"/>
        <w:b w:val="0"/>
        <w:color w:val="auto"/>
      </w:rPr>
      <w:tblPr/>
      <w:tcPr>
        <w:shd w:val="clear" w:color="auto" w:fill="CEDBE3" w:themeFill="text2"/>
        <w:vAlign w:val="bottom"/>
      </w:tcPr>
    </w:tblStylePr>
    <w:tblStylePr w:type="lastRow">
      <w:rPr>
        <w:color w:val="auto"/>
      </w:rPr>
      <w:tblPr/>
      <w:tcPr>
        <w:tcBorders>
          <w:top w:val="single" w:sz="4" w:space="0" w:color="CEDBE3" w:themeColor="text2"/>
        </w:tcBorders>
      </w:tcPr>
    </w:tblStylePr>
    <w:tblStylePr w:type="nwCell">
      <w:pPr>
        <w:jc w:val="left"/>
      </w:pPr>
      <w:tblPr/>
      <w:tcPr>
        <w:vAlign w:val="bottom"/>
      </w:tcPr>
    </w:tblStylePr>
  </w:style>
  <w:style w:type="table" w:customStyle="1" w:styleId="SmartTextTable2">
    <w:name w:val="Smart Text Table2"/>
    <w:basedOn w:val="TableNormal"/>
    <w:next w:val="TableGrid"/>
    <w:uiPriority w:val="59"/>
    <w:rsid w:val="000F09DE"/>
    <w:pPr>
      <w:kinsoku w:val="0"/>
      <w:overflowPunct w:val="0"/>
      <w:autoSpaceDE w:val="0"/>
      <w:autoSpaceDN w:val="0"/>
      <w:adjustRightInd w:val="0"/>
      <w:snapToGrid w:val="0"/>
      <w:spacing w:after="0" w:line="240" w:lineRule="auto"/>
    </w:pPr>
    <w:rPr>
      <w:rFonts w:ascii="Georgia" w:eastAsia="Times New Roman" w:hAnsi="Georgia" w:cs="Times New Roman"/>
      <w:sz w:val="20"/>
      <w:szCs w:val="20"/>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6">
    <w:name w:val="Light List Accent 6"/>
    <w:basedOn w:val="TableNormal"/>
    <w:uiPriority w:val="61"/>
    <w:rsid w:val="00F32D7E"/>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0E4E77" w:themeColor="accent6"/>
        <w:left w:val="single" w:sz="8" w:space="0" w:color="0E4E77" w:themeColor="accent6"/>
        <w:bottom w:val="single" w:sz="8" w:space="0" w:color="0E4E77" w:themeColor="accent6"/>
        <w:right w:val="single" w:sz="8" w:space="0" w:color="0E4E77" w:themeColor="accent6"/>
      </w:tblBorders>
    </w:tblPr>
    <w:tblStylePr w:type="firstRow">
      <w:pPr>
        <w:spacing w:before="0" w:after="0" w:line="240" w:lineRule="auto"/>
      </w:pPr>
      <w:rPr>
        <w:b/>
        <w:bCs/>
        <w:color w:val="FFFFFF" w:themeColor="background1"/>
      </w:rPr>
      <w:tblPr/>
      <w:tcPr>
        <w:shd w:val="clear" w:color="auto" w:fill="0E4E77" w:themeFill="accent6"/>
      </w:tcPr>
    </w:tblStylePr>
    <w:tblStylePr w:type="lastRow">
      <w:pPr>
        <w:spacing w:before="0" w:after="0" w:line="240" w:lineRule="auto"/>
      </w:pPr>
      <w:rPr>
        <w:b/>
        <w:bCs/>
      </w:rPr>
      <w:tblPr/>
      <w:tcPr>
        <w:tcBorders>
          <w:top w:val="double" w:sz="6" w:space="0" w:color="0E4E77" w:themeColor="accent6"/>
          <w:left w:val="single" w:sz="8" w:space="0" w:color="0E4E77" w:themeColor="accent6"/>
          <w:bottom w:val="single" w:sz="8" w:space="0" w:color="0E4E77" w:themeColor="accent6"/>
          <w:right w:val="single" w:sz="8" w:space="0" w:color="0E4E77" w:themeColor="accent6"/>
        </w:tcBorders>
      </w:tcPr>
    </w:tblStylePr>
    <w:tblStylePr w:type="firstCol">
      <w:rPr>
        <w:b/>
        <w:bCs/>
      </w:rPr>
    </w:tblStylePr>
    <w:tblStylePr w:type="lastCol">
      <w:rPr>
        <w:b/>
        <w:bCs/>
      </w:rPr>
    </w:tblStylePr>
    <w:tblStylePr w:type="band1Vert">
      <w:tblPr/>
      <w:tcPr>
        <w:tcBorders>
          <w:top w:val="single" w:sz="8" w:space="0" w:color="0E4E77" w:themeColor="accent6"/>
          <w:left w:val="single" w:sz="8" w:space="0" w:color="0E4E77" w:themeColor="accent6"/>
          <w:bottom w:val="single" w:sz="8" w:space="0" w:color="0E4E77" w:themeColor="accent6"/>
          <w:right w:val="single" w:sz="8" w:space="0" w:color="0E4E77" w:themeColor="accent6"/>
        </w:tcBorders>
      </w:tcPr>
    </w:tblStylePr>
    <w:tblStylePr w:type="band1Horz">
      <w:tblPr/>
      <w:tcPr>
        <w:tcBorders>
          <w:top w:val="single" w:sz="8" w:space="0" w:color="0E4E77" w:themeColor="accent6"/>
          <w:left w:val="single" w:sz="8" w:space="0" w:color="0E4E77" w:themeColor="accent6"/>
          <w:bottom w:val="single" w:sz="8" w:space="0" w:color="0E4E77" w:themeColor="accent6"/>
          <w:right w:val="single" w:sz="8" w:space="0" w:color="0E4E77" w:themeColor="accent6"/>
        </w:tcBorders>
      </w:tcPr>
    </w:tblStylePr>
  </w:style>
  <w:style w:type="numbering" w:customStyle="1" w:styleId="NormalWhiteBullet">
    <w:name w:val="Normal White Bullet"/>
    <w:uiPriority w:val="99"/>
    <w:rsid w:val="00F7050D"/>
    <w:pPr>
      <w:numPr>
        <w:numId w:val="21"/>
      </w:numPr>
    </w:pPr>
  </w:style>
  <w:style w:type="paragraph" w:customStyle="1" w:styleId="TableTextNormalWhiteBullet">
    <w:name w:val="Table Text Normal White Bullet"/>
    <w:basedOn w:val="Normal"/>
    <w:uiPriority w:val="99"/>
    <w:qFormat/>
    <w:rsid w:val="00F7050D"/>
    <w:pPr>
      <w:numPr>
        <w:numId w:val="21"/>
      </w:numPr>
      <w:kinsoku w:val="0"/>
      <w:overflowPunct w:val="0"/>
      <w:autoSpaceDE w:val="0"/>
      <w:autoSpaceDN w:val="0"/>
      <w:adjustRightInd w:val="0"/>
      <w:snapToGrid w:val="0"/>
      <w:spacing w:before="40" w:after="40" w:line="240" w:lineRule="auto"/>
      <w:jc w:val="left"/>
    </w:pPr>
    <w:rPr>
      <w:rFonts w:asciiTheme="minorHAnsi" w:hAnsiTheme="minorHAnsi" w:cs="Arial"/>
      <w:snapToGrid w:val="0"/>
      <w:color w:val="FFFFFF" w:themeColor="background1"/>
      <w:lang w:eastAsia="en-US"/>
    </w:rPr>
  </w:style>
  <w:style w:type="paragraph" w:styleId="ListContinue">
    <w:name w:val="List Continue"/>
    <w:basedOn w:val="Normal"/>
    <w:semiHidden/>
    <w:rsid w:val="00981EB7"/>
    <w:pPr>
      <w:kinsoku w:val="0"/>
      <w:overflowPunct w:val="0"/>
      <w:autoSpaceDE w:val="0"/>
      <w:autoSpaceDN w:val="0"/>
      <w:adjustRightInd w:val="0"/>
      <w:snapToGrid w:val="0"/>
      <w:spacing w:after="120" w:line="240" w:lineRule="auto"/>
      <w:ind w:left="283"/>
      <w:contextualSpacing/>
      <w:jc w:val="left"/>
    </w:pPr>
    <w:rPr>
      <w:rFonts w:asciiTheme="minorHAnsi" w:hAnsiTheme="minorHAnsi" w:cs="Arial"/>
      <w:snapToGrid w:val="0"/>
      <w:color w:val="404040" w:themeColor="text1" w:themeTint="BF"/>
      <w:lang w:eastAsia="en-US"/>
    </w:rPr>
  </w:style>
  <w:style w:type="table" w:customStyle="1" w:styleId="SmartTextTable3">
    <w:name w:val="Smart Text Table3"/>
    <w:basedOn w:val="TableNormal"/>
    <w:next w:val="TableGrid"/>
    <w:uiPriority w:val="59"/>
    <w:rsid w:val="00185BD9"/>
    <w:pPr>
      <w:kinsoku w:val="0"/>
      <w:overflowPunct w:val="0"/>
      <w:autoSpaceDE w:val="0"/>
      <w:autoSpaceDN w:val="0"/>
      <w:adjustRightInd w:val="0"/>
      <w:snapToGrid w:val="0"/>
      <w:spacing w:after="0" w:line="240" w:lineRule="auto"/>
    </w:pPr>
    <w:rPr>
      <w:rFonts w:ascii="Georgia" w:eastAsia="Times New Roman" w:hAnsi="Georgia" w:cs="Times New Roman"/>
      <w:sz w:val="20"/>
      <w:szCs w:val="20"/>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martTextTable4">
    <w:name w:val="Smart Text Table4"/>
    <w:basedOn w:val="TableNormal"/>
    <w:next w:val="TableGrid"/>
    <w:uiPriority w:val="59"/>
    <w:rsid w:val="00185BD9"/>
    <w:pPr>
      <w:kinsoku w:val="0"/>
      <w:overflowPunct w:val="0"/>
      <w:autoSpaceDE w:val="0"/>
      <w:autoSpaceDN w:val="0"/>
      <w:adjustRightInd w:val="0"/>
      <w:snapToGrid w:val="0"/>
      <w:spacing w:after="0" w:line="240" w:lineRule="auto"/>
    </w:pPr>
    <w:rPr>
      <w:rFonts w:ascii="Georgia" w:eastAsia="Times New Roman" w:hAnsi="Georgia" w:cs="Times New Roman"/>
      <w:sz w:val="20"/>
      <w:szCs w:val="20"/>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846E1"/>
    <w:rPr>
      <w:i/>
      <w:iCs/>
    </w:rPr>
  </w:style>
  <w:style w:type="table" w:customStyle="1" w:styleId="SmartTextTable5">
    <w:name w:val="Smart Text Table5"/>
    <w:basedOn w:val="TableNormal"/>
    <w:next w:val="TableGrid"/>
    <w:uiPriority w:val="59"/>
    <w:rsid w:val="001E7D00"/>
    <w:pPr>
      <w:kinsoku w:val="0"/>
      <w:overflowPunct w:val="0"/>
      <w:autoSpaceDE w:val="0"/>
      <w:autoSpaceDN w:val="0"/>
      <w:adjustRightInd w:val="0"/>
      <w:snapToGrid w:val="0"/>
      <w:spacing w:after="0" w:line="240" w:lineRule="auto"/>
    </w:pPr>
    <w:rPr>
      <w:rFonts w:ascii="Georgia" w:eastAsia="Times New Roman" w:hAnsi="Georgia" w:cs="Times New Roman"/>
      <w:sz w:val="20"/>
      <w:szCs w:val="20"/>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martTextTable6">
    <w:name w:val="Smart Text Table6"/>
    <w:basedOn w:val="TableNormal"/>
    <w:next w:val="TableGrid"/>
    <w:uiPriority w:val="59"/>
    <w:rsid w:val="001E7D00"/>
    <w:pPr>
      <w:kinsoku w:val="0"/>
      <w:overflowPunct w:val="0"/>
      <w:autoSpaceDE w:val="0"/>
      <w:autoSpaceDN w:val="0"/>
      <w:adjustRightInd w:val="0"/>
      <w:snapToGrid w:val="0"/>
      <w:spacing w:after="0" w:line="240" w:lineRule="auto"/>
    </w:pPr>
    <w:rPr>
      <w:rFonts w:ascii="Georgia" w:eastAsia="Times New Roman" w:hAnsi="Georgia" w:cs="Times New Roman"/>
      <w:sz w:val="20"/>
      <w:szCs w:val="20"/>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DefaultParagraphFont"/>
    <w:rsid w:val="009578AE"/>
  </w:style>
  <w:style w:type="table" w:customStyle="1" w:styleId="SmartTextTable7">
    <w:name w:val="Smart Text Table7"/>
    <w:basedOn w:val="TableNormal"/>
    <w:next w:val="TableGrid"/>
    <w:uiPriority w:val="59"/>
    <w:rsid w:val="005F2620"/>
    <w:pPr>
      <w:kinsoku w:val="0"/>
      <w:overflowPunct w:val="0"/>
      <w:autoSpaceDE w:val="0"/>
      <w:autoSpaceDN w:val="0"/>
      <w:adjustRightInd w:val="0"/>
      <w:snapToGrid w:val="0"/>
      <w:spacing w:after="0" w:line="240" w:lineRule="auto"/>
    </w:pPr>
    <w:rPr>
      <w:rFonts w:ascii="Georgia" w:eastAsia="Times New Roman" w:hAnsi="Georgia"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2">
    <w:name w:val="List Table 3 Accent 2"/>
    <w:basedOn w:val="TableNormal"/>
    <w:uiPriority w:val="48"/>
    <w:rsid w:val="00CC53E3"/>
    <w:pPr>
      <w:spacing w:after="0" w:line="240" w:lineRule="auto"/>
    </w:pPr>
    <w:tblPr>
      <w:tblStyleRowBandSize w:val="1"/>
      <w:tblStyleColBandSize w:val="1"/>
      <w:tblBorders>
        <w:top w:val="single" w:sz="4" w:space="0" w:color="0E3044" w:themeColor="accent2"/>
        <w:left w:val="single" w:sz="4" w:space="0" w:color="0E3044" w:themeColor="accent2"/>
        <w:bottom w:val="single" w:sz="4" w:space="0" w:color="0E3044" w:themeColor="accent2"/>
        <w:right w:val="single" w:sz="4" w:space="0" w:color="0E3044" w:themeColor="accent2"/>
      </w:tblBorders>
    </w:tblPr>
    <w:tblStylePr w:type="firstRow">
      <w:rPr>
        <w:b/>
        <w:bCs/>
        <w:color w:val="FFFFFF" w:themeColor="background1"/>
      </w:rPr>
      <w:tblPr/>
      <w:tcPr>
        <w:shd w:val="clear" w:color="auto" w:fill="0E3044" w:themeFill="accent2"/>
      </w:tcPr>
    </w:tblStylePr>
    <w:tblStylePr w:type="lastRow">
      <w:rPr>
        <w:b/>
        <w:bCs/>
      </w:rPr>
      <w:tblPr/>
      <w:tcPr>
        <w:tcBorders>
          <w:top w:val="double" w:sz="4" w:space="0" w:color="0E3044"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E3044" w:themeColor="accent2"/>
          <w:right w:val="single" w:sz="4" w:space="0" w:color="0E3044" w:themeColor="accent2"/>
        </w:tcBorders>
      </w:tcPr>
    </w:tblStylePr>
    <w:tblStylePr w:type="band1Horz">
      <w:tblPr/>
      <w:tcPr>
        <w:tcBorders>
          <w:top w:val="single" w:sz="4" w:space="0" w:color="0E3044" w:themeColor="accent2"/>
          <w:bottom w:val="single" w:sz="4" w:space="0" w:color="0E3044"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E3044" w:themeColor="accent2"/>
          <w:left w:val="nil"/>
        </w:tcBorders>
      </w:tcPr>
    </w:tblStylePr>
    <w:tblStylePr w:type="swCell">
      <w:tblPr/>
      <w:tcPr>
        <w:tcBorders>
          <w:top w:val="double" w:sz="4" w:space="0" w:color="0E3044" w:themeColor="accent2"/>
          <w:right w:val="nil"/>
        </w:tcBorders>
      </w:tcPr>
    </w:tblStylePr>
  </w:style>
  <w:style w:type="paragraph" w:styleId="Subtitle">
    <w:name w:val="Subtitle"/>
    <w:basedOn w:val="Normal"/>
    <w:next w:val="Normal"/>
    <w:link w:val="SubtitleChar"/>
    <w:uiPriority w:val="11"/>
    <w:qFormat/>
    <w:rsid w:val="000C43B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0C43BA"/>
    <w:rPr>
      <w:rFonts w:eastAsiaTheme="minorEastAsia"/>
      <w:color w:val="5A5A5A" w:themeColor="text1" w:themeTint="A5"/>
      <w:spacing w:val="15"/>
      <w:lang w:eastAsia="en-AU"/>
    </w:rPr>
  </w:style>
  <w:style w:type="table" w:styleId="ListTable3-Accent1">
    <w:name w:val="List Table 3 Accent 1"/>
    <w:basedOn w:val="TableNormal"/>
    <w:uiPriority w:val="48"/>
    <w:rsid w:val="00854FF8"/>
    <w:pPr>
      <w:spacing w:after="0" w:line="240" w:lineRule="auto"/>
    </w:pPr>
    <w:tblPr>
      <w:tblStyleRowBandSize w:val="1"/>
      <w:tblStyleColBandSize w:val="1"/>
      <w:tblBorders>
        <w:top w:val="single" w:sz="4" w:space="0" w:color="74000E" w:themeColor="accent1"/>
        <w:left w:val="single" w:sz="4" w:space="0" w:color="74000E" w:themeColor="accent1"/>
        <w:bottom w:val="single" w:sz="4" w:space="0" w:color="74000E" w:themeColor="accent1"/>
        <w:right w:val="single" w:sz="4" w:space="0" w:color="74000E" w:themeColor="accent1"/>
      </w:tblBorders>
    </w:tblPr>
    <w:tblStylePr w:type="firstRow">
      <w:rPr>
        <w:b/>
        <w:bCs/>
        <w:color w:val="FFFFFF" w:themeColor="background1"/>
      </w:rPr>
      <w:tblPr/>
      <w:trPr>
        <w:tblHeader/>
      </w:trPr>
      <w:tcPr>
        <w:shd w:val="clear" w:color="auto" w:fill="74000E" w:themeFill="accent1"/>
      </w:tcPr>
    </w:tblStylePr>
    <w:tblStylePr w:type="lastRow">
      <w:rPr>
        <w:b/>
        <w:bCs/>
      </w:rPr>
      <w:tblPr/>
      <w:tcPr>
        <w:tcBorders>
          <w:top w:val="double" w:sz="4" w:space="0" w:color="74000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4000E" w:themeColor="accent1"/>
          <w:right w:val="single" w:sz="4" w:space="0" w:color="74000E" w:themeColor="accent1"/>
        </w:tcBorders>
      </w:tcPr>
    </w:tblStylePr>
    <w:tblStylePr w:type="band1Horz">
      <w:tblPr/>
      <w:tcPr>
        <w:tcBorders>
          <w:top w:val="single" w:sz="4" w:space="0" w:color="74000E" w:themeColor="accent1"/>
          <w:bottom w:val="single" w:sz="4" w:space="0" w:color="74000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4000E" w:themeColor="accent1"/>
          <w:left w:val="nil"/>
        </w:tcBorders>
      </w:tcPr>
    </w:tblStylePr>
    <w:tblStylePr w:type="swCell">
      <w:tblPr/>
      <w:tcPr>
        <w:tcBorders>
          <w:top w:val="double" w:sz="4" w:space="0" w:color="74000E" w:themeColor="accent1"/>
          <w:right w:val="nil"/>
        </w:tcBorders>
      </w:tcPr>
    </w:tblStylePr>
  </w:style>
  <w:style w:type="paragraph" w:customStyle="1" w:styleId="Subheadingcoverpage">
    <w:name w:val="Sub heading cover page"/>
    <w:basedOn w:val="HeadingCoverPage"/>
    <w:qFormat/>
    <w:rsid w:val="00D46714"/>
    <w:rPr>
      <w:b w:val="0"/>
      <w:color w:val="74000E" w:themeColor="accent1"/>
      <w:sz w:val="48"/>
    </w:rPr>
  </w:style>
  <w:style w:type="paragraph" w:customStyle="1" w:styleId="Glossaryterm">
    <w:name w:val="Glossary term"/>
    <w:basedOn w:val="Normal"/>
    <w:qFormat/>
    <w:rsid w:val="004A5231"/>
    <w:pPr>
      <w:spacing w:after="0"/>
    </w:pPr>
    <w:rPr>
      <w:color w:val="74000E" w:themeColor="accent1"/>
    </w:rPr>
  </w:style>
  <w:style w:type="paragraph" w:styleId="TableofFigures">
    <w:name w:val="table of figures"/>
    <w:basedOn w:val="Normal"/>
    <w:next w:val="Normal"/>
    <w:uiPriority w:val="99"/>
    <w:unhideWhenUsed/>
    <w:rsid w:val="00AC52DA"/>
    <w:pPr>
      <w:spacing w:after="0"/>
    </w:pPr>
  </w:style>
  <w:style w:type="table" w:styleId="ListTable3-Accent5">
    <w:name w:val="List Table 3 Accent 5"/>
    <w:basedOn w:val="TableNormal"/>
    <w:uiPriority w:val="48"/>
    <w:rsid w:val="00FE29EA"/>
    <w:pPr>
      <w:spacing w:after="0" w:line="240" w:lineRule="auto"/>
    </w:pPr>
    <w:tblPr>
      <w:tblStyleRowBandSize w:val="1"/>
      <w:tblStyleColBandSize w:val="1"/>
      <w:tblBorders>
        <w:top w:val="single" w:sz="4" w:space="0" w:color="510B17" w:themeColor="accent5"/>
        <w:left w:val="single" w:sz="4" w:space="0" w:color="510B17" w:themeColor="accent5"/>
        <w:bottom w:val="single" w:sz="4" w:space="0" w:color="510B17" w:themeColor="accent5"/>
        <w:right w:val="single" w:sz="4" w:space="0" w:color="510B17" w:themeColor="accent5"/>
      </w:tblBorders>
    </w:tblPr>
    <w:tblStylePr w:type="firstRow">
      <w:rPr>
        <w:b/>
        <w:bCs/>
        <w:color w:val="FFFFFF" w:themeColor="background1"/>
      </w:rPr>
      <w:tblPr/>
      <w:tcPr>
        <w:shd w:val="clear" w:color="auto" w:fill="510B17" w:themeFill="accent5"/>
      </w:tcPr>
    </w:tblStylePr>
    <w:tblStylePr w:type="lastRow">
      <w:rPr>
        <w:b/>
        <w:bCs/>
      </w:rPr>
      <w:tblPr/>
      <w:tcPr>
        <w:tcBorders>
          <w:top w:val="double" w:sz="4" w:space="0" w:color="510B17"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10B17" w:themeColor="accent5"/>
          <w:right w:val="single" w:sz="4" w:space="0" w:color="510B17" w:themeColor="accent5"/>
        </w:tcBorders>
      </w:tcPr>
    </w:tblStylePr>
    <w:tblStylePr w:type="band1Horz">
      <w:tblPr/>
      <w:tcPr>
        <w:tcBorders>
          <w:top w:val="single" w:sz="4" w:space="0" w:color="510B17" w:themeColor="accent5"/>
          <w:bottom w:val="single" w:sz="4" w:space="0" w:color="510B17"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0B17" w:themeColor="accent5"/>
          <w:left w:val="nil"/>
        </w:tcBorders>
      </w:tcPr>
    </w:tblStylePr>
    <w:tblStylePr w:type="swCell">
      <w:tblPr/>
      <w:tcPr>
        <w:tcBorders>
          <w:top w:val="double" w:sz="4" w:space="0" w:color="510B17" w:themeColor="accent5"/>
          <w:right w:val="nil"/>
        </w:tcBorders>
      </w:tcPr>
    </w:tblStylePr>
  </w:style>
  <w:style w:type="character" w:styleId="FollowedHyperlink">
    <w:name w:val="FollowedHyperlink"/>
    <w:basedOn w:val="DefaultParagraphFont"/>
    <w:semiHidden/>
    <w:unhideWhenUsed/>
    <w:rsid w:val="00D8603B"/>
    <w:rPr>
      <w:color w:val="954F72" w:themeColor="followedHyperlink"/>
      <w:u w:val="single"/>
    </w:rPr>
  </w:style>
  <w:style w:type="paragraph" w:customStyle="1" w:styleId="ChartandTableFootnoteAlpha-Indent">
    <w:name w:val="Chart and Table Footnote Alpha - Indent"/>
    <w:rsid w:val="0059710A"/>
    <w:pPr>
      <w:numPr>
        <w:numId w:val="23"/>
      </w:numPr>
      <w:spacing w:after="0" w:line="240" w:lineRule="auto"/>
    </w:pPr>
    <w:rPr>
      <w:rFonts w:ascii="Arial" w:eastAsia="Times New Roman" w:hAnsi="Arial" w:cs="Times New Roman"/>
      <w:color w:val="000000"/>
      <w:sz w:val="16"/>
      <w:szCs w:val="16"/>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22406">
      <w:bodyDiv w:val="1"/>
      <w:marLeft w:val="0"/>
      <w:marRight w:val="0"/>
      <w:marTop w:val="0"/>
      <w:marBottom w:val="0"/>
      <w:divBdr>
        <w:top w:val="none" w:sz="0" w:space="0" w:color="auto"/>
        <w:left w:val="none" w:sz="0" w:space="0" w:color="auto"/>
        <w:bottom w:val="none" w:sz="0" w:space="0" w:color="auto"/>
        <w:right w:val="none" w:sz="0" w:space="0" w:color="auto"/>
      </w:divBdr>
    </w:div>
    <w:div w:id="29035272">
      <w:bodyDiv w:val="1"/>
      <w:marLeft w:val="0"/>
      <w:marRight w:val="0"/>
      <w:marTop w:val="0"/>
      <w:marBottom w:val="0"/>
      <w:divBdr>
        <w:top w:val="none" w:sz="0" w:space="0" w:color="auto"/>
        <w:left w:val="none" w:sz="0" w:space="0" w:color="auto"/>
        <w:bottom w:val="none" w:sz="0" w:space="0" w:color="auto"/>
        <w:right w:val="none" w:sz="0" w:space="0" w:color="auto"/>
      </w:divBdr>
    </w:div>
    <w:div w:id="49618886">
      <w:bodyDiv w:val="1"/>
      <w:marLeft w:val="0"/>
      <w:marRight w:val="0"/>
      <w:marTop w:val="0"/>
      <w:marBottom w:val="0"/>
      <w:divBdr>
        <w:top w:val="none" w:sz="0" w:space="0" w:color="auto"/>
        <w:left w:val="none" w:sz="0" w:space="0" w:color="auto"/>
        <w:bottom w:val="none" w:sz="0" w:space="0" w:color="auto"/>
        <w:right w:val="none" w:sz="0" w:space="0" w:color="auto"/>
      </w:divBdr>
    </w:div>
    <w:div w:id="56822502">
      <w:bodyDiv w:val="1"/>
      <w:marLeft w:val="0"/>
      <w:marRight w:val="0"/>
      <w:marTop w:val="0"/>
      <w:marBottom w:val="0"/>
      <w:divBdr>
        <w:top w:val="none" w:sz="0" w:space="0" w:color="auto"/>
        <w:left w:val="none" w:sz="0" w:space="0" w:color="auto"/>
        <w:bottom w:val="none" w:sz="0" w:space="0" w:color="auto"/>
        <w:right w:val="none" w:sz="0" w:space="0" w:color="auto"/>
      </w:divBdr>
    </w:div>
    <w:div w:id="66458534">
      <w:bodyDiv w:val="1"/>
      <w:marLeft w:val="0"/>
      <w:marRight w:val="0"/>
      <w:marTop w:val="0"/>
      <w:marBottom w:val="0"/>
      <w:divBdr>
        <w:top w:val="none" w:sz="0" w:space="0" w:color="auto"/>
        <w:left w:val="none" w:sz="0" w:space="0" w:color="auto"/>
        <w:bottom w:val="none" w:sz="0" w:space="0" w:color="auto"/>
        <w:right w:val="none" w:sz="0" w:space="0" w:color="auto"/>
      </w:divBdr>
    </w:div>
    <w:div w:id="80106715">
      <w:bodyDiv w:val="1"/>
      <w:marLeft w:val="0"/>
      <w:marRight w:val="0"/>
      <w:marTop w:val="0"/>
      <w:marBottom w:val="0"/>
      <w:divBdr>
        <w:top w:val="none" w:sz="0" w:space="0" w:color="auto"/>
        <w:left w:val="none" w:sz="0" w:space="0" w:color="auto"/>
        <w:bottom w:val="none" w:sz="0" w:space="0" w:color="auto"/>
        <w:right w:val="none" w:sz="0" w:space="0" w:color="auto"/>
      </w:divBdr>
    </w:div>
    <w:div w:id="93745103">
      <w:bodyDiv w:val="1"/>
      <w:marLeft w:val="0"/>
      <w:marRight w:val="0"/>
      <w:marTop w:val="0"/>
      <w:marBottom w:val="0"/>
      <w:divBdr>
        <w:top w:val="none" w:sz="0" w:space="0" w:color="auto"/>
        <w:left w:val="none" w:sz="0" w:space="0" w:color="auto"/>
        <w:bottom w:val="none" w:sz="0" w:space="0" w:color="auto"/>
        <w:right w:val="none" w:sz="0" w:space="0" w:color="auto"/>
      </w:divBdr>
    </w:div>
    <w:div w:id="111941730">
      <w:bodyDiv w:val="1"/>
      <w:marLeft w:val="0"/>
      <w:marRight w:val="0"/>
      <w:marTop w:val="0"/>
      <w:marBottom w:val="0"/>
      <w:divBdr>
        <w:top w:val="none" w:sz="0" w:space="0" w:color="auto"/>
        <w:left w:val="none" w:sz="0" w:space="0" w:color="auto"/>
        <w:bottom w:val="none" w:sz="0" w:space="0" w:color="auto"/>
        <w:right w:val="none" w:sz="0" w:space="0" w:color="auto"/>
      </w:divBdr>
    </w:div>
    <w:div w:id="159274217">
      <w:bodyDiv w:val="1"/>
      <w:marLeft w:val="0"/>
      <w:marRight w:val="0"/>
      <w:marTop w:val="0"/>
      <w:marBottom w:val="0"/>
      <w:divBdr>
        <w:top w:val="none" w:sz="0" w:space="0" w:color="auto"/>
        <w:left w:val="none" w:sz="0" w:space="0" w:color="auto"/>
        <w:bottom w:val="none" w:sz="0" w:space="0" w:color="auto"/>
        <w:right w:val="none" w:sz="0" w:space="0" w:color="auto"/>
      </w:divBdr>
    </w:div>
    <w:div w:id="182326432">
      <w:bodyDiv w:val="1"/>
      <w:marLeft w:val="0"/>
      <w:marRight w:val="0"/>
      <w:marTop w:val="0"/>
      <w:marBottom w:val="0"/>
      <w:divBdr>
        <w:top w:val="none" w:sz="0" w:space="0" w:color="auto"/>
        <w:left w:val="none" w:sz="0" w:space="0" w:color="auto"/>
        <w:bottom w:val="none" w:sz="0" w:space="0" w:color="auto"/>
        <w:right w:val="none" w:sz="0" w:space="0" w:color="auto"/>
      </w:divBdr>
    </w:div>
    <w:div w:id="201094898">
      <w:bodyDiv w:val="1"/>
      <w:marLeft w:val="0"/>
      <w:marRight w:val="0"/>
      <w:marTop w:val="0"/>
      <w:marBottom w:val="0"/>
      <w:divBdr>
        <w:top w:val="none" w:sz="0" w:space="0" w:color="auto"/>
        <w:left w:val="none" w:sz="0" w:space="0" w:color="auto"/>
        <w:bottom w:val="none" w:sz="0" w:space="0" w:color="auto"/>
        <w:right w:val="none" w:sz="0" w:space="0" w:color="auto"/>
      </w:divBdr>
    </w:div>
    <w:div w:id="232930231">
      <w:bodyDiv w:val="1"/>
      <w:marLeft w:val="0"/>
      <w:marRight w:val="0"/>
      <w:marTop w:val="0"/>
      <w:marBottom w:val="0"/>
      <w:divBdr>
        <w:top w:val="none" w:sz="0" w:space="0" w:color="auto"/>
        <w:left w:val="none" w:sz="0" w:space="0" w:color="auto"/>
        <w:bottom w:val="none" w:sz="0" w:space="0" w:color="auto"/>
        <w:right w:val="none" w:sz="0" w:space="0" w:color="auto"/>
      </w:divBdr>
    </w:div>
    <w:div w:id="257561544">
      <w:bodyDiv w:val="1"/>
      <w:marLeft w:val="0"/>
      <w:marRight w:val="0"/>
      <w:marTop w:val="0"/>
      <w:marBottom w:val="0"/>
      <w:divBdr>
        <w:top w:val="none" w:sz="0" w:space="0" w:color="auto"/>
        <w:left w:val="none" w:sz="0" w:space="0" w:color="auto"/>
        <w:bottom w:val="none" w:sz="0" w:space="0" w:color="auto"/>
        <w:right w:val="none" w:sz="0" w:space="0" w:color="auto"/>
      </w:divBdr>
    </w:div>
    <w:div w:id="280303180">
      <w:bodyDiv w:val="1"/>
      <w:marLeft w:val="0"/>
      <w:marRight w:val="0"/>
      <w:marTop w:val="0"/>
      <w:marBottom w:val="0"/>
      <w:divBdr>
        <w:top w:val="none" w:sz="0" w:space="0" w:color="auto"/>
        <w:left w:val="none" w:sz="0" w:space="0" w:color="auto"/>
        <w:bottom w:val="none" w:sz="0" w:space="0" w:color="auto"/>
        <w:right w:val="none" w:sz="0" w:space="0" w:color="auto"/>
      </w:divBdr>
    </w:div>
    <w:div w:id="283973906">
      <w:bodyDiv w:val="1"/>
      <w:marLeft w:val="0"/>
      <w:marRight w:val="0"/>
      <w:marTop w:val="0"/>
      <w:marBottom w:val="0"/>
      <w:divBdr>
        <w:top w:val="none" w:sz="0" w:space="0" w:color="auto"/>
        <w:left w:val="none" w:sz="0" w:space="0" w:color="auto"/>
        <w:bottom w:val="none" w:sz="0" w:space="0" w:color="auto"/>
        <w:right w:val="none" w:sz="0" w:space="0" w:color="auto"/>
      </w:divBdr>
    </w:div>
    <w:div w:id="300501462">
      <w:bodyDiv w:val="1"/>
      <w:marLeft w:val="0"/>
      <w:marRight w:val="0"/>
      <w:marTop w:val="0"/>
      <w:marBottom w:val="0"/>
      <w:divBdr>
        <w:top w:val="none" w:sz="0" w:space="0" w:color="auto"/>
        <w:left w:val="none" w:sz="0" w:space="0" w:color="auto"/>
        <w:bottom w:val="none" w:sz="0" w:space="0" w:color="auto"/>
        <w:right w:val="none" w:sz="0" w:space="0" w:color="auto"/>
      </w:divBdr>
    </w:div>
    <w:div w:id="314991175">
      <w:bodyDiv w:val="1"/>
      <w:marLeft w:val="0"/>
      <w:marRight w:val="0"/>
      <w:marTop w:val="0"/>
      <w:marBottom w:val="0"/>
      <w:divBdr>
        <w:top w:val="none" w:sz="0" w:space="0" w:color="auto"/>
        <w:left w:val="none" w:sz="0" w:space="0" w:color="auto"/>
        <w:bottom w:val="none" w:sz="0" w:space="0" w:color="auto"/>
        <w:right w:val="none" w:sz="0" w:space="0" w:color="auto"/>
      </w:divBdr>
    </w:div>
    <w:div w:id="323358630">
      <w:bodyDiv w:val="1"/>
      <w:marLeft w:val="0"/>
      <w:marRight w:val="0"/>
      <w:marTop w:val="0"/>
      <w:marBottom w:val="0"/>
      <w:divBdr>
        <w:top w:val="none" w:sz="0" w:space="0" w:color="auto"/>
        <w:left w:val="none" w:sz="0" w:space="0" w:color="auto"/>
        <w:bottom w:val="none" w:sz="0" w:space="0" w:color="auto"/>
        <w:right w:val="none" w:sz="0" w:space="0" w:color="auto"/>
      </w:divBdr>
    </w:div>
    <w:div w:id="325742624">
      <w:bodyDiv w:val="1"/>
      <w:marLeft w:val="0"/>
      <w:marRight w:val="0"/>
      <w:marTop w:val="0"/>
      <w:marBottom w:val="0"/>
      <w:divBdr>
        <w:top w:val="none" w:sz="0" w:space="0" w:color="auto"/>
        <w:left w:val="none" w:sz="0" w:space="0" w:color="auto"/>
        <w:bottom w:val="none" w:sz="0" w:space="0" w:color="auto"/>
        <w:right w:val="none" w:sz="0" w:space="0" w:color="auto"/>
      </w:divBdr>
    </w:div>
    <w:div w:id="347683596">
      <w:bodyDiv w:val="1"/>
      <w:marLeft w:val="0"/>
      <w:marRight w:val="0"/>
      <w:marTop w:val="0"/>
      <w:marBottom w:val="0"/>
      <w:divBdr>
        <w:top w:val="none" w:sz="0" w:space="0" w:color="auto"/>
        <w:left w:val="none" w:sz="0" w:space="0" w:color="auto"/>
        <w:bottom w:val="none" w:sz="0" w:space="0" w:color="auto"/>
        <w:right w:val="none" w:sz="0" w:space="0" w:color="auto"/>
      </w:divBdr>
    </w:div>
    <w:div w:id="391850906">
      <w:bodyDiv w:val="1"/>
      <w:marLeft w:val="0"/>
      <w:marRight w:val="0"/>
      <w:marTop w:val="0"/>
      <w:marBottom w:val="0"/>
      <w:divBdr>
        <w:top w:val="none" w:sz="0" w:space="0" w:color="auto"/>
        <w:left w:val="none" w:sz="0" w:space="0" w:color="auto"/>
        <w:bottom w:val="none" w:sz="0" w:space="0" w:color="auto"/>
        <w:right w:val="none" w:sz="0" w:space="0" w:color="auto"/>
      </w:divBdr>
      <w:divsChild>
        <w:div w:id="1877699048">
          <w:marLeft w:val="0"/>
          <w:marRight w:val="0"/>
          <w:marTop w:val="0"/>
          <w:marBottom w:val="0"/>
          <w:divBdr>
            <w:top w:val="none" w:sz="0" w:space="0" w:color="auto"/>
            <w:left w:val="none" w:sz="0" w:space="0" w:color="auto"/>
            <w:bottom w:val="none" w:sz="0" w:space="0" w:color="auto"/>
            <w:right w:val="none" w:sz="0" w:space="0" w:color="auto"/>
          </w:divBdr>
          <w:divsChild>
            <w:div w:id="57674696">
              <w:marLeft w:val="0"/>
              <w:marRight w:val="0"/>
              <w:marTop w:val="0"/>
              <w:marBottom w:val="0"/>
              <w:divBdr>
                <w:top w:val="none" w:sz="0" w:space="0" w:color="auto"/>
                <w:left w:val="none" w:sz="0" w:space="0" w:color="auto"/>
                <w:bottom w:val="none" w:sz="0" w:space="0" w:color="auto"/>
                <w:right w:val="none" w:sz="0" w:space="0" w:color="auto"/>
              </w:divBdr>
              <w:divsChild>
                <w:div w:id="823396669">
                  <w:marLeft w:val="-75"/>
                  <w:marRight w:val="-75"/>
                  <w:marTop w:val="0"/>
                  <w:marBottom w:val="0"/>
                  <w:divBdr>
                    <w:top w:val="none" w:sz="0" w:space="0" w:color="auto"/>
                    <w:left w:val="none" w:sz="0" w:space="0" w:color="auto"/>
                    <w:bottom w:val="none" w:sz="0" w:space="0" w:color="auto"/>
                    <w:right w:val="none" w:sz="0" w:space="0" w:color="auto"/>
                  </w:divBdr>
                  <w:divsChild>
                    <w:div w:id="381485688">
                      <w:marLeft w:val="0"/>
                      <w:marRight w:val="0"/>
                      <w:marTop w:val="0"/>
                      <w:marBottom w:val="0"/>
                      <w:divBdr>
                        <w:top w:val="none" w:sz="0" w:space="0" w:color="auto"/>
                        <w:left w:val="none" w:sz="0" w:space="0" w:color="auto"/>
                        <w:bottom w:val="none" w:sz="0" w:space="0" w:color="auto"/>
                        <w:right w:val="none" w:sz="0" w:space="0" w:color="auto"/>
                      </w:divBdr>
                      <w:divsChild>
                        <w:div w:id="142691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5208833">
      <w:bodyDiv w:val="1"/>
      <w:marLeft w:val="0"/>
      <w:marRight w:val="0"/>
      <w:marTop w:val="0"/>
      <w:marBottom w:val="0"/>
      <w:divBdr>
        <w:top w:val="none" w:sz="0" w:space="0" w:color="auto"/>
        <w:left w:val="none" w:sz="0" w:space="0" w:color="auto"/>
        <w:bottom w:val="none" w:sz="0" w:space="0" w:color="auto"/>
        <w:right w:val="none" w:sz="0" w:space="0" w:color="auto"/>
      </w:divBdr>
    </w:div>
    <w:div w:id="398941498">
      <w:bodyDiv w:val="1"/>
      <w:marLeft w:val="0"/>
      <w:marRight w:val="0"/>
      <w:marTop w:val="0"/>
      <w:marBottom w:val="0"/>
      <w:divBdr>
        <w:top w:val="none" w:sz="0" w:space="0" w:color="auto"/>
        <w:left w:val="none" w:sz="0" w:space="0" w:color="auto"/>
        <w:bottom w:val="none" w:sz="0" w:space="0" w:color="auto"/>
        <w:right w:val="none" w:sz="0" w:space="0" w:color="auto"/>
      </w:divBdr>
    </w:div>
    <w:div w:id="421608356">
      <w:bodyDiv w:val="1"/>
      <w:marLeft w:val="0"/>
      <w:marRight w:val="0"/>
      <w:marTop w:val="0"/>
      <w:marBottom w:val="0"/>
      <w:divBdr>
        <w:top w:val="none" w:sz="0" w:space="0" w:color="auto"/>
        <w:left w:val="none" w:sz="0" w:space="0" w:color="auto"/>
        <w:bottom w:val="none" w:sz="0" w:space="0" w:color="auto"/>
        <w:right w:val="none" w:sz="0" w:space="0" w:color="auto"/>
      </w:divBdr>
    </w:div>
    <w:div w:id="460416187">
      <w:bodyDiv w:val="1"/>
      <w:marLeft w:val="0"/>
      <w:marRight w:val="0"/>
      <w:marTop w:val="0"/>
      <w:marBottom w:val="0"/>
      <w:divBdr>
        <w:top w:val="none" w:sz="0" w:space="0" w:color="auto"/>
        <w:left w:val="none" w:sz="0" w:space="0" w:color="auto"/>
        <w:bottom w:val="none" w:sz="0" w:space="0" w:color="auto"/>
        <w:right w:val="none" w:sz="0" w:space="0" w:color="auto"/>
      </w:divBdr>
    </w:div>
    <w:div w:id="503473595">
      <w:bodyDiv w:val="1"/>
      <w:marLeft w:val="0"/>
      <w:marRight w:val="0"/>
      <w:marTop w:val="0"/>
      <w:marBottom w:val="0"/>
      <w:divBdr>
        <w:top w:val="none" w:sz="0" w:space="0" w:color="auto"/>
        <w:left w:val="none" w:sz="0" w:space="0" w:color="auto"/>
        <w:bottom w:val="none" w:sz="0" w:space="0" w:color="auto"/>
        <w:right w:val="none" w:sz="0" w:space="0" w:color="auto"/>
      </w:divBdr>
    </w:div>
    <w:div w:id="507671081">
      <w:bodyDiv w:val="1"/>
      <w:marLeft w:val="0"/>
      <w:marRight w:val="0"/>
      <w:marTop w:val="0"/>
      <w:marBottom w:val="0"/>
      <w:divBdr>
        <w:top w:val="none" w:sz="0" w:space="0" w:color="auto"/>
        <w:left w:val="none" w:sz="0" w:space="0" w:color="auto"/>
        <w:bottom w:val="none" w:sz="0" w:space="0" w:color="auto"/>
        <w:right w:val="none" w:sz="0" w:space="0" w:color="auto"/>
      </w:divBdr>
    </w:div>
    <w:div w:id="509952851">
      <w:bodyDiv w:val="1"/>
      <w:marLeft w:val="0"/>
      <w:marRight w:val="0"/>
      <w:marTop w:val="0"/>
      <w:marBottom w:val="0"/>
      <w:divBdr>
        <w:top w:val="none" w:sz="0" w:space="0" w:color="auto"/>
        <w:left w:val="none" w:sz="0" w:space="0" w:color="auto"/>
        <w:bottom w:val="none" w:sz="0" w:space="0" w:color="auto"/>
        <w:right w:val="none" w:sz="0" w:space="0" w:color="auto"/>
      </w:divBdr>
    </w:div>
    <w:div w:id="523634461">
      <w:bodyDiv w:val="1"/>
      <w:marLeft w:val="0"/>
      <w:marRight w:val="0"/>
      <w:marTop w:val="0"/>
      <w:marBottom w:val="0"/>
      <w:divBdr>
        <w:top w:val="none" w:sz="0" w:space="0" w:color="auto"/>
        <w:left w:val="none" w:sz="0" w:space="0" w:color="auto"/>
        <w:bottom w:val="none" w:sz="0" w:space="0" w:color="auto"/>
        <w:right w:val="none" w:sz="0" w:space="0" w:color="auto"/>
      </w:divBdr>
    </w:div>
    <w:div w:id="535390557">
      <w:bodyDiv w:val="1"/>
      <w:marLeft w:val="0"/>
      <w:marRight w:val="0"/>
      <w:marTop w:val="0"/>
      <w:marBottom w:val="0"/>
      <w:divBdr>
        <w:top w:val="none" w:sz="0" w:space="0" w:color="auto"/>
        <w:left w:val="none" w:sz="0" w:space="0" w:color="auto"/>
        <w:bottom w:val="none" w:sz="0" w:space="0" w:color="auto"/>
        <w:right w:val="none" w:sz="0" w:space="0" w:color="auto"/>
      </w:divBdr>
    </w:div>
    <w:div w:id="540245399">
      <w:bodyDiv w:val="1"/>
      <w:marLeft w:val="0"/>
      <w:marRight w:val="0"/>
      <w:marTop w:val="0"/>
      <w:marBottom w:val="0"/>
      <w:divBdr>
        <w:top w:val="none" w:sz="0" w:space="0" w:color="auto"/>
        <w:left w:val="none" w:sz="0" w:space="0" w:color="auto"/>
        <w:bottom w:val="none" w:sz="0" w:space="0" w:color="auto"/>
        <w:right w:val="none" w:sz="0" w:space="0" w:color="auto"/>
      </w:divBdr>
    </w:div>
    <w:div w:id="566651922">
      <w:bodyDiv w:val="1"/>
      <w:marLeft w:val="0"/>
      <w:marRight w:val="0"/>
      <w:marTop w:val="0"/>
      <w:marBottom w:val="0"/>
      <w:divBdr>
        <w:top w:val="none" w:sz="0" w:space="0" w:color="auto"/>
        <w:left w:val="none" w:sz="0" w:space="0" w:color="auto"/>
        <w:bottom w:val="none" w:sz="0" w:space="0" w:color="auto"/>
        <w:right w:val="none" w:sz="0" w:space="0" w:color="auto"/>
      </w:divBdr>
    </w:div>
    <w:div w:id="577979630">
      <w:bodyDiv w:val="1"/>
      <w:marLeft w:val="0"/>
      <w:marRight w:val="0"/>
      <w:marTop w:val="0"/>
      <w:marBottom w:val="0"/>
      <w:divBdr>
        <w:top w:val="none" w:sz="0" w:space="0" w:color="auto"/>
        <w:left w:val="none" w:sz="0" w:space="0" w:color="auto"/>
        <w:bottom w:val="none" w:sz="0" w:space="0" w:color="auto"/>
        <w:right w:val="none" w:sz="0" w:space="0" w:color="auto"/>
      </w:divBdr>
    </w:div>
    <w:div w:id="604770969">
      <w:bodyDiv w:val="1"/>
      <w:marLeft w:val="0"/>
      <w:marRight w:val="0"/>
      <w:marTop w:val="0"/>
      <w:marBottom w:val="0"/>
      <w:divBdr>
        <w:top w:val="none" w:sz="0" w:space="0" w:color="auto"/>
        <w:left w:val="none" w:sz="0" w:space="0" w:color="auto"/>
        <w:bottom w:val="none" w:sz="0" w:space="0" w:color="auto"/>
        <w:right w:val="none" w:sz="0" w:space="0" w:color="auto"/>
      </w:divBdr>
    </w:div>
    <w:div w:id="610481658">
      <w:bodyDiv w:val="1"/>
      <w:marLeft w:val="0"/>
      <w:marRight w:val="0"/>
      <w:marTop w:val="0"/>
      <w:marBottom w:val="0"/>
      <w:divBdr>
        <w:top w:val="none" w:sz="0" w:space="0" w:color="auto"/>
        <w:left w:val="none" w:sz="0" w:space="0" w:color="auto"/>
        <w:bottom w:val="none" w:sz="0" w:space="0" w:color="auto"/>
        <w:right w:val="none" w:sz="0" w:space="0" w:color="auto"/>
      </w:divBdr>
    </w:div>
    <w:div w:id="617026062">
      <w:bodyDiv w:val="1"/>
      <w:marLeft w:val="0"/>
      <w:marRight w:val="0"/>
      <w:marTop w:val="0"/>
      <w:marBottom w:val="0"/>
      <w:divBdr>
        <w:top w:val="none" w:sz="0" w:space="0" w:color="auto"/>
        <w:left w:val="none" w:sz="0" w:space="0" w:color="auto"/>
        <w:bottom w:val="none" w:sz="0" w:space="0" w:color="auto"/>
        <w:right w:val="none" w:sz="0" w:space="0" w:color="auto"/>
      </w:divBdr>
    </w:div>
    <w:div w:id="636836336">
      <w:bodyDiv w:val="1"/>
      <w:marLeft w:val="0"/>
      <w:marRight w:val="0"/>
      <w:marTop w:val="0"/>
      <w:marBottom w:val="0"/>
      <w:divBdr>
        <w:top w:val="none" w:sz="0" w:space="0" w:color="auto"/>
        <w:left w:val="none" w:sz="0" w:space="0" w:color="auto"/>
        <w:bottom w:val="none" w:sz="0" w:space="0" w:color="auto"/>
        <w:right w:val="none" w:sz="0" w:space="0" w:color="auto"/>
      </w:divBdr>
    </w:div>
    <w:div w:id="683047947">
      <w:bodyDiv w:val="1"/>
      <w:marLeft w:val="0"/>
      <w:marRight w:val="0"/>
      <w:marTop w:val="0"/>
      <w:marBottom w:val="0"/>
      <w:divBdr>
        <w:top w:val="none" w:sz="0" w:space="0" w:color="auto"/>
        <w:left w:val="none" w:sz="0" w:space="0" w:color="auto"/>
        <w:bottom w:val="none" w:sz="0" w:space="0" w:color="auto"/>
        <w:right w:val="none" w:sz="0" w:space="0" w:color="auto"/>
      </w:divBdr>
    </w:div>
    <w:div w:id="691106044">
      <w:bodyDiv w:val="1"/>
      <w:marLeft w:val="0"/>
      <w:marRight w:val="0"/>
      <w:marTop w:val="0"/>
      <w:marBottom w:val="0"/>
      <w:divBdr>
        <w:top w:val="none" w:sz="0" w:space="0" w:color="auto"/>
        <w:left w:val="none" w:sz="0" w:space="0" w:color="auto"/>
        <w:bottom w:val="none" w:sz="0" w:space="0" w:color="auto"/>
        <w:right w:val="none" w:sz="0" w:space="0" w:color="auto"/>
      </w:divBdr>
    </w:div>
    <w:div w:id="709307393">
      <w:bodyDiv w:val="1"/>
      <w:marLeft w:val="0"/>
      <w:marRight w:val="0"/>
      <w:marTop w:val="0"/>
      <w:marBottom w:val="0"/>
      <w:divBdr>
        <w:top w:val="none" w:sz="0" w:space="0" w:color="auto"/>
        <w:left w:val="none" w:sz="0" w:space="0" w:color="auto"/>
        <w:bottom w:val="none" w:sz="0" w:space="0" w:color="auto"/>
        <w:right w:val="none" w:sz="0" w:space="0" w:color="auto"/>
      </w:divBdr>
    </w:div>
    <w:div w:id="712651526">
      <w:bodyDiv w:val="1"/>
      <w:marLeft w:val="0"/>
      <w:marRight w:val="0"/>
      <w:marTop w:val="0"/>
      <w:marBottom w:val="0"/>
      <w:divBdr>
        <w:top w:val="none" w:sz="0" w:space="0" w:color="auto"/>
        <w:left w:val="none" w:sz="0" w:space="0" w:color="auto"/>
        <w:bottom w:val="none" w:sz="0" w:space="0" w:color="auto"/>
        <w:right w:val="none" w:sz="0" w:space="0" w:color="auto"/>
      </w:divBdr>
    </w:div>
    <w:div w:id="728849335">
      <w:bodyDiv w:val="1"/>
      <w:marLeft w:val="0"/>
      <w:marRight w:val="0"/>
      <w:marTop w:val="0"/>
      <w:marBottom w:val="0"/>
      <w:divBdr>
        <w:top w:val="none" w:sz="0" w:space="0" w:color="auto"/>
        <w:left w:val="none" w:sz="0" w:space="0" w:color="auto"/>
        <w:bottom w:val="none" w:sz="0" w:space="0" w:color="auto"/>
        <w:right w:val="none" w:sz="0" w:space="0" w:color="auto"/>
      </w:divBdr>
    </w:div>
    <w:div w:id="738402199">
      <w:bodyDiv w:val="1"/>
      <w:marLeft w:val="0"/>
      <w:marRight w:val="0"/>
      <w:marTop w:val="0"/>
      <w:marBottom w:val="0"/>
      <w:divBdr>
        <w:top w:val="none" w:sz="0" w:space="0" w:color="auto"/>
        <w:left w:val="none" w:sz="0" w:space="0" w:color="auto"/>
        <w:bottom w:val="none" w:sz="0" w:space="0" w:color="auto"/>
        <w:right w:val="none" w:sz="0" w:space="0" w:color="auto"/>
      </w:divBdr>
    </w:div>
    <w:div w:id="758716861">
      <w:bodyDiv w:val="1"/>
      <w:marLeft w:val="0"/>
      <w:marRight w:val="0"/>
      <w:marTop w:val="0"/>
      <w:marBottom w:val="0"/>
      <w:divBdr>
        <w:top w:val="none" w:sz="0" w:space="0" w:color="auto"/>
        <w:left w:val="none" w:sz="0" w:space="0" w:color="auto"/>
        <w:bottom w:val="none" w:sz="0" w:space="0" w:color="auto"/>
        <w:right w:val="none" w:sz="0" w:space="0" w:color="auto"/>
      </w:divBdr>
    </w:div>
    <w:div w:id="762461445">
      <w:bodyDiv w:val="1"/>
      <w:marLeft w:val="0"/>
      <w:marRight w:val="0"/>
      <w:marTop w:val="0"/>
      <w:marBottom w:val="0"/>
      <w:divBdr>
        <w:top w:val="none" w:sz="0" w:space="0" w:color="auto"/>
        <w:left w:val="none" w:sz="0" w:space="0" w:color="auto"/>
        <w:bottom w:val="none" w:sz="0" w:space="0" w:color="auto"/>
        <w:right w:val="none" w:sz="0" w:space="0" w:color="auto"/>
      </w:divBdr>
    </w:div>
    <w:div w:id="789014467">
      <w:bodyDiv w:val="1"/>
      <w:marLeft w:val="0"/>
      <w:marRight w:val="0"/>
      <w:marTop w:val="0"/>
      <w:marBottom w:val="0"/>
      <w:divBdr>
        <w:top w:val="none" w:sz="0" w:space="0" w:color="auto"/>
        <w:left w:val="none" w:sz="0" w:space="0" w:color="auto"/>
        <w:bottom w:val="none" w:sz="0" w:space="0" w:color="auto"/>
        <w:right w:val="none" w:sz="0" w:space="0" w:color="auto"/>
      </w:divBdr>
    </w:div>
    <w:div w:id="794755868">
      <w:bodyDiv w:val="1"/>
      <w:marLeft w:val="0"/>
      <w:marRight w:val="0"/>
      <w:marTop w:val="0"/>
      <w:marBottom w:val="0"/>
      <w:divBdr>
        <w:top w:val="none" w:sz="0" w:space="0" w:color="auto"/>
        <w:left w:val="none" w:sz="0" w:space="0" w:color="auto"/>
        <w:bottom w:val="none" w:sz="0" w:space="0" w:color="auto"/>
        <w:right w:val="none" w:sz="0" w:space="0" w:color="auto"/>
      </w:divBdr>
    </w:div>
    <w:div w:id="811873392">
      <w:bodyDiv w:val="1"/>
      <w:marLeft w:val="0"/>
      <w:marRight w:val="0"/>
      <w:marTop w:val="0"/>
      <w:marBottom w:val="0"/>
      <w:divBdr>
        <w:top w:val="none" w:sz="0" w:space="0" w:color="auto"/>
        <w:left w:val="none" w:sz="0" w:space="0" w:color="auto"/>
        <w:bottom w:val="none" w:sz="0" w:space="0" w:color="auto"/>
        <w:right w:val="none" w:sz="0" w:space="0" w:color="auto"/>
      </w:divBdr>
    </w:div>
    <w:div w:id="823855862">
      <w:bodyDiv w:val="1"/>
      <w:marLeft w:val="0"/>
      <w:marRight w:val="0"/>
      <w:marTop w:val="0"/>
      <w:marBottom w:val="0"/>
      <w:divBdr>
        <w:top w:val="none" w:sz="0" w:space="0" w:color="auto"/>
        <w:left w:val="none" w:sz="0" w:space="0" w:color="auto"/>
        <w:bottom w:val="none" w:sz="0" w:space="0" w:color="auto"/>
        <w:right w:val="none" w:sz="0" w:space="0" w:color="auto"/>
      </w:divBdr>
    </w:div>
    <w:div w:id="834339170">
      <w:bodyDiv w:val="1"/>
      <w:marLeft w:val="0"/>
      <w:marRight w:val="0"/>
      <w:marTop w:val="0"/>
      <w:marBottom w:val="0"/>
      <w:divBdr>
        <w:top w:val="none" w:sz="0" w:space="0" w:color="auto"/>
        <w:left w:val="none" w:sz="0" w:space="0" w:color="auto"/>
        <w:bottom w:val="none" w:sz="0" w:space="0" w:color="auto"/>
        <w:right w:val="none" w:sz="0" w:space="0" w:color="auto"/>
      </w:divBdr>
    </w:div>
    <w:div w:id="876814664">
      <w:bodyDiv w:val="1"/>
      <w:marLeft w:val="0"/>
      <w:marRight w:val="0"/>
      <w:marTop w:val="0"/>
      <w:marBottom w:val="0"/>
      <w:divBdr>
        <w:top w:val="none" w:sz="0" w:space="0" w:color="auto"/>
        <w:left w:val="none" w:sz="0" w:space="0" w:color="auto"/>
        <w:bottom w:val="none" w:sz="0" w:space="0" w:color="auto"/>
        <w:right w:val="none" w:sz="0" w:space="0" w:color="auto"/>
      </w:divBdr>
    </w:div>
    <w:div w:id="881748771">
      <w:bodyDiv w:val="1"/>
      <w:marLeft w:val="0"/>
      <w:marRight w:val="0"/>
      <w:marTop w:val="0"/>
      <w:marBottom w:val="0"/>
      <w:divBdr>
        <w:top w:val="none" w:sz="0" w:space="0" w:color="auto"/>
        <w:left w:val="none" w:sz="0" w:space="0" w:color="auto"/>
        <w:bottom w:val="none" w:sz="0" w:space="0" w:color="auto"/>
        <w:right w:val="none" w:sz="0" w:space="0" w:color="auto"/>
      </w:divBdr>
    </w:div>
    <w:div w:id="900022481">
      <w:bodyDiv w:val="1"/>
      <w:marLeft w:val="0"/>
      <w:marRight w:val="0"/>
      <w:marTop w:val="0"/>
      <w:marBottom w:val="0"/>
      <w:divBdr>
        <w:top w:val="none" w:sz="0" w:space="0" w:color="auto"/>
        <w:left w:val="none" w:sz="0" w:space="0" w:color="auto"/>
        <w:bottom w:val="none" w:sz="0" w:space="0" w:color="auto"/>
        <w:right w:val="none" w:sz="0" w:space="0" w:color="auto"/>
      </w:divBdr>
    </w:div>
    <w:div w:id="901215595">
      <w:bodyDiv w:val="1"/>
      <w:marLeft w:val="0"/>
      <w:marRight w:val="0"/>
      <w:marTop w:val="0"/>
      <w:marBottom w:val="0"/>
      <w:divBdr>
        <w:top w:val="none" w:sz="0" w:space="0" w:color="auto"/>
        <w:left w:val="none" w:sz="0" w:space="0" w:color="auto"/>
        <w:bottom w:val="none" w:sz="0" w:space="0" w:color="auto"/>
        <w:right w:val="none" w:sz="0" w:space="0" w:color="auto"/>
      </w:divBdr>
    </w:div>
    <w:div w:id="902259194">
      <w:bodyDiv w:val="1"/>
      <w:marLeft w:val="0"/>
      <w:marRight w:val="0"/>
      <w:marTop w:val="0"/>
      <w:marBottom w:val="0"/>
      <w:divBdr>
        <w:top w:val="none" w:sz="0" w:space="0" w:color="auto"/>
        <w:left w:val="none" w:sz="0" w:space="0" w:color="auto"/>
        <w:bottom w:val="none" w:sz="0" w:space="0" w:color="auto"/>
        <w:right w:val="none" w:sz="0" w:space="0" w:color="auto"/>
      </w:divBdr>
    </w:div>
    <w:div w:id="905144721">
      <w:bodyDiv w:val="1"/>
      <w:marLeft w:val="0"/>
      <w:marRight w:val="0"/>
      <w:marTop w:val="0"/>
      <w:marBottom w:val="0"/>
      <w:divBdr>
        <w:top w:val="none" w:sz="0" w:space="0" w:color="auto"/>
        <w:left w:val="none" w:sz="0" w:space="0" w:color="auto"/>
        <w:bottom w:val="none" w:sz="0" w:space="0" w:color="auto"/>
        <w:right w:val="none" w:sz="0" w:space="0" w:color="auto"/>
      </w:divBdr>
      <w:divsChild>
        <w:div w:id="1933707906">
          <w:marLeft w:val="0"/>
          <w:marRight w:val="0"/>
          <w:marTop w:val="0"/>
          <w:marBottom w:val="0"/>
          <w:divBdr>
            <w:top w:val="none" w:sz="0" w:space="0" w:color="auto"/>
            <w:left w:val="none" w:sz="0" w:space="0" w:color="auto"/>
            <w:bottom w:val="none" w:sz="0" w:space="0" w:color="auto"/>
            <w:right w:val="none" w:sz="0" w:space="0" w:color="auto"/>
          </w:divBdr>
          <w:divsChild>
            <w:div w:id="662855623">
              <w:marLeft w:val="0"/>
              <w:marRight w:val="0"/>
              <w:marTop w:val="0"/>
              <w:marBottom w:val="0"/>
              <w:divBdr>
                <w:top w:val="none" w:sz="0" w:space="0" w:color="auto"/>
                <w:left w:val="none" w:sz="0" w:space="0" w:color="auto"/>
                <w:bottom w:val="none" w:sz="0" w:space="0" w:color="auto"/>
                <w:right w:val="none" w:sz="0" w:space="0" w:color="auto"/>
              </w:divBdr>
              <w:divsChild>
                <w:div w:id="1851216169">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928584349">
      <w:bodyDiv w:val="1"/>
      <w:marLeft w:val="0"/>
      <w:marRight w:val="0"/>
      <w:marTop w:val="0"/>
      <w:marBottom w:val="0"/>
      <w:divBdr>
        <w:top w:val="none" w:sz="0" w:space="0" w:color="auto"/>
        <w:left w:val="none" w:sz="0" w:space="0" w:color="auto"/>
        <w:bottom w:val="none" w:sz="0" w:space="0" w:color="auto"/>
        <w:right w:val="none" w:sz="0" w:space="0" w:color="auto"/>
      </w:divBdr>
    </w:div>
    <w:div w:id="939800916">
      <w:bodyDiv w:val="1"/>
      <w:marLeft w:val="0"/>
      <w:marRight w:val="0"/>
      <w:marTop w:val="0"/>
      <w:marBottom w:val="0"/>
      <w:divBdr>
        <w:top w:val="none" w:sz="0" w:space="0" w:color="auto"/>
        <w:left w:val="none" w:sz="0" w:space="0" w:color="auto"/>
        <w:bottom w:val="none" w:sz="0" w:space="0" w:color="auto"/>
        <w:right w:val="none" w:sz="0" w:space="0" w:color="auto"/>
      </w:divBdr>
    </w:div>
    <w:div w:id="947590416">
      <w:bodyDiv w:val="1"/>
      <w:marLeft w:val="0"/>
      <w:marRight w:val="0"/>
      <w:marTop w:val="0"/>
      <w:marBottom w:val="0"/>
      <w:divBdr>
        <w:top w:val="none" w:sz="0" w:space="0" w:color="auto"/>
        <w:left w:val="none" w:sz="0" w:space="0" w:color="auto"/>
        <w:bottom w:val="none" w:sz="0" w:space="0" w:color="auto"/>
        <w:right w:val="none" w:sz="0" w:space="0" w:color="auto"/>
      </w:divBdr>
    </w:div>
    <w:div w:id="953711969">
      <w:bodyDiv w:val="1"/>
      <w:marLeft w:val="0"/>
      <w:marRight w:val="0"/>
      <w:marTop w:val="0"/>
      <w:marBottom w:val="0"/>
      <w:divBdr>
        <w:top w:val="none" w:sz="0" w:space="0" w:color="auto"/>
        <w:left w:val="none" w:sz="0" w:space="0" w:color="auto"/>
        <w:bottom w:val="none" w:sz="0" w:space="0" w:color="auto"/>
        <w:right w:val="none" w:sz="0" w:space="0" w:color="auto"/>
      </w:divBdr>
      <w:divsChild>
        <w:div w:id="2126072478">
          <w:marLeft w:val="0"/>
          <w:marRight w:val="0"/>
          <w:marTop w:val="0"/>
          <w:marBottom w:val="0"/>
          <w:divBdr>
            <w:top w:val="none" w:sz="0" w:space="0" w:color="auto"/>
            <w:left w:val="none" w:sz="0" w:space="0" w:color="auto"/>
            <w:bottom w:val="none" w:sz="0" w:space="0" w:color="auto"/>
            <w:right w:val="none" w:sz="0" w:space="0" w:color="auto"/>
          </w:divBdr>
          <w:divsChild>
            <w:div w:id="1104181383">
              <w:marLeft w:val="0"/>
              <w:marRight w:val="0"/>
              <w:marTop w:val="0"/>
              <w:marBottom w:val="0"/>
              <w:divBdr>
                <w:top w:val="none" w:sz="0" w:space="0" w:color="auto"/>
                <w:left w:val="none" w:sz="0" w:space="0" w:color="auto"/>
                <w:bottom w:val="none" w:sz="0" w:space="0" w:color="auto"/>
                <w:right w:val="none" w:sz="0" w:space="0" w:color="auto"/>
              </w:divBdr>
              <w:divsChild>
                <w:div w:id="1693989910">
                  <w:marLeft w:val="-75"/>
                  <w:marRight w:val="-75"/>
                  <w:marTop w:val="0"/>
                  <w:marBottom w:val="0"/>
                  <w:divBdr>
                    <w:top w:val="none" w:sz="0" w:space="0" w:color="auto"/>
                    <w:left w:val="none" w:sz="0" w:space="0" w:color="auto"/>
                    <w:bottom w:val="none" w:sz="0" w:space="0" w:color="auto"/>
                    <w:right w:val="none" w:sz="0" w:space="0" w:color="auto"/>
                  </w:divBdr>
                  <w:divsChild>
                    <w:div w:id="913008730">
                      <w:marLeft w:val="0"/>
                      <w:marRight w:val="0"/>
                      <w:marTop w:val="0"/>
                      <w:marBottom w:val="0"/>
                      <w:divBdr>
                        <w:top w:val="none" w:sz="0" w:space="0" w:color="auto"/>
                        <w:left w:val="none" w:sz="0" w:space="0" w:color="auto"/>
                        <w:bottom w:val="none" w:sz="0" w:space="0" w:color="auto"/>
                        <w:right w:val="none" w:sz="0" w:space="0" w:color="auto"/>
                      </w:divBdr>
                      <w:divsChild>
                        <w:div w:id="176430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115461">
      <w:bodyDiv w:val="1"/>
      <w:marLeft w:val="0"/>
      <w:marRight w:val="0"/>
      <w:marTop w:val="0"/>
      <w:marBottom w:val="0"/>
      <w:divBdr>
        <w:top w:val="none" w:sz="0" w:space="0" w:color="auto"/>
        <w:left w:val="none" w:sz="0" w:space="0" w:color="auto"/>
        <w:bottom w:val="none" w:sz="0" w:space="0" w:color="auto"/>
        <w:right w:val="none" w:sz="0" w:space="0" w:color="auto"/>
      </w:divBdr>
    </w:div>
    <w:div w:id="1020814598">
      <w:bodyDiv w:val="1"/>
      <w:marLeft w:val="0"/>
      <w:marRight w:val="0"/>
      <w:marTop w:val="0"/>
      <w:marBottom w:val="0"/>
      <w:divBdr>
        <w:top w:val="none" w:sz="0" w:space="0" w:color="auto"/>
        <w:left w:val="none" w:sz="0" w:space="0" w:color="auto"/>
        <w:bottom w:val="none" w:sz="0" w:space="0" w:color="auto"/>
        <w:right w:val="none" w:sz="0" w:space="0" w:color="auto"/>
      </w:divBdr>
    </w:div>
    <w:div w:id="1030913909">
      <w:bodyDiv w:val="1"/>
      <w:marLeft w:val="0"/>
      <w:marRight w:val="0"/>
      <w:marTop w:val="0"/>
      <w:marBottom w:val="0"/>
      <w:divBdr>
        <w:top w:val="none" w:sz="0" w:space="0" w:color="auto"/>
        <w:left w:val="none" w:sz="0" w:space="0" w:color="auto"/>
        <w:bottom w:val="none" w:sz="0" w:space="0" w:color="auto"/>
        <w:right w:val="none" w:sz="0" w:space="0" w:color="auto"/>
      </w:divBdr>
    </w:div>
    <w:div w:id="1052073608">
      <w:bodyDiv w:val="1"/>
      <w:marLeft w:val="0"/>
      <w:marRight w:val="0"/>
      <w:marTop w:val="0"/>
      <w:marBottom w:val="0"/>
      <w:divBdr>
        <w:top w:val="none" w:sz="0" w:space="0" w:color="auto"/>
        <w:left w:val="none" w:sz="0" w:space="0" w:color="auto"/>
        <w:bottom w:val="none" w:sz="0" w:space="0" w:color="auto"/>
        <w:right w:val="none" w:sz="0" w:space="0" w:color="auto"/>
      </w:divBdr>
      <w:divsChild>
        <w:div w:id="430663972">
          <w:marLeft w:val="0"/>
          <w:marRight w:val="0"/>
          <w:marTop w:val="0"/>
          <w:marBottom w:val="0"/>
          <w:divBdr>
            <w:top w:val="none" w:sz="0" w:space="0" w:color="auto"/>
            <w:left w:val="none" w:sz="0" w:space="0" w:color="auto"/>
            <w:bottom w:val="none" w:sz="0" w:space="0" w:color="auto"/>
            <w:right w:val="none" w:sz="0" w:space="0" w:color="auto"/>
          </w:divBdr>
          <w:divsChild>
            <w:div w:id="1541477191">
              <w:marLeft w:val="3600"/>
              <w:marRight w:val="300"/>
              <w:marTop w:val="0"/>
              <w:marBottom w:val="0"/>
              <w:divBdr>
                <w:top w:val="none" w:sz="0" w:space="0" w:color="auto"/>
                <w:left w:val="none" w:sz="0" w:space="0" w:color="auto"/>
                <w:bottom w:val="none" w:sz="0" w:space="0" w:color="auto"/>
                <w:right w:val="none" w:sz="0" w:space="0" w:color="auto"/>
              </w:divBdr>
            </w:div>
          </w:divsChild>
        </w:div>
      </w:divsChild>
    </w:div>
    <w:div w:id="1091776579">
      <w:bodyDiv w:val="1"/>
      <w:marLeft w:val="0"/>
      <w:marRight w:val="0"/>
      <w:marTop w:val="0"/>
      <w:marBottom w:val="0"/>
      <w:divBdr>
        <w:top w:val="none" w:sz="0" w:space="0" w:color="auto"/>
        <w:left w:val="none" w:sz="0" w:space="0" w:color="auto"/>
        <w:bottom w:val="none" w:sz="0" w:space="0" w:color="auto"/>
        <w:right w:val="none" w:sz="0" w:space="0" w:color="auto"/>
      </w:divBdr>
    </w:div>
    <w:div w:id="1093937608">
      <w:bodyDiv w:val="1"/>
      <w:marLeft w:val="0"/>
      <w:marRight w:val="0"/>
      <w:marTop w:val="0"/>
      <w:marBottom w:val="0"/>
      <w:divBdr>
        <w:top w:val="none" w:sz="0" w:space="0" w:color="auto"/>
        <w:left w:val="none" w:sz="0" w:space="0" w:color="auto"/>
        <w:bottom w:val="none" w:sz="0" w:space="0" w:color="auto"/>
        <w:right w:val="none" w:sz="0" w:space="0" w:color="auto"/>
      </w:divBdr>
    </w:div>
    <w:div w:id="1133013684">
      <w:bodyDiv w:val="1"/>
      <w:marLeft w:val="0"/>
      <w:marRight w:val="0"/>
      <w:marTop w:val="0"/>
      <w:marBottom w:val="0"/>
      <w:divBdr>
        <w:top w:val="none" w:sz="0" w:space="0" w:color="auto"/>
        <w:left w:val="none" w:sz="0" w:space="0" w:color="auto"/>
        <w:bottom w:val="none" w:sz="0" w:space="0" w:color="auto"/>
        <w:right w:val="none" w:sz="0" w:space="0" w:color="auto"/>
      </w:divBdr>
    </w:div>
    <w:div w:id="1170483349">
      <w:bodyDiv w:val="1"/>
      <w:marLeft w:val="0"/>
      <w:marRight w:val="0"/>
      <w:marTop w:val="0"/>
      <w:marBottom w:val="0"/>
      <w:divBdr>
        <w:top w:val="none" w:sz="0" w:space="0" w:color="auto"/>
        <w:left w:val="none" w:sz="0" w:space="0" w:color="auto"/>
        <w:bottom w:val="none" w:sz="0" w:space="0" w:color="auto"/>
        <w:right w:val="none" w:sz="0" w:space="0" w:color="auto"/>
      </w:divBdr>
    </w:div>
    <w:div w:id="1206059961">
      <w:bodyDiv w:val="1"/>
      <w:marLeft w:val="0"/>
      <w:marRight w:val="0"/>
      <w:marTop w:val="0"/>
      <w:marBottom w:val="0"/>
      <w:divBdr>
        <w:top w:val="none" w:sz="0" w:space="0" w:color="auto"/>
        <w:left w:val="none" w:sz="0" w:space="0" w:color="auto"/>
        <w:bottom w:val="none" w:sz="0" w:space="0" w:color="auto"/>
        <w:right w:val="none" w:sz="0" w:space="0" w:color="auto"/>
      </w:divBdr>
    </w:div>
    <w:div w:id="1220674378">
      <w:bodyDiv w:val="1"/>
      <w:marLeft w:val="0"/>
      <w:marRight w:val="0"/>
      <w:marTop w:val="0"/>
      <w:marBottom w:val="0"/>
      <w:divBdr>
        <w:top w:val="none" w:sz="0" w:space="0" w:color="auto"/>
        <w:left w:val="none" w:sz="0" w:space="0" w:color="auto"/>
        <w:bottom w:val="none" w:sz="0" w:space="0" w:color="auto"/>
        <w:right w:val="none" w:sz="0" w:space="0" w:color="auto"/>
      </w:divBdr>
      <w:divsChild>
        <w:div w:id="681395370">
          <w:marLeft w:val="0"/>
          <w:marRight w:val="0"/>
          <w:marTop w:val="0"/>
          <w:marBottom w:val="0"/>
          <w:divBdr>
            <w:top w:val="none" w:sz="0" w:space="0" w:color="auto"/>
            <w:left w:val="none" w:sz="0" w:space="0" w:color="auto"/>
            <w:bottom w:val="none" w:sz="0" w:space="0" w:color="auto"/>
            <w:right w:val="none" w:sz="0" w:space="0" w:color="auto"/>
          </w:divBdr>
          <w:divsChild>
            <w:div w:id="195974444">
              <w:marLeft w:val="0"/>
              <w:marRight w:val="0"/>
              <w:marTop w:val="0"/>
              <w:marBottom w:val="0"/>
              <w:divBdr>
                <w:top w:val="none" w:sz="0" w:space="0" w:color="auto"/>
                <w:left w:val="none" w:sz="0" w:space="0" w:color="auto"/>
                <w:bottom w:val="none" w:sz="0" w:space="0" w:color="auto"/>
                <w:right w:val="none" w:sz="0" w:space="0" w:color="auto"/>
              </w:divBdr>
              <w:divsChild>
                <w:div w:id="1468206328">
                  <w:marLeft w:val="0"/>
                  <w:marRight w:val="0"/>
                  <w:marTop w:val="0"/>
                  <w:marBottom w:val="0"/>
                  <w:divBdr>
                    <w:top w:val="none" w:sz="0" w:space="0" w:color="auto"/>
                    <w:left w:val="none" w:sz="0" w:space="0" w:color="auto"/>
                    <w:bottom w:val="none" w:sz="0" w:space="0" w:color="auto"/>
                    <w:right w:val="none" w:sz="0" w:space="0" w:color="auto"/>
                  </w:divBdr>
                  <w:divsChild>
                    <w:div w:id="195048567">
                      <w:marLeft w:val="0"/>
                      <w:marRight w:val="0"/>
                      <w:marTop w:val="0"/>
                      <w:marBottom w:val="0"/>
                      <w:divBdr>
                        <w:top w:val="none" w:sz="0" w:space="0" w:color="auto"/>
                        <w:left w:val="none" w:sz="0" w:space="0" w:color="auto"/>
                        <w:bottom w:val="none" w:sz="0" w:space="0" w:color="auto"/>
                        <w:right w:val="none" w:sz="0" w:space="0" w:color="auto"/>
                      </w:divBdr>
                      <w:divsChild>
                        <w:div w:id="1378119905">
                          <w:marLeft w:val="0"/>
                          <w:marRight w:val="0"/>
                          <w:marTop w:val="0"/>
                          <w:marBottom w:val="0"/>
                          <w:divBdr>
                            <w:top w:val="none" w:sz="0" w:space="0" w:color="auto"/>
                            <w:left w:val="none" w:sz="0" w:space="0" w:color="auto"/>
                            <w:bottom w:val="none" w:sz="0" w:space="0" w:color="auto"/>
                            <w:right w:val="none" w:sz="0" w:space="0" w:color="auto"/>
                          </w:divBdr>
                          <w:divsChild>
                            <w:div w:id="1762797740">
                              <w:marLeft w:val="0"/>
                              <w:marRight w:val="0"/>
                              <w:marTop w:val="0"/>
                              <w:marBottom w:val="0"/>
                              <w:divBdr>
                                <w:top w:val="none" w:sz="0" w:space="0" w:color="auto"/>
                                <w:left w:val="none" w:sz="0" w:space="0" w:color="auto"/>
                                <w:bottom w:val="none" w:sz="0" w:space="0" w:color="auto"/>
                                <w:right w:val="none" w:sz="0" w:space="0" w:color="auto"/>
                              </w:divBdr>
                              <w:divsChild>
                                <w:div w:id="345061636">
                                  <w:marLeft w:val="0"/>
                                  <w:marRight w:val="0"/>
                                  <w:marTop w:val="0"/>
                                  <w:marBottom w:val="0"/>
                                  <w:divBdr>
                                    <w:top w:val="none" w:sz="0" w:space="0" w:color="auto"/>
                                    <w:left w:val="none" w:sz="0" w:space="0" w:color="auto"/>
                                    <w:bottom w:val="none" w:sz="0" w:space="0" w:color="auto"/>
                                    <w:right w:val="none" w:sz="0" w:space="0" w:color="auto"/>
                                  </w:divBdr>
                                  <w:divsChild>
                                    <w:div w:id="36506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2137757">
      <w:bodyDiv w:val="1"/>
      <w:marLeft w:val="0"/>
      <w:marRight w:val="0"/>
      <w:marTop w:val="0"/>
      <w:marBottom w:val="0"/>
      <w:divBdr>
        <w:top w:val="none" w:sz="0" w:space="0" w:color="auto"/>
        <w:left w:val="none" w:sz="0" w:space="0" w:color="auto"/>
        <w:bottom w:val="none" w:sz="0" w:space="0" w:color="auto"/>
        <w:right w:val="none" w:sz="0" w:space="0" w:color="auto"/>
      </w:divBdr>
    </w:div>
    <w:div w:id="1227689533">
      <w:bodyDiv w:val="1"/>
      <w:marLeft w:val="0"/>
      <w:marRight w:val="0"/>
      <w:marTop w:val="0"/>
      <w:marBottom w:val="0"/>
      <w:divBdr>
        <w:top w:val="none" w:sz="0" w:space="0" w:color="auto"/>
        <w:left w:val="none" w:sz="0" w:space="0" w:color="auto"/>
        <w:bottom w:val="none" w:sz="0" w:space="0" w:color="auto"/>
        <w:right w:val="none" w:sz="0" w:space="0" w:color="auto"/>
      </w:divBdr>
    </w:div>
    <w:div w:id="1241603470">
      <w:bodyDiv w:val="1"/>
      <w:marLeft w:val="0"/>
      <w:marRight w:val="0"/>
      <w:marTop w:val="0"/>
      <w:marBottom w:val="0"/>
      <w:divBdr>
        <w:top w:val="none" w:sz="0" w:space="0" w:color="auto"/>
        <w:left w:val="none" w:sz="0" w:space="0" w:color="auto"/>
        <w:bottom w:val="none" w:sz="0" w:space="0" w:color="auto"/>
        <w:right w:val="none" w:sz="0" w:space="0" w:color="auto"/>
      </w:divBdr>
      <w:divsChild>
        <w:div w:id="304823913">
          <w:marLeft w:val="0"/>
          <w:marRight w:val="0"/>
          <w:marTop w:val="0"/>
          <w:marBottom w:val="0"/>
          <w:divBdr>
            <w:top w:val="none" w:sz="0" w:space="0" w:color="auto"/>
            <w:left w:val="none" w:sz="0" w:space="0" w:color="auto"/>
            <w:bottom w:val="none" w:sz="0" w:space="0" w:color="auto"/>
            <w:right w:val="none" w:sz="0" w:space="0" w:color="auto"/>
          </w:divBdr>
          <w:divsChild>
            <w:div w:id="1732575833">
              <w:marLeft w:val="0"/>
              <w:marRight w:val="0"/>
              <w:marTop w:val="0"/>
              <w:marBottom w:val="0"/>
              <w:divBdr>
                <w:top w:val="none" w:sz="0" w:space="0" w:color="auto"/>
                <w:left w:val="none" w:sz="0" w:space="0" w:color="auto"/>
                <w:bottom w:val="none" w:sz="0" w:space="0" w:color="auto"/>
                <w:right w:val="none" w:sz="0" w:space="0" w:color="auto"/>
              </w:divBdr>
              <w:divsChild>
                <w:div w:id="1579167867">
                  <w:marLeft w:val="-75"/>
                  <w:marRight w:val="-75"/>
                  <w:marTop w:val="0"/>
                  <w:marBottom w:val="0"/>
                  <w:divBdr>
                    <w:top w:val="none" w:sz="0" w:space="0" w:color="auto"/>
                    <w:left w:val="none" w:sz="0" w:space="0" w:color="auto"/>
                    <w:bottom w:val="none" w:sz="0" w:space="0" w:color="auto"/>
                    <w:right w:val="none" w:sz="0" w:space="0" w:color="auto"/>
                  </w:divBdr>
                  <w:divsChild>
                    <w:div w:id="2013952882">
                      <w:marLeft w:val="0"/>
                      <w:marRight w:val="0"/>
                      <w:marTop w:val="0"/>
                      <w:marBottom w:val="0"/>
                      <w:divBdr>
                        <w:top w:val="none" w:sz="0" w:space="0" w:color="auto"/>
                        <w:left w:val="none" w:sz="0" w:space="0" w:color="auto"/>
                        <w:bottom w:val="none" w:sz="0" w:space="0" w:color="auto"/>
                        <w:right w:val="none" w:sz="0" w:space="0" w:color="auto"/>
                      </w:divBdr>
                      <w:divsChild>
                        <w:div w:id="39959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3585293">
      <w:bodyDiv w:val="1"/>
      <w:marLeft w:val="0"/>
      <w:marRight w:val="0"/>
      <w:marTop w:val="0"/>
      <w:marBottom w:val="0"/>
      <w:divBdr>
        <w:top w:val="none" w:sz="0" w:space="0" w:color="auto"/>
        <w:left w:val="none" w:sz="0" w:space="0" w:color="auto"/>
        <w:bottom w:val="none" w:sz="0" w:space="0" w:color="auto"/>
        <w:right w:val="none" w:sz="0" w:space="0" w:color="auto"/>
      </w:divBdr>
    </w:div>
    <w:div w:id="1254977089">
      <w:bodyDiv w:val="1"/>
      <w:marLeft w:val="0"/>
      <w:marRight w:val="0"/>
      <w:marTop w:val="0"/>
      <w:marBottom w:val="0"/>
      <w:divBdr>
        <w:top w:val="none" w:sz="0" w:space="0" w:color="auto"/>
        <w:left w:val="none" w:sz="0" w:space="0" w:color="auto"/>
        <w:bottom w:val="none" w:sz="0" w:space="0" w:color="auto"/>
        <w:right w:val="none" w:sz="0" w:space="0" w:color="auto"/>
      </w:divBdr>
    </w:div>
    <w:div w:id="1272857943">
      <w:bodyDiv w:val="1"/>
      <w:marLeft w:val="0"/>
      <w:marRight w:val="0"/>
      <w:marTop w:val="0"/>
      <w:marBottom w:val="0"/>
      <w:divBdr>
        <w:top w:val="none" w:sz="0" w:space="0" w:color="auto"/>
        <w:left w:val="none" w:sz="0" w:space="0" w:color="auto"/>
        <w:bottom w:val="none" w:sz="0" w:space="0" w:color="auto"/>
        <w:right w:val="none" w:sz="0" w:space="0" w:color="auto"/>
      </w:divBdr>
    </w:div>
    <w:div w:id="1275479462">
      <w:bodyDiv w:val="1"/>
      <w:marLeft w:val="0"/>
      <w:marRight w:val="0"/>
      <w:marTop w:val="0"/>
      <w:marBottom w:val="0"/>
      <w:divBdr>
        <w:top w:val="none" w:sz="0" w:space="0" w:color="auto"/>
        <w:left w:val="none" w:sz="0" w:space="0" w:color="auto"/>
        <w:bottom w:val="none" w:sz="0" w:space="0" w:color="auto"/>
        <w:right w:val="none" w:sz="0" w:space="0" w:color="auto"/>
      </w:divBdr>
    </w:div>
    <w:div w:id="1284727531">
      <w:bodyDiv w:val="1"/>
      <w:marLeft w:val="0"/>
      <w:marRight w:val="0"/>
      <w:marTop w:val="0"/>
      <w:marBottom w:val="0"/>
      <w:divBdr>
        <w:top w:val="none" w:sz="0" w:space="0" w:color="auto"/>
        <w:left w:val="none" w:sz="0" w:space="0" w:color="auto"/>
        <w:bottom w:val="none" w:sz="0" w:space="0" w:color="auto"/>
        <w:right w:val="none" w:sz="0" w:space="0" w:color="auto"/>
      </w:divBdr>
    </w:div>
    <w:div w:id="1284964795">
      <w:bodyDiv w:val="1"/>
      <w:marLeft w:val="0"/>
      <w:marRight w:val="0"/>
      <w:marTop w:val="0"/>
      <w:marBottom w:val="0"/>
      <w:divBdr>
        <w:top w:val="none" w:sz="0" w:space="0" w:color="auto"/>
        <w:left w:val="none" w:sz="0" w:space="0" w:color="auto"/>
        <w:bottom w:val="none" w:sz="0" w:space="0" w:color="auto"/>
        <w:right w:val="none" w:sz="0" w:space="0" w:color="auto"/>
      </w:divBdr>
    </w:div>
    <w:div w:id="1296637965">
      <w:bodyDiv w:val="1"/>
      <w:marLeft w:val="0"/>
      <w:marRight w:val="0"/>
      <w:marTop w:val="0"/>
      <w:marBottom w:val="0"/>
      <w:divBdr>
        <w:top w:val="none" w:sz="0" w:space="0" w:color="auto"/>
        <w:left w:val="none" w:sz="0" w:space="0" w:color="auto"/>
        <w:bottom w:val="none" w:sz="0" w:space="0" w:color="auto"/>
        <w:right w:val="none" w:sz="0" w:space="0" w:color="auto"/>
      </w:divBdr>
    </w:div>
    <w:div w:id="1301153207">
      <w:bodyDiv w:val="1"/>
      <w:marLeft w:val="0"/>
      <w:marRight w:val="0"/>
      <w:marTop w:val="0"/>
      <w:marBottom w:val="0"/>
      <w:divBdr>
        <w:top w:val="none" w:sz="0" w:space="0" w:color="auto"/>
        <w:left w:val="none" w:sz="0" w:space="0" w:color="auto"/>
        <w:bottom w:val="none" w:sz="0" w:space="0" w:color="auto"/>
        <w:right w:val="none" w:sz="0" w:space="0" w:color="auto"/>
      </w:divBdr>
    </w:div>
    <w:div w:id="1322536503">
      <w:bodyDiv w:val="1"/>
      <w:marLeft w:val="0"/>
      <w:marRight w:val="0"/>
      <w:marTop w:val="0"/>
      <w:marBottom w:val="0"/>
      <w:divBdr>
        <w:top w:val="none" w:sz="0" w:space="0" w:color="auto"/>
        <w:left w:val="none" w:sz="0" w:space="0" w:color="auto"/>
        <w:bottom w:val="none" w:sz="0" w:space="0" w:color="auto"/>
        <w:right w:val="none" w:sz="0" w:space="0" w:color="auto"/>
      </w:divBdr>
    </w:div>
    <w:div w:id="1383098224">
      <w:bodyDiv w:val="1"/>
      <w:marLeft w:val="0"/>
      <w:marRight w:val="0"/>
      <w:marTop w:val="0"/>
      <w:marBottom w:val="0"/>
      <w:divBdr>
        <w:top w:val="none" w:sz="0" w:space="0" w:color="auto"/>
        <w:left w:val="none" w:sz="0" w:space="0" w:color="auto"/>
        <w:bottom w:val="none" w:sz="0" w:space="0" w:color="auto"/>
        <w:right w:val="none" w:sz="0" w:space="0" w:color="auto"/>
      </w:divBdr>
    </w:div>
    <w:div w:id="1388605763">
      <w:bodyDiv w:val="1"/>
      <w:marLeft w:val="0"/>
      <w:marRight w:val="0"/>
      <w:marTop w:val="0"/>
      <w:marBottom w:val="0"/>
      <w:divBdr>
        <w:top w:val="none" w:sz="0" w:space="0" w:color="auto"/>
        <w:left w:val="none" w:sz="0" w:space="0" w:color="auto"/>
        <w:bottom w:val="none" w:sz="0" w:space="0" w:color="auto"/>
        <w:right w:val="none" w:sz="0" w:space="0" w:color="auto"/>
      </w:divBdr>
    </w:div>
    <w:div w:id="1399328033">
      <w:bodyDiv w:val="1"/>
      <w:marLeft w:val="0"/>
      <w:marRight w:val="0"/>
      <w:marTop w:val="0"/>
      <w:marBottom w:val="0"/>
      <w:divBdr>
        <w:top w:val="none" w:sz="0" w:space="0" w:color="auto"/>
        <w:left w:val="none" w:sz="0" w:space="0" w:color="auto"/>
        <w:bottom w:val="none" w:sz="0" w:space="0" w:color="auto"/>
        <w:right w:val="none" w:sz="0" w:space="0" w:color="auto"/>
      </w:divBdr>
    </w:div>
    <w:div w:id="1403214600">
      <w:bodyDiv w:val="1"/>
      <w:marLeft w:val="0"/>
      <w:marRight w:val="0"/>
      <w:marTop w:val="0"/>
      <w:marBottom w:val="0"/>
      <w:divBdr>
        <w:top w:val="none" w:sz="0" w:space="0" w:color="auto"/>
        <w:left w:val="none" w:sz="0" w:space="0" w:color="auto"/>
        <w:bottom w:val="none" w:sz="0" w:space="0" w:color="auto"/>
        <w:right w:val="none" w:sz="0" w:space="0" w:color="auto"/>
      </w:divBdr>
    </w:div>
    <w:div w:id="1415200661">
      <w:bodyDiv w:val="1"/>
      <w:marLeft w:val="0"/>
      <w:marRight w:val="0"/>
      <w:marTop w:val="0"/>
      <w:marBottom w:val="0"/>
      <w:divBdr>
        <w:top w:val="none" w:sz="0" w:space="0" w:color="auto"/>
        <w:left w:val="none" w:sz="0" w:space="0" w:color="auto"/>
        <w:bottom w:val="none" w:sz="0" w:space="0" w:color="auto"/>
        <w:right w:val="none" w:sz="0" w:space="0" w:color="auto"/>
      </w:divBdr>
    </w:div>
    <w:div w:id="1423867661">
      <w:bodyDiv w:val="1"/>
      <w:marLeft w:val="0"/>
      <w:marRight w:val="0"/>
      <w:marTop w:val="0"/>
      <w:marBottom w:val="0"/>
      <w:divBdr>
        <w:top w:val="none" w:sz="0" w:space="0" w:color="auto"/>
        <w:left w:val="none" w:sz="0" w:space="0" w:color="auto"/>
        <w:bottom w:val="none" w:sz="0" w:space="0" w:color="auto"/>
        <w:right w:val="none" w:sz="0" w:space="0" w:color="auto"/>
      </w:divBdr>
    </w:div>
    <w:div w:id="1444887511">
      <w:bodyDiv w:val="1"/>
      <w:marLeft w:val="0"/>
      <w:marRight w:val="0"/>
      <w:marTop w:val="0"/>
      <w:marBottom w:val="0"/>
      <w:divBdr>
        <w:top w:val="none" w:sz="0" w:space="0" w:color="auto"/>
        <w:left w:val="none" w:sz="0" w:space="0" w:color="auto"/>
        <w:bottom w:val="none" w:sz="0" w:space="0" w:color="auto"/>
        <w:right w:val="none" w:sz="0" w:space="0" w:color="auto"/>
      </w:divBdr>
    </w:div>
    <w:div w:id="1451784815">
      <w:bodyDiv w:val="1"/>
      <w:marLeft w:val="0"/>
      <w:marRight w:val="0"/>
      <w:marTop w:val="0"/>
      <w:marBottom w:val="0"/>
      <w:divBdr>
        <w:top w:val="none" w:sz="0" w:space="0" w:color="auto"/>
        <w:left w:val="none" w:sz="0" w:space="0" w:color="auto"/>
        <w:bottom w:val="none" w:sz="0" w:space="0" w:color="auto"/>
        <w:right w:val="none" w:sz="0" w:space="0" w:color="auto"/>
      </w:divBdr>
    </w:div>
    <w:div w:id="1459031841">
      <w:bodyDiv w:val="1"/>
      <w:marLeft w:val="0"/>
      <w:marRight w:val="0"/>
      <w:marTop w:val="0"/>
      <w:marBottom w:val="0"/>
      <w:divBdr>
        <w:top w:val="none" w:sz="0" w:space="0" w:color="auto"/>
        <w:left w:val="none" w:sz="0" w:space="0" w:color="auto"/>
        <w:bottom w:val="none" w:sz="0" w:space="0" w:color="auto"/>
        <w:right w:val="none" w:sz="0" w:space="0" w:color="auto"/>
      </w:divBdr>
    </w:div>
    <w:div w:id="1487697780">
      <w:bodyDiv w:val="1"/>
      <w:marLeft w:val="0"/>
      <w:marRight w:val="0"/>
      <w:marTop w:val="0"/>
      <w:marBottom w:val="0"/>
      <w:divBdr>
        <w:top w:val="none" w:sz="0" w:space="0" w:color="auto"/>
        <w:left w:val="none" w:sz="0" w:space="0" w:color="auto"/>
        <w:bottom w:val="none" w:sz="0" w:space="0" w:color="auto"/>
        <w:right w:val="none" w:sz="0" w:space="0" w:color="auto"/>
      </w:divBdr>
    </w:div>
    <w:div w:id="1515222387">
      <w:bodyDiv w:val="1"/>
      <w:marLeft w:val="0"/>
      <w:marRight w:val="0"/>
      <w:marTop w:val="0"/>
      <w:marBottom w:val="0"/>
      <w:divBdr>
        <w:top w:val="none" w:sz="0" w:space="0" w:color="auto"/>
        <w:left w:val="none" w:sz="0" w:space="0" w:color="auto"/>
        <w:bottom w:val="none" w:sz="0" w:space="0" w:color="auto"/>
        <w:right w:val="none" w:sz="0" w:space="0" w:color="auto"/>
      </w:divBdr>
    </w:div>
    <w:div w:id="1536194352">
      <w:bodyDiv w:val="1"/>
      <w:marLeft w:val="0"/>
      <w:marRight w:val="0"/>
      <w:marTop w:val="0"/>
      <w:marBottom w:val="0"/>
      <w:divBdr>
        <w:top w:val="none" w:sz="0" w:space="0" w:color="auto"/>
        <w:left w:val="none" w:sz="0" w:space="0" w:color="auto"/>
        <w:bottom w:val="none" w:sz="0" w:space="0" w:color="auto"/>
        <w:right w:val="none" w:sz="0" w:space="0" w:color="auto"/>
      </w:divBdr>
    </w:div>
    <w:div w:id="1565333215">
      <w:bodyDiv w:val="1"/>
      <w:marLeft w:val="0"/>
      <w:marRight w:val="0"/>
      <w:marTop w:val="0"/>
      <w:marBottom w:val="0"/>
      <w:divBdr>
        <w:top w:val="none" w:sz="0" w:space="0" w:color="auto"/>
        <w:left w:val="none" w:sz="0" w:space="0" w:color="auto"/>
        <w:bottom w:val="none" w:sz="0" w:space="0" w:color="auto"/>
        <w:right w:val="none" w:sz="0" w:space="0" w:color="auto"/>
      </w:divBdr>
    </w:div>
    <w:div w:id="1566141871">
      <w:bodyDiv w:val="1"/>
      <w:marLeft w:val="0"/>
      <w:marRight w:val="0"/>
      <w:marTop w:val="0"/>
      <w:marBottom w:val="0"/>
      <w:divBdr>
        <w:top w:val="none" w:sz="0" w:space="0" w:color="auto"/>
        <w:left w:val="none" w:sz="0" w:space="0" w:color="auto"/>
        <w:bottom w:val="none" w:sz="0" w:space="0" w:color="auto"/>
        <w:right w:val="none" w:sz="0" w:space="0" w:color="auto"/>
      </w:divBdr>
    </w:div>
    <w:div w:id="1578782778">
      <w:bodyDiv w:val="1"/>
      <w:marLeft w:val="0"/>
      <w:marRight w:val="0"/>
      <w:marTop w:val="0"/>
      <w:marBottom w:val="0"/>
      <w:divBdr>
        <w:top w:val="none" w:sz="0" w:space="0" w:color="auto"/>
        <w:left w:val="none" w:sz="0" w:space="0" w:color="auto"/>
        <w:bottom w:val="none" w:sz="0" w:space="0" w:color="auto"/>
        <w:right w:val="none" w:sz="0" w:space="0" w:color="auto"/>
      </w:divBdr>
    </w:div>
    <w:div w:id="1586259366">
      <w:bodyDiv w:val="1"/>
      <w:marLeft w:val="0"/>
      <w:marRight w:val="0"/>
      <w:marTop w:val="0"/>
      <w:marBottom w:val="0"/>
      <w:divBdr>
        <w:top w:val="none" w:sz="0" w:space="0" w:color="auto"/>
        <w:left w:val="none" w:sz="0" w:space="0" w:color="auto"/>
        <w:bottom w:val="none" w:sz="0" w:space="0" w:color="auto"/>
        <w:right w:val="none" w:sz="0" w:space="0" w:color="auto"/>
      </w:divBdr>
    </w:div>
    <w:div w:id="1653172094">
      <w:bodyDiv w:val="1"/>
      <w:marLeft w:val="0"/>
      <w:marRight w:val="0"/>
      <w:marTop w:val="0"/>
      <w:marBottom w:val="0"/>
      <w:divBdr>
        <w:top w:val="none" w:sz="0" w:space="0" w:color="auto"/>
        <w:left w:val="none" w:sz="0" w:space="0" w:color="auto"/>
        <w:bottom w:val="none" w:sz="0" w:space="0" w:color="auto"/>
        <w:right w:val="none" w:sz="0" w:space="0" w:color="auto"/>
      </w:divBdr>
    </w:div>
    <w:div w:id="1660039993">
      <w:bodyDiv w:val="1"/>
      <w:marLeft w:val="0"/>
      <w:marRight w:val="0"/>
      <w:marTop w:val="0"/>
      <w:marBottom w:val="0"/>
      <w:divBdr>
        <w:top w:val="none" w:sz="0" w:space="0" w:color="auto"/>
        <w:left w:val="none" w:sz="0" w:space="0" w:color="auto"/>
        <w:bottom w:val="none" w:sz="0" w:space="0" w:color="auto"/>
        <w:right w:val="none" w:sz="0" w:space="0" w:color="auto"/>
      </w:divBdr>
    </w:div>
    <w:div w:id="1663464272">
      <w:bodyDiv w:val="1"/>
      <w:marLeft w:val="0"/>
      <w:marRight w:val="0"/>
      <w:marTop w:val="0"/>
      <w:marBottom w:val="0"/>
      <w:divBdr>
        <w:top w:val="none" w:sz="0" w:space="0" w:color="auto"/>
        <w:left w:val="none" w:sz="0" w:space="0" w:color="auto"/>
        <w:bottom w:val="none" w:sz="0" w:space="0" w:color="auto"/>
        <w:right w:val="none" w:sz="0" w:space="0" w:color="auto"/>
      </w:divBdr>
    </w:div>
    <w:div w:id="1680081198">
      <w:bodyDiv w:val="1"/>
      <w:marLeft w:val="0"/>
      <w:marRight w:val="0"/>
      <w:marTop w:val="0"/>
      <w:marBottom w:val="0"/>
      <w:divBdr>
        <w:top w:val="none" w:sz="0" w:space="0" w:color="auto"/>
        <w:left w:val="none" w:sz="0" w:space="0" w:color="auto"/>
        <w:bottom w:val="none" w:sz="0" w:space="0" w:color="auto"/>
        <w:right w:val="none" w:sz="0" w:space="0" w:color="auto"/>
      </w:divBdr>
    </w:div>
    <w:div w:id="1684084785">
      <w:bodyDiv w:val="1"/>
      <w:marLeft w:val="0"/>
      <w:marRight w:val="0"/>
      <w:marTop w:val="0"/>
      <w:marBottom w:val="0"/>
      <w:divBdr>
        <w:top w:val="none" w:sz="0" w:space="0" w:color="auto"/>
        <w:left w:val="none" w:sz="0" w:space="0" w:color="auto"/>
        <w:bottom w:val="none" w:sz="0" w:space="0" w:color="auto"/>
        <w:right w:val="none" w:sz="0" w:space="0" w:color="auto"/>
      </w:divBdr>
    </w:div>
    <w:div w:id="1747528921">
      <w:bodyDiv w:val="1"/>
      <w:marLeft w:val="0"/>
      <w:marRight w:val="0"/>
      <w:marTop w:val="0"/>
      <w:marBottom w:val="0"/>
      <w:divBdr>
        <w:top w:val="none" w:sz="0" w:space="0" w:color="auto"/>
        <w:left w:val="none" w:sz="0" w:space="0" w:color="auto"/>
        <w:bottom w:val="none" w:sz="0" w:space="0" w:color="auto"/>
        <w:right w:val="none" w:sz="0" w:space="0" w:color="auto"/>
      </w:divBdr>
    </w:div>
    <w:div w:id="1763991924">
      <w:bodyDiv w:val="1"/>
      <w:marLeft w:val="0"/>
      <w:marRight w:val="0"/>
      <w:marTop w:val="0"/>
      <w:marBottom w:val="0"/>
      <w:divBdr>
        <w:top w:val="none" w:sz="0" w:space="0" w:color="auto"/>
        <w:left w:val="none" w:sz="0" w:space="0" w:color="auto"/>
        <w:bottom w:val="none" w:sz="0" w:space="0" w:color="auto"/>
        <w:right w:val="none" w:sz="0" w:space="0" w:color="auto"/>
      </w:divBdr>
    </w:div>
    <w:div w:id="1772822598">
      <w:bodyDiv w:val="1"/>
      <w:marLeft w:val="0"/>
      <w:marRight w:val="0"/>
      <w:marTop w:val="0"/>
      <w:marBottom w:val="0"/>
      <w:divBdr>
        <w:top w:val="none" w:sz="0" w:space="0" w:color="auto"/>
        <w:left w:val="none" w:sz="0" w:space="0" w:color="auto"/>
        <w:bottom w:val="none" w:sz="0" w:space="0" w:color="auto"/>
        <w:right w:val="none" w:sz="0" w:space="0" w:color="auto"/>
      </w:divBdr>
    </w:div>
    <w:div w:id="1798374007">
      <w:bodyDiv w:val="1"/>
      <w:marLeft w:val="0"/>
      <w:marRight w:val="0"/>
      <w:marTop w:val="0"/>
      <w:marBottom w:val="0"/>
      <w:divBdr>
        <w:top w:val="none" w:sz="0" w:space="0" w:color="auto"/>
        <w:left w:val="none" w:sz="0" w:space="0" w:color="auto"/>
        <w:bottom w:val="none" w:sz="0" w:space="0" w:color="auto"/>
        <w:right w:val="none" w:sz="0" w:space="0" w:color="auto"/>
      </w:divBdr>
    </w:div>
    <w:div w:id="1807626977">
      <w:bodyDiv w:val="1"/>
      <w:marLeft w:val="0"/>
      <w:marRight w:val="0"/>
      <w:marTop w:val="0"/>
      <w:marBottom w:val="0"/>
      <w:divBdr>
        <w:top w:val="none" w:sz="0" w:space="0" w:color="auto"/>
        <w:left w:val="none" w:sz="0" w:space="0" w:color="auto"/>
        <w:bottom w:val="none" w:sz="0" w:space="0" w:color="auto"/>
        <w:right w:val="none" w:sz="0" w:space="0" w:color="auto"/>
      </w:divBdr>
    </w:div>
    <w:div w:id="1822310944">
      <w:bodyDiv w:val="1"/>
      <w:marLeft w:val="0"/>
      <w:marRight w:val="0"/>
      <w:marTop w:val="0"/>
      <w:marBottom w:val="0"/>
      <w:divBdr>
        <w:top w:val="none" w:sz="0" w:space="0" w:color="auto"/>
        <w:left w:val="none" w:sz="0" w:space="0" w:color="auto"/>
        <w:bottom w:val="none" w:sz="0" w:space="0" w:color="auto"/>
        <w:right w:val="none" w:sz="0" w:space="0" w:color="auto"/>
      </w:divBdr>
    </w:div>
    <w:div w:id="1826773924">
      <w:bodyDiv w:val="1"/>
      <w:marLeft w:val="0"/>
      <w:marRight w:val="0"/>
      <w:marTop w:val="0"/>
      <w:marBottom w:val="0"/>
      <w:divBdr>
        <w:top w:val="none" w:sz="0" w:space="0" w:color="auto"/>
        <w:left w:val="none" w:sz="0" w:space="0" w:color="auto"/>
        <w:bottom w:val="none" w:sz="0" w:space="0" w:color="auto"/>
        <w:right w:val="none" w:sz="0" w:space="0" w:color="auto"/>
      </w:divBdr>
    </w:div>
    <w:div w:id="1856728444">
      <w:bodyDiv w:val="1"/>
      <w:marLeft w:val="0"/>
      <w:marRight w:val="0"/>
      <w:marTop w:val="0"/>
      <w:marBottom w:val="0"/>
      <w:divBdr>
        <w:top w:val="none" w:sz="0" w:space="0" w:color="auto"/>
        <w:left w:val="none" w:sz="0" w:space="0" w:color="auto"/>
        <w:bottom w:val="none" w:sz="0" w:space="0" w:color="auto"/>
        <w:right w:val="none" w:sz="0" w:space="0" w:color="auto"/>
      </w:divBdr>
    </w:div>
    <w:div w:id="1881473701">
      <w:bodyDiv w:val="1"/>
      <w:marLeft w:val="0"/>
      <w:marRight w:val="0"/>
      <w:marTop w:val="0"/>
      <w:marBottom w:val="0"/>
      <w:divBdr>
        <w:top w:val="none" w:sz="0" w:space="0" w:color="auto"/>
        <w:left w:val="none" w:sz="0" w:space="0" w:color="auto"/>
        <w:bottom w:val="none" w:sz="0" w:space="0" w:color="auto"/>
        <w:right w:val="none" w:sz="0" w:space="0" w:color="auto"/>
      </w:divBdr>
    </w:div>
    <w:div w:id="1882208704">
      <w:bodyDiv w:val="1"/>
      <w:marLeft w:val="0"/>
      <w:marRight w:val="0"/>
      <w:marTop w:val="0"/>
      <w:marBottom w:val="0"/>
      <w:divBdr>
        <w:top w:val="none" w:sz="0" w:space="0" w:color="auto"/>
        <w:left w:val="none" w:sz="0" w:space="0" w:color="auto"/>
        <w:bottom w:val="none" w:sz="0" w:space="0" w:color="auto"/>
        <w:right w:val="none" w:sz="0" w:space="0" w:color="auto"/>
      </w:divBdr>
    </w:div>
    <w:div w:id="1885096841">
      <w:bodyDiv w:val="1"/>
      <w:marLeft w:val="0"/>
      <w:marRight w:val="0"/>
      <w:marTop w:val="0"/>
      <w:marBottom w:val="0"/>
      <w:divBdr>
        <w:top w:val="none" w:sz="0" w:space="0" w:color="auto"/>
        <w:left w:val="none" w:sz="0" w:space="0" w:color="auto"/>
        <w:bottom w:val="none" w:sz="0" w:space="0" w:color="auto"/>
        <w:right w:val="none" w:sz="0" w:space="0" w:color="auto"/>
      </w:divBdr>
    </w:div>
    <w:div w:id="1888879780">
      <w:bodyDiv w:val="1"/>
      <w:marLeft w:val="0"/>
      <w:marRight w:val="0"/>
      <w:marTop w:val="0"/>
      <w:marBottom w:val="0"/>
      <w:divBdr>
        <w:top w:val="none" w:sz="0" w:space="0" w:color="auto"/>
        <w:left w:val="none" w:sz="0" w:space="0" w:color="auto"/>
        <w:bottom w:val="none" w:sz="0" w:space="0" w:color="auto"/>
        <w:right w:val="none" w:sz="0" w:space="0" w:color="auto"/>
      </w:divBdr>
    </w:div>
    <w:div w:id="1899826752">
      <w:bodyDiv w:val="1"/>
      <w:marLeft w:val="0"/>
      <w:marRight w:val="0"/>
      <w:marTop w:val="0"/>
      <w:marBottom w:val="0"/>
      <w:divBdr>
        <w:top w:val="none" w:sz="0" w:space="0" w:color="auto"/>
        <w:left w:val="none" w:sz="0" w:space="0" w:color="auto"/>
        <w:bottom w:val="none" w:sz="0" w:space="0" w:color="auto"/>
        <w:right w:val="none" w:sz="0" w:space="0" w:color="auto"/>
      </w:divBdr>
    </w:div>
    <w:div w:id="1906334941">
      <w:bodyDiv w:val="1"/>
      <w:marLeft w:val="0"/>
      <w:marRight w:val="0"/>
      <w:marTop w:val="0"/>
      <w:marBottom w:val="0"/>
      <w:divBdr>
        <w:top w:val="none" w:sz="0" w:space="0" w:color="auto"/>
        <w:left w:val="none" w:sz="0" w:space="0" w:color="auto"/>
        <w:bottom w:val="none" w:sz="0" w:space="0" w:color="auto"/>
        <w:right w:val="none" w:sz="0" w:space="0" w:color="auto"/>
      </w:divBdr>
    </w:div>
    <w:div w:id="1927611490">
      <w:bodyDiv w:val="1"/>
      <w:marLeft w:val="0"/>
      <w:marRight w:val="0"/>
      <w:marTop w:val="0"/>
      <w:marBottom w:val="0"/>
      <w:divBdr>
        <w:top w:val="none" w:sz="0" w:space="0" w:color="auto"/>
        <w:left w:val="none" w:sz="0" w:space="0" w:color="auto"/>
        <w:bottom w:val="none" w:sz="0" w:space="0" w:color="auto"/>
        <w:right w:val="none" w:sz="0" w:space="0" w:color="auto"/>
      </w:divBdr>
    </w:div>
    <w:div w:id="1959333580">
      <w:bodyDiv w:val="1"/>
      <w:marLeft w:val="0"/>
      <w:marRight w:val="0"/>
      <w:marTop w:val="0"/>
      <w:marBottom w:val="0"/>
      <w:divBdr>
        <w:top w:val="none" w:sz="0" w:space="0" w:color="auto"/>
        <w:left w:val="none" w:sz="0" w:space="0" w:color="auto"/>
        <w:bottom w:val="none" w:sz="0" w:space="0" w:color="auto"/>
        <w:right w:val="none" w:sz="0" w:space="0" w:color="auto"/>
      </w:divBdr>
    </w:div>
    <w:div w:id="1964312354">
      <w:bodyDiv w:val="1"/>
      <w:marLeft w:val="0"/>
      <w:marRight w:val="0"/>
      <w:marTop w:val="0"/>
      <w:marBottom w:val="0"/>
      <w:divBdr>
        <w:top w:val="none" w:sz="0" w:space="0" w:color="auto"/>
        <w:left w:val="none" w:sz="0" w:space="0" w:color="auto"/>
        <w:bottom w:val="none" w:sz="0" w:space="0" w:color="auto"/>
        <w:right w:val="none" w:sz="0" w:space="0" w:color="auto"/>
      </w:divBdr>
    </w:div>
    <w:div w:id="2033259682">
      <w:bodyDiv w:val="1"/>
      <w:marLeft w:val="0"/>
      <w:marRight w:val="0"/>
      <w:marTop w:val="0"/>
      <w:marBottom w:val="0"/>
      <w:divBdr>
        <w:top w:val="none" w:sz="0" w:space="0" w:color="auto"/>
        <w:left w:val="none" w:sz="0" w:space="0" w:color="auto"/>
        <w:bottom w:val="none" w:sz="0" w:space="0" w:color="auto"/>
        <w:right w:val="none" w:sz="0" w:space="0" w:color="auto"/>
      </w:divBdr>
    </w:div>
    <w:div w:id="2056930928">
      <w:bodyDiv w:val="1"/>
      <w:marLeft w:val="0"/>
      <w:marRight w:val="0"/>
      <w:marTop w:val="0"/>
      <w:marBottom w:val="0"/>
      <w:divBdr>
        <w:top w:val="none" w:sz="0" w:space="0" w:color="auto"/>
        <w:left w:val="none" w:sz="0" w:space="0" w:color="auto"/>
        <w:bottom w:val="none" w:sz="0" w:space="0" w:color="auto"/>
        <w:right w:val="none" w:sz="0" w:space="0" w:color="auto"/>
      </w:divBdr>
    </w:div>
    <w:div w:id="2060664604">
      <w:bodyDiv w:val="1"/>
      <w:marLeft w:val="0"/>
      <w:marRight w:val="0"/>
      <w:marTop w:val="0"/>
      <w:marBottom w:val="0"/>
      <w:divBdr>
        <w:top w:val="none" w:sz="0" w:space="0" w:color="auto"/>
        <w:left w:val="none" w:sz="0" w:space="0" w:color="auto"/>
        <w:bottom w:val="none" w:sz="0" w:space="0" w:color="auto"/>
        <w:right w:val="none" w:sz="0" w:space="0" w:color="auto"/>
      </w:divBdr>
    </w:div>
    <w:div w:id="2076467848">
      <w:bodyDiv w:val="1"/>
      <w:marLeft w:val="0"/>
      <w:marRight w:val="0"/>
      <w:marTop w:val="0"/>
      <w:marBottom w:val="0"/>
      <w:divBdr>
        <w:top w:val="none" w:sz="0" w:space="0" w:color="auto"/>
        <w:left w:val="none" w:sz="0" w:space="0" w:color="auto"/>
        <w:bottom w:val="none" w:sz="0" w:space="0" w:color="auto"/>
        <w:right w:val="none" w:sz="0" w:space="0" w:color="auto"/>
      </w:divBdr>
    </w:div>
    <w:div w:id="2077434680">
      <w:bodyDiv w:val="1"/>
      <w:marLeft w:val="0"/>
      <w:marRight w:val="0"/>
      <w:marTop w:val="0"/>
      <w:marBottom w:val="0"/>
      <w:divBdr>
        <w:top w:val="none" w:sz="0" w:space="0" w:color="auto"/>
        <w:left w:val="none" w:sz="0" w:space="0" w:color="auto"/>
        <w:bottom w:val="none" w:sz="0" w:space="0" w:color="auto"/>
        <w:right w:val="none" w:sz="0" w:space="0" w:color="auto"/>
      </w:divBdr>
    </w:div>
    <w:div w:id="2084183537">
      <w:bodyDiv w:val="1"/>
      <w:marLeft w:val="0"/>
      <w:marRight w:val="0"/>
      <w:marTop w:val="0"/>
      <w:marBottom w:val="0"/>
      <w:divBdr>
        <w:top w:val="none" w:sz="0" w:space="0" w:color="auto"/>
        <w:left w:val="none" w:sz="0" w:space="0" w:color="auto"/>
        <w:bottom w:val="none" w:sz="0" w:space="0" w:color="auto"/>
        <w:right w:val="none" w:sz="0" w:space="0" w:color="auto"/>
      </w:divBdr>
    </w:div>
    <w:div w:id="2086563776">
      <w:bodyDiv w:val="1"/>
      <w:marLeft w:val="0"/>
      <w:marRight w:val="0"/>
      <w:marTop w:val="0"/>
      <w:marBottom w:val="0"/>
      <w:divBdr>
        <w:top w:val="none" w:sz="0" w:space="0" w:color="auto"/>
        <w:left w:val="none" w:sz="0" w:space="0" w:color="auto"/>
        <w:bottom w:val="none" w:sz="0" w:space="0" w:color="auto"/>
        <w:right w:val="none" w:sz="0" w:space="0" w:color="auto"/>
      </w:divBdr>
    </w:div>
    <w:div w:id="2094203365">
      <w:bodyDiv w:val="1"/>
      <w:marLeft w:val="0"/>
      <w:marRight w:val="0"/>
      <w:marTop w:val="0"/>
      <w:marBottom w:val="0"/>
      <w:divBdr>
        <w:top w:val="none" w:sz="0" w:space="0" w:color="auto"/>
        <w:left w:val="none" w:sz="0" w:space="0" w:color="auto"/>
        <w:bottom w:val="none" w:sz="0" w:space="0" w:color="auto"/>
        <w:right w:val="none" w:sz="0" w:space="0" w:color="auto"/>
      </w:divBdr>
    </w:div>
    <w:div w:id="2117675186">
      <w:bodyDiv w:val="1"/>
      <w:marLeft w:val="0"/>
      <w:marRight w:val="0"/>
      <w:marTop w:val="0"/>
      <w:marBottom w:val="0"/>
      <w:divBdr>
        <w:top w:val="none" w:sz="0" w:space="0" w:color="auto"/>
        <w:left w:val="none" w:sz="0" w:space="0" w:color="auto"/>
        <w:bottom w:val="none" w:sz="0" w:space="0" w:color="auto"/>
        <w:right w:val="none" w:sz="0" w:space="0" w:color="auto"/>
      </w:divBdr>
    </w:div>
    <w:div w:id="2130196626">
      <w:bodyDiv w:val="1"/>
      <w:marLeft w:val="0"/>
      <w:marRight w:val="0"/>
      <w:marTop w:val="0"/>
      <w:marBottom w:val="0"/>
      <w:divBdr>
        <w:top w:val="none" w:sz="0" w:space="0" w:color="auto"/>
        <w:left w:val="none" w:sz="0" w:space="0" w:color="auto"/>
        <w:bottom w:val="none" w:sz="0" w:space="0" w:color="auto"/>
        <w:right w:val="none" w:sz="0" w:space="0" w:color="auto"/>
      </w:divBdr>
    </w:div>
    <w:div w:id="2132362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www.itsanhonour.gov.au" TargetMode="External"/><Relationship Id="rId26" Type="http://schemas.openxmlformats.org/officeDocument/2006/relationships/footer" Target="footer6.xml"/><Relationship Id="rId39" Type="http://schemas.openxmlformats.org/officeDocument/2006/relationships/image" Target="media/image8.emf"/><Relationship Id="rId21" Type="http://schemas.openxmlformats.org/officeDocument/2006/relationships/header" Target="header5.xml"/><Relationship Id="rId42" Type="http://schemas.openxmlformats.org/officeDocument/2006/relationships/image" Target="media/image11.emf"/><Relationship Id="rId47" Type="http://schemas.openxmlformats.org/officeDocument/2006/relationships/image" Target="media/image16.emf"/><Relationship Id="rId50" Type="http://schemas.openxmlformats.org/officeDocument/2006/relationships/image" Target="media/image19.emf"/><Relationship Id="rId55" Type="http://schemas.openxmlformats.org/officeDocument/2006/relationships/image" Target="media/image24.emf"/><Relationship Id="rId63" Type="http://schemas.openxmlformats.org/officeDocument/2006/relationships/image" Target="media/image30.emf"/><Relationship Id="rId68" Type="http://schemas.openxmlformats.org/officeDocument/2006/relationships/header" Target="header9.xml"/><Relationship Id="rId7" Type="http://schemas.openxmlformats.org/officeDocument/2006/relationships/endnotes" Target="endnotes.xml"/><Relationship Id="rId71"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image" Target="media/image2.wmf"/><Relationship Id="rId29"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3.jpeg"/><Relationship Id="rId32" Type="http://schemas.openxmlformats.org/officeDocument/2006/relationships/image" Target="media/image7.png"/><Relationship Id="rId40" Type="http://schemas.openxmlformats.org/officeDocument/2006/relationships/image" Target="media/image9.emf"/><Relationship Id="rId45" Type="http://schemas.openxmlformats.org/officeDocument/2006/relationships/image" Target="media/image14.emf"/><Relationship Id="rId53" Type="http://schemas.openxmlformats.org/officeDocument/2006/relationships/image" Target="media/image22.emf"/><Relationship Id="rId58" Type="http://schemas.openxmlformats.org/officeDocument/2006/relationships/image" Target="media/image27.emf"/><Relationship Id="rId66" Type="http://schemas.openxmlformats.org/officeDocument/2006/relationships/image" Target="media/image33.emf"/><Relationship Id="rId5" Type="http://schemas.openxmlformats.org/officeDocument/2006/relationships/webSettings" Target="webSettings.xml"/><Relationship Id="rId15" Type="http://schemas.openxmlformats.org/officeDocument/2006/relationships/hyperlink" Target="http://creativecommons.org/licenses/by/3.0/au/legalcode" TargetMode="External"/><Relationship Id="rId23" Type="http://schemas.openxmlformats.org/officeDocument/2006/relationships/footer" Target="footer4.xml"/><Relationship Id="rId28" Type="http://schemas.openxmlformats.org/officeDocument/2006/relationships/footer" Target="footer7.xml"/><Relationship Id="rId49" Type="http://schemas.openxmlformats.org/officeDocument/2006/relationships/image" Target="media/image18.emf"/><Relationship Id="rId57" Type="http://schemas.openxmlformats.org/officeDocument/2006/relationships/image" Target="media/image26.emf"/><Relationship Id="rId61" Type="http://schemas.openxmlformats.org/officeDocument/2006/relationships/header" Target="header8.xml"/><Relationship Id="rId10" Type="http://schemas.openxmlformats.org/officeDocument/2006/relationships/footer" Target="footer1.xml"/><Relationship Id="rId19" Type="http://schemas.openxmlformats.org/officeDocument/2006/relationships/hyperlink" Target="mailto:aga@aga.gov.au" TargetMode="External"/><Relationship Id="rId31" Type="http://schemas.openxmlformats.org/officeDocument/2006/relationships/image" Target="media/image6.emf"/><Relationship Id="rId44" Type="http://schemas.openxmlformats.org/officeDocument/2006/relationships/image" Target="media/image13.emf"/><Relationship Id="rId52" Type="http://schemas.openxmlformats.org/officeDocument/2006/relationships/image" Target="media/image21.emf"/><Relationship Id="rId60" Type="http://schemas.openxmlformats.org/officeDocument/2006/relationships/image" Target="media/image29.emf"/><Relationship Id="rId65" Type="http://schemas.openxmlformats.org/officeDocument/2006/relationships/image" Target="media/image32.emf"/><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creativecommons.org/licenses/by/3.0/au/deed.en" TargetMode="External"/><Relationship Id="rId22" Type="http://schemas.openxmlformats.org/officeDocument/2006/relationships/header" Target="header6.xml"/><Relationship Id="rId27" Type="http://schemas.openxmlformats.org/officeDocument/2006/relationships/header" Target="header7.xml"/><Relationship Id="rId30" Type="http://schemas.openxmlformats.org/officeDocument/2006/relationships/image" Target="media/image5.emf"/><Relationship Id="rId43" Type="http://schemas.openxmlformats.org/officeDocument/2006/relationships/image" Target="media/image12.emf"/><Relationship Id="rId48" Type="http://schemas.openxmlformats.org/officeDocument/2006/relationships/image" Target="media/image17.emf"/><Relationship Id="rId56" Type="http://schemas.openxmlformats.org/officeDocument/2006/relationships/image" Target="media/image25.emf"/><Relationship Id="rId64" Type="http://schemas.openxmlformats.org/officeDocument/2006/relationships/image" Target="media/image31.emf"/><Relationship Id="rId69" Type="http://schemas.openxmlformats.org/officeDocument/2006/relationships/header" Target="header10.xml"/><Relationship Id="rId8" Type="http://schemas.openxmlformats.org/officeDocument/2006/relationships/header" Target="header1.xml"/><Relationship Id="rId51" Type="http://schemas.openxmlformats.org/officeDocument/2006/relationships/image" Target="media/image20.emf"/><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creativecommons.org/licenses/by/3.0/au/deed.en" TargetMode="External"/><Relationship Id="rId25" Type="http://schemas.openxmlformats.org/officeDocument/2006/relationships/footer" Target="footer5.xml"/><Relationship Id="rId38" Type="http://schemas.openxmlformats.org/officeDocument/2006/relationships/image" Target="media/image8.png"/><Relationship Id="rId46" Type="http://schemas.openxmlformats.org/officeDocument/2006/relationships/image" Target="media/image15.emf"/><Relationship Id="rId59" Type="http://schemas.openxmlformats.org/officeDocument/2006/relationships/image" Target="media/image28.emf"/><Relationship Id="rId67" Type="http://schemas.openxmlformats.org/officeDocument/2006/relationships/footer" Target="footer9.xml"/><Relationship Id="rId20" Type="http://schemas.openxmlformats.org/officeDocument/2006/relationships/header" Target="header4.xml"/><Relationship Id="rId41" Type="http://schemas.openxmlformats.org/officeDocument/2006/relationships/image" Target="media/image10.emf"/><Relationship Id="rId54" Type="http://schemas.openxmlformats.org/officeDocument/2006/relationships/image" Target="media/image23.emf"/><Relationship Id="rId62" Type="http://schemas.openxmlformats.org/officeDocument/2006/relationships/footer" Target="footer8.xml"/><Relationship Id="rId70" Type="http://schemas.openxmlformats.org/officeDocument/2006/relationships/footer" Target="footer10.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CEDBE3"/>
      </a:dk2>
      <a:lt2>
        <a:srgbClr val="F2D2D5"/>
      </a:lt2>
      <a:accent1>
        <a:srgbClr val="74000E"/>
      </a:accent1>
      <a:accent2>
        <a:srgbClr val="0E3044"/>
      </a:accent2>
      <a:accent3>
        <a:srgbClr val="404547"/>
      </a:accent3>
      <a:accent4>
        <a:srgbClr val="AA6D2C"/>
      </a:accent4>
      <a:accent5>
        <a:srgbClr val="510B17"/>
      </a:accent5>
      <a:accent6>
        <a:srgbClr val="0E4E7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9E4AF6-8A8B-44CB-8358-087AFB0512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87</Pages>
  <Words>22591</Words>
  <Characters>128772</Characters>
  <Application>Microsoft Office Word</Application>
  <DocSecurity>0</DocSecurity>
  <Lines>1073</Lines>
  <Paragraphs>302</Paragraphs>
  <ScaleCrop>false</ScaleCrop>
  <HeadingPairs>
    <vt:vector size="2" baseType="variant">
      <vt:variant>
        <vt:lpstr>Title</vt:lpstr>
      </vt:variant>
      <vt:variant>
        <vt:i4>1</vt:i4>
      </vt:variant>
    </vt:vector>
  </HeadingPairs>
  <TitlesOfParts>
    <vt:vector size="1" baseType="lpstr">
      <vt:lpstr>Priority Investment Approach 2019 Valuation Report</vt:lpstr>
    </vt:vector>
  </TitlesOfParts>
  <Company/>
  <LinksUpToDate>false</LinksUpToDate>
  <CharactersWithSpaces>151061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Priority Investment Approach 2019 Valuation Report</dc:title>
  <dc:subject/>
  <dc:creator/>
  <cp:keywords/>
  <dc:description/>
  <cp:lastModifiedBy/>
  <cp:revision>1</cp:revision>
  <dcterms:created xsi:type="dcterms:W3CDTF">2022-04-06T04:32:00Z</dcterms:created>
  <dcterms:modified xsi:type="dcterms:W3CDTF">2022-04-06T04:32:00Z</dcterms:modified>
</cp:coreProperties>
</file>